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B6E" w:rsidRDefault="00D94B6E" w:rsidP="00D94B6E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יעדי העבודה המשרדיים לשנת 2016 תורגמו ליעדי אגף תקשורת והסברה (כיום אגף דיפלומטיה ציבורית), ומתוכם נגזרו תכניות עבודה פרטניות לאגף (מצורף כנספח א').</w:t>
      </w:r>
    </w:p>
    <w:p w:rsidR="007F495B" w:rsidRDefault="007F495B" w:rsidP="007F495B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פיתוח כלים מערכתיים:</w:t>
      </w:r>
    </w:p>
    <w:p w:rsidR="00233FE0" w:rsidRPr="007F495B" w:rsidRDefault="007F495B" w:rsidP="00D62990">
      <w:pPr>
        <w:pStyle w:val="a3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המשרד שידרג את יכולותיו בזירה המקוונת, הגיע לקהלים חדשים ברחבי העולם ובמספר שפות. שיפור יכולת השיווק הממוקד של המשרד, וביצוע הדרכות לעובדי המשרד </w:t>
      </w:r>
      <w:proofErr w:type="spellStart"/>
      <w:r w:rsidRPr="007F495B">
        <w:rPr>
          <w:rFonts w:asciiTheme="majorBidi" w:hAnsiTheme="majorBidi" w:cstheme="majorBidi" w:hint="cs"/>
          <w:sz w:val="24"/>
          <w:szCs w:val="24"/>
          <w:rtl/>
        </w:rPr>
        <w:t>ולעמ"זים</w:t>
      </w:r>
      <w:proofErr w:type="spellEnd"/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 הביא לגידול במספרי העוקבים והמעורבות (</w:t>
      </w:r>
      <w:r w:rsidRPr="007F495B">
        <w:rPr>
          <w:rFonts w:asciiTheme="majorBidi" w:hAnsiTheme="majorBidi" w:cstheme="majorBidi"/>
          <w:sz w:val="24"/>
          <w:szCs w:val="24"/>
        </w:rPr>
        <w:t>Engagement</w:t>
      </w:r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) ברשתות </w:t>
      </w:r>
      <w:r w:rsidR="00B10530">
        <w:rPr>
          <w:rFonts w:asciiTheme="majorBidi" w:hAnsiTheme="majorBidi" w:cstheme="majorBidi" w:hint="cs"/>
          <w:sz w:val="24"/>
          <w:szCs w:val="24"/>
          <w:rtl/>
        </w:rPr>
        <w:t>בשפות עברית, אנגלית, ערבית, רוסית, ספרדית ופרסית</w:t>
      </w:r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  <w:r w:rsidR="00B10530" w:rsidRPr="00CC5443">
        <w:rPr>
          <w:rFonts w:asciiTheme="majorBidi" w:hAnsiTheme="majorBidi" w:cstheme="majorBidi" w:hint="cs"/>
          <w:sz w:val="24"/>
          <w:szCs w:val="24"/>
          <w:rtl/>
        </w:rPr>
        <w:t>פותחה פעילות רשתית ושימוש ב-</w:t>
      </w:r>
      <w:r w:rsidR="00B10530" w:rsidRPr="00CC5443">
        <w:rPr>
          <w:rFonts w:asciiTheme="majorBidi" w:hAnsiTheme="majorBidi" w:cstheme="majorBidi"/>
          <w:sz w:val="24"/>
          <w:szCs w:val="24"/>
        </w:rPr>
        <w:t>analytics</w:t>
      </w:r>
      <w:r w:rsidR="00B10530" w:rsidRPr="00CC5443">
        <w:rPr>
          <w:rFonts w:asciiTheme="majorBidi" w:hAnsiTheme="majorBidi" w:cstheme="majorBidi" w:hint="cs"/>
          <w:sz w:val="24"/>
          <w:szCs w:val="24"/>
          <w:rtl/>
        </w:rPr>
        <w:t xml:space="preserve">, ניתן לראות נכוחות רשתית ועליה ברמת המעורבות משרד החוץ במרחב זה. </w:t>
      </w:r>
      <w:r w:rsidR="00615A47">
        <w:rPr>
          <w:rFonts w:asciiTheme="majorBidi" w:hAnsiTheme="majorBidi" w:cstheme="majorBidi" w:hint="cs"/>
          <w:sz w:val="24"/>
          <w:szCs w:val="24"/>
          <w:rtl/>
        </w:rPr>
        <w:t xml:space="preserve">בערוצי המטה (לא כולל ערוצי הנציגויות) </w:t>
      </w:r>
      <w:r w:rsidR="00B10530">
        <w:rPr>
          <w:rFonts w:asciiTheme="majorBidi" w:hAnsiTheme="majorBidi" w:cstheme="majorBidi" w:hint="cs"/>
          <w:sz w:val="24"/>
          <w:szCs w:val="24"/>
          <w:rtl/>
        </w:rPr>
        <w:t>נוספו 635,000 עוקבים חדשים לערוצי המשרד (עליה של כ-20%), כאשר מספר הצפיות בערוצים עמד על 29.45 מיליון צפיות</w:t>
      </w:r>
      <w:r w:rsidR="00D62990">
        <w:rPr>
          <w:rFonts w:asciiTheme="majorBidi" w:hAnsiTheme="majorBidi" w:cstheme="majorBidi" w:hint="cs"/>
          <w:sz w:val="24"/>
          <w:szCs w:val="24"/>
          <w:rtl/>
        </w:rPr>
        <w:t xml:space="preserve"> (ראו נספח ב')</w:t>
      </w:r>
      <w:r w:rsidR="00B10530">
        <w:rPr>
          <w:rFonts w:asciiTheme="majorBidi" w:hAnsiTheme="majorBidi" w:cstheme="majorBidi" w:hint="cs"/>
          <w:sz w:val="24"/>
          <w:szCs w:val="24"/>
          <w:rtl/>
        </w:rPr>
        <w:t>.</w:t>
      </w:r>
    </w:p>
    <w:p w:rsidR="007F495B" w:rsidRPr="007F495B" w:rsidRDefault="007F495B" w:rsidP="009E3032">
      <w:pPr>
        <w:pStyle w:val="a3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 w:rsidRPr="007F495B">
        <w:rPr>
          <w:rFonts w:asciiTheme="majorBidi" w:hAnsiTheme="majorBidi" w:cstheme="majorBidi" w:hint="cs"/>
          <w:sz w:val="24"/>
          <w:szCs w:val="24"/>
          <w:rtl/>
        </w:rPr>
        <w:t>מערך ליווי המשלחות שהוקם ב-2015 נכנס לפעילות ואפשר א</w:t>
      </w:r>
      <w:r w:rsidR="00811FE4">
        <w:rPr>
          <w:rFonts w:asciiTheme="majorBidi" w:hAnsiTheme="majorBidi" w:cstheme="majorBidi" w:hint="cs"/>
          <w:sz w:val="24"/>
          <w:szCs w:val="24"/>
          <w:rtl/>
        </w:rPr>
        <w:t>י</w:t>
      </w:r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רוח של </w:t>
      </w:r>
      <w:r w:rsidRPr="007F495B">
        <w:rPr>
          <w:rFonts w:asciiTheme="majorBidi" w:hAnsiTheme="majorBidi" w:cstheme="majorBidi" w:hint="cs"/>
          <w:sz w:val="24"/>
          <w:szCs w:val="24"/>
        </w:rPr>
        <w:t>XXXX</w:t>
      </w:r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 משלחות (כאשר 60 משלחות הוגדר כקו תחתון). יצוין כי בשנת 2017 המערך ליווה </w:t>
      </w:r>
      <w:r w:rsidRPr="007F495B">
        <w:rPr>
          <w:rFonts w:asciiTheme="majorBidi" w:hAnsiTheme="majorBidi" w:cstheme="majorBidi" w:hint="cs"/>
          <w:sz w:val="24"/>
          <w:szCs w:val="24"/>
        </w:rPr>
        <w:t>XXX</w:t>
      </w:r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 משלחות מרחבי העולם. </w:t>
      </w:r>
    </w:p>
    <w:p w:rsidR="007F495B" w:rsidRPr="007F495B" w:rsidRDefault="007F495B" w:rsidP="00CE773A">
      <w:pPr>
        <w:pStyle w:val="a3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בתקופה זו סומנה שיטה של שינוי רחב להכרה בנכסים של מדינת ישראל ברמה הבילטרלית, נבדק ונמצא במגמת עליה. </w:t>
      </w:r>
      <w:r w:rsidR="00CC5443">
        <w:rPr>
          <w:rFonts w:asciiTheme="majorBidi" w:hAnsiTheme="majorBidi" w:cstheme="majorBidi" w:hint="cs"/>
          <w:sz w:val="24"/>
          <w:szCs w:val="24"/>
          <w:rtl/>
        </w:rPr>
        <w:t xml:space="preserve">הוקם </w:t>
      </w:r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פורום </w:t>
      </w:r>
      <w:proofErr w:type="spellStart"/>
      <w:r w:rsidRPr="007F495B">
        <w:rPr>
          <w:rFonts w:asciiTheme="majorBidi" w:hAnsiTheme="majorBidi" w:cstheme="majorBidi" w:hint="cs"/>
          <w:sz w:val="24"/>
          <w:szCs w:val="24"/>
          <w:rtl/>
        </w:rPr>
        <w:t>בינמשרדי</w:t>
      </w:r>
      <w:proofErr w:type="spellEnd"/>
      <w:r w:rsidRPr="007F495B">
        <w:rPr>
          <w:rFonts w:asciiTheme="majorBidi" w:hAnsiTheme="majorBidi" w:cstheme="majorBidi" w:hint="cs"/>
          <w:sz w:val="24"/>
          <w:szCs w:val="24"/>
          <w:rtl/>
        </w:rPr>
        <w:t xml:space="preserve"> לנושאי מיתוג </w:t>
      </w:r>
      <w:r w:rsidR="00CE773A">
        <w:rPr>
          <w:rFonts w:asciiTheme="majorBidi" w:hAnsiTheme="majorBidi" w:cstheme="majorBidi" w:hint="cs"/>
          <w:sz w:val="24"/>
          <w:szCs w:val="24"/>
          <w:rtl/>
        </w:rPr>
        <w:t xml:space="preserve">שנפגש באופן עתי. </w:t>
      </w:r>
    </w:p>
    <w:p w:rsidR="007F495B" w:rsidRDefault="00C87676" w:rsidP="00CA1CFD">
      <w:pPr>
        <w:pStyle w:val="a3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CC5443">
        <w:rPr>
          <w:rFonts w:asciiTheme="majorBidi" w:hAnsiTheme="majorBidi" w:cstheme="majorBidi" w:hint="cs"/>
          <w:sz w:val="24"/>
          <w:szCs w:val="24"/>
          <w:rtl/>
        </w:rPr>
        <w:t xml:space="preserve">הורחב </w:t>
      </w:r>
      <w:r w:rsidR="007F495B" w:rsidRPr="00CC5443">
        <w:rPr>
          <w:rFonts w:asciiTheme="majorBidi" w:hAnsiTheme="majorBidi" w:cstheme="majorBidi" w:hint="cs"/>
          <w:sz w:val="24"/>
          <w:szCs w:val="24"/>
          <w:rtl/>
        </w:rPr>
        <w:t xml:space="preserve">מערך המחקר המלווה </w:t>
      </w:r>
      <w:r w:rsidRPr="00CC5443">
        <w:rPr>
          <w:rFonts w:asciiTheme="majorBidi" w:hAnsiTheme="majorBidi" w:cstheme="majorBidi" w:hint="cs"/>
          <w:sz w:val="24"/>
          <w:szCs w:val="24"/>
          <w:rtl/>
        </w:rPr>
        <w:t>את פ</w:t>
      </w:r>
      <w:r w:rsidR="007F495B" w:rsidRPr="00CC5443">
        <w:rPr>
          <w:rFonts w:asciiTheme="majorBidi" w:hAnsiTheme="majorBidi" w:cstheme="majorBidi" w:hint="cs"/>
          <w:sz w:val="24"/>
          <w:szCs w:val="24"/>
          <w:rtl/>
        </w:rPr>
        <w:t xml:space="preserve">עילות </w:t>
      </w:r>
      <w:proofErr w:type="spellStart"/>
      <w:r w:rsidRPr="00CC5443">
        <w:rPr>
          <w:rFonts w:asciiTheme="majorBidi" w:hAnsiTheme="majorBidi" w:cstheme="majorBidi" w:hint="cs"/>
          <w:sz w:val="24"/>
          <w:szCs w:val="24"/>
          <w:rtl/>
        </w:rPr>
        <w:t>הדיפ"צ</w:t>
      </w:r>
      <w:proofErr w:type="spellEnd"/>
      <w:r w:rsidRPr="00CC5443">
        <w:rPr>
          <w:rFonts w:asciiTheme="majorBidi" w:hAnsiTheme="majorBidi" w:cstheme="majorBidi" w:hint="cs"/>
          <w:sz w:val="24"/>
          <w:szCs w:val="24"/>
          <w:rtl/>
        </w:rPr>
        <w:t xml:space="preserve"> בחו"ל</w:t>
      </w:r>
      <w:r w:rsidR="007F495B" w:rsidRPr="00CC5443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  <w:r w:rsidR="00CA1CFD">
        <w:rPr>
          <w:rFonts w:asciiTheme="majorBidi" w:hAnsiTheme="majorBidi" w:cstheme="majorBidi" w:hint="cs"/>
          <w:sz w:val="24"/>
          <w:szCs w:val="24"/>
          <w:rtl/>
        </w:rPr>
        <w:t xml:space="preserve">פעלנו מול </w:t>
      </w:r>
      <w:r w:rsidR="007F495B" w:rsidRPr="00CC5443">
        <w:rPr>
          <w:rFonts w:asciiTheme="majorBidi" w:hAnsiTheme="majorBidi" w:cstheme="majorBidi" w:hint="cs"/>
          <w:sz w:val="24"/>
          <w:szCs w:val="24"/>
          <w:rtl/>
        </w:rPr>
        <w:t xml:space="preserve">חברות בינ"ל </w:t>
      </w:r>
      <w:r w:rsidR="00CA1CFD">
        <w:rPr>
          <w:rFonts w:asciiTheme="majorBidi" w:hAnsiTheme="majorBidi" w:cstheme="majorBidi" w:hint="cs"/>
          <w:sz w:val="24"/>
          <w:szCs w:val="24"/>
          <w:rtl/>
        </w:rPr>
        <w:t>של סקרים (</w:t>
      </w:r>
      <w:r w:rsidR="007F495B" w:rsidRPr="00CC5443">
        <w:rPr>
          <w:rFonts w:asciiTheme="majorBidi" w:hAnsiTheme="majorBidi" w:cstheme="majorBidi" w:hint="cs"/>
          <w:sz w:val="24"/>
          <w:szCs w:val="24"/>
          <w:rtl/>
        </w:rPr>
        <w:t xml:space="preserve">כגון </w:t>
      </w:r>
      <w:r w:rsidR="007F495B" w:rsidRPr="00CC5443">
        <w:rPr>
          <w:rFonts w:asciiTheme="majorBidi" w:hAnsiTheme="majorBidi" w:cstheme="majorBidi"/>
          <w:sz w:val="24"/>
          <w:szCs w:val="24"/>
        </w:rPr>
        <w:t>Pew</w:t>
      </w:r>
      <w:r w:rsidR="007F495B" w:rsidRPr="00CC5443">
        <w:rPr>
          <w:rFonts w:asciiTheme="majorBidi" w:hAnsiTheme="majorBidi" w:cstheme="majorBidi" w:hint="cs"/>
          <w:sz w:val="24"/>
          <w:szCs w:val="24"/>
          <w:rtl/>
        </w:rPr>
        <w:t xml:space="preserve">, </w:t>
      </w:r>
      <w:r w:rsidR="007F495B" w:rsidRPr="00CC5443">
        <w:rPr>
          <w:rFonts w:asciiTheme="majorBidi" w:hAnsiTheme="majorBidi" w:cstheme="majorBidi"/>
          <w:sz w:val="24"/>
          <w:szCs w:val="24"/>
        </w:rPr>
        <w:t>Gallop</w:t>
      </w:r>
      <w:r w:rsidR="007F495B" w:rsidRPr="00CC5443">
        <w:rPr>
          <w:rFonts w:asciiTheme="majorBidi" w:hAnsiTheme="majorBidi" w:cstheme="majorBidi" w:hint="cs"/>
          <w:sz w:val="24"/>
          <w:szCs w:val="24"/>
          <w:rtl/>
        </w:rPr>
        <w:t xml:space="preserve"> ואחרים</w:t>
      </w:r>
      <w:r w:rsidR="00CA1CFD">
        <w:rPr>
          <w:rFonts w:asciiTheme="majorBidi" w:hAnsiTheme="majorBidi" w:cstheme="majorBidi" w:hint="cs"/>
          <w:sz w:val="24"/>
          <w:szCs w:val="24"/>
          <w:rtl/>
        </w:rPr>
        <w:t>)</w:t>
      </w:r>
      <w:r w:rsidR="007F495B" w:rsidRPr="00CC5443">
        <w:rPr>
          <w:rFonts w:asciiTheme="majorBidi" w:hAnsiTheme="majorBidi" w:cstheme="majorBidi" w:hint="cs"/>
          <w:sz w:val="24"/>
          <w:szCs w:val="24"/>
          <w:rtl/>
        </w:rPr>
        <w:t xml:space="preserve"> שהציגו ניתוח מעמיק במדינות יעד</w:t>
      </w:r>
      <w:r w:rsidR="00A07653" w:rsidRPr="00CC5443">
        <w:rPr>
          <w:rFonts w:asciiTheme="majorBidi" w:hAnsiTheme="majorBidi" w:cstheme="majorBidi" w:hint="cs"/>
          <w:sz w:val="24"/>
          <w:szCs w:val="24"/>
          <w:rtl/>
        </w:rPr>
        <w:t xml:space="preserve">. כמו כן, </w:t>
      </w:r>
      <w:r w:rsidR="00CA1CFD">
        <w:rPr>
          <w:rFonts w:asciiTheme="majorBidi" w:hAnsiTheme="majorBidi" w:cstheme="majorBidi" w:hint="cs"/>
          <w:sz w:val="24"/>
          <w:szCs w:val="24"/>
          <w:rtl/>
        </w:rPr>
        <w:t>ערכנו סקרים מקומיים פרטניים על פי דרישות מהשטח (</w:t>
      </w:r>
      <w:r w:rsidR="00CA1CFD">
        <w:rPr>
          <w:rFonts w:asciiTheme="majorBidi" w:hAnsiTheme="majorBidi" w:cstheme="majorBidi" w:hint="cs"/>
          <w:sz w:val="24"/>
          <w:szCs w:val="24"/>
          <w:rtl/>
        </w:rPr>
        <w:t xml:space="preserve">בוצעו סקרי דעת קהל </w:t>
      </w:r>
      <w:r w:rsidR="00CA1CFD">
        <w:rPr>
          <w:rFonts w:asciiTheme="majorBidi" w:hAnsiTheme="majorBidi" w:cstheme="majorBidi" w:hint="cs"/>
          <w:sz w:val="24"/>
          <w:szCs w:val="24"/>
          <w:rtl/>
        </w:rPr>
        <w:t xml:space="preserve">בפולין, ארגנטינה, אלבניה וסרביה) וכן </w:t>
      </w:r>
      <w:r w:rsidR="00A07653" w:rsidRPr="00CC5443">
        <w:rPr>
          <w:rFonts w:asciiTheme="majorBidi" w:hAnsiTheme="majorBidi" w:cstheme="majorBidi" w:hint="cs"/>
          <w:sz w:val="24"/>
          <w:szCs w:val="24"/>
          <w:rtl/>
        </w:rPr>
        <w:t xml:space="preserve">חוזק מערך הסקרים הפנימי הבודק את פעילות המשרד. </w:t>
      </w:r>
    </w:p>
    <w:p w:rsidR="00A07653" w:rsidRDefault="00A07653" w:rsidP="00811FE4">
      <w:pPr>
        <w:pStyle w:val="a3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בוצעו כנסי</w:t>
      </w:r>
      <w:r w:rsidR="00811FE4">
        <w:rPr>
          <w:rFonts w:asciiTheme="majorBidi" w:hAnsiTheme="majorBidi" w:cstheme="majorBidi" w:hint="cs"/>
          <w:sz w:val="24"/>
          <w:szCs w:val="24"/>
          <w:rtl/>
        </w:rPr>
        <w:t>ם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להדרכ</w:t>
      </w:r>
      <w:r w:rsidR="00811FE4">
        <w:rPr>
          <w:rFonts w:asciiTheme="majorBidi" w:hAnsiTheme="majorBidi" w:cstheme="majorBidi" w:hint="cs"/>
          <w:sz w:val="24"/>
          <w:szCs w:val="24"/>
          <w:rtl/>
        </w:rPr>
        <w:t>ת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דיפלומטי</w:t>
      </w:r>
      <w:r w:rsidR="00811FE4">
        <w:rPr>
          <w:rFonts w:asciiTheme="majorBidi" w:hAnsiTheme="majorBidi" w:cstheme="majorBidi" w:hint="cs"/>
          <w:sz w:val="24"/>
          <w:szCs w:val="24"/>
          <w:rtl/>
        </w:rPr>
        <w:t xml:space="preserve">ה דיגיטלית </w:t>
      </w:r>
      <w:proofErr w:type="spellStart"/>
      <w:r w:rsidR="00811FE4">
        <w:rPr>
          <w:rFonts w:asciiTheme="majorBidi" w:hAnsiTheme="majorBidi" w:cstheme="majorBidi" w:hint="cs"/>
          <w:sz w:val="24"/>
          <w:szCs w:val="24"/>
          <w:rtl/>
        </w:rPr>
        <w:t>לעמ"זים</w:t>
      </w:r>
      <w:proofErr w:type="spellEnd"/>
      <w:r w:rsidR="00811FE4">
        <w:rPr>
          <w:rFonts w:asciiTheme="majorBidi" w:hAnsiTheme="majorBidi" w:cstheme="majorBidi" w:hint="cs"/>
          <w:sz w:val="24"/>
          <w:szCs w:val="24"/>
          <w:rtl/>
        </w:rPr>
        <w:t xml:space="preserve"> ממרחבי </w:t>
      </w:r>
      <w:proofErr w:type="spellStart"/>
      <w:r w:rsidR="00811FE4">
        <w:rPr>
          <w:rFonts w:asciiTheme="majorBidi" w:hAnsiTheme="majorBidi" w:cstheme="majorBidi" w:hint="cs"/>
          <w:sz w:val="24"/>
          <w:szCs w:val="24"/>
          <w:rtl/>
        </w:rPr>
        <w:t>אמל"ט</w:t>
      </w:r>
      <w:proofErr w:type="spellEnd"/>
      <w:r w:rsidR="00811FE4">
        <w:rPr>
          <w:rFonts w:asciiTheme="majorBidi" w:hAnsiTheme="majorBidi" w:cstheme="majorBidi" w:hint="cs"/>
          <w:sz w:val="24"/>
          <w:szCs w:val="24"/>
          <w:rtl/>
        </w:rPr>
        <w:t xml:space="preserve"> ואסיה. </w:t>
      </w:r>
    </w:p>
    <w:p w:rsidR="00A07653" w:rsidRDefault="00A07653" w:rsidP="00A07653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ליווי המערכות המדיניות-ביטחוניות </w:t>
      </w:r>
    </w:p>
    <w:p w:rsidR="00CE773A" w:rsidRDefault="00CE773A" w:rsidP="00CE773A">
      <w:pPr>
        <w:pStyle w:val="a3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ליווי הנושאים המדיניים בדגש מול אליטות רלוונטיות ותקשורת התבצע באופן שוטף. </w:t>
      </w:r>
      <w:r w:rsidR="00894A18">
        <w:rPr>
          <w:rFonts w:asciiTheme="majorBidi" w:hAnsiTheme="majorBidi" w:cstheme="majorBidi" w:hint="cs"/>
          <w:sz w:val="24"/>
          <w:szCs w:val="24"/>
          <w:rtl/>
        </w:rPr>
        <w:t xml:space="preserve">הדבר בא לידי ביטוי בתדרוכים, מאמרי מערכת, וראיונות שבוצעו ברחבי העולם במגוון שפות ועל ידי מערך הדיפלומטים בחו"ל. </w:t>
      </w:r>
    </w:p>
    <w:p w:rsidR="00894A18" w:rsidRPr="00894A18" w:rsidRDefault="00894A18" w:rsidP="00894A18">
      <w:pPr>
        <w:pStyle w:val="a3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 w:rsidRPr="00894A18">
        <w:rPr>
          <w:rFonts w:asciiTheme="majorBidi" w:hAnsiTheme="majorBidi" w:cstheme="majorBidi" w:hint="cs"/>
          <w:sz w:val="24"/>
          <w:szCs w:val="24"/>
          <w:rtl/>
        </w:rPr>
        <w:t>התקדמה החקיקה כנגד ה-</w:t>
      </w:r>
      <w:r w:rsidRPr="00894A18">
        <w:rPr>
          <w:rFonts w:asciiTheme="majorBidi" w:hAnsiTheme="majorBidi" w:cstheme="majorBidi" w:hint="cs"/>
          <w:sz w:val="24"/>
          <w:szCs w:val="24"/>
        </w:rPr>
        <w:t>BDS</w:t>
      </w:r>
      <w:r w:rsidRPr="00894A18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proofErr w:type="spellStart"/>
      <w:r w:rsidRPr="00894A18">
        <w:rPr>
          <w:rFonts w:asciiTheme="majorBidi" w:hAnsiTheme="majorBidi" w:cstheme="majorBidi" w:hint="cs"/>
          <w:sz w:val="24"/>
          <w:szCs w:val="24"/>
          <w:rtl/>
        </w:rPr>
        <w:t>והארכון</w:t>
      </w:r>
      <w:proofErr w:type="spellEnd"/>
      <w:r w:rsidRPr="00894A18">
        <w:rPr>
          <w:rFonts w:asciiTheme="majorBidi" w:hAnsiTheme="majorBidi" w:cstheme="majorBidi" w:hint="cs"/>
          <w:sz w:val="24"/>
          <w:szCs w:val="24"/>
          <w:rtl/>
        </w:rPr>
        <w:t xml:space="preserve"> נכשל ברב הפעילויות שסימנו לעצמם ב-2016 ונכנס למגמת התגוננות על עצם קיומו. </w:t>
      </w:r>
    </w:p>
    <w:p w:rsidR="00894A18" w:rsidRDefault="00894A18" w:rsidP="00894A18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תמיכה מקצועית בפעילות האגפים:</w:t>
      </w:r>
    </w:p>
    <w:p w:rsidR="00894A18" w:rsidRDefault="00AF7BE3" w:rsidP="00DC1A3C">
      <w:pPr>
        <w:pStyle w:val="a3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בשנת 2016 נייד </w:t>
      </w:r>
      <w:r w:rsidR="00894A18">
        <w:rPr>
          <w:rFonts w:asciiTheme="majorBidi" w:hAnsiTheme="majorBidi" w:cstheme="majorBidi" w:hint="cs"/>
          <w:sz w:val="24"/>
          <w:szCs w:val="24"/>
          <w:rtl/>
        </w:rPr>
        <w:t>משרד החוץ את מיצג הדלתות ל-</w:t>
      </w:r>
      <w:r w:rsidR="00DC1A3C">
        <w:rPr>
          <w:rFonts w:asciiTheme="majorBidi" w:hAnsiTheme="majorBidi" w:cstheme="majorBidi" w:hint="cs"/>
          <w:sz w:val="24"/>
          <w:szCs w:val="24"/>
          <w:rtl/>
        </w:rPr>
        <w:t>6</w:t>
      </w:r>
      <w:r w:rsidR="00894A18">
        <w:rPr>
          <w:rFonts w:asciiTheme="majorBidi" w:hAnsiTheme="majorBidi" w:cstheme="majorBidi" w:hint="cs"/>
          <w:sz w:val="24"/>
          <w:szCs w:val="24"/>
          <w:rtl/>
        </w:rPr>
        <w:t xml:space="preserve"> יעדים</w:t>
      </w:r>
      <w:r w:rsidR="00DC1A3C">
        <w:rPr>
          <w:rFonts w:asciiTheme="majorBidi" w:hAnsiTheme="majorBidi" w:cstheme="majorBidi" w:hint="cs"/>
          <w:sz w:val="24"/>
          <w:szCs w:val="24"/>
          <w:rtl/>
        </w:rPr>
        <w:t xml:space="preserve"> בחו"ל</w:t>
      </w:r>
      <w:r w:rsidR="00894A18">
        <w:rPr>
          <w:rFonts w:asciiTheme="majorBidi" w:hAnsiTheme="majorBidi" w:cstheme="majorBidi" w:hint="cs"/>
          <w:sz w:val="24"/>
          <w:szCs w:val="24"/>
          <w:rtl/>
        </w:rPr>
        <w:t xml:space="preserve">: 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רומא, פריז, ורשה, מוסקבה, </w:t>
      </w:r>
      <w:proofErr w:type="spellStart"/>
      <w:r>
        <w:rPr>
          <w:rFonts w:asciiTheme="majorBidi" w:hAnsiTheme="majorBidi" w:cstheme="majorBidi" w:hint="cs"/>
          <w:sz w:val="24"/>
          <w:szCs w:val="24"/>
          <w:rtl/>
        </w:rPr>
        <w:t>בנגלור</w:t>
      </w:r>
      <w:proofErr w:type="spellEnd"/>
      <w:r w:rsidR="00DC1A3C">
        <w:rPr>
          <w:rFonts w:asciiTheme="majorBidi" w:hAnsiTheme="majorBidi" w:cstheme="majorBidi" w:hint="cs"/>
          <w:sz w:val="24"/>
          <w:szCs w:val="24"/>
          <w:rtl/>
        </w:rPr>
        <w:t xml:space="preserve"> ו</w:t>
      </w:r>
      <w:r w:rsidR="00894A18">
        <w:rPr>
          <w:rFonts w:asciiTheme="majorBidi" w:hAnsiTheme="majorBidi" w:cstheme="majorBidi" w:hint="cs"/>
          <w:sz w:val="24"/>
          <w:szCs w:val="24"/>
          <w:rtl/>
        </w:rPr>
        <w:t>סינגפור. מיצג זה היווה עוגן לפעילות נ</w:t>
      </w:r>
      <w:r w:rsidR="00173776">
        <w:rPr>
          <w:rFonts w:asciiTheme="majorBidi" w:hAnsiTheme="majorBidi" w:cstheme="majorBidi" w:hint="cs"/>
          <w:sz w:val="24"/>
          <w:szCs w:val="24"/>
          <w:rtl/>
        </w:rPr>
        <w:t>ו</w:t>
      </w:r>
      <w:r w:rsidR="00894A18">
        <w:rPr>
          <w:rFonts w:asciiTheme="majorBidi" w:hAnsiTheme="majorBidi" w:cstheme="majorBidi" w:hint="cs"/>
          <w:sz w:val="24"/>
          <w:szCs w:val="24"/>
          <w:rtl/>
        </w:rPr>
        <w:t xml:space="preserve">ספת במרחבים </w:t>
      </w:r>
      <w:r w:rsidR="00173776">
        <w:rPr>
          <w:rFonts w:asciiTheme="majorBidi" w:hAnsiTheme="majorBidi" w:cstheme="majorBidi" w:hint="cs"/>
          <w:sz w:val="24"/>
          <w:szCs w:val="24"/>
          <w:rtl/>
        </w:rPr>
        <w:t xml:space="preserve">לחיזוק ערכי המיתוג ולחיזוק בתמיכת דעת הקהל הכללית. </w:t>
      </w:r>
    </w:p>
    <w:p w:rsidR="00894A18" w:rsidRPr="00D94B6E" w:rsidRDefault="00894A18" w:rsidP="00D94B6E">
      <w:pPr>
        <w:pStyle w:val="a3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 w:rsidRPr="00D94B6E">
        <w:rPr>
          <w:rFonts w:asciiTheme="majorBidi" w:hAnsiTheme="majorBidi" w:cstheme="majorBidi" w:hint="cs"/>
          <w:sz w:val="24"/>
          <w:szCs w:val="24"/>
          <w:rtl/>
        </w:rPr>
        <w:lastRenderedPageBreak/>
        <w:t xml:space="preserve">משרד החוץ מינה מתאם ייעודי לפעילות שנת היובלות שתפקידו ריכוז תכנית העבודה המפורטת שיצאה לפועל בשנת 2017 בתוך המשרד ומחוצה לו. </w:t>
      </w:r>
      <w:r w:rsidR="00D94B6E">
        <w:rPr>
          <w:rFonts w:asciiTheme="majorBidi" w:hAnsiTheme="majorBidi" w:cstheme="majorBidi" w:hint="cs"/>
          <w:sz w:val="24"/>
          <w:szCs w:val="24"/>
          <w:rtl/>
        </w:rPr>
        <w:t xml:space="preserve">שנת היובלות הוגדרה כשנה בה צוינו מועדים עגולים לאירועי מפתח בתולדות הציונות: 120 שנה לקונגרס הציוני הראשון, 100 שנה להצהרת בלפור, 70 לתכנית החלוקה של האו"ם, 50 שנה לאיחוד ירושלים, ו-40 שנה לביקור סאדאת. </w:t>
      </w:r>
    </w:p>
    <w:p w:rsidR="00A07653" w:rsidRPr="00A07653" w:rsidRDefault="00A07653" w:rsidP="00A07653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bookmarkStart w:id="0" w:name="_GoBack"/>
      <w:bookmarkEnd w:id="0"/>
    </w:p>
    <w:sectPr w:rsidR="00A07653" w:rsidRPr="00A07653" w:rsidSect="00B611D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95985"/>
    <w:multiLevelType w:val="hybridMultilevel"/>
    <w:tmpl w:val="AFFE4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E503B"/>
    <w:multiLevelType w:val="hybridMultilevel"/>
    <w:tmpl w:val="C8E0B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651FC"/>
    <w:multiLevelType w:val="hybridMultilevel"/>
    <w:tmpl w:val="F4808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CA7D22"/>
    <w:multiLevelType w:val="hybridMultilevel"/>
    <w:tmpl w:val="E47AB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CB5"/>
    <w:rsid w:val="00092B62"/>
    <w:rsid w:val="00173776"/>
    <w:rsid w:val="0022152D"/>
    <w:rsid w:val="00233FE0"/>
    <w:rsid w:val="003F1339"/>
    <w:rsid w:val="005723BD"/>
    <w:rsid w:val="00615A47"/>
    <w:rsid w:val="007F495B"/>
    <w:rsid w:val="00811FE4"/>
    <w:rsid w:val="00894A18"/>
    <w:rsid w:val="009E3032"/>
    <w:rsid w:val="00A07653"/>
    <w:rsid w:val="00AF7BE3"/>
    <w:rsid w:val="00B10530"/>
    <w:rsid w:val="00B611D6"/>
    <w:rsid w:val="00C87676"/>
    <w:rsid w:val="00CA1CFD"/>
    <w:rsid w:val="00CC5443"/>
    <w:rsid w:val="00CE773A"/>
    <w:rsid w:val="00D62990"/>
    <w:rsid w:val="00D94B6E"/>
    <w:rsid w:val="00DC1A3C"/>
    <w:rsid w:val="00E22B84"/>
    <w:rsid w:val="00E5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69654"/>
  <w15:chartTrackingRefBased/>
  <w15:docId w15:val="{1C957C84-2518-4186-9902-E03248E62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9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1FE4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811FE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DCC771-9669-482D-B613-C0B6ACAA5B27}"/>
</file>

<file path=customXml/itemProps2.xml><?xml version="1.0" encoding="utf-8"?>
<ds:datastoreItem xmlns:ds="http://schemas.openxmlformats.org/officeDocument/2006/customXml" ds:itemID="{17656FED-918F-42C4-8D77-3DFC78D0FCC5}"/>
</file>

<file path=customXml/itemProps3.xml><?xml version="1.0" encoding="utf-8"?>
<ds:datastoreItem xmlns:ds="http://schemas.openxmlformats.org/officeDocument/2006/customXml" ds:itemID="{83F32185-D83E-4DC7-99CD-A3328388BF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376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Brooks Nati</dc:creator>
  <cp:keywords/>
  <dc:description/>
  <cp:lastModifiedBy>Brooks Nati</cp:lastModifiedBy>
  <cp:revision>17</cp:revision>
  <cp:lastPrinted>2018-02-25T15:29:00Z</cp:lastPrinted>
  <dcterms:created xsi:type="dcterms:W3CDTF">2018-02-25T11:26:00Z</dcterms:created>
  <dcterms:modified xsi:type="dcterms:W3CDTF">2018-02-25T16:24:00Z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2016200</vt:r8>
  </property>
</Properties>
</file>