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3558">
      <w:pPr>
        <w:jc w:val="right"/>
        <w:rPr>
          <w:rFonts w:cs="Times New Roman"/>
          <w:rtl/>
        </w:rPr>
      </w:pPr>
      <w:bookmarkStart w:id="0" w:name="_GoBack"/>
      <w:bookmarkEnd w:id="0"/>
      <w:r>
        <w:rPr>
          <w:rFonts w:cs="Times New Roman"/>
          <w:rtl/>
        </w:rPr>
        <w:t>פרוטוקולים/ועדת הפנים/7872</w:t>
      </w:r>
    </w:p>
    <w:p w:rsidR="00000000" w:rsidRDefault="00593558">
      <w:pPr>
        <w:jc w:val="right"/>
        <w:rPr>
          <w:rFonts w:cs="Times New Roman"/>
          <w:rtl/>
        </w:rPr>
      </w:pPr>
      <w:r>
        <w:rPr>
          <w:rFonts w:cs="Times New Roman"/>
          <w:rtl/>
        </w:rPr>
        <w:tab/>
        <w:t>ירושלים, כ"ד בשבט, תשס"ד</w:t>
      </w:r>
    </w:p>
    <w:p w:rsidR="00000000" w:rsidRDefault="00593558">
      <w:pPr>
        <w:jc w:val="right"/>
        <w:rPr>
          <w:rFonts w:cs="Times New Roman"/>
          <w:rtl/>
          <w:lang w:val="es"/>
        </w:rPr>
      </w:pPr>
      <w:r>
        <w:rPr>
          <w:rFonts w:cs="Times New Roman"/>
          <w:rtl/>
          <w:lang w:val="es"/>
        </w:rPr>
        <w:t>16 בפברואר, 2004</w:t>
      </w:r>
    </w:p>
    <w:p w:rsidR="00000000" w:rsidRDefault="00593558">
      <w:pPr>
        <w:jc w:val="right"/>
        <w:rPr>
          <w:rFonts w:cs="Times New Roman"/>
          <w:rtl/>
        </w:rPr>
      </w:pPr>
    </w:p>
    <w:p w:rsidR="00000000" w:rsidRDefault="00593558">
      <w:pPr>
        <w:jc w:val="right"/>
        <w:rPr>
          <w:rFonts w:cs="Times New Roman"/>
          <w:rtl/>
        </w:rPr>
      </w:pPr>
    </w:p>
    <w:p w:rsidR="00000000" w:rsidRDefault="00593558">
      <w:pPr>
        <w:pStyle w:val="aa"/>
        <w:spacing w:after="0"/>
        <w:jc w:val="left"/>
        <w:rPr>
          <w:rFonts w:cs="David"/>
          <w:bCs/>
          <w:sz w:val="24"/>
          <w:szCs w:val="24"/>
          <w:rtl/>
        </w:rPr>
      </w:pPr>
      <w:r>
        <w:rPr>
          <w:rFonts w:cs="David"/>
          <w:bCs/>
          <w:sz w:val="24"/>
          <w:szCs w:val="24"/>
          <w:rtl/>
        </w:rPr>
        <w:t>הכנסת השש</w:t>
      </w:r>
      <w:r>
        <w:rPr>
          <w:rFonts w:cs="David"/>
          <w:bCs/>
          <w:sz w:val="24"/>
          <w:szCs w:val="24"/>
          <w:rtl/>
        </w:rPr>
        <w:t xml:space="preserve">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593558">
      <w:pPr>
        <w:pStyle w:val="10"/>
        <w:jc w:val="both"/>
        <w:rPr>
          <w:rFonts w:cs="David"/>
          <w:u w:val="none"/>
          <w:rtl/>
        </w:rPr>
      </w:pPr>
      <w:r>
        <w:rPr>
          <w:rFonts w:cs="David"/>
          <w:u w:val="none"/>
          <w:rtl/>
        </w:rPr>
        <w:t>מושב שני</w:t>
      </w:r>
    </w:p>
    <w:p w:rsidR="00000000" w:rsidRDefault="00593558">
      <w:pPr>
        <w:jc w:val="center"/>
        <w:rPr>
          <w:rFonts w:cs="David"/>
          <w:b/>
          <w:bCs/>
          <w:sz w:val="24"/>
          <w:szCs w:val="24"/>
          <w:rtl/>
        </w:rPr>
      </w:pPr>
    </w:p>
    <w:p w:rsidR="00000000" w:rsidRDefault="00593558">
      <w:pPr>
        <w:jc w:val="center"/>
        <w:rPr>
          <w:rFonts w:cs="David"/>
          <w:b/>
          <w:bCs/>
          <w:sz w:val="24"/>
          <w:szCs w:val="24"/>
          <w:rtl/>
        </w:rPr>
      </w:pPr>
    </w:p>
    <w:p w:rsidR="00000000" w:rsidRDefault="00593558">
      <w:pPr>
        <w:jc w:val="center"/>
        <w:rPr>
          <w:rFonts w:cs="David"/>
          <w:b/>
          <w:bCs/>
          <w:sz w:val="24"/>
          <w:szCs w:val="24"/>
          <w:rtl/>
        </w:rPr>
      </w:pPr>
    </w:p>
    <w:p w:rsidR="00000000" w:rsidRDefault="00593558">
      <w:pPr>
        <w:jc w:val="center"/>
        <w:rPr>
          <w:rFonts w:cs="David"/>
          <w:b/>
          <w:bCs/>
          <w:sz w:val="24"/>
          <w:szCs w:val="24"/>
          <w:rtl/>
        </w:rPr>
      </w:pPr>
      <w:r>
        <w:rPr>
          <w:rFonts w:cs="David"/>
          <w:b/>
          <w:bCs/>
          <w:sz w:val="24"/>
          <w:szCs w:val="24"/>
          <w:rtl/>
        </w:rPr>
        <w:t>פרוטוקול מס' 121</w:t>
      </w:r>
    </w:p>
    <w:p w:rsidR="00000000" w:rsidRDefault="00593558">
      <w:pPr>
        <w:jc w:val="center"/>
        <w:rPr>
          <w:rFonts w:cs="David"/>
          <w:b/>
          <w:bCs/>
          <w:sz w:val="24"/>
          <w:szCs w:val="24"/>
          <w:rtl/>
        </w:rPr>
      </w:pPr>
      <w:r>
        <w:rPr>
          <w:rFonts w:cs="David"/>
          <w:b/>
          <w:bCs/>
          <w:sz w:val="24"/>
          <w:szCs w:val="24"/>
          <w:rtl/>
        </w:rPr>
        <w:t>מישיבת ועדת הפנים ואיכות הסביבה</w:t>
      </w:r>
    </w:p>
    <w:p w:rsidR="00000000" w:rsidRDefault="00593558">
      <w:pPr>
        <w:jc w:val="center"/>
        <w:rPr>
          <w:rFonts w:cs="David"/>
          <w:b/>
          <w:bCs/>
          <w:sz w:val="24"/>
          <w:szCs w:val="24"/>
          <w:u w:val="single"/>
          <w:rtl/>
        </w:rPr>
      </w:pPr>
      <w:r>
        <w:rPr>
          <w:rFonts w:cs="David"/>
          <w:b/>
          <w:bCs/>
          <w:sz w:val="24"/>
          <w:szCs w:val="24"/>
          <w:u w:val="single"/>
          <w:rtl/>
        </w:rPr>
        <w:t>שהתקיימה ביום ב', י"א טבת תשס"ד, 5.1.04, בשעה 09.30</w:t>
      </w:r>
    </w:p>
    <w:p w:rsidR="00000000" w:rsidRDefault="00593558">
      <w:pPr>
        <w:jc w:val="center"/>
        <w:rPr>
          <w:rFonts w:cs="David"/>
          <w:b/>
          <w:bCs/>
          <w:sz w:val="24"/>
          <w:szCs w:val="24"/>
          <w:u w:val="single"/>
          <w:rtl/>
        </w:rPr>
      </w:pPr>
    </w:p>
    <w:p w:rsidR="00000000" w:rsidRDefault="00593558">
      <w:pPr>
        <w:jc w:val="center"/>
        <w:rPr>
          <w:rFonts w:cs="David"/>
          <w:b/>
          <w:bCs/>
          <w:sz w:val="24"/>
          <w:szCs w:val="24"/>
          <w:u w:val="single"/>
          <w:rtl/>
        </w:rPr>
      </w:pPr>
    </w:p>
    <w:p w:rsidR="00000000" w:rsidRDefault="00593558">
      <w:pPr>
        <w:pStyle w:val="aa"/>
        <w:jc w:val="center"/>
        <w:rPr>
          <w:rFonts w:cs="David"/>
          <w:bCs/>
          <w:sz w:val="24"/>
          <w:szCs w:val="24"/>
          <w:u w:val="single"/>
          <w:rtl/>
        </w:rPr>
      </w:pPr>
      <w:r>
        <w:rPr>
          <w:rFonts w:cs="David"/>
          <w:bCs/>
          <w:sz w:val="24"/>
          <w:szCs w:val="24"/>
          <w:u w:val="single"/>
          <w:rtl/>
        </w:rPr>
        <w:t>ס ד ר    ה י ו ם</w:t>
      </w:r>
    </w:p>
    <w:p w:rsidR="00000000" w:rsidRDefault="00593558">
      <w:pPr>
        <w:pStyle w:val="20"/>
        <w:jc w:val="center"/>
        <w:rPr>
          <w:rFonts w:cs="David"/>
          <w:b/>
          <w:bCs/>
          <w:rtl/>
        </w:rPr>
      </w:pPr>
    </w:p>
    <w:p w:rsidR="00000000" w:rsidRDefault="00593558">
      <w:pPr>
        <w:pStyle w:val="30"/>
        <w:ind w:left="0" w:right="0"/>
        <w:jc w:val="center"/>
        <w:rPr>
          <w:rFonts w:cs="David"/>
          <w:b/>
          <w:bCs/>
          <w:rtl/>
        </w:rPr>
      </w:pPr>
      <w:r>
        <w:rPr>
          <w:rFonts w:cs="David"/>
          <w:b/>
          <w:bCs/>
          <w:rtl/>
        </w:rPr>
        <w:t xml:space="preserve">אישור תקנות הרשויות המקומיות (משמעת) (מקום מושבו של בית הדין וחלוקת הוצאות החזקתו), התשס"ד - 2004 </w:t>
      </w:r>
    </w:p>
    <w:p w:rsidR="00000000" w:rsidRDefault="00593558">
      <w:pPr>
        <w:rPr>
          <w:rFonts w:cs="Times New Roman"/>
          <w:rtl/>
        </w:rPr>
      </w:pPr>
    </w:p>
    <w:p w:rsidR="00000000" w:rsidRDefault="00593558">
      <w:pPr>
        <w:rPr>
          <w:rFonts w:cs="Times New Roman"/>
          <w:rtl/>
        </w:rPr>
      </w:pPr>
    </w:p>
    <w:p w:rsidR="00000000" w:rsidRDefault="00593558">
      <w:pPr>
        <w:pStyle w:val="30"/>
        <w:ind w:left="0"/>
        <w:rPr>
          <w:rFonts w:cs="David"/>
          <w:b/>
          <w:bCs/>
          <w:u w:val="single"/>
          <w:rtl/>
        </w:rPr>
      </w:pPr>
      <w:r>
        <w:rPr>
          <w:rFonts w:cs="David"/>
          <w:b/>
          <w:bCs/>
          <w:u w:val="single"/>
          <w:rtl/>
        </w:rPr>
        <w:t>נכחו:</w:t>
      </w:r>
    </w:p>
    <w:p w:rsidR="00000000" w:rsidRDefault="00593558">
      <w:pPr>
        <w:rPr>
          <w:rFonts w:cs="Times New Roman"/>
          <w:rtl/>
        </w:rPr>
      </w:pPr>
    </w:p>
    <w:p w:rsidR="00000000" w:rsidRDefault="00593558">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אלי אפללו</w:t>
      </w:r>
    </w:p>
    <w:p w:rsidR="00000000" w:rsidRDefault="00593558">
      <w:pPr>
        <w:ind w:left="1418" w:hanging="1418"/>
        <w:jc w:val="both"/>
        <w:rPr>
          <w:rFonts w:cs="David"/>
          <w:sz w:val="24"/>
          <w:szCs w:val="24"/>
          <w:rtl/>
        </w:rPr>
      </w:pPr>
      <w:r>
        <w:rPr>
          <w:rFonts w:cs="David"/>
          <w:sz w:val="24"/>
          <w:szCs w:val="24"/>
          <w:rtl/>
        </w:rPr>
        <w:tab/>
      </w:r>
    </w:p>
    <w:p w:rsidR="00000000" w:rsidRDefault="00593558">
      <w:pPr>
        <w:ind w:left="1418" w:hanging="1418"/>
        <w:jc w:val="both"/>
        <w:rPr>
          <w:rFonts w:cs="David"/>
          <w:sz w:val="24"/>
          <w:szCs w:val="24"/>
          <w:rtl/>
        </w:rPr>
      </w:pPr>
      <w:r>
        <w:rPr>
          <w:rFonts w:cs="David"/>
          <w:sz w:val="24"/>
          <w:szCs w:val="24"/>
          <w:rtl/>
        </w:rPr>
        <w:tab/>
      </w:r>
    </w:p>
    <w:p w:rsidR="00000000" w:rsidRDefault="00593558">
      <w:pPr>
        <w:ind w:left="1418" w:hanging="1418"/>
        <w:jc w:val="both"/>
        <w:rPr>
          <w:rFonts w:cs="David"/>
          <w:sz w:val="24"/>
          <w:szCs w:val="24"/>
          <w:rtl/>
        </w:rPr>
      </w:pPr>
      <w:r>
        <w:rPr>
          <w:rFonts w:cs="David"/>
          <w:sz w:val="24"/>
          <w:szCs w:val="24"/>
          <w:rtl/>
        </w:rPr>
        <w:tab/>
      </w:r>
    </w:p>
    <w:p w:rsidR="00000000" w:rsidRDefault="00593558">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מרגלית בוטרמן, יועמ"ש, משרד הפנים</w:t>
      </w:r>
    </w:p>
    <w:p w:rsidR="00000000" w:rsidRDefault="00593558">
      <w:pPr>
        <w:ind w:left="1418" w:hanging="1418"/>
        <w:jc w:val="both"/>
        <w:rPr>
          <w:rFonts w:cs="David"/>
          <w:sz w:val="24"/>
          <w:szCs w:val="24"/>
          <w:rtl/>
        </w:rPr>
      </w:pPr>
      <w:r>
        <w:rPr>
          <w:rFonts w:cs="David"/>
          <w:sz w:val="24"/>
          <w:szCs w:val="24"/>
          <w:rtl/>
        </w:rPr>
        <w:tab/>
        <w:t>עו"ד בני יערי, אב ביה"ד למשמעת של הרשויות המקומיות</w:t>
      </w:r>
    </w:p>
    <w:p w:rsidR="00000000" w:rsidRDefault="00593558">
      <w:pPr>
        <w:ind w:left="1418"/>
        <w:jc w:val="both"/>
        <w:rPr>
          <w:rFonts w:cs="David"/>
          <w:sz w:val="24"/>
          <w:szCs w:val="24"/>
          <w:rtl/>
        </w:rPr>
      </w:pPr>
      <w:r>
        <w:rPr>
          <w:rFonts w:cs="David"/>
          <w:sz w:val="24"/>
          <w:szCs w:val="24"/>
          <w:rtl/>
        </w:rPr>
        <w:tab/>
        <w:t>איריס, לשכה משפטית, כנסת</w:t>
      </w:r>
    </w:p>
    <w:p w:rsidR="00000000" w:rsidRDefault="00593558">
      <w:pPr>
        <w:ind w:left="1418"/>
        <w:jc w:val="both"/>
        <w:rPr>
          <w:rFonts w:cs="David"/>
          <w:sz w:val="24"/>
          <w:szCs w:val="24"/>
          <w:rtl/>
        </w:rPr>
      </w:pPr>
    </w:p>
    <w:p w:rsidR="00000000" w:rsidRDefault="00593558">
      <w:pPr>
        <w:ind w:left="1418"/>
        <w:jc w:val="both"/>
        <w:rPr>
          <w:rFonts w:cs="David"/>
          <w:sz w:val="24"/>
          <w:szCs w:val="24"/>
          <w:rtl/>
        </w:rPr>
      </w:pPr>
    </w:p>
    <w:p w:rsidR="00000000" w:rsidRDefault="00593558">
      <w:pPr>
        <w:ind w:left="1418" w:hanging="1418"/>
        <w:jc w:val="both"/>
        <w:rPr>
          <w:rFonts w:cs="David"/>
          <w:sz w:val="24"/>
          <w:szCs w:val="24"/>
          <w:rtl/>
        </w:rPr>
      </w:pPr>
      <w:r>
        <w:rPr>
          <w:rFonts w:cs="David"/>
          <w:sz w:val="24"/>
          <w:szCs w:val="24"/>
          <w:rtl/>
        </w:rPr>
        <w:tab/>
      </w:r>
    </w:p>
    <w:p w:rsidR="00000000" w:rsidRDefault="00593558">
      <w:pPr>
        <w:ind w:left="1701" w:hanging="1701"/>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יפה שפירא</w:t>
      </w:r>
    </w:p>
    <w:p w:rsidR="00000000" w:rsidRDefault="00593558">
      <w:pPr>
        <w:ind w:left="1701" w:hanging="1701"/>
        <w:jc w:val="both"/>
        <w:rPr>
          <w:rFonts w:cs="David"/>
          <w:sz w:val="24"/>
          <w:szCs w:val="24"/>
          <w:rtl/>
        </w:rPr>
      </w:pPr>
    </w:p>
    <w:p w:rsidR="00000000" w:rsidRDefault="00593558">
      <w:pPr>
        <w:ind w:left="1701" w:hanging="1701"/>
        <w:jc w:val="both"/>
        <w:rPr>
          <w:rFonts w:cs="David"/>
          <w:sz w:val="24"/>
          <w:szCs w:val="24"/>
          <w:rtl/>
        </w:rPr>
      </w:pPr>
      <w:r>
        <w:rPr>
          <w:rFonts w:cs="David"/>
          <w:b/>
          <w:bCs/>
          <w:sz w:val="24"/>
          <w:szCs w:val="24"/>
          <w:u w:val="single"/>
          <w:rtl/>
        </w:rPr>
        <w:t>יועצת משפטית:</w:t>
      </w:r>
      <w:r>
        <w:rPr>
          <w:rFonts w:cs="David"/>
          <w:sz w:val="24"/>
          <w:szCs w:val="24"/>
          <w:rtl/>
        </w:rPr>
        <w:tab/>
        <w:t>מירי פרנקל-שור</w:t>
      </w:r>
    </w:p>
    <w:p w:rsidR="00000000" w:rsidRDefault="00593558">
      <w:pPr>
        <w:ind w:left="1701" w:hanging="1701"/>
        <w:jc w:val="both"/>
        <w:rPr>
          <w:rFonts w:cs="David"/>
          <w:b/>
          <w:bCs/>
          <w:sz w:val="24"/>
          <w:szCs w:val="24"/>
          <w:u w:val="single"/>
          <w:rtl/>
        </w:rPr>
      </w:pPr>
    </w:p>
    <w:p w:rsidR="00000000" w:rsidRDefault="00593558">
      <w:pPr>
        <w:ind w:left="1701" w:hanging="1701"/>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חבר המתרגמים </w:t>
      </w:r>
      <w:r>
        <w:rPr>
          <w:rFonts w:cs="David"/>
          <w:sz w:val="24"/>
          <w:szCs w:val="24"/>
          <w:rtl/>
        </w:rPr>
        <w:t>בע"מ</w:t>
      </w:r>
    </w:p>
    <w:p w:rsidR="00000000" w:rsidRDefault="00593558">
      <w:pPr>
        <w:jc w:val="both"/>
        <w:rPr>
          <w:rFonts w:cs="David"/>
          <w:sz w:val="24"/>
          <w:szCs w:val="24"/>
          <w:rtl/>
        </w:rPr>
      </w:pPr>
      <w:r>
        <w:rPr>
          <w:rFonts w:cs="David"/>
          <w:sz w:val="24"/>
          <w:szCs w:val="24"/>
          <w:rtl/>
        </w:rPr>
        <w:br w:type="page"/>
      </w:r>
    </w:p>
    <w:p w:rsidR="00000000" w:rsidRDefault="00593558">
      <w:pPr>
        <w:pStyle w:val="30"/>
        <w:ind w:left="0" w:right="0"/>
        <w:jc w:val="center"/>
        <w:rPr>
          <w:rFonts w:cs="David"/>
          <w:b/>
          <w:bCs/>
          <w:rtl/>
        </w:rPr>
      </w:pPr>
      <w:r>
        <w:rPr>
          <w:rFonts w:cs="David"/>
          <w:b/>
          <w:bCs/>
          <w:rtl/>
        </w:rPr>
        <w:t xml:space="preserve">אישור תקנות הרשויות המקומיות (משמעת) (מקום מושבו </w:t>
      </w:r>
    </w:p>
    <w:p w:rsidR="00000000" w:rsidRDefault="00593558">
      <w:pPr>
        <w:pStyle w:val="30"/>
        <w:ind w:left="0" w:right="0"/>
        <w:jc w:val="center"/>
        <w:rPr>
          <w:rFonts w:cs="David"/>
          <w:b/>
          <w:bCs/>
          <w:u w:val="single"/>
          <w:rtl/>
        </w:rPr>
      </w:pPr>
      <w:r>
        <w:rPr>
          <w:rFonts w:cs="David"/>
          <w:b/>
          <w:bCs/>
          <w:u w:val="single"/>
          <w:rtl/>
        </w:rPr>
        <w:t>של בית הדין וחלוקת הוצאות החזקתו), התשס"ד2004-</w:t>
      </w:r>
    </w:p>
    <w:p w:rsidR="00000000" w:rsidRDefault="00593558">
      <w:pPr>
        <w:pStyle w:val="30"/>
        <w:jc w:val="center"/>
        <w:rPr>
          <w:rFonts w:cs="David"/>
          <w:b/>
          <w:bCs/>
          <w:u w:val="single"/>
          <w:rtl/>
        </w:rPr>
      </w:pPr>
    </w:p>
    <w:p w:rsidR="00000000" w:rsidRDefault="00593558">
      <w:pPr>
        <w:jc w:val="both"/>
        <w:rPr>
          <w:rFonts w:cs="David"/>
          <w:sz w:val="24"/>
          <w:szCs w:val="24"/>
          <w:u w:val="single"/>
          <w:rtl/>
        </w:rPr>
      </w:pPr>
    </w:p>
    <w:p w:rsidR="00000000" w:rsidRDefault="00593558">
      <w:pPr>
        <w:jc w:val="both"/>
        <w:rPr>
          <w:rFonts w:cs="David"/>
          <w:sz w:val="24"/>
          <w:szCs w:val="24"/>
          <w:rtl/>
        </w:rPr>
      </w:pPr>
    </w:p>
    <w:p w:rsidR="00000000" w:rsidRDefault="00593558">
      <w:pPr>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b/>
          <w:bCs/>
          <w:sz w:val="24"/>
          <w:szCs w:val="24"/>
          <w:u w:val="single"/>
          <w:rtl/>
        </w:rPr>
        <w:t>היו"ר אלי אפללו:</w:t>
      </w:r>
      <w:r>
        <w:rPr>
          <w:rFonts w:cs="David"/>
          <w:sz w:val="24"/>
          <w:szCs w:val="24"/>
          <w:rtl/>
        </w:rPr>
        <w:tab/>
        <w:t xml:space="preserve">בוקר טוב. איריס תפתחי בבקשה, תקראי לנו את </w:t>
      </w:r>
      <w:r>
        <w:rPr>
          <w:rFonts w:cs="David"/>
          <w:sz w:val="24"/>
          <w:szCs w:val="24"/>
          <w:rtl/>
        </w:rPr>
        <w:br/>
      </w:r>
      <w:r>
        <w:rPr>
          <w:rFonts w:cs="David"/>
          <w:sz w:val="24"/>
          <w:szCs w:val="24"/>
          <w:rtl/>
        </w:rPr>
        <w:tab/>
        <w:t>התקנות.</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b/>
          <w:bCs/>
          <w:sz w:val="24"/>
          <w:szCs w:val="24"/>
          <w:u w:val="single"/>
          <w:rtl/>
        </w:rPr>
        <w:t>איריס:</w:t>
      </w:r>
      <w:r>
        <w:rPr>
          <w:rFonts w:cs="David"/>
          <w:sz w:val="24"/>
          <w:szCs w:val="24"/>
          <w:rtl/>
        </w:rPr>
        <w:tab/>
        <w:t xml:space="preserve">תקנות הרשויות המקומיות (משמעת) (מקום </w:t>
      </w:r>
      <w:r>
        <w:rPr>
          <w:rFonts w:cs="David"/>
          <w:sz w:val="24"/>
          <w:szCs w:val="24"/>
          <w:rtl/>
        </w:rPr>
        <w:br/>
      </w:r>
      <w:r>
        <w:rPr>
          <w:rFonts w:cs="David"/>
          <w:sz w:val="24"/>
          <w:szCs w:val="24"/>
          <w:rtl/>
        </w:rPr>
        <w:tab/>
        <w:t xml:space="preserve">מושבו של בית הדין וחלוקת הוצאות </w:t>
      </w:r>
      <w:r>
        <w:rPr>
          <w:rFonts w:cs="David"/>
          <w:sz w:val="24"/>
          <w:szCs w:val="24"/>
          <w:rtl/>
        </w:rPr>
        <w:t xml:space="preserve">החזקתו), התשס"ד- 2004. </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sz w:val="24"/>
          <w:szCs w:val="24"/>
          <w:rtl/>
        </w:rPr>
        <w:t>בתוקף סמכותי לפי סעיף 21 לחוק הרשויות המקומיות (משמעת), התשל"ח- 1978, (להלן - החוק) ובאישור ועדת הפנים ואיכות הסביבה של הכנסת, לפי סעיף 15 לחוק הרשויות המקומיות (משמעת) (תיקון מס' 3), התשס"ג- 2002 אני מתקין תקנות אלה:</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sz w:val="24"/>
          <w:szCs w:val="24"/>
          <w:rtl/>
        </w:rPr>
        <w:t>הגדרה ; 1. ב</w:t>
      </w:r>
      <w:r>
        <w:rPr>
          <w:rFonts w:cs="David"/>
          <w:sz w:val="24"/>
          <w:szCs w:val="24"/>
          <w:rtl/>
        </w:rPr>
        <w:t>תקנות אלה "בית הדין" - בית הדין למשמעת של עובדי הרשויות המקומיות שהוקם על פי סעיף 2 לחוק.</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sz w:val="24"/>
          <w:szCs w:val="24"/>
          <w:rtl/>
        </w:rPr>
        <w:t>מקום מושב בית הדין ; 2. מקום מושבו של בית הדין יהיה בחולון אולם רשאי אב בית הדין לקבוע כי הדיון בתובענה פלונית יתקיים בתחום רשות מקומית אחרת.</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sz w:val="24"/>
          <w:szCs w:val="24"/>
          <w:rtl/>
        </w:rPr>
        <w:t>חלוקת הוצאות החזקה ; 3</w:t>
      </w:r>
      <w:r>
        <w:rPr>
          <w:rFonts w:cs="David"/>
          <w:sz w:val="24"/>
          <w:szCs w:val="24"/>
          <w:rtl/>
        </w:rPr>
        <w:t>. (א) הוצאות החזקתו של בית הדין, כפי שנקבעו בתקציבו המאושר, יחולקו בכל שנה בין הרשויות המקומיות באופן יחסי למספר העובדים בפועל שהעסיקה הרשות המקומית.</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sz w:val="24"/>
          <w:szCs w:val="24"/>
          <w:rtl/>
        </w:rPr>
        <w:t>(ב) השר יודיע בכל שנה לכל אחת מהרשויות המקומיות את שיעור השתתפותה במימון הוצאות החזקתו של בית הדין.</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sz w:val="24"/>
          <w:szCs w:val="24"/>
          <w:rtl/>
        </w:rPr>
        <w:t>ביטו</w:t>
      </w:r>
      <w:r>
        <w:rPr>
          <w:rFonts w:cs="David"/>
          <w:sz w:val="24"/>
          <w:szCs w:val="24"/>
          <w:rtl/>
        </w:rPr>
        <w:t>ל ; 4. בטלים - (1) צו הרשויות המקומיות (משמעת) (תחום האיזור של בית דין איזורי), התשל"ט- 1979;</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sz w:val="24"/>
          <w:szCs w:val="24"/>
          <w:rtl/>
        </w:rPr>
        <w:t>(2) תקנות הרשויות המקומיות (משמעת) (חלוקת הוצאות בין הרשויות האיזוריות), התשמ"ב- 1981 ;</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sz w:val="24"/>
          <w:szCs w:val="24"/>
          <w:rtl/>
        </w:rPr>
        <w:t>תחילה ; 5. תחילתן של תקנות אלה ביום ז' בטבת התשס"ד (1 בינואר 2004).</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b/>
          <w:bCs/>
          <w:sz w:val="24"/>
          <w:szCs w:val="24"/>
          <w:u w:val="single"/>
          <w:rtl/>
        </w:rPr>
        <w:t>מרג</w:t>
      </w:r>
      <w:r>
        <w:rPr>
          <w:rFonts w:cs="David"/>
          <w:b/>
          <w:bCs/>
          <w:sz w:val="24"/>
          <w:szCs w:val="24"/>
          <w:u w:val="single"/>
          <w:rtl/>
        </w:rPr>
        <w:t>לית בוטרמן:</w:t>
      </w:r>
      <w:r>
        <w:rPr>
          <w:rFonts w:cs="David"/>
          <w:sz w:val="24"/>
          <w:szCs w:val="24"/>
          <w:rtl/>
        </w:rPr>
        <w:tab/>
        <w:t xml:space="preserve">אנחנו הבאנו את הנוסח הזה של התקנות עפ"י </w:t>
      </w:r>
      <w:r>
        <w:rPr>
          <w:rFonts w:cs="David"/>
          <w:sz w:val="24"/>
          <w:szCs w:val="24"/>
          <w:rtl/>
        </w:rPr>
        <w:br/>
      </w:r>
      <w:r>
        <w:rPr>
          <w:rFonts w:cs="David"/>
          <w:sz w:val="24"/>
          <w:szCs w:val="24"/>
          <w:rtl/>
        </w:rPr>
        <w:tab/>
        <w:t>סעיף 21 לחוק כדי להסדיר את הנושא של מקום מושב בית הדין הארצי. בעבר היו בשלוש הערים הגדולות בתי דין למשמעת משלהם ובית דין איזורי. הכנסת סברה שזה לא מצב ראוי שעובדי עיריית ירושלים ישפטו את חבריהם שעברו עב</w:t>
      </w:r>
      <w:r>
        <w:rPr>
          <w:rFonts w:cs="David"/>
          <w:sz w:val="24"/>
          <w:szCs w:val="24"/>
          <w:rtl/>
        </w:rPr>
        <w:t>ירות משמעת והחליטו להקים בית דין ארצי. נקבע ביחד עם מרכז השלטון המקומי שמקום מושב בית הדין יהיה בחולון, שם נמצא והוכשר מקום ראוי לכך.</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sz w:val="24"/>
          <w:szCs w:val="24"/>
          <w:rtl/>
        </w:rPr>
        <w:lastRenderedPageBreak/>
        <w:t>התקנות קובעות איך תחולק ההחזקה של בית הדין. ההחזקה תחולק בין כל הרשויות עפ"י מספר העובדים המועסקים ברשות. זה יהיה פר עובד</w:t>
      </w:r>
      <w:r>
        <w:rPr>
          <w:rFonts w:cs="David"/>
          <w:sz w:val="24"/>
          <w:szCs w:val="24"/>
          <w:rtl/>
        </w:rPr>
        <w:t xml:space="preserve">, רשות שיש לה הרבה עובדים תשלם יותר מרשות עם פחות עובדים. </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b/>
          <w:bCs/>
          <w:sz w:val="24"/>
          <w:szCs w:val="24"/>
          <w:u w:val="single"/>
          <w:rtl/>
        </w:rPr>
        <w:t>בני יערי:</w:t>
      </w:r>
      <w:r>
        <w:rPr>
          <w:rFonts w:cs="David"/>
          <w:sz w:val="24"/>
          <w:szCs w:val="24"/>
          <w:rtl/>
        </w:rPr>
        <w:tab/>
        <w:t xml:space="preserve">עד 1 לינואר, לפני ארבעה ימים המצב היה </w:t>
      </w:r>
      <w:r>
        <w:rPr>
          <w:rFonts w:cs="David"/>
          <w:sz w:val="24"/>
          <w:szCs w:val="24"/>
          <w:rtl/>
        </w:rPr>
        <w:br/>
      </w:r>
      <w:r>
        <w:rPr>
          <w:rFonts w:cs="David"/>
          <w:sz w:val="24"/>
          <w:szCs w:val="24"/>
          <w:rtl/>
        </w:rPr>
        <w:tab/>
        <w:t>שהיה לירושלים ת"א וחיפה בית דין נפרד משלהם ולכל שאר הרשויות המקומיות בארץ היה בית דין אחד שנקרא בית דין איזורי ואני הייתי בחמש השנים האחרונות אב ב</w:t>
      </w:r>
      <w:r>
        <w:rPr>
          <w:rFonts w:cs="David"/>
          <w:sz w:val="24"/>
          <w:szCs w:val="24"/>
          <w:rtl/>
        </w:rPr>
        <w:t xml:space="preserve">ית הדין שלו. </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sz w:val="24"/>
          <w:szCs w:val="24"/>
          <w:rtl/>
        </w:rPr>
        <w:t>לפני שנה הכנסת קיבלה חוק, זו היתה הצעת חוק פרטית של יהודית נאות שאומצה ע"י הכנסת, שמתבטלים בתי הדין הנפרדים של ירושלים ת"א וחיפה, כי היה שם מצב בלתי תקין לחלוטין שעובדים של אותה רשות שפטו עובדים מאותה רשות והיו נתונים ללחצים מכל הצדדים, והוח</w:t>
      </w:r>
      <w:r>
        <w:rPr>
          <w:rFonts w:cs="David"/>
          <w:sz w:val="24"/>
          <w:szCs w:val="24"/>
          <w:rtl/>
        </w:rPr>
        <w:t xml:space="preserve">לט להקים בית דין אחד, ארצי, לאחד את כל בתי הדין, כשתחולת החוק מ-1 לינואר. </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sz w:val="24"/>
          <w:szCs w:val="24"/>
          <w:rtl/>
        </w:rPr>
        <w:t>בית הדין האיזורי עבר לפני שנה לחולון לאחר שעיריית חולון הכשירה מבנה מתאים ראוי והולם לבית הדין הזה, כבר אז הצעת החוק לאיחוד בתי הדין התגלגלה באופק  המבנה הוכשר בצורה כזאת שהוא יתאי</w:t>
      </w:r>
      <w:r>
        <w:rPr>
          <w:rFonts w:cs="David"/>
          <w:sz w:val="24"/>
          <w:szCs w:val="24"/>
          <w:rtl/>
        </w:rPr>
        <w:t xml:space="preserve">ם להיות גם בית דין ארצי. חולון נמצאת במקום מרכזי, באים אליה מכל הארץ. נקבע שגם מקום מושבו של בית הדין הארצי יהיה בחולון כי זה המבנה המתאים היחידי שיש היום. </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sz w:val="24"/>
          <w:szCs w:val="24"/>
          <w:rtl/>
        </w:rPr>
        <w:t>יחד עם זה אנחנו רואים לנגד עינינו אפשרות שאם תהיה תביעה של עובד מאיזור הצפון וכל הנפשות הפועלות יה</w:t>
      </w:r>
      <w:r>
        <w:rPr>
          <w:rFonts w:cs="David"/>
          <w:sz w:val="24"/>
          <w:szCs w:val="24"/>
          <w:rtl/>
        </w:rPr>
        <w:t xml:space="preserve">יו מאיזור הצפון, ועיריה מסויימת תיתן לנו לקיום התיק הפלוני הזה מקום מתאים ותיתן לנו את השירותים המתחייבים כדי לקיים דיון בצורה הולמת, לאב בית הדין תהיה סמכות לקבוע שהדיון הפלוני הזה יתקיים באותה רשות מקומית.  </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b/>
          <w:bCs/>
          <w:sz w:val="24"/>
          <w:szCs w:val="24"/>
          <w:u w:val="single"/>
          <w:rtl/>
        </w:rPr>
        <w:t>היו"ר אלי אפללו:</w:t>
      </w:r>
      <w:r>
        <w:rPr>
          <w:rFonts w:cs="David"/>
          <w:sz w:val="24"/>
          <w:szCs w:val="24"/>
          <w:rtl/>
        </w:rPr>
        <w:tab/>
        <w:t>האם במצב שאב בית הדין לא יחל</w:t>
      </w:r>
      <w:r>
        <w:rPr>
          <w:rFonts w:cs="David"/>
          <w:sz w:val="24"/>
          <w:szCs w:val="24"/>
          <w:rtl/>
        </w:rPr>
        <w:t xml:space="preserve">יט אחרת, אנשי </w:t>
      </w:r>
      <w:r>
        <w:rPr>
          <w:rFonts w:cs="David"/>
          <w:sz w:val="24"/>
          <w:szCs w:val="24"/>
          <w:rtl/>
        </w:rPr>
        <w:br/>
      </w:r>
      <w:r>
        <w:rPr>
          <w:rFonts w:cs="David"/>
          <w:sz w:val="24"/>
          <w:szCs w:val="24"/>
          <w:rtl/>
        </w:rPr>
        <w:tab/>
        <w:t>הצפון או הדרום יצטרכו להגיע למרכז? השאלה היא האם אנחנו מתקנים לרעה או לטובה.</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b/>
          <w:bCs/>
          <w:sz w:val="24"/>
          <w:szCs w:val="24"/>
          <w:u w:val="single"/>
          <w:rtl/>
        </w:rPr>
        <w:t>בני יערי:</w:t>
      </w:r>
      <w:r>
        <w:rPr>
          <w:rFonts w:cs="David"/>
          <w:sz w:val="24"/>
          <w:szCs w:val="24"/>
          <w:rtl/>
        </w:rPr>
        <w:tab/>
        <w:t xml:space="preserve">אנחנו מתקנים לטובה. עד עכשיו המצב היה </w:t>
      </w:r>
      <w:r>
        <w:rPr>
          <w:rFonts w:cs="David"/>
          <w:sz w:val="24"/>
          <w:szCs w:val="24"/>
          <w:rtl/>
        </w:rPr>
        <w:br/>
      </w:r>
      <w:r>
        <w:rPr>
          <w:rFonts w:cs="David"/>
          <w:sz w:val="24"/>
          <w:szCs w:val="24"/>
          <w:rtl/>
        </w:rPr>
        <w:tab/>
        <w:t>שבאופן קבוע הגיעו לחולון. אנחנו רוצים להגיע למצב שנבנה שלוחות לבית הדין בעתיד.</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b/>
          <w:bCs/>
          <w:sz w:val="24"/>
          <w:szCs w:val="24"/>
          <w:u w:val="single"/>
          <w:rtl/>
        </w:rPr>
        <w:t>היו"ר אלי אפללו:</w:t>
      </w:r>
      <w:r>
        <w:rPr>
          <w:rFonts w:cs="David"/>
          <w:sz w:val="24"/>
          <w:szCs w:val="24"/>
          <w:rtl/>
        </w:rPr>
        <w:tab/>
        <w:t>האם יש תקנה שקו</w:t>
      </w:r>
      <w:r>
        <w:rPr>
          <w:rFonts w:cs="David"/>
          <w:sz w:val="24"/>
          <w:szCs w:val="24"/>
          <w:rtl/>
        </w:rPr>
        <w:t xml:space="preserve">בעת באיזה מצב אתם הולכים </w:t>
      </w:r>
      <w:r>
        <w:rPr>
          <w:rFonts w:cs="David"/>
          <w:sz w:val="24"/>
          <w:szCs w:val="24"/>
          <w:rtl/>
        </w:rPr>
        <w:br/>
      </w:r>
      <w:r>
        <w:rPr>
          <w:rFonts w:cs="David"/>
          <w:sz w:val="24"/>
          <w:szCs w:val="24"/>
          <w:rtl/>
        </w:rPr>
        <w:tab/>
        <w:t>לפריפריה, מתי אתם הולכים, באיזה כמות של תיקים, או שזה פתוח להחלטה ללא קריטריונים.</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b/>
          <w:bCs/>
          <w:sz w:val="24"/>
          <w:szCs w:val="24"/>
          <w:u w:val="single"/>
          <w:rtl/>
        </w:rPr>
        <w:t>בני יערי:</w:t>
      </w:r>
      <w:r>
        <w:rPr>
          <w:rFonts w:cs="David"/>
          <w:sz w:val="24"/>
          <w:szCs w:val="24"/>
          <w:rtl/>
        </w:rPr>
        <w:tab/>
        <w:t xml:space="preserve">כרגע אין. הרי מזכירות צריכה להיות מזכירות </w:t>
      </w:r>
      <w:r>
        <w:rPr>
          <w:rFonts w:cs="David"/>
          <w:sz w:val="24"/>
          <w:szCs w:val="24"/>
          <w:rtl/>
        </w:rPr>
        <w:br/>
      </w:r>
      <w:r>
        <w:rPr>
          <w:rFonts w:cs="David"/>
          <w:sz w:val="24"/>
          <w:szCs w:val="24"/>
          <w:rtl/>
        </w:rPr>
        <w:tab/>
        <w:t>אחת, אז המזכירות תהיה תמיד בחולון. השאלה היא מתי נקיים דיון במקום אחר. מה שכתוב כאן זה שאב ב</w:t>
      </w:r>
      <w:r>
        <w:rPr>
          <w:rFonts w:cs="David"/>
          <w:sz w:val="24"/>
          <w:szCs w:val="24"/>
          <w:rtl/>
        </w:rPr>
        <w:t xml:space="preserve">ית הדין יהיה רשאי לקבוע כי הדיון בתובענה פלונית תתקיים בתחום רשות מקומית אחרת. זה לא מוגדר. </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b/>
          <w:bCs/>
          <w:sz w:val="24"/>
          <w:szCs w:val="24"/>
          <w:u w:val="single"/>
          <w:rtl/>
        </w:rPr>
        <w:t>מירי פרנקל-שור:</w:t>
      </w:r>
      <w:r>
        <w:rPr>
          <w:rFonts w:cs="David"/>
          <w:sz w:val="24"/>
          <w:szCs w:val="24"/>
          <w:rtl/>
        </w:rPr>
        <w:tab/>
        <w:t>מה ההבדל בין בית דין ארצי לבין דין איזורי?</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b/>
          <w:bCs/>
          <w:sz w:val="24"/>
          <w:szCs w:val="24"/>
          <w:u w:val="single"/>
          <w:rtl/>
        </w:rPr>
        <w:t>בני יערי:</w:t>
      </w:r>
      <w:r>
        <w:rPr>
          <w:rFonts w:cs="David"/>
          <w:sz w:val="24"/>
          <w:szCs w:val="24"/>
          <w:rtl/>
        </w:rPr>
        <w:tab/>
        <w:t xml:space="preserve">אין הבדל, זה אחד. </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b/>
          <w:bCs/>
          <w:sz w:val="24"/>
          <w:szCs w:val="24"/>
          <w:u w:val="single"/>
          <w:rtl/>
        </w:rPr>
        <w:lastRenderedPageBreak/>
        <w:t>מירי פרנקל-שור:</w:t>
      </w:r>
      <w:r>
        <w:rPr>
          <w:rFonts w:cs="David"/>
          <w:sz w:val="24"/>
          <w:szCs w:val="24"/>
          <w:rtl/>
        </w:rPr>
        <w:tab/>
        <w:t xml:space="preserve">ואם אתה פותח בכל מקום איזה שהוא סניף זה </w:t>
      </w:r>
      <w:r>
        <w:rPr>
          <w:rFonts w:cs="David"/>
          <w:sz w:val="24"/>
          <w:szCs w:val="24"/>
          <w:rtl/>
        </w:rPr>
        <w:br/>
      </w:r>
      <w:r>
        <w:rPr>
          <w:rFonts w:cs="David"/>
          <w:sz w:val="24"/>
          <w:szCs w:val="24"/>
          <w:rtl/>
        </w:rPr>
        <w:tab/>
        <w:t>כמו בית דין אי</w:t>
      </w:r>
      <w:r>
        <w:rPr>
          <w:rFonts w:cs="David"/>
          <w:sz w:val="24"/>
          <w:szCs w:val="24"/>
          <w:rtl/>
        </w:rPr>
        <w:t>זורי.</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b/>
          <w:bCs/>
          <w:sz w:val="24"/>
          <w:szCs w:val="24"/>
          <w:u w:val="single"/>
          <w:rtl/>
        </w:rPr>
        <w:t>בני יערי:</w:t>
      </w:r>
      <w:r>
        <w:rPr>
          <w:rFonts w:cs="David"/>
          <w:sz w:val="24"/>
          <w:szCs w:val="24"/>
          <w:rtl/>
        </w:rPr>
        <w:tab/>
        <w:t xml:space="preserve">לא. זה יהיה בית דין שהמזכירות שלו היא אחת. </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b/>
          <w:bCs/>
          <w:sz w:val="24"/>
          <w:szCs w:val="24"/>
          <w:u w:val="single"/>
          <w:rtl/>
        </w:rPr>
        <w:t>מירי פרנקל-שור:</w:t>
      </w:r>
      <w:r>
        <w:rPr>
          <w:rFonts w:cs="David"/>
          <w:sz w:val="24"/>
          <w:szCs w:val="24"/>
          <w:rtl/>
        </w:rPr>
        <w:tab/>
        <w:t>מאילת ישלחו את זה למזכירות בחולון?</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b/>
          <w:bCs/>
          <w:sz w:val="24"/>
          <w:szCs w:val="24"/>
          <w:u w:val="single"/>
          <w:rtl/>
        </w:rPr>
        <w:t>בני יערי:</w:t>
      </w:r>
      <w:r>
        <w:rPr>
          <w:rFonts w:cs="David"/>
          <w:sz w:val="24"/>
          <w:szCs w:val="24"/>
          <w:rtl/>
        </w:rPr>
        <w:tab/>
        <w:t xml:space="preserve">כן. את התובענה ישלחו, גם היום המצב הוא כזה. </w:t>
      </w:r>
      <w:r>
        <w:rPr>
          <w:rFonts w:cs="David"/>
          <w:sz w:val="24"/>
          <w:szCs w:val="24"/>
          <w:rtl/>
        </w:rPr>
        <w:br/>
      </w:r>
      <w:r>
        <w:rPr>
          <w:rFonts w:cs="David"/>
          <w:sz w:val="24"/>
          <w:szCs w:val="24"/>
          <w:rtl/>
        </w:rPr>
        <w:tab/>
        <w:t>התובענה מוגשת תמיד בחולון. השאלה היא אם נוכל להפעיל את בית הדין במקומות אחרים. אם יהיה</w:t>
      </w:r>
      <w:r>
        <w:rPr>
          <w:rFonts w:cs="David"/>
          <w:sz w:val="24"/>
          <w:szCs w:val="24"/>
          <w:rtl/>
        </w:rPr>
        <w:t xml:space="preserve"> תיק של ירושלים, השופטים של ירושלים לא יוכלו לשבת בו, נצטרך למצוא שופטים מעיר אחרת. הנוחיות המשפטית לנפשות הפועלות היא הקריטריון הקובע. אם הנאשם מירושלים והתובע מירושלים וירושלים תיתן לבית הדין אולם לקיום הדיונים ושירותים להם זקוק בית הדין, ותיווצר אפשרות </w:t>
      </w:r>
      <w:r>
        <w:rPr>
          <w:rFonts w:cs="David"/>
          <w:sz w:val="24"/>
          <w:szCs w:val="24"/>
          <w:rtl/>
        </w:rPr>
        <w:t>לקיום הדיון בירושלים, נשמח לעשות זאת.</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b/>
          <w:bCs/>
          <w:sz w:val="24"/>
          <w:szCs w:val="24"/>
          <w:u w:val="single"/>
          <w:rtl/>
        </w:rPr>
        <w:t>היו"ר אלי אפללו:</w:t>
      </w:r>
      <w:r>
        <w:rPr>
          <w:rFonts w:cs="David"/>
          <w:sz w:val="24"/>
          <w:szCs w:val="24"/>
          <w:rtl/>
        </w:rPr>
        <w:tab/>
        <w:t xml:space="preserve">אני חושב שהיה ראוי יותר לקבוע קריטריונים. אני </w:t>
      </w:r>
      <w:r>
        <w:rPr>
          <w:rFonts w:cs="David"/>
          <w:sz w:val="24"/>
          <w:szCs w:val="24"/>
          <w:rtl/>
        </w:rPr>
        <w:br/>
      </w:r>
      <w:r>
        <w:rPr>
          <w:rFonts w:cs="David"/>
          <w:sz w:val="24"/>
          <w:szCs w:val="24"/>
          <w:rtl/>
        </w:rPr>
        <w:tab/>
        <w:t>חושב שדברים צריכים להיות מספיק שקופים וברורים, באיזה מצב כן, באיזה מצב לא, איך עושים את זה. אנחנו מנסים לתקן משהו, הרעיון הוא מצויין ואני מברך על כך, אב</w:t>
      </w:r>
      <w:r>
        <w:rPr>
          <w:rFonts w:cs="David"/>
          <w:sz w:val="24"/>
          <w:szCs w:val="24"/>
          <w:rtl/>
        </w:rPr>
        <w:t xml:space="preserve">ל אני חושב שאנחנו משאירים משהו פתוח ולא ברור. זה תלוי בהחלטות לא ברורות. כמחוקק אני רוצה לדעת קריטריונים. </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b/>
          <w:bCs/>
          <w:sz w:val="24"/>
          <w:szCs w:val="24"/>
          <w:u w:val="single"/>
          <w:rtl/>
        </w:rPr>
        <w:t>בני יערי:</w:t>
      </w:r>
      <w:r>
        <w:rPr>
          <w:rFonts w:cs="David"/>
          <w:sz w:val="24"/>
          <w:szCs w:val="24"/>
          <w:rtl/>
        </w:rPr>
        <w:tab/>
        <w:t>יש כאן הרבה נעלמים.</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b/>
          <w:bCs/>
          <w:sz w:val="24"/>
          <w:szCs w:val="24"/>
          <w:u w:val="single"/>
          <w:rtl/>
        </w:rPr>
        <w:t>היו"ר אלי אפללו:</w:t>
      </w:r>
      <w:r>
        <w:rPr>
          <w:rFonts w:cs="David"/>
          <w:sz w:val="24"/>
          <w:szCs w:val="24"/>
          <w:rtl/>
        </w:rPr>
        <w:tab/>
        <w:t xml:space="preserve">בכל דבר יש נעלמים אבל מתמודדים איתם. אפשר </w:t>
      </w:r>
      <w:r>
        <w:rPr>
          <w:rFonts w:cs="David"/>
          <w:sz w:val="24"/>
          <w:szCs w:val="24"/>
          <w:rtl/>
        </w:rPr>
        <w:br/>
      </w:r>
      <w:r>
        <w:rPr>
          <w:rFonts w:cs="David"/>
          <w:sz w:val="24"/>
          <w:szCs w:val="24"/>
          <w:rtl/>
        </w:rPr>
        <w:tab/>
        <w:t>לקבוע שכמות מסויימת של דיונים או כמות מסויימת של תיקים ש</w:t>
      </w:r>
      <w:r>
        <w:rPr>
          <w:rFonts w:cs="David"/>
          <w:sz w:val="24"/>
          <w:szCs w:val="24"/>
          <w:rtl/>
        </w:rPr>
        <w:t xml:space="preserve">יעשו בצפון או בדרום, אני מבקש שיהיו קריטריונים ותהיה שקיפות. אני חושב שאתם חייבים לתת דוגמה לקריטריונים. </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sz w:val="24"/>
          <w:szCs w:val="24"/>
          <w:rtl/>
        </w:rPr>
        <w:t xml:space="preserve">אנחנו נאשר את זה כך, אבל אני מבקש שתעביר אלינו הצעה לקריטריונים לשקיפות ובהירות. </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sz w:val="24"/>
          <w:szCs w:val="24"/>
          <w:rtl/>
        </w:rPr>
        <w:t>אנחנו נאשר ונקבע שבעוד שלושה חודשים יובאו לפנינו קריטריונים ושקיפו</w:t>
      </w:r>
      <w:r>
        <w:rPr>
          <w:rFonts w:cs="David"/>
          <w:sz w:val="24"/>
          <w:szCs w:val="24"/>
          <w:rtl/>
        </w:rPr>
        <w:t xml:space="preserve">ת שנדע איך פועל בית הדין. </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b/>
          <w:bCs/>
          <w:sz w:val="24"/>
          <w:szCs w:val="24"/>
          <w:u w:val="single"/>
          <w:rtl/>
        </w:rPr>
        <w:t>מרגלית בוטרמן:</w:t>
      </w:r>
      <w:r>
        <w:rPr>
          <w:rFonts w:cs="David"/>
          <w:sz w:val="24"/>
          <w:szCs w:val="24"/>
          <w:rtl/>
        </w:rPr>
        <w:tab/>
        <w:t xml:space="preserve">בדרך כלל בית הדין דן במקום מושבו. בתקנות </w:t>
      </w:r>
      <w:r>
        <w:rPr>
          <w:rFonts w:cs="David"/>
          <w:sz w:val="24"/>
          <w:szCs w:val="24"/>
          <w:rtl/>
        </w:rPr>
        <w:br/>
      </w:r>
      <w:r>
        <w:rPr>
          <w:rFonts w:cs="David"/>
          <w:sz w:val="24"/>
          <w:szCs w:val="24"/>
          <w:rtl/>
        </w:rPr>
        <w:tab/>
        <w:t>אלה הלכנו לקראת הפריפריה ונתנו שיקול לדעת לאב בית הדין. תמיד אפשר לערער על החלטות של אב בית דין וזה יהיה מאוד קשה לקבוע פה קריטריונים, כי אחד הנעלמים שאינם בשליטתנו זה יכ</w:t>
      </w:r>
      <w:r>
        <w:rPr>
          <w:rFonts w:cs="David"/>
          <w:sz w:val="24"/>
          <w:szCs w:val="24"/>
          <w:rtl/>
        </w:rPr>
        <w:t xml:space="preserve">ולת הרשות להעמיד מקום הולם לבית הדין. </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b/>
          <w:bCs/>
          <w:sz w:val="24"/>
          <w:szCs w:val="24"/>
          <w:u w:val="single"/>
          <w:rtl/>
        </w:rPr>
        <w:t>היו"ר אלי אפללו:</w:t>
      </w:r>
      <w:r>
        <w:rPr>
          <w:rFonts w:cs="David"/>
          <w:sz w:val="24"/>
          <w:szCs w:val="24"/>
          <w:rtl/>
        </w:rPr>
        <w:tab/>
        <w:t xml:space="preserve">אני לא מסכים איתך לחלוטין. תכינו קריטריונים </w:t>
      </w:r>
      <w:r>
        <w:rPr>
          <w:rFonts w:cs="David"/>
          <w:sz w:val="24"/>
          <w:szCs w:val="24"/>
          <w:rtl/>
        </w:rPr>
        <w:br/>
      </w:r>
      <w:r>
        <w:rPr>
          <w:rFonts w:cs="David"/>
          <w:sz w:val="24"/>
          <w:szCs w:val="24"/>
          <w:rtl/>
        </w:rPr>
        <w:tab/>
        <w:t>ואם הקריטריונים יקבעו ולא יהיה מותנה בכך שאין מקום, יתבטלו הקריטריונים, אבל קודם כל לקבוע קריטריונים. כל התירוצים האלה שאת מציגה לפני, שזה בגלל שהשלטון ה</w:t>
      </w:r>
      <w:r>
        <w:rPr>
          <w:rFonts w:cs="David"/>
          <w:sz w:val="24"/>
          <w:szCs w:val="24"/>
          <w:rtl/>
        </w:rPr>
        <w:t>מקומי לא יתן בנין הולם, זה יהיה תנאי מותלה, אבל לא להגיד שאין קריטריונים, זה לא שיפוט.</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b/>
          <w:bCs/>
          <w:sz w:val="24"/>
          <w:szCs w:val="24"/>
          <w:u w:val="single"/>
          <w:rtl/>
        </w:rPr>
        <w:t>מרגלית בוטרמן:</w:t>
      </w:r>
      <w:r>
        <w:rPr>
          <w:rFonts w:cs="David"/>
          <w:sz w:val="24"/>
          <w:szCs w:val="24"/>
          <w:rtl/>
        </w:rPr>
        <w:tab/>
        <w:t xml:space="preserve">אפשר לבטל את הסעיף הזה ולהגיד שזה יתקיים </w:t>
      </w:r>
      <w:r>
        <w:rPr>
          <w:rFonts w:cs="David"/>
          <w:sz w:val="24"/>
          <w:szCs w:val="24"/>
          <w:rtl/>
        </w:rPr>
        <w:br/>
      </w:r>
      <w:r>
        <w:rPr>
          <w:rFonts w:cs="David"/>
          <w:sz w:val="24"/>
          <w:szCs w:val="24"/>
          <w:rtl/>
        </w:rPr>
        <w:tab/>
        <w:t>רק בחולון.</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b/>
          <w:bCs/>
          <w:sz w:val="24"/>
          <w:szCs w:val="24"/>
          <w:u w:val="single"/>
          <w:rtl/>
        </w:rPr>
        <w:lastRenderedPageBreak/>
        <w:t>היו"ר אלי אפללו:</w:t>
      </w:r>
      <w:r>
        <w:rPr>
          <w:rFonts w:cs="David"/>
          <w:sz w:val="24"/>
          <w:szCs w:val="24"/>
          <w:rtl/>
        </w:rPr>
        <w:tab/>
        <w:t xml:space="preserve">אם את חושבת כך, אני לא אאשר את זה. את </w:t>
      </w:r>
      <w:r>
        <w:rPr>
          <w:rFonts w:cs="David"/>
          <w:sz w:val="24"/>
          <w:szCs w:val="24"/>
          <w:rtl/>
        </w:rPr>
        <w:br/>
      </w:r>
      <w:r>
        <w:rPr>
          <w:rFonts w:cs="David"/>
          <w:sz w:val="24"/>
          <w:szCs w:val="24"/>
          <w:rtl/>
        </w:rPr>
        <w:tab/>
        <w:t>גורמת לתוצאה הפוכה, את רוצה לעשות הכל במר</w:t>
      </w:r>
      <w:r>
        <w:rPr>
          <w:rFonts w:cs="David"/>
          <w:sz w:val="24"/>
          <w:szCs w:val="24"/>
          <w:rtl/>
        </w:rPr>
        <w:t xml:space="preserve">כז הארץ, הרי הכוונה של הדבר הזה לעזור לפריפריות. </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b/>
          <w:bCs/>
          <w:sz w:val="24"/>
          <w:szCs w:val="24"/>
          <w:u w:val="single"/>
          <w:rtl/>
        </w:rPr>
        <w:t>מרגלית בוטרמן:</w:t>
      </w:r>
      <w:r>
        <w:rPr>
          <w:rFonts w:cs="David"/>
          <w:sz w:val="24"/>
          <w:szCs w:val="24"/>
          <w:rtl/>
        </w:rPr>
        <w:tab/>
        <w:t xml:space="preserve">כך היה עד היום. </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b/>
          <w:bCs/>
          <w:sz w:val="24"/>
          <w:szCs w:val="24"/>
          <w:u w:val="single"/>
          <w:rtl/>
        </w:rPr>
        <w:t>היו"ר אלי אפללו:</w:t>
      </w:r>
      <w:r>
        <w:rPr>
          <w:rFonts w:cs="David"/>
          <w:sz w:val="24"/>
          <w:szCs w:val="24"/>
          <w:rtl/>
        </w:rPr>
        <w:tab/>
        <w:t xml:space="preserve">זה לא היה בסדר עד היום אז צריך להמשיך עם </w:t>
      </w:r>
      <w:r>
        <w:rPr>
          <w:rFonts w:cs="David"/>
          <w:sz w:val="24"/>
          <w:szCs w:val="24"/>
          <w:rtl/>
        </w:rPr>
        <w:br/>
      </w:r>
      <w:r>
        <w:rPr>
          <w:rFonts w:cs="David"/>
          <w:sz w:val="24"/>
          <w:szCs w:val="24"/>
          <w:rtl/>
        </w:rPr>
        <w:tab/>
        <w:t xml:space="preserve">זה? באים לעזור לפריפריות, אנחנו באים לשנות, לתת אפשרות, אז תגידו מה הקריטריונים לקיום הדיונים בפריפריות. </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r>
        <w:rPr>
          <w:rFonts w:cs="David"/>
          <w:sz w:val="24"/>
          <w:szCs w:val="24"/>
          <w:rtl/>
        </w:rPr>
        <w:t>אנחנו</w:t>
      </w:r>
      <w:r>
        <w:rPr>
          <w:rFonts w:cs="David"/>
          <w:sz w:val="24"/>
          <w:szCs w:val="24"/>
          <w:rtl/>
        </w:rPr>
        <w:t xml:space="preserve"> מאשרים פה אחד את ההחלטה ומודיעים שתוך שלושה חודשים יועברו הקריטריונים. אנחנו מאחלים לכם הצלחה. </w:t>
      </w: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p>
    <w:p w:rsidR="00000000" w:rsidRDefault="00593558">
      <w:pPr>
        <w:pStyle w:val="aa"/>
        <w:tabs>
          <w:tab w:val="left" w:pos="2835"/>
        </w:tabs>
        <w:spacing w:after="0"/>
        <w:jc w:val="both"/>
        <w:rPr>
          <w:rFonts w:cs="David"/>
          <w:sz w:val="24"/>
          <w:szCs w:val="24"/>
          <w:rtl/>
        </w:rPr>
      </w:pPr>
    </w:p>
    <w:p w:rsidR="00000000" w:rsidRDefault="00593558">
      <w:pPr>
        <w:pStyle w:val="10"/>
        <w:rPr>
          <w:rFonts w:cs="David"/>
          <w:rtl/>
        </w:rPr>
      </w:pPr>
      <w:r>
        <w:rPr>
          <w:rFonts w:cs="David"/>
          <w:rtl/>
        </w:rPr>
        <w:t>הישיבה ננעלה בשעה 09:50</w:t>
      </w:r>
    </w:p>
    <w:p w:rsidR="00000000" w:rsidRDefault="00593558">
      <w:pPr>
        <w:jc w:val="right"/>
        <w:rPr>
          <w:rFonts w:cs="Times New Roman"/>
          <w:rtl/>
        </w:rPr>
      </w:pPr>
    </w:p>
    <w:p w:rsidR="00000000" w:rsidRDefault="00593558">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3558">
      <w:r>
        <w:separator/>
      </w:r>
    </w:p>
  </w:endnote>
  <w:endnote w:type="continuationSeparator" w:id="0">
    <w:p w:rsidR="00000000" w:rsidRDefault="00593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3558">
    <w:pPr>
      <w:pStyle w:val="a7"/>
      <w:rPr>
        <w:rFonts w:cs="Times New Roman"/>
        <w:rtl/>
      </w:rPr>
    </w:pPr>
  </w:p>
  <w:p w:rsidR="00000000" w:rsidRDefault="00593558">
    <w:pPr>
      <w:pStyle w:val="a7"/>
      <w:rPr>
        <w:rFonts w:cs="Times New Roman"/>
        <w:rtl/>
      </w:rPr>
    </w:pPr>
  </w:p>
  <w:p w:rsidR="00000000" w:rsidRDefault="00593558">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3558">
    <w:pPr>
      <w:pStyle w:val="a7"/>
      <w:rPr>
        <w:rFonts w:cs="Times New Roman"/>
        <w:rtl/>
      </w:rPr>
    </w:pPr>
  </w:p>
  <w:p w:rsidR="00000000" w:rsidRDefault="00593558">
    <w:pPr>
      <w:pStyle w:val="a7"/>
      <w:rPr>
        <w:rFonts w:cs="Times New Roman"/>
        <w:rtl/>
      </w:rPr>
    </w:pPr>
  </w:p>
  <w:p w:rsidR="00000000" w:rsidRDefault="00593558">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3558">
      <w:r>
        <w:separator/>
      </w:r>
    </w:p>
  </w:footnote>
  <w:footnote w:type="continuationSeparator" w:id="0">
    <w:p w:rsidR="00000000" w:rsidRDefault="005935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3558">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593558">
    <w:pPr>
      <w:pStyle w:val="a5"/>
      <w:jc w:val="left"/>
      <w:rPr>
        <w:rFonts w:cs="Times New Roman"/>
        <w:b/>
        <w:bCs/>
        <w:u w:val="single"/>
        <w:rtl/>
      </w:rPr>
    </w:pPr>
    <w:r>
      <w:rPr>
        <w:rFonts w:cs="Times New Roman"/>
        <w:b/>
        <w:bCs/>
        <w:u w:val="single"/>
        <w:rtl/>
      </w:rPr>
      <w:t>ועדת הפנים ואיכות הסביבה - 5.1.2004</w:t>
    </w:r>
  </w:p>
  <w:p w:rsidR="00000000" w:rsidRDefault="00593558">
    <w:pPr>
      <w:pStyle w:val="a5"/>
      <w:rPr>
        <w:rFonts w:cs="Times New Roman"/>
        <w:rtl/>
      </w:rPr>
    </w:pPr>
  </w:p>
  <w:p w:rsidR="00000000" w:rsidRDefault="00593558">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3558">
    <w:pPr>
      <w:pStyle w:val="a5"/>
      <w:rPr>
        <w:rFonts w:cs="Times New Roman"/>
        <w:rtl/>
      </w:rPr>
    </w:pPr>
  </w:p>
  <w:p w:rsidR="00000000" w:rsidRDefault="00593558">
    <w:pPr>
      <w:pStyle w:val="a5"/>
      <w:rPr>
        <w:rFonts w:cs="Times New Roman"/>
        <w:rtl/>
      </w:rPr>
    </w:pPr>
  </w:p>
  <w:p w:rsidR="00000000" w:rsidRDefault="00593558">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720000457CE430FA75D61193D90002A5F0CF89000000140AE30000"/>
  </w:docVars>
  <w:rsids>
    <w:rsidRoot w:val="00593558"/>
    <w:rsid w:val="005935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445608-BC07-44E2-8FBB-A05263DDE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1384A4-3127-4B2C-AEE9-35F2B38C917E}"/>
</file>

<file path=customXml/itemProps2.xml><?xml version="1.0" encoding="utf-8"?>
<ds:datastoreItem xmlns:ds="http://schemas.openxmlformats.org/officeDocument/2006/customXml" ds:itemID="{512DD628-BBAF-4A6F-A3A0-0A8DE1F754A7}"/>
</file>

<file path=customXml/itemProps3.xml><?xml version="1.0" encoding="utf-8"?>
<ds:datastoreItem xmlns:ds="http://schemas.openxmlformats.org/officeDocument/2006/customXml" ds:itemID="{57529A32-EA78-4D87-9C38-120E09D17C36}"/>
</file>

<file path=docProps/app.xml><?xml version="1.0" encoding="utf-8"?>
<Properties xmlns="http://schemas.openxmlformats.org/officeDocument/2006/extended-properties" xmlns:vt="http://schemas.openxmlformats.org/officeDocument/2006/docPropsVTypes">
  <Template>Normal</Template>
  <TotalTime>0</TotalTime>
  <Pages>5</Pages>
  <Words>1145</Words>
  <Characters>5726</Characters>
  <Application>Microsoft Office Word</Application>
  <DocSecurity>0</DocSecurity>
  <Lines>47</Lines>
  <Paragraphs>13</Paragraphs>
  <ScaleCrop>false</ScaleCrop>
  <Company>knesset</Company>
  <LinksUpToDate>false</LinksUpToDate>
  <CharactersWithSpaces>6858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הפנים/7872</dc:title>
  <dc:subject>פנים 5.1.04א</dc:subject>
  <dc:creator>חבר</dc:creator>
  <cp:keywords/>
  <dc:description/>
  <cp:lastModifiedBy>רינה דבורה קדרון</cp:lastModifiedBy>
  <cp:revision>2</cp:revision>
  <dcterms:created xsi:type="dcterms:W3CDTF">2017-04-19T07:37:00Z</dcterms:created>
  <dcterms:modified xsi:type="dcterms:W3CDTF">2017-04-19T07:37:00Z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65967</vt:r8>
  </property>
</Properties>
</file>