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2920">
      <w:pPr>
        <w:jc w:val="right"/>
        <w:rPr>
          <w:rFonts w:cs="David"/>
          <w:rtl/>
        </w:rPr>
      </w:pPr>
      <w:bookmarkStart w:id="0" w:name="_GoBack"/>
      <w:bookmarkEnd w:id="0"/>
      <w:r>
        <w:rPr>
          <w:rFonts w:cs="David"/>
          <w:rtl/>
        </w:rPr>
        <w:t>פרוטוקולים/כלכלה/780</w:t>
      </w:r>
    </w:p>
    <w:p w:rsidR="00000000" w:rsidRDefault="00D82920">
      <w:pPr>
        <w:jc w:val="right"/>
        <w:rPr>
          <w:rFonts w:cs="David"/>
          <w:rtl/>
        </w:rPr>
      </w:pPr>
      <w:r>
        <w:rPr>
          <w:rFonts w:cs="David"/>
          <w:rtl/>
        </w:rPr>
        <w:tab/>
        <w:t>ירושלים, ח' בתמוז, תש"ס</w:t>
      </w:r>
    </w:p>
    <w:p w:rsidR="00000000" w:rsidRDefault="00D82920">
      <w:pPr>
        <w:jc w:val="right"/>
        <w:rPr>
          <w:rFonts w:cs="David"/>
          <w:rtl/>
          <w:lang w:val="es"/>
        </w:rPr>
      </w:pPr>
      <w:r>
        <w:rPr>
          <w:rFonts w:cs="David"/>
          <w:rtl/>
          <w:lang w:val="es"/>
        </w:rPr>
        <w:t>11 ביולי, 2000</w:t>
      </w:r>
    </w:p>
    <w:p w:rsidR="00000000" w:rsidRDefault="00D82920">
      <w:pPr>
        <w:jc w:val="right"/>
        <w:rPr>
          <w:rFonts w:cs="David"/>
          <w:rtl/>
        </w:rPr>
      </w:pPr>
    </w:p>
    <w:p w:rsidR="00000000" w:rsidRDefault="00D82920">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82920">
      <w:pPr>
        <w:rPr>
          <w:rFonts w:cs="David"/>
          <w:rtl/>
        </w:rPr>
      </w:pPr>
      <w:r>
        <w:rPr>
          <w:rFonts w:cs="David"/>
          <w:rtl/>
        </w:rPr>
        <w:t>מושב שני</w:t>
      </w:r>
    </w:p>
    <w:p w:rsidR="00000000" w:rsidRDefault="00D82920">
      <w:pPr>
        <w:rPr>
          <w:rFonts w:cs="David"/>
          <w:rtl/>
        </w:rPr>
      </w:pPr>
    </w:p>
    <w:p w:rsidR="00000000" w:rsidRDefault="00D82920">
      <w:pPr>
        <w:rPr>
          <w:rFonts w:cs="David"/>
          <w:rtl/>
        </w:rPr>
      </w:pPr>
    </w:p>
    <w:p w:rsidR="00000000" w:rsidRDefault="00D82920">
      <w:pPr>
        <w:jc w:val="center"/>
        <w:rPr>
          <w:rFonts w:cs="David"/>
          <w:rtl/>
        </w:rPr>
      </w:pPr>
      <w:r>
        <w:rPr>
          <w:rFonts w:cs="David"/>
          <w:rtl/>
        </w:rPr>
        <w:t>פרוטוקול מס' 152</w:t>
      </w:r>
    </w:p>
    <w:p w:rsidR="00000000" w:rsidRDefault="00D82920">
      <w:pPr>
        <w:jc w:val="center"/>
        <w:rPr>
          <w:rFonts w:cs="David"/>
          <w:rtl/>
        </w:rPr>
      </w:pPr>
      <w:r>
        <w:rPr>
          <w:rFonts w:cs="David"/>
          <w:rtl/>
        </w:rPr>
        <w:t>מישיבת ועדת הכלכלה</w:t>
      </w:r>
    </w:p>
    <w:p w:rsidR="00000000" w:rsidRDefault="00D82920">
      <w:pPr>
        <w:pStyle w:val="1"/>
        <w:rPr>
          <w:rFonts w:cs="David"/>
          <w:rtl/>
        </w:rPr>
      </w:pPr>
      <w:r>
        <w:rPr>
          <w:rFonts w:cs="David"/>
          <w:rtl/>
        </w:rPr>
        <w:t>יום רביעי, ב' בתמוז התש"ס (5 ביולי 2000), שעה 10:45</w:t>
      </w:r>
    </w:p>
    <w:p w:rsidR="00000000" w:rsidRDefault="00D82920">
      <w:pPr>
        <w:jc w:val="center"/>
        <w:rPr>
          <w:rFonts w:cs="David"/>
          <w:u w:val="single"/>
          <w:rtl/>
        </w:rPr>
      </w:pPr>
    </w:p>
    <w:p w:rsidR="00000000" w:rsidRDefault="00D82920">
      <w:pPr>
        <w:jc w:val="both"/>
        <w:rPr>
          <w:rFonts w:cs="David"/>
          <w:u w:val="single"/>
          <w:rtl/>
        </w:rPr>
      </w:pPr>
      <w:r>
        <w:rPr>
          <w:rFonts w:cs="David"/>
          <w:u w:val="single"/>
          <w:rtl/>
        </w:rPr>
        <w:t>נכחו:</w:t>
      </w:r>
    </w:p>
    <w:p w:rsidR="00000000" w:rsidRDefault="00D82920">
      <w:pPr>
        <w:jc w:val="both"/>
        <w:rPr>
          <w:rFonts w:cs="David"/>
          <w:u w:val="single"/>
          <w:rtl/>
        </w:rPr>
      </w:pPr>
    </w:p>
    <w:p w:rsidR="00000000" w:rsidRDefault="00D82920">
      <w:pPr>
        <w:jc w:val="both"/>
        <w:rPr>
          <w:rFonts w:cs="David"/>
          <w:rtl/>
        </w:rPr>
      </w:pPr>
      <w:r>
        <w:rPr>
          <w:rFonts w:cs="David"/>
          <w:u w:val="single"/>
          <w:rtl/>
        </w:rPr>
        <w:t>חברי הוועדה:</w:t>
      </w:r>
      <w:r>
        <w:rPr>
          <w:rFonts w:cs="David"/>
          <w:rtl/>
        </w:rPr>
        <w:t xml:space="preserve"> אברהם פורז-היו"ר</w:t>
      </w:r>
    </w:p>
    <w:p w:rsidR="00000000" w:rsidRDefault="00D82920">
      <w:pPr>
        <w:jc w:val="both"/>
        <w:rPr>
          <w:rFonts w:cs="David"/>
          <w:rtl/>
        </w:rPr>
      </w:pPr>
      <w:r>
        <w:rPr>
          <w:rFonts w:cs="David"/>
          <w:rtl/>
        </w:rPr>
        <w:t xml:space="preserve">                        יצחק גאגולה</w:t>
      </w:r>
    </w:p>
    <w:p w:rsidR="00000000" w:rsidRDefault="00D82920">
      <w:pPr>
        <w:jc w:val="both"/>
        <w:rPr>
          <w:rFonts w:cs="David"/>
          <w:rtl/>
        </w:rPr>
      </w:pPr>
      <w:r>
        <w:rPr>
          <w:rFonts w:cs="David"/>
          <w:rtl/>
        </w:rPr>
        <w:t xml:space="preserve">                        מוסי רז</w:t>
      </w:r>
    </w:p>
    <w:p w:rsidR="00000000" w:rsidRDefault="00D82920">
      <w:pPr>
        <w:jc w:val="both"/>
        <w:rPr>
          <w:rFonts w:cs="David"/>
          <w:rtl/>
        </w:rPr>
      </w:pPr>
      <w:r>
        <w:rPr>
          <w:rFonts w:cs="David"/>
          <w:rtl/>
        </w:rPr>
        <w:t xml:space="preserve">                        שלום שמחון</w:t>
      </w:r>
    </w:p>
    <w:p w:rsidR="00000000" w:rsidRDefault="00D82920">
      <w:pPr>
        <w:jc w:val="both"/>
        <w:rPr>
          <w:rFonts w:cs="David"/>
          <w:rtl/>
        </w:rPr>
      </w:pPr>
    </w:p>
    <w:p w:rsidR="00000000" w:rsidRDefault="00D82920">
      <w:pPr>
        <w:jc w:val="both"/>
        <w:rPr>
          <w:rFonts w:cs="David"/>
          <w:rtl/>
        </w:rPr>
      </w:pPr>
      <w:r>
        <w:rPr>
          <w:rFonts w:cs="David"/>
          <w:rtl/>
        </w:rPr>
        <w:t xml:space="preserve">                        אופיר פינס-פז</w:t>
      </w:r>
    </w:p>
    <w:p w:rsidR="00000000" w:rsidRDefault="00D82920">
      <w:pPr>
        <w:jc w:val="both"/>
        <w:rPr>
          <w:rFonts w:cs="David"/>
          <w:rtl/>
        </w:rPr>
      </w:pPr>
    </w:p>
    <w:p w:rsidR="00000000" w:rsidRDefault="00D82920">
      <w:pPr>
        <w:jc w:val="both"/>
        <w:rPr>
          <w:rFonts w:cs="David"/>
          <w:rtl/>
        </w:rPr>
      </w:pPr>
      <w:r>
        <w:rPr>
          <w:rFonts w:cs="David"/>
          <w:u w:val="single"/>
          <w:rtl/>
        </w:rPr>
        <w:t>מוזמנים:</w:t>
      </w:r>
      <w:r>
        <w:rPr>
          <w:rFonts w:cs="David"/>
          <w:rtl/>
        </w:rPr>
        <w:t xml:space="preserve">         גיתית שריקי, עו"ד                        לשכה משפטית, משרד התמ"ס</w:t>
      </w:r>
    </w:p>
    <w:p w:rsidR="00000000" w:rsidRDefault="00D82920">
      <w:pPr>
        <w:jc w:val="both"/>
        <w:rPr>
          <w:rFonts w:cs="David"/>
          <w:rtl/>
        </w:rPr>
      </w:pPr>
      <w:r>
        <w:rPr>
          <w:rFonts w:cs="David"/>
          <w:rtl/>
        </w:rPr>
        <w:t xml:space="preserve">                         חנה מרגליות                                 משרד התמ"ס</w:t>
      </w:r>
    </w:p>
    <w:p w:rsidR="00000000" w:rsidRDefault="00D82920">
      <w:pPr>
        <w:jc w:val="both"/>
        <w:rPr>
          <w:rFonts w:cs="David"/>
          <w:rtl/>
        </w:rPr>
      </w:pPr>
      <w:r>
        <w:rPr>
          <w:rFonts w:cs="David"/>
          <w:rtl/>
        </w:rPr>
        <w:t xml:space="preserve">                   </w:t>
      </w:r>
      <w:r>
        <w:rPr>
          <w:rFonts w:cs="David"/>
          <w:rtl/>
        </w:rPr>
        <w:t xml:space="preserve">      אילה קנדל                                    המשרד לאיכות הסביבה</w:t>
      </w: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r>
        <w:rPr>
          <w:rFonts w:cs="David"/>
          <w:u w:val="single"/>
          <w:rtl/>
        </w:rPr>
        <w:t>יועצת משפטית:</w:t>
      </w:r>
      <w:r>
        <w:rPr>
          <w:rFonts w:cs="David"/>
          <w:rtl/>
        </w:rPr>
        <w:t xml:space="preserve"> אתי בנדלר</w:t>
      </w:r>
    </w:p>
    <w:p w:rsidR="00000000" w:rsidRDefault="00D82920">
      <w:pPr>
        <w:jc w:val="both"/>
        <w:rPr>
          <w:rFonts w:cs="David"/>
          <w:rtl/>
        </w:rPr>
      </w:pPr>
    </w:p>
    <w:p w:rsidR="00000000" w:rsidRDefault="00D82920">
      <w:pPr>
        <w:jc w:val="both"/>
        <w:rPr>
          <w:rFonts w:cs="David"/>
          <w:rtl/>
        </w:rPr>
      </w:pPr>
      <w:r>
        <w:rPr>
          <w:rFonts w:cs="David"/>
          <w:u w:val="single"/>
          <w:rtl/>
        </w:rPr>
        <w:t>מנהלת הוועדה:</w:t>
      </w:r>
      <w:r>
        <w:rPr>
          <w:rFonts w:cs="David"/>
          <w:rtl/>
        </w:rPr>
        <w:t xml:space="preserve"> לאה ורון</w:t>
      </w:r>
    </w:p>
    <w:p w:rsidR="00000000" w:rsidRDefault="00D82920">
      <w:pPr>
        <w:jc w:val="both"/>
        <w:rPr>
          <w:rFonts w:cs="David"/>
          <w:rtl/>
        </w:rPr>
      </w:pPr>
    </w:p>
    <w:p w:rsidR="00000000" w:rsidRDefault="00D82920">
      <w:pPr>
        <w:jc w:val="both"/>
        <w:rPr>
          <w:rFonts w:cs="David"/>
          <w:rtl/>
        </w:rPr>
      </w:pPr>
      <w:r>
        <w:rPr>
          <w:rFonts w:cs="David"/>
          <w:u w:val="single"/>
          <w:rtl/>
        </w:rPr>
        <w:t>קצרנית:</w:t>
      </w:r>
      <w:r>
        <w:rPr>
          <w:rFonts w:cs="David"/>
          <w:rtl/>
        </w:rPr>
        <w:t xml:space="preserve"> יפעת שפרכר</w:t>
      </w:r>
    </w:p>
    <w:p w:rsidR="00000000" w:rsidRDefault="00D82920">
      <w:pPr>
        <w:jc w:val="both"/>
        <w:rPr>
          <w:rFonts w:cs="David"/>
          <w:rtl/>
        </w:rPr>
      </w:pPr>
    </w:p>
    <w:p w:rsidR="00000000" w:rsidRDefault="00D82920">
      <w:pPr>
        <w:jc w:val="both"/>
        <w:rPr>
          <w:rFonts w:cs="David"/>
          <w:rtl/>
        </w:rPr>
      </w:pPr>
      <w:r>
        <w:rPr>
          <w:rFonts w:cs="David"/>
          <w:u w:val="single"/>
          <w:rtl/>
        </w:rPr>
        <w:t>נושא:</w:t>
      </w:r>
      <w:r>
        <w:rPr>
          <w:rFonts w:cs="David"/>
          <w:rtl/>
        </w:rPr>
        <w:t xml:space="preserve"> הצעת חוק חובת פרסום אזהרה בדבר סכנת קרינה של טלפון נייד, התשנ"ט-1999.</w:t>
      </w: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center"/>
        <w:rPr>
          <w:rFonts w:cs="David"/>
          <w:u w:val="single"/>
          <w:rtl/>
        </w:rPr>
      </w:pPr>
      <w:r>
        <w:rPr>
          <w:rFonts w:cs="David"/>
          <w:u w:val="single"/>
          <w:rtl/>
        </w:rPr>
        <w:lastRenderedPageBreak/>
        <w:t>הצעת חוק חובת</w:t>
      </w:r>
      <w:r>
        <w:rPr>
          <w:rFonts w:cs="David"/>
          <w:u w:val="single"/>
          <w:rtl/>
        </w:rPr>
        <w:t xml:space="preserve"> פרסום אזהרה בדבר סכנת קרינה של טלפון נייד.</w:t>
      </w: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רבותי, אנחנו חוזרים להצעת החוק של חבר הכנסת אופיר פינס-פז בנושא קרינה שנדונה אתמול. הסיכום ביני ובין חבר הכנסת פינס-פז היה שנעשה תיקון לחוק הגנת הצרכן, שייקרא "פירסום מידע בדבר קרינה ממכשירי</w:t>
      </w:r>
      <w:r>
        <w:rPr>
          <w:rFonts w:cs="David"/>
          <w:rtl/>
        </w:rPr>
        <w:t>ם פולטי קרינה". "השר, באישור ועדת הכלכלה, יקבע דרכים למתן מידע הקשור לקרינה הנפלטת ממכשירים פולטי קרינה שיקבע, לרבות מידע בדבר רמת הקרינה המותרת ומידע נוסף כפי שיקבע, וכן דרכים למתן המידע, בין בדרך של סימון על גבי המכשיר פולט הקרינה ובין במצורף אליו: בתקנו</w:t>
      </w:r>
      <w:r>
        <w:rPr>
          <w:rFonts w:cs="David"/>
          <w:rtl/>
        </w:rPr>
        <w:t>ת לפי סעיף קטן זה יכול שייקבעו הוראות שונות לגבי סוגים שונים של מכשירים פולטי קרינה." אנחנו גם רוצים לחייב את השר להביא את התקנות האלה תוך שלושה חודשים.</w:t>
      </w:r>
    </w:p>
    <w:p w:rsidR="00000000" w:rsidRDefault="00D82920">
      <w:pPr>
        <w:jc w:val="both"/>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p>
    <w:p w:rsidR="00000000" w:rsidRDefault="00D82920">
      <w:pPr>
        <w:jc w:val="both"/>
        <w:rPr>
          <w:rFonts w:cs="David"/>
          <w:rtl/>
        </w:rPr>
      </w:pPr>
      <w:r>
        <w:rPr>
          <w:rFonts w:cs="David"/>
          <w:rtl/>
        </w:rPr>
        <w:tab/>
        <w:t>תקנות רק לעניין מכשירי טלפון נייד.</w:t>
      </w:r>
    </w:p>
    <w:p w:rsidR="00000000" w:rsidRDefault="00D82920">
      <w:pPr>
        <w:jc w:val="both"/>
        <w:rPr>
          <w:rFonts w:cs="David"/>
          <w:rtl/>
        </w:rPr>
      </w:pPr>
    </w:p>
    <w:p w:rsidR="00000000" w:rsidRDefault="00D82920">
      <w:pPr>
        <w:jc w:val="both"/>
        <w:rPr>
          <w:rFonts w:cs="David"/>
          <w:u w:val="single"/>
          <w:rtl/>
        </w:rPr>
      </w:pPr>
      <w:r>
        <w:rPr>
          <w:rFonts w:cs="David"/>
          <w:u w:val="single"/>
          <w:rtl/>
        </w:rPr>
        <w:t>אופיר פינס-פז:</w:t>
      </w:r>
    </w:p>
    <w:p w:rsidR="00000000" w:rsidRDefault="00D82920">
      <w:pPr>
        <w:jc w:val="both"/>
        <w:rPr>
          <w:rFonts w:cs="David"/>
          <w:rtl/>
        </w:rPr>
      </w:pPr>
    </w:p>
    <w:p w:rsidR="00000000" w:rsidRDefault="00D82920">
      <w:pPr>
        <w:jc w:val="both"/>
        <w:rPr>
          <w:rFonts w:cs="David"/>
          <w:rtl/>
        </w:rPr>
      </w:pPr>
      <w:r>
        <w:rPr>
          <w:rFonts w:cs="David"/>
          <w:rtl/>
        </w:rPr>
        <w:tab/>
        <w:t>לפחות.</w:t>
      </w:r>
    </w:p>
    <w:p w:rsidR="00000000" w:rsidRDefault="00D82920">
      <w:pPr>
        <w:jc w:val="both"/>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p>
    <w:p w:rsidR="00000000" w:rsidRDefault="00D82920">
      <w:pPr>
        <w:jc w:val="both"/>
        <w:rPr>
          <w:rFonts w:cs="David"/>
          <w:rtl/>
        </w:rPr>
      </w:pPr>
      <w:r>
        <w:rPr>
          <w:rFonts w:cs="David"/>
          <w:rtl/>
        </w:rPr>
        <w:tab/>
        <w:t xml:space="preserve">בנושא הזה מוצע </w:t>
      </w:r>
      <w:r>
        <w:rPr>
          <w:rFonts w:cs="David"/>
          <w:rtl/>
        </w:rPr>
        <w:t>להגביל את השר להביא את התקנות תוך שלושה חודשים.</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אני חושב שבעיית הקרינה היא בעיה לא רק של המכשיר הסלולרי, כי אם יש לך טלפון אלחוטי רגיל גם הוא פולט קרינה. אנחנו לא רוצים ליצור איזו פאניקה ציבורית מיותרת, שכל מי שמחזיק טלפון סלולרי ביד י</w:t>
      </w:r>
      <w:r>
        <w:rPr>
          <w:rFonts w:cs="David"/>
          <w:rtl/>
        </w:rPr>
        <w:t>חשוב שהוא מחזיק חומר מסרטן. מאחר שגם האינפורמציה לא ברורה, אנחנו משאירים את זה לתקנות שיתקין השר. זה יאפשר לשר לעשות בחינה מאוד מדוקדקת של הבעיה ולקבוע את היקף הפירסום, הכל בפיקוח שלנו. צריך להבין שאנחנו מדברים על חוק שעובר לקריאה ראשונה, כך שאחרי קריאה רא</w:t>
      </w:r>
      <w:r>
        <w:rPr>
          <w:rFonts w:cs="David"/>
          <w:rtl/>
        </w:rPr>
        <w:t>שונה עוד נוכל לשפר אותו ככל שיהיה צורך.</w:t>
      </w:r>
    </w:p>
    <w:p w:rsidR="00000000" w:rsidRDefault="00D82920">
      <w:pPr>
        <w:jc w:val="both"/>
        <w:rPr>
          <w:rFonts w:cs="David"/>
          <w:rtl/>
        </w:rPr>
      </w:pPr>
    </w:p>
    <w:p w:rsidR="00000000" w:rsidRDefault="00D82920">
      <w:pPr>
        <w:jc w:val="both"/>
        <w:rPr>
          <w:rFonts w:cs="David"/>
          <w:u w:val="single"/>
          <w:rtl/>
        </w:rPr>
      </w:pPr>
      <w:r>
        <w:rPr>
          <w:rFonts w:cs="David"/>
          <w:u w:val="single"/>
          <w:rtl/>
        </w:rPr>
        <w:t>יצחק גאגולה:</w:t>
      </w:r>
    </w:p>
    <w:p w:rsidR="00000000" w:rsidRDefault="00D82920">
      <w:pPr>
        <w:jc w:val="both"/>
        <w:rPr>
          <w:rFonts w:cs="David"/>
          <w:rtl/>
        </w:rPr>
      </w:pPr>
    </w:p>
    <w:p w:rsidR="00000000" w:rsidRDefault="00D82920">
      <w:pPr>
        <w:jc w:val="both"/>
        <w:rPr>
          <w:rFonts w:cs="David"/>
          <w:rtl/>
        </w:rPr>
      </w:pPr>
      <w:r>
        <w:rPr>
          <w:rFonts w:cs="David"/>
          <w:rtl/>
        </w:rPr>
        <w:tab/>
        <w:t>הנושא הזה של הפלאפונים עוד לא נבדק באופן יסודי, יש רק השערות. למה צריך לשים את האזהרה?</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כרגע עוד לא קבענו מה נוסח האזהרה.</w:t>
      </w:r>
    </w:p>
    <w:p w:rsidR="00000000" w:rsidRDefault="00D82920">
      <w:pPr>
        <w:jc w:val="both"/>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p>
    <w:p w:rsidR="00000000" w:rsidRDefault="00D82920">
      <w:pPr>
        <w:jc w:val="both"/>
        <w:rPr>
          <w:rFonts w:cs="David"/>
          <w:rtl/>
        </w:rPr>
      </w:pPr>
      <w:r>
        <w:rPr>
          <w:rFonts w:cs="David"/>
          <w:rtl/>
        </w:rPr>
        <w:tab/>
        <w:t>אין בכלל אזהרה. מדובר כאן רק על מתן מידע.</w:t>
      </w:r>
    </w:p>
    <w:p w:rsidR="00000000" w:rsidRDefault="00D82920">
      <w:pPr>
        <w:jc w:val="both"/>
        <w:rPr>
          <w:rFonts w:cs="David"/>
          <w:rtl/>
        </w:rPr>
      </w:pPr>
    </w:p>
    <w:p w:rsidR="00000000" w:rsidRDefault="00D82920">
      <w:pPr>
        <w:jc w:val="both"/>
        <w:rPr>
          <w:rFonts w:cs="David"/>
          <w:u w:val="single"/>
          <w:rtl/>
        </w:rPr>
      </w:pPr>
      <w:r>
        <w:rPr>
          <w:rFonts w:cs="David"/>
          <w:u w:val="single"/>
          <w:rtl/>
        </w:rPr>
        <w:t>ה</w:t>
      </w:r>
      <w:r>
        <w:rPr>
          <w:rFonts w:cs="David"/>
          <w:u w:val="single"/>
          <w:rtl/>
        </w:rPr>
        <w:t>יו"ר אברהם פורז:</w:t>
      </w:r>
    </w:p>
    <w:p w:rsidR="00000000" w:rsidRDefault="00D82920">
      <w:pPr>
        <w:jc w:val="both"/>
        <w:rPr>
          <w:rFonts w:cs="David"/>
          <w:rtl/>
        </w:rPr>
      </w:pPr>
    </w:p>
    <w:p w:rsidR="00000000" w:rsidRDefault="00D82920">
      <w:pPr>
        <w:jc w:val="both"/>
        <w:rPr>
          <w:rFonts w:cs="David"/>
          <w:rtl/>
        </w:rPr>
      </w:pPr>
      <w:r>
        <w:rPr>
          <w:rFonts w:cs="David"/>
          <w:rtl/>
        </w:rPr>
        <w:tab/>
        <w:t>אני חושב שמותר לאזרח לדעת שמכשיר זה וזה פולט קרינה. זה כמו שאתה רוצה לדעת כמה סוכר יש ביוגורט וכמה שומן.</w:t>
      </w:r>
    </w:p>
    <w:p w:rsidR="00000000" w:rsidRDefault="00D82920">
      <w:pPr>
        <w:jc w:val="both"/>
        <w:rPr>
          <w:rFonts w:cs="David"/>
          <w:rtl/>
        </w:rPr>
      </w:pPr>
    </w:p>
    <w:p w:rsidR="00000000" w:rsidRDefault="00D82920">
      <w:pPr>
        <w:jc w:val="both"/>
        <w:rPr>
          <w:rFonts w:cs="David"/>
          <w:u w:val="single"/>
          <w:rtl/>
        </w:rPr>
      </w:pPr>
      <w:r>
        <w:rPr>
          <w:rFonts w:cs="David"/>
          <w:u w:val="single"/>
          <w:rtl/>
        </w:rPr>
        <w:t>יצחק גאגולה:</w:t>
      </w:r>
    </w:p>
    <w:p w:rsidR="00000000" w:rsidRDefault="00D82920">
      <w:pPr>
        <w:jc w:val="both"/>
        <w:rPr>
          <w:rFonts w:cs="David"/>
          <w:rtl/>
        </w:rPr>
      </w:pPr>
    </w:p>
    <w:p w:rsidR="00000000" w:rsidRDefault="00D82920">
      <w:pPr>
        <w:jc w:val="both"/>
        <w:rPr>
          <w:rFonts w:cs="David"/>
          <w:rtl/>
        </w:rPr>
      </w:pPr>
      <w:r>
        <w:rPr>
          <w:rFonts w:cs="David"/>
          <w:rtl/>
        </w:rPr>
        <w:tab/>
        <w:t>למה דווקא בפלאפונים?</w:t>
      </w:r>
    </w:p>
    <w:p w:rsidR="00000000" w:rsidRDefault="00D82920">
      <w:pPr>
        <w:jc w:val="both"/>
        <w:rPr>
          <w:rFonts w:cs="David"/>
          <w:rtl/>
        </w:rPr>
      </w:pPr>
    </w:p>
    <w:p w:rsidR="00000000" w:rsidRDefault="00D82920">
      <w:pPr>
        <w:jc w:val="both"/>
        <w:rPr>
          <w:rFonts w:cs="David"/>
          <w:u w:val="single"/>
          <w:rtl/>
        </w:rPr>
      </w:pPr>
      <w:r>
        <w:rPr>
          <w:rFonts w:cs="David"/>
          <w:u w:val="single"/>
          <w:rtl/>
        </w:rPr>
        <w:lastRenderedPageBreak/>
        <w:t>היו"ר אברהם פורז:</w:t>
      </w:r>
    </w:p>
    <w:p w:rsidR="00000000" w:rsidRDefault="00D82920">
      <w:pPr>
        <w:jc w:val="both"/>
        <w:rPr>
          <w:rFonts w:cs="David"/>
          <w:rtl/>
        </w:rPr>
      </w:pPr>
    </w:p>
    <w:p w:rsidR="00000000" w:rsidRDefault="00D82920">
      <w:pPr>
        <w:jc w:val="both"/>
        <w:rPr>
          <w:rFonts w:cs="David"/>
          <w:rtl/>
        </w:rPr>
      </w:pPr>
      <w:r>
        <w:rPr>
          <w:rFonts w:cs="David"/>
          <w:rtl/>
        </w:rPr>
        <w:tab/>
        <w:t xml:space="preserve">בכל המכשירים שפולטים קרינה. אנחנו הרחבנו את זה. </w:t>
      </w:r>
    </w:p>
    <w:p w:rsidR="00000000" w:rsidRDefault="00D82920">
      <w:pPr>
        <w:jc w:val="both"/>
        <w:rPr>
          <w:rFonts w:cs="David"/>
          <w:rtl/>
        </w:rPr>
      </w:pPr>
    </w:p>
    <w:p w:rsidR="00000000" w:rsidRDefault="00D82920">
      <w:pPr>
        <w:jc w:val="both"/>
        <w:rPr>
          <w:rFonts w:cs="David"/>
          <w:u w:val="single"/>
          <w:rtl/>
        </w:rPr>
      </w:pPr>
      <w:r>
        <w:rPr>
          <w:rFonts w:cs="David"/>
          <w:u w:val="single"/>
          <w:rtl/>
        </w:rPr>
        <w:t>גיתית שריקי:</w:t>
      </w:r>
    </w:p>
    <w:p w:rsidR="00000000" w:rsidRDefault="00D82920">
      <w:pPr>
        <w:jc w:val="both"/>
        <w:rPr>
          <w:rFonts w:cs="David"/>
          <w:rtl/>
        </w:rPr>
      </w:pPr>
    </w:p>
    <w:p w:rsidR="00000000" w:rsidRDefault="00D82920">
      <w:pPr>
        <w:jc w:val="both"/>
        <w:rPr>
          <w:rFonts w:cs="David"/>
          <w:rtl/>
        </w:rPr>
      </w:pPr>
      <w:r>
        <w:rPr>
          <w:rFonts w:cs="David"/>
          <w:rtl/>
        </w:rPr>
        <w:tab/>
        <w:t>הרעיון הו</w:t>
      </w:r>
      <w:r>
        <w:rPr>
          <w:rFonts w:cs="David"/>
          <w:rtl/>
        </w:rPr>
        <w:t>א מאוד יפה, רק שהוא כבר כלול בחוק הגנת הצרכן בנוסחו היום. יש את סעיף 2 לחוק הגנת הצרכן.</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הוא לא מחייב. אנחנו רוצים לחייב.</w:t>
      </w:r>
    </w:p>
    <w:p w:rsidR="00000000" w:rsidRDefault="00D82920">
      <w:pPr>
        <w:jc w:val="both"/>
        <w:rPr>
          <w:rFonts w:cs="David"/>
          <w:rtl/>
        </w:rPr>
      </w:pPr>
    </w:p>
    <w:p w:rsidR="00000000" w:rsidRDefault="00D82920">
      <w:pPr>
        <w:jc w:val="both"/>
        <w:rPr>
          <w:rFonts w:cs="David"/>
          <w:u w:val="single"/>
          <w:rtl/>
        </w:rPr>
      </w:pPr>
      <w:r>
        <w:rPr>
          <w:rFonts w:cs="David"/>
          <w:u w:val="single"/>
          <w:rtl/>
        </w:rPr>
        <w:t>גיתית שריקי:</w:t>
      </w:r>
    </w:p>
    <w:p w:rsidR="00000000" w:rsidRDefault="00D82920">
      <w:pPr>
        <w:jc w:val="both"/>
        <w:rPr>
          <w:rFonts w:cs="David"/>
          <w:rtl/>
        </w:rPr>
      </w:pPr>
    </w:p>
    <w:p w:rsidR="00000000" w:rsidRDefault="00D82920">
      <w:pPr>
        <w:jc w:val="both"/>
        <w:rPr>
          <w:rFonts w:cs="David"/>
          <w:rtl/>
        </w:rPr>
      </w:pPr>
      <w:r>
        <w:rPr>
          <w:rFonts w:cs="David"/>
          <w:rtl/>
        </w:rPr>
        <w:tab/>
        <w:t xml:space="preserve">אבל כתוב: "אי פירסום חוות דעת מקצועית בדבר סיכונים שכרוכים במוצר מסויים מהווה הטעייה". </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w:t>
      </w:r>
      <w:r>
        <w:rPr>
          <w:rFonts w:cs="David"/>
          <w:u w:val="single"/>
          <w:rtl/>
        </w:rPr>
        <w:t>הם פורז:</w:t>
      </w:r>
    </w:p>
    <w:p w:rsidR="00000000" w:rsidRDefault="00D82920">
      <w:pPr>
        <w:jc w:val="both"/>
        <w:rPr>
          <w:rFonts w:cs="David"/>
          <w:rtl/>
        </w:rPr>
      </w:pPr>
    </w:p>
    <w:p w:rsidR="00000000" w:rsidRDefault="00D82920">
      <w:pPr>
        <w:jc w:val="both"/>
        <w:rPr>
          <w:rFonts w:cs="David"/>
          <w:rtl/>
        </w:rPr>
      </w:pPr>
      <w:r>
        <w:rPr>
          <w:rFonts w:cs="David"/>
          <w:rtl/>
        </w:rPr>
        <w:tab/>
        <w:t xml:space="preserve">הטעייה זה כשכתבת מידע לא נכון. אם אני משווק היום מכשירים סלולריים, אני לא חייב למסור כלום. </w:t>
      </w:r>
    </w:p>
    <w:p w:rsidR="00000000" w:rsidRDefault="00D82920">
      <w:pPr>
        <w:jc w:val="both"/>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r>
        <w:rPr>
          <w:rFonts w:cs="David"/>
          <w:rtl/>
        </w:rPr>
        <w:tab/>
      </w:r>
    </w:p>
    <w:p w:rsidR="00000000" w:rsidRDefault="00D82920">
      <w:pPr>
        <w:jc w:val="both"/>
        <w:rPr>
          <w:rFonts w:cs="David"/>
          <w:rtl/>
        </w:rPr>
      </w:pPr>
      <w:r>
        <w:rPr>
          <w:rFonts w:cs="David"/>
          <w:rtl/>
        </w:rPr>
        <w:tab/>
        <w:t>אין מידע מבוסס ומוכח בדבר סיכונים.</w:t>
      </w:r>
    </w:p>
    <w:p w:rsidR="00000000" w:rsidRDefault="00D82920">
      <w:pPr>
        <w:jc w:val="both"/>
        <w:rPr>
          <w:rFonts w:cs="David"/>
          <w:rtl/>
        </w:rPr>
      </w:pPr>
    </w:p>
    <w:p w:rsidR="00000000" w:rsidRDefault="00D82920">
      <w:pPr>
        <w:jc w:val="both"/>
        <w:rPr>
          <w:rFonts w:cs="David"/>
          <w:u w:val="single"/>
          <w:rtl/>
        </w:rPr>
      </w:pPr>
      <w:r>
        <w:rPr>
          <w:rFonts w:cs="David"/>
          <w:u w:val="single"/>
          <w:rtl/>
        </w:rPr>
        <w:t>מוסי רז:</w:t>
      </w:r>
    </w:p>
    <w:p w:rsidR="00000000" w:rsidRDefault="00D82920">
      <w:pPr>
        <w:jc w:val="both"/>
        <w:rPr>
          <w:rFonts w:cs="David"/>
          <w:rtl/>
        </w:rPr>
      </w:pPr>
    </w:p>
    <w:p w:rsidR="00000000" w:rsidRDefault="00D82920">
      <w:pPr>
        <w:jc w:val="both"/>
        <w:rPr>
          <w:rFonts w:cs="David"/>
          <w:rtl/>
        </w:rPr>
      </w:pPr>
      <w:r>
        <w:rPr>
          <w:rFonts w:cs="David"/>
          <w:rtl/>
        </w:rPr>
        <w:tab/>
        <w:t>אם זה הטעייה, למה אף פעם לא תבעתם את החברות הסלולריות?</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לא מדברים על הט</w:t>
      </w:r>
      <w:r>
        <w:rPr>
          <w:rFonts w:cs="David"/>
          <w:rtl/>
        </w:rPr>
        <w:t xml:space="preserve">עייה, מדברים על חובת מסירת מידע. הטעייה זה מסירת מידע מוטעה. </w:t>
      </w:r>
    </w:p>
    <w:p w:rsidR="00000000" w:rsidRDefault="00D82920">
      <w:pPr>
        <w:jc w:val="both"/>
        <w:rPr>
          <w:rFonts w:cs="David"/>
          <w:rtl/>
        </w:rPr>
      </w:pPr>
    </w:p>
    <w:p w:rsidR="00000000" w:rsidRDefault="00D82920">
      <w:pPr>
        <w:jc w:val="both"/>
        <w:rPr>
          <w:rFonts w:cs="David"/>
          <w:u w:val="single"/>
          <w:rtl/>
        </w:rPr>
      </w:pPr>
      <w:r>
        <w:rPr>
          <w:rFonts w:cs="David"/>
          <w:u w:val="single"/>
          <w:rtl/>
        </w:rPr>
        <w:t>גיתית שריקי:</w:t>
      </w:r>
    </w:p>
    <w:p w:rsidR="00000000" w:rsidRDefault="00D82920">
      <w:pPr>
        <w:jc w:val="both"/>
        <w:rPr>
          <w:rFonts w:cs="David"/>
          <w:rtl/>
        </w:rPr>
      </w:pPr>
    </w:p>
    <w:p w:rsidR="00000000" w:rsidRDefault="00D82920">
      <w:pPr>
        <w:jc w:val="both"/>
        <w:rPr>
          <w:rFonts w:cs="David"/>
          <w:rtl/>
        </w:rPr>
      </w:pPr>
      <w:r>
        <w:rPr>
          <w:rFonts w:cs="David"/>
          <w:rtl/>
        </w:rPr>
        <w:tab/>
        <w:t>הטעייה זה גם אי מסירת מידע מהותי, זה לא רק מסירת מידע מוטעה.</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את רוצה להגיד לי שעד היום כל היצרנים הסלולריים עברו על החוק כי הם לא מסרו מידע על היקף הקרינה?</w:t>
      </w:r>
    </w:p>
    <w:p w:rsidR="00000000" w:rsidRDefault="00D82920">
      <w:pPr>
        <w:jc w:val="both"/>
        <w:rPr>
          <w:rFonts w:cs="David"/>
          <w:rtl/>
        </w:rPr>
      </w:pPr>
    </w:p>
    <w:p w:rsidR="00000000" w:rsidRDefault="00D82920">
      <w:pPr>
        <w:jc w:val="both"/>
        <w:rPr>
          <w:rFonts w:cs="David"/>
          <w:u w:val="single"/>
          <w:rtl/>
        </w:rPr>
      </w:pPr>
      <w:r>
        <w:rPr>
          <w:rFonts w:cs="David"/>
          <w:u w:val="single"/>
          <w:rtl/>
        </w:rPr>
        <w:t>גיתית שריקי:</w:t>
      </w:r>
    </w:p>
    <w:p w:rsidR="00000000" w:rsidRDefault="00D82920">
      <w:pPr>
        <w:jc w:val="both"/>
        <w:rPr>
          <w:rFonts w:cs="David"/>
          <w:rtl/>
        </w:rPr>
      </w:pPr>
    </w:p>
    <w:p w:rsidR="00000000" w:rsidRDefault="00D82920">
      <w:pPr>
        <w:jc w:val="both"/>
        <w:rPr>
          <w:rFonts w:cs="David"/>
          <w:rtl/>
        </w:rPr>
      </w:pPr>
      <w:r>
        <w:rPr>
          <w:rFonts w:cs="David"/>
          <w:rtl/>
        </w:rPr>
        <w:tab/>
        <w:t>בוודאי שלא, אבל אני אומרת שאם רוצים ליישם את זה יש כלי חקיקתי.</w:t>
      </w:r>
    </w:p>
    <w:p w:rsidR="00000000" w:rsidRDefault="00D82920">
      <w:pPr>
        <w:jc w:val="both"/>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p>
    <w:p w:rsidR="00000000" w:rsidRDefault="00D82920">
      <w:pPr>
        <w:jc w:val="both"/>
        <w:rPr>
          <w:rFonts w:cs="David"/>
          <w:rtl/>
        </w:rPr>
      </w:pPr>
      <w:r>
        <w:rPr>
          <w:rFonts w:cs="David"/>
          <w:rtl/>
        </w:rPr>
        <w:tab/>
        <w:t>לא כל כך ברור שהכלי הזה נותן מענה.</w:t>
      </w:r>
    </w:p>
    <w:p w:rsidR="00000000" w:rsidRDefault="00D82920">
      <w:pPr>
        <w:jc w:val="both"/>
        <w:rPr>
          <w:rFonts w:cs="David"/>
          <w:rtl/>
        </w:rPr>
      </w:pPr>
    </w:p>
    <w:p w:rsidR="00000000" w:rsidRDefault="00D82920">
      <w:pPr>
        <w:jc w:val="both"/>
        <w:rPr>
          <w:rFonts w:cs="David"/>
          <w:u w:val="single"/>
          <w:rtl/>
        </w:rPr>
      </w:pPr>
      <w:r>
        <w:rPr>
          <w:rFonts w:cs="David"/>
          <w:u w:val="single"/>
          <w:rtl/>
        </w:rPr>
        <w:t>חנה מרגליות:</w:t>
      </w:r>
    </w:p>
    <w:p w:rsidR="00000000" w:rsidRDefault="00D82920">
      <w:pPr>
        <w:jc w:val="both"/>
        <w:rPr>
          <w:rFonts w:cs="David"/>
          <w:rtl/>
        </w:rPr>
      </w:pPr>
    </w:p>
    <w:p w:rsidR="00000000" w:rsidRDefault="00D82920">
      <w:pPr>
        <w:jc w:val="both"/>
        <w:rPr>
          <w:rFonts w:cs="David"/>
          <w:rtl/>
        </w:rPr>
      </w:pPr>
      <w:r>
        <w:rPr>
          <w:rFonts w:cs="David"/>
          <w:rtl/>
        </w:rPr>
        <w:tab/>
        <w:t>בסעיף 17 לחוק כתוב: "העוסק יסמן על גבי טובין פרטים בדבר.. ב(2) פרטים נוספים שיש לסמן, לרבות פרטים בדבר מחיר הטובי</w:t>
      </w:r>
      <w:r>
        <w:rPr>
          <w:rFonts w:cs="David"/>
          <w:rtl/>
        </w:rPr>
        <w:t>ן, תאריך יצורם, היותם מסוכנים לשימוש.."</w:t>
      </w:r>
    </w:p>
    <w:p w:rsidR="00000000" w:rsidRDefault="00D82920">
      <w:pPr>
        <w:jc w:val="both"/>
        <w:rPr>
          <w:rFonts w:cs="David"/>
          <w:rtl/>
        </w:rPr>
      </w:pPr>
    </w:p>
    <w:p w:rsidR="00000000" w:rsidRDefault="00D82920">
      <w:pPr>
        <w:jc w:val="both"/>
        <w:rPr>
          <w:rFonts w:cs="David"/>
          <w:u w:val="single"/>
          <w:rtl/>
        </w:rPr>
      </w:pPr>
      <w:r>
        <w:rPr>
          <w:rFonts w:cs="David"/>
          <w:u w:val="single"/>
          <w:rtl/>
        </w:rPr>
        <w:lastRenderedPageBreak/>
        <w:t>היו"ר אברהם פורז:</w:t>
      </w:r>
    </w:p>
    <w:p w:rsidR="00000000" w:rsidRDefault="00D82920">
      <w:pPr>
        <w:jc w:val="both"/>
        <w:rPr>
          <w:rFonts w:cs="David"/>
          <w:rtl/>
        </w:rPr>
      </w:pPr>
    </w:p>
    <w:p w:rsidR="00000000" w:rsidRDefault="00D82920">
      <w:pPr>
        <w:jc w:val="both"/>
        <w:rPr>
          <w:rFonts w:cs="David"/>
          <w:rtl/>
        </w:rPr>
      </w:pPr>
      <w:r>
        <w:rPr>
          <w:rFonts w:cs="David"/>
          <w:rtl/>
        </w:rPr>
        <w:tab/>
        <w:t xml:space="preserve">אנחנו לא מדברים על זה שהם מסוכנים. עובדה שלא עשיתם את זה עד היום. </w:t>
      </w:r>
    </w:p>
    <w:p w:rsidR="00000000" w:rsidRDefault="00D82920">
      <w:pPr>
        <w:jc w:val="both"/>
        <w:rPr>
          <w:rFonts w:cs="David"/>
          <w:rtl/>
        </w:rPr>
      </w:pPr>
    </w:p>
    <w:p w:rsidR="00000000" w:rsidRDefault="00D82920">
      <w:pPr>
        <w:jc w:val="both"/>
        <w:rPr>
          <w:rFonts w:cs="David"/>
          <w:u w:val="single"/>
          <w:rtl/>
        </w:rPr>
      </w:pPr>
      <w:r>
        <w:rPr>
          <w:rFonts w:cs="David"/>
          <w:u w:val="single"/>
          <w:rtl/>
        </w:rPr>
        <w:t>חנה מרגליות:</w:t>
      </w:r>
    </w:p>
    <w:p w:rsidR="00000000" w:rsidRDefault="00D82920">
      <w:pPr>
        <w:jc w:val="both"/>
        <w:rPr>
          <w:rFonts w:cs="David"/>
          <w:rtl/>
        </w:rPr>
      </w:pPr>
    </w:p>
    <w:p w:rsidR="00000000" w:rsidRDefault="00D82920">
      <w:pPr>
        <w:jc w:val="both"/>
        <w:rPr>
          <w:rFonts w:cs="David"/>
          <w:rtl/>
        </w:rPr>
      </w:pPr>
      <w:r>
        <w:rPr>
          <w:rFonts w:cs="David"/>
          <w:rtl/>
        </w:rPr>
        <w:tab/>
        <w:t>יש צו בדבר סימון טובין בתוספת השלישית, שכולל תנורי מיקרוגל, מכונות גילוח, מייבשי כביסה, סכינים חשמליים..</w:t>
      </w:r>
    </w:p>
    <w:p w:rsidR="00000000" w:rsidRDefault="00D82920">
      <w:pPr>
        <w:jc w:val="both"/>
        <w:rPr>
          <w:rFonts w:cs="David"/>
          <w:rtl/>
        </w:rPr>
      </w:pPr>
    </w:p>
    <w:p w:rsidR="00000000" w:rsidRDefault="00D82920">
      <w:pPr>
        <w:jc w:val="both"/>
        <w:rPr>
          <w:rFonts w:cs="David"/>
          <w:u w:val="single"/>
          <w:rtl/>
        </w:rPr>
      </w:pPr>
      <w:r>
        <w:rPr>
          <w:rFonts w:cs="David"/>
          <w:u w:val="single"/>
          <w:rtl/>
        </w:rPr>
        <w:t xml:space="preserve">היו"ר </w:t>
      </w:r>
      <w:r>
        <w:rPr>
          <w:rFonts w:cs="David"/>
          <w:u w:val="single"/>
          <w:rtl/>
        </w:rPr>
        <w:t>אברהם פורז:</w:t>
      </w:r>
    </w:p>
    <w:p w:rsidR="00000000" w:rsidRDefault="00D82920">
      <w:pPr>
        <w:jc w:val="both"/>
        <w:rPr>
          <w:rFonts w:cs="David"/>
          <w:rtl/>
        </w:rPr>
      </w:pPr>
    </w:p>
    <w:p w:rsidR="00000000" w:rsidRDefault="00D82920">
      <w:pPr>
        <w:jc w:val="both"/>
        <w:rPr>
          <w:rFonts w:cs="David"/>
          <w:rtl/>
        </w:rPr>
      </w:pPr>
      <w:r>
        <w:rPr>
          <w:rFonts w:cs="David"/>
          <w:rtl/>
        </w:rPr>
        <w:tab/>
        <w:t>אבל לא דיברתם על קרינה.</w:t>
      </w:r>
    </w:p>
    <w:p w:rsidR="00000000" w:rsidRDefault="00D82920">
      <w:pPr>
        <w:jc w:val="both"/>
        <w:rPr>
          <w:rFonts w:cs="David"/>
          <w:rtl/>
        </w:rPr>
      </w:pPr>
    </w:p>
    <w:p w:rsidR="00000000" w:rsidRDefault="00D82920">
      <w:pPr>
        <w:jc w:val="both"/>
        <w:rPr>
          <w:rFonts w:cs="David"/>
          <w:u w:val="single"/>
          <w:rtl/>
        </w:rPr>
      </w:pPr>
      <w:r>
        <w:rPr>
          <w:rFonts w:cs="David"/>
          <w:u w:val="single"/>
          <w:rtl/>
        </w:rPr>
        <w:t>חנה מרגליות:</w:t>
      </w:r>
    </w:p>
    <w:p w:rsidR="00000000" w:rsidRDefault="00D82920">
      <w:pPr>
        <w:jc w:val="both"/>
        <w:rPr>
          <w:rFonts w:cs="David"/>
          <w:rtl/>
        </w:rPr>
      </w:pPr>
    </w:p>
    <w:p w:rsidR="00000000" w:rsidRDefault="00D82920">
      <w:pPr>
        <w:jc w:val="both"/>
        <w:rPr>
          <w:rFonts w:cs="David"/>
          <w:rtl/>
        </w:rPr>
      </w:pPr>
      <w:r>
        <w:rPr>
          <w:rFonts w:cs="David"/>
          <w:rtl/>
        </w:rPr>
        <w:tab/>
        <w:t xml:space="preserve">משום שזה לא הוכח עדיין. </w:t>
      </w:r>
    </w:p>
    <w:p w:rsidR="00000000" w:rsidRDefault="00D82920">
      <w:pPr>
        <w:jc w:val="both"/>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p>
    <w:p w:rsidR="00000000" w:rsidRDefault="00D82920">
      <w:pPr>
        <w:jc w:val="both"/>
        <w:rPr>
          <w:rFonts w:cs="David"/>
          <w:rtl/>
        </w:rPr>
      </w:pPr>
      <w:r>
        <w:rPr>
          <w:rFonts w:cs="David"/>
          <w:rtl/>
        </w:rPr>
        <w:tab/>
        <w:t>זאת בדיוק הנקודה שאליה מתייחסת הצעת החוק.</w:t>
      </w:r>
    </w:p>
    <w:p w:rsidR="00000000" w:rsidRDefault="00D82920">
      <w:pPr>
        <w:jc w:val="both"/>
        <w:rPr>
          <w:rFonts w:cs="David"/>
          <w:rtl/>
        </w:rPr>
      </w:pPr>
    </w:p>
    <w:p w:rsidR="00000000" w:rsidRDefault="00D82920">
      <w:pPr>
        <w:jc w:val="both"/>
        <w:rPr>
          <w:rFonts w:cs="David"/>
          <w:u w:val="single"/>
          <w:rtl/>
        </w:rPr>
      </w:pPr>
      <w:r>
        <w:rPr>
          <w:rFonts w:cs="David"/>
          <w:u w:val="single"/>
          <w:rtl/>
        </w:rPr>
        <w:t>אופיר פינס-פז:</w:t>
      </w:r>
    </w:p>
    <w:p w:rsidR="00000000" w:rsidRDefault="00D82920">
      <w:pPr>
        <w:jc w:val="both"/>
        <w:rPr>
          <w:rFonts w:cs="David"/>
          <w:rtl/>
        </w:rPr>
      </w:pPr>
    </w:p>
    <w:p w:rsidR="00000000" w:rsidRDefault="00D82920">
      <w:pPr>
        <w:jc w:val="both"/>
        <w:rPr>
          <w:rFonts w:cs="David"/>
          <w:rtl/>
        </w:rPr>
      </w:pPr>
      <w:r>
        <w:rPr>
          <w:rFonts w:cs="David"/>
          <w:rtl/>
        </w:rPr>
        <w:tab/>
        <w:t>מה את מציעה?</w:t>
      </w:r>
    </w:p>
    <w:p w:rsidR="00000000" w:rsidRDefault="00D82920">
      <w:pPr>
        <w:jc w:val="both"/>
        <w:rPr>
          <w:rFonts w:cs="David"/>
          <w:rtl/>
        </w:rPr>
      </w:pPr>
    </w:p>
    <w:p w:rsidR="00000000" w:rsidRDefault="00D82920">
      <w:pPr>
        <w:jc w:val="both"/>
        <w:rPr>
          <w:rFonts w:cs="David"/>
          <w:u w:val="single"/>
          <w:rtl/>
        </w:rPr>
      </w:pPr>
      <w:r>
        <w:rPr>
          <w:rFonts w:cs="David"/>
          <w:u w:val="single"/>
          <w:rtl/>
        </w:rPr>
        <w:t>חנה מרגליות:</w:t>
      </w:r>
    </w:p>
    <w:p w:rsidR="00000000" w:rsidRDefault="00D82920">
      <w:pPr>
        <w:jc w:val="both"/>
        <w:rPr>
          <w:rFonts w:cs="David"/>
          <w:rtl/>
        </w:rPr>
      </w:pPr>
    </w:p>
    <w:p w:rsidR="00000000" w:rsidRDefault="00D82920">
      <w:pPr>
        <w:jc w:val="both"/>
        <w:rPr>
          <w:rFonts w:cs="David"/>
          <w:rtl/>
        </w:rPr>
      </w:pPr>
      <w:r>
        <w:rPr>
          <w:rFonts w:cs="David"/>
          <w:rtl/>
        </w:rPr>
        <w:tab/>
        <w:t>אני מציעה לא לשנות את החוק, משום שיש לי כבר כלי משפטי.</w:t>
      </w:r>
    </w:p>
    <w:p w:rsidR="00000000" w:rsidRDefault="00D82920">
      <w:pPr>
        <w:jc w:val="both"/>
        <w:rPr>
          <w:rFonts w:cs="David"/>
          <w:rtl/>
        </w:rPr>
      </w:pPr>
    </w:p>
    <w:p w:rsidR="00000000" w:rsidRDefault="00D82920">
      <w:pPr>
        <w:jc w:val="both"/>
        <w:rPr>
          <w:rFonts w:cs="David"/>
          <w:u w:val="single"/>
          <w:rtl/>
        </w:rPr>
      </w:pPr>
      <w:r>
        <w:rPr>
          <w:rFonts w:cs="David"/>
          <w:u w:val="single"/>
          <w:rtl/>
        </w:rPr>
        <w:t>אופיר פינס-פז:</w:t>
      </w:r>
    </w:p>
    <w:p w:rsidR="00000000" w:rsidRDefault="00D82920">
      <w:pPr>
        <w:jc w:val="both"/>
        <w:rPr>
          <w:rFonts w:cs="David"/>
          <w:rtl/>
        </w:rPr>
      </w:pPr>
    </w:p>
    <w:p w:rsidR="00000000" w:rsidRDefault="00D82920">
      <w:pPr>
        <w:jc w:val="both"/>
        <w:rPr>
          <w:rFonts w:cs="David"/>
          <w:rtl/>
        </w:rPr>
      </w:pPr>
      <w:r>
        <w:rPr>
          <w:rFonts w:cs="David"/>
          <w:rtl/>
        </w:rPr>
        <w:tab/>
        <w:t>א</w:t>
      </w:r>
      <w:r>
        <w:rPr>
          <w:rFonts w:cs="David"/>
          <w:rtl/>
        </w:rPr>
        <w:t>ז למה לא השתמשת בו עד היום?</w:t>
      </w:r>
    </w:p>
    <w:p w:rsidR="00000000" w:rsidRDefault="00D82920">
      <w:pPr>
        <w:jc w:val="both"/>
        <w:rPr>
          <w:rFonts w:cs="David"/>
          <w:rtl/>
        </w:rPr>
      </w:pPr>
    </w:p>
    <w:p w:rsidR="00000000" w:rsidRDefault="00D82920">
      <w:pPr>
        <w:jc w:val="both"/>
        <w:rPr>
          <w:rFonts w:cs="David"/>
          <w:u w:val="single"/>
          <w:rtl/>
        </w:rPr>
      </w:pPr>
      <w:r>
        <w:rPr>
          <w:rFonts w:cs="David"/>
          <w:u w:val="single"/>
          <w:rtl/>
        </w:rPr>
        <w:t>חנה מרגליות:</w:t>
      </w:r>
    </w:p>
    <w:p w:rsidR="00000000" w:rsidRDefault="00D82920">
      <w:pPr>
        <w:jc w:val="both"/>
        <w:rPr>
          <w:rFonts w:cs="David"/>
          <w:rtl/>
        </w:rPr>
      </w:pPr>
    </w:p>
    <w:p w:rsidR="00000000" w:rsidRDefault="00D82920">
      <w:pPr>
        <w:jc w:val="both"/>
        <w:rPr>
          <w:rFonts w:cs="David"/>
          <w:rtl/>
        </w:rPr>
      </w:pPr>
      <w:r>
        <w:rPr>
          <w:rFonts w:cs="David"/>
          <w:rtl/>
        </w:rPr>
        <w:tab/>
        <w:t>משום שזה לא היה מוכח.</w:t>
      </w:r>
    </w:p>
    <w:p w:rsidR="00000000" w:rsidRDefault="00D82920">
      <w:pPr>
        <w:jc w:val="both"/>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p>
    <w:p w:rsidR="00000000" w:rsidRDefault="00D82920">
      <w:pPr>
        <w:jc w:val="both"/>
        <w:rPr>
          <w:rFonts w:cs="David"/>
          <w:rtl/>
        </w:rPr>
      </w:pPr>
      <w:r>
        <w:rPr>
          <w:rFonts w:cs="David"/>
          <w:rtl/>
        </w:rPr>
        <w:tab/>
        <w:t>גם היום זה לא מוכח.</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הגברת מרגליות, אנחנו רוצים לאפשר לכם לחייב יצרנים למסור מידע, לאו דווקא שיש בו סיכון אלא הרחבת חובת המידע. יכול להיות שהחוק הקיים מספיק</w:t>
      </w:r>
      <w:r>
        <w:rPr>
          <w:rFonts w:cs="David"/>
          <w:rtl/>
        </w:rPr>
        <w:t xml:space="preserve">, יכול להיות שהוא לא מספיק. אנחנו נעביר את זה לקריאה ראשונה. אחרי קריאה ראשונה נשקול את האפשרות לראות אם זה אפשרי. עובדה שעד היום לא עשיתם את זה. </w:t>
      </w:r>
    </w:p>
    <w:p w:rsidR="00000000" w:rsidRDefault="00D82920">
      <w:pPr>
        <w:jc w:val="both"/>
        <w:rPr>
          <w:rFonts w:cs="David"/>
          <w:rtl/>
        </w:rPr>
      </w:pPr>
    </w:p>
    <w:p w:rsidR="00000000" w:rsidRDefault="00D82920">
      <w:pPr>
        <w:jc w:val="both"/>
        <w:rPr>
          <w:rFonts w:cs="David"/>
          <w:u w:val="single"/>
          <w:rtl/>
        </w:rPr>
      </w:pPr>
      <w:r>
        <w:rPr>
          <w:rFonts w:cs="David"/>
          <w:u w:val="single"/>
          <w:rtl/>
        </w:rPr>
        <w:t>חנה מרגליות:</w:t>
      </w:r>
    </w:p>
    <w:p w:rsidR="00000000" w:rsidRDefault="00D82920">
      <w:pPr>
        <w:jc w:val="both"/>
        <w:rPr>
          <w:rFonts w:cs="David"/>
          <w:rtl/>
        </w:rPr>
      </w:pPr>
    </w:p>
    <w:p w:rsidR="00000000" w:rsidRDefault="00D82920">
      <w:pPr>
        <w:jc w:val="both"/>
        <w:rPr>
          <w:rFonts w:cs="David"/>
          <w:rtl/>
        </w:rPr>
      </w:pPr>
      <w:r>
        <w:rPr>
          <w:rFonts w:cs="David"/>
          <w:rtl/>
        </w:rPr>
        <w:tab/>
        <w:t xml:space="preserve">משום שלא פנו אלינו והשר לא שקל את זה. </w:t>
      </w:r>
    </w:p>
    <w:p w:rsidR="00000000" w:rsidRDefault="00D82920">
      <w:pPr>
        <w:jc w:val="both"/>
        <w:rPr>
          <w:rFonts w:cs="David"/>
          <w:rtl/>
        </w:rPr>
      </w:pPr>
    </w:p>
    <w:p w:rsidR="00000000" w:rsidRDefault="00D82920">
      <w:pPr>
        <w:jc w:val="both"/>
        <w:rPr>
          <w:rFonts w:cs="David"/>
          <w:u w:val="single"/>
          <w:rtl/>
        </w:rPr>
      </w:pPr>
      <w:r>
        <w:rPr>
          <w:rFonts w:cs="David"/>
          <w:u w:val="single"/>
          <w:rtl/>
        </w:rPr>
        <w:t>אופיר פינס-פז:</w:t>
      </w:r>
    </w:p>
    <w:p w:rsidR="00000000" w:rsidRDefault="00D82920">
      <w:pPr>
        <w:jc w:val="both"/>
        <w:rPr>
          <w:rFonts w:cs="David"/>
          <w:rtl/>
        </w:rPr>
      </w:pPr>
    </w:p>
    <w:p w:rsidR="00000000" w:rsidRDefault="00D82920">
      <w:pPr>
        <w:jc w:val="both"/>
        <w:rPr>
          <w:rFonts w:cs="David"/>
          <w:rtl/>
        </w:rPr>
      </w:pPr>
      <w:r>
        <w:rPr>
          <w:rFonts w:cs="David"/>
          <w:rtl/>
        </w:rPr>
        <w:tab/>
        <w:t>ואם נפנה והוא לא יסכים?</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w:t>
      </w:r>
      <w:r>
        <w:rPr>
          <w:rFonts w:cs="David"/>
          <w:u w:val="single"/>
          <w:rtl/>
        </w:rPr>
        <w:t xml:space="preserve"> פורז:</w:t>
      </w:r>
    </w:p>
    <w:p w:rsidR="00000000" w:rsidRDefault="00D82920">
      <w:pPr>
        <w:jc w:val="both"/>
        <w:rPr>
          <w:rFonts w:cs="David"/>
          <w:rtl/>
        </w:rPr>
      </w:pPr>
    </w:p>
    <w:p w:rsidR="00000000" w:rsidRDefault="00D82920">
      <w:pPr>
        <w:jc w:val="both"/>
        <w:rPr>
          <w:rFonts w:cs="David"/>
          <w:rtl/>
        </w:rPr>
      </w:pPr>
      <w:r>
        <w:rPr>
          <w:rFonts w:cs="David"/>
          <w:rtl/>
        </w:rPr>
        <w:lastRenderedPageBreak/>
        <w:tab/>
        <w:t>אחרי קריאה ראשונה נבדוק אם הסמכות קיימת. אם היא קיימת, זה לא יכול להזיק. אם היא לא קיימת, זה יכול רק להוסיף. אין נזק על ידי העברת החוק לקריאה ראשונה.</w:t>
      </w:r>
    </w:p>
    <w:p w:rsidR="00000000" w:rsidRDefault="00D82920">
      <w:pPr>
        <w:jc w:val="both"/>
        <w:rPr>
          <w:rFonts w:cs="David"/>
          <w:rtl/>
        </w:rPr>
      </w:pPr>
    </w:p>
    <w:p w:rsidR="00000000" w:rsidRDefault="00D82920">
      <w:pPr>
        <w:jc w:val="both"/>
        <w:rPr>
          <w:rFonts w:cs="David"/>
          <w:u w:val="single"/>
          <w:rtl/>
        </w:rPr>
      </w:pPr>
      <w:r>
        <w:rPr>
          <w:rFonts w:cs="David"/>
          <w:u w:val="single"/>
          <w:rtl/>
        </w:rPr>
        <w:t>איילה קנדל:</w:t>
      </w:r>
    </w:p>
    <w:p w:rsidR="00000000" w:rsidRDefault="00D82920">
      <w:pPr>
        <w:jc w:val="both"/>
        <w:rPr>
          <w:rFonts w:cs="David"/>
          <w:rtl/>
        </w:rPr>
      </w:pPr>
    </w:p>
    <w:p w:rsidR="00000000" w:rsidRDefault="00D82920">
      <w:pPr>
        <w:jc w:val="both"/>
        <w:rPr>
          <w:rFonts w:cs="David"/>
          <w:rtl/>
        </w:rPr>
      </w:pPr>
      <w:r>
        <w:rPr>
          <w:rFonts w:cs="David"/>
          <w:rtl/>
        </w:rPr>
        <w:tab/>
        <w:t>התיקון של הבלתי מייננת הוא תיקון מאוד חשוב. אתם מדברים פה על מערכות של מתקני אלחוט</w:t>
      </w:r>
      <w:r>
        <w:rPr>
          <w:rFonts w:cs="David"/>
          <w:rtl/>
        </w:rPr>
        <w:t>. השאלה שלי היא אם הכוונה שלכם למתקנים שפולטים קרינת רדיו..</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לדעתי גם אם יש קרינה ממכשיר קווי.</w:t>
      </w:r>
    </w:p>
    <w:p w:rsidR="00000000" w:rsidRDefault="00D82920">
      <w:pPr>
        <w:jc w:val="both"/>
        <w:rPr>
          <w:rFonts w:cs="David"/>
          <w:rtl/>
        </w:rPr>
      </w:pPr>
    </w:p>
    <w:p w:rsidR="00000000" w:rsidRDefault="00D82920">
      <w:pPr>
        <w:jc w:val="both"/>
        <w:rPr>
          <w:rFonts w:cs="David"/>
          <w:u w:val="single"/>
          <w:rtl/>
        </w:rPr>
      </w:pPr>
      <w:r>
        <w:rPr>
          <w:rFonts w:cs="David"/>
          <w:u w:val="single"/>
          <w:rtl/>
        </w:rPr>
        <w:t>איילה קנדל:</w:t>
      </w:r>
    </w:p>
    <w:p w:rsidR="00000000" w:rsidRDefault="00D82920">
      <w:pPr>
        <w:jc w:val="both"/>
        <w:rPr>
          <w:rFonts w:cs="David"/>
          <w:rtl/>
        </w:rPr>
      </w:pPr>
    </w:p>
    <w:p w:rsidR="00000000" w:rsidRDefault="00D82920">
      <w:pPr>
        <w:jc w:val="both"/>
        <w:rPr>
          <w:rFonts w:cs="David"/>
          <w:rtl/>
        </w:rPr>
      </w:pPr>
      <w:r>
        <w:rPr>
          <w:rFonts w:cs="David"/>
          <w:rtl/>
        </w:rPr>
        <w:tab/>
        <w:t>מה קורה עם מכשירים שתוקעים בשקע שפולטים קרינה אלקטרונית?</w:t>
      </w:r>
    </w:p>
    <w:p w:rsidR="00000000" w:rsidRDefault="00D82920">
      <w:pPr>
        <w:jc w:val="both"/>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p>
    <w:p w:rsidR="00000000" w:rsidRDefault="00D82920">
      <w:pPr>
        <w:jc w:val="both"/>
        <w:rPr>
          <w:rFonts w:cs="David"/>
          <w:rtl/>
        </w:rPr>
      </w:pPr>
      <w:r>
        <w:rPr>
          <w:rFonts w:cs="David"/>
          <w:rtl/>
        </w:rPr>
        <w:tab/>
        <w:t>"וכן מכשיר או מכונה המיועד לצרכן, הפולט קרינה בלתי מיינ</w:t>
      </w:r>
      <w:r>
        <w:rPr>
          <w:rFonts w:cs="David"/>
          <w:rtl/>
        </w:rPr>
        <w:t>נת, או שבהפעלתו נוצרת קרינה בלתי מייננת".</w:t>
      </w:r>
    </w:p>
    <w:p w:rsidR="00000000" w:rsidRDefault="00D82920">
      <w:pPr>
        <w:jc w:val="both"/>
        <w:rPr>
          <w:rFonts w:cs="David"/>
          <w:rtl/>
        </w:rPr>
      </w:pPr>
    </w:p>
    <w:p w:rsidR="00000000" w:rsidRDefault="00D82920">
      <w:pPr>
        <w:jc w:val="both"/>
        <w:rPr>
          <w:rFonts w:cs="David"/>
          <w:u w:val="single"/>
          <w:rtl/>
        </w:rPr>
      </w:pPr>
      <w:r>
        <w:rPr>
          <w:rFonts w:cs="David"/>
          <w:u w:val="single"/>
          <w:rtl/>
        </w:rPr>
        <w:t>אופיר פינס-פז:</w:t>
      </w:r>
    </w:p>
    <w:p w:rsidR="00000000" w:rsidRDefault="00D82920">
      <w:pPr>
        <w:jc w:val="both"/>
        <w:rPr>
          <w:rFonts w:cs="David"/>
          <w:rtl/>
        </w:rPr>
      </w:pPr>
    </w:p>
    <w:p w:rsidR="00000000" w:rsidRDefault="00D82920">
      <w:pPr>
        <w:jc w:val="both"/>
        <w:rPr>
          <w:rFonts w:cs="David"/>
          <w:rtl/>
        </w:rPr>
      </w:pPr>
      <w:r>
        <w:rPr>
          <w:rFonts w:cs="David"/>
          <w:rtl/>
        </w:rPr>
        <w:tab/>
        <w:t>כל השאלות הללו הן שאלות ראויות שנדון בהן בין הקריאה הראשונה לשנייה. הקטע הוא לחייב את שר התעשייה והמסחר. אני מוכן להביא לו את הנוסח של המשרד לאיכות הסביבה. בתוך 90 יום הוא צריך לבוא לוועדה הזאת ול</w:t>
      </w:r>
      <w:r>
        <w:rPr>
          <w:rFonts w:cs="David"/>
          <w:rtl/>
        </w:rPr>
        <w:t>הציע נוסח שיהיה מקובל על הוועדה. זה צריך להיות לגבי הטלפונים הסלולריים אבל גם לגבי המכשירים האחרים שפולטים קרינה אלקטרו מגנטית בלתי מיינת.</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 xml:space="preserve">רבותי, אנחנו מסמיכים את היועצת המשפטית. הכוונה שלנו היא לאפשר מתן חובת מידע לגבי כל מכשיר הפולט </w:t>
      </w:r>
      <w:r>
        <w:rPr>
          <w:rFonts w:cs="David"/>
          <w:rtl/>
        </w:rPr>
        <w:t>קרינה, כי יכול להיות גם מכשיר קווי שפולט קרינה לא פחות מאשר אלחוטי. יש מכשירים שהם מכשירים אלחוטיים שהם אינם טלפון סלולרי וגם הם פולטים קרינה. אנחנו רוצים לעשות את ההגדרה רחבה עד כמה שניתן ולכלול הכל.</w:t>
      </w:r>
    </w:p>
    <w:p w:rsidR="00000000" w:rsidRDefault="00D82920">
      <w:pPr>
        <w:jc w:val="both"/>
        <w:rPr>
          <w:rFonts w:cs="David"/>
          <w:rtl/>
        </w:rPr>
      </w:pPr>
    </w:p>
    <w:p w:rsidR="00000000" w:rsidRDefault="00D82920">
      <w:pPr>
        <w:jc w:val="both"/>
        <w:rPr>
          <w:rFonts w:cs="David"/>
          <w:u w:val="single"/>
          <w:rtl/>
        </w:rPr>
      </w:pPr>
      <w:r>
        <w:rPr>
          <w:rFonts w:cs="David"/>
          <w:u w:val="single"/>
          <w:rtl/>
        </w:rPr>
        <w:t>איילה קנדל:</w:t>
      </w:r>
    </w:p>
    <w:p w:rsidR="00000000" w:rsidRDefault="00D82920">
      <w:pPr>
        <w:jc w:val="both"/>
        <w:rPr>
          <w:rFonts w:cs="David"/>
          <w:rtl/>
        </w:rPr>
      </w:pPr>
    </w:p>
    <w:p w:rsidR="00000000" w:rsidRDefault="00D82920">
      <w:pPr>
        <w:jc w:val="both"/>
        <w:rPr>
          <w:rFonts w:cs="David"/>
          <w:rtl/>
        </w:rPr>
      </w:pPr>
      <w:r>
        <w:rPr>
          <w:rFonts w:cs="David"/>
          <w:rtl/>
        </w:rPr>
        <w:tab/>
        <w:t xml:space="preserve">אז תכתוב קרינה אלקטרו-מגנטית ולא אלחוטי </w:t>
      </w:r>
      <w:r>
        <w:rPr>
          <w:rFonts w:cs="David"/>
          <w:rtl/>
        </w:rPr>
        <w:t>בלבד.</w:t>
      </w:r>
    </w:p>
    <w:p w:rsidR="00000000" w:rsidRDefault="00D82920">
      <w:pPr>
        <w:jc w:val="both"/>
        <w:rPr>
          <w:rFonts w:cs="David"/>
          <w:rtl/>
        </w:rPr>
      </w:pPr>
    </w:p>
    <w:p w:rsidR="00000000" w:rsidRDefault="00D82920">
      <w:pPr>
        <w:jc w:val="both"/>
        <w:rPr>
          <w:rFonts w:cs="David"/>
          <w:u w:val="single"/>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 xml:space="preserve">אני מסכים. </w:t>
      </w:r>
    </w:p>
    <w:p w:rsidR="00000000" w:rsidRDefault="00D82920">
      <w:pPr>
        <w:jc w:val="both"/>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p>
    <w:p w:rsidR="00000000" w:rsidRDefault="00D82920">
      <w:pPr>
        <w:jc w:val="both"/>
        <w:rPr>
          <w:rFonts w:cs="David"/>
          <w:rtl/>
        </w:rPr>
      </w:pPr>
      <w:r>
        <w:rPr>
          <w:rFonts w:cs="David"/>
          <w:rtl/>
        </w:rPr>
        <w:tab/>
        <w:t xml:space="preserve">בקשר למה שנכתוב אני מציעה שנדבר אחר כך. אני רציתי, בהתאם להנחייתו של חבר הכנסת אופיר פינס-פז, להגדיר קודם כל את הטלפונים הסלולריים ולאחר מכן את כל יתר המכשירים פולטי הקרינה, משום שהחיוב להביא תקנות תוך </w:t>
      </w:r>
      <w:r>
        <w:rPr>
          <w:rFonts w:cs="David"/>
          <w:rtl/>
        </w:rPr>
        <w:t>שלושה חודשים מתייחס רק למכשירים הסלולריים. אם ניתן לשפר את ההגדרות, אני רק אודה לכם.</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מי בעד להעביר את החוק לקריאה ראשונה?</w:t>
      </w:r>
    </w:p>
    <w:p w:rsidR="00000000" w:rsidRDefault="00D82920">
      <w:pPr>
        <w:jc w:val="both"/>
        <w:rPr>
          <w:rFonts w:cs="David"/>
          <w:rtl/>
        </w:rPr>
      </w:pPr>
    </w:p>
    <w:p w:rsidR="00000000" w:rsidRDefault="00D82920">
      <w:pPr>
        <w:jc w:val="center"/>
        <w:rPr>
          <w:rFonts w:cs="David"/>
          <w:rtl/>
        </w:rPr>
      </w:pPr>
      <w:r>
        <w:rPr>
          <w:rFonts w:cs="David"/>
          <w:rtl/>
        </w:rPr>
        <w:t>ה צ ב ע ה</w:t>
      </w:r>
    </w:p>
    <w:p w:rsidR="00000000" w:rsidRDefault="00D82920">
      <w:pPr>
        <w:jc w:val="center"/>
        <w:rPr>
          <w:rFonts w:cs="David"/>
          <w:rtl/>
        </w:rPr>
      </w:pPr>
      <w:r>
        <w:rPr>
          <w:rFonts w:cs="David"/>
          <w:rtl/>
        </w:rPr>
        <w:t>בעד – 5</w:t>
      </w:r>
    </w:p>
    <w:p w:rsidR="00000000" w:rsidRDefault="00D82920">
      <w:pPr>
        <w:jc w:val="center"/>
        <w:rPr>
          <w:rFonts w:cs="David"/>
          <w:rtl/>
        </w:rPr>
      </w:pPr>
      <w:r>
        <w:rPr>
          <w:rFonts w:cs="David"/>
          <w:rtl/>
        </w:rPr>
        <w:lastRenderedPageBreak/>
        <w:t>נגד – 0</w:t>
      </w:r>
    </w:p>
    <w:p w:rsidR="00000000" w:rsidRDefault="00D82920">
      <w:pPr>
        <w:jc w:val="center"/>
        <w:rPr>
          <w:rFonts w:cs="David"/>
          <w:rtl/>
        </w:rPr>
      </w:pPr>
    </w:p>
    <w:p w:rsidR="00000000" w:rsidRDefault="00D82920">
      <w:pPr>
        <w:jc w:val="center"/>
        <w:rPr>
          <w:rFonts w:cs="David"/>
          <w:rtl/>
        </w:rPr>
      </w:pPr>
      <w:r>
        <w:rPr>
          <w:rFonts w:cs="David"/>
          <w:rtl/>
        </w:rPr>
        <w:t>אושר לקריאה ראשונה</w:t>
      </w:r>
    </w:p>
    <w:p w:rsidR="00000000" w:rsidRDefault="00D82920">
      <w:pPr>
        <w:jc w:val="center"/>
        <w:rPr>
          <w:rFonts w:cs="David"/>
          <w:rtl/>
        </w:rPr>
      </w:pPr>
    </w:p>
    <w:p w:rsidR="00000000" w:rsidRDefault="00D82920">
      <w:pPr>
        <w:jc w:val="both"/>
        <w:rPr>
          <w:rFonts w:cs="David"/>
          <w:u w:val="single"/>
          <w:rtl/>
        </w:rPr>
      </w:pPr>
      <w:r>
        <w:rPr>
          <w:rFonts w:cs="David"/>
          <w:u w:val="single"/>
          <w:rtl/>
        </w:rPr>
        <w:t>אתי בנדלר:</w:t>
      </w:r>
    </w:p>
    <w:p w:rsidR="00000000" w:rsidRDefault="00D82920">
      <w:pPr>
        <w:jc w:val="both"/>
        <w:rPr>
          <w:rFonts w:cs="David"/>
          <w:rtl/>
        </w:rPr>
      </w:pPr>
    </w:p>
    <w:p w:rsidR="00000000" w:rsidRDefault="00D82920">
      <w:pPr>
        <w:jc w:val="both"/>
        <w:rPr>
          <w:rFonts w:cs="David"/>
          <w:rtl/>
        </w:rPr>
      </w:pPr>
      <w:r>
        <w:rPr>
          <w:rFonts w:cs="David"/>
          <w:rtl/>
        </w:rPr>
        <w:tab/>
        <w:t xml:space="preserve">אני מניחה שלדעת המציע ולדעת הוועדה אין עלויות להצעת </w:t>
      </w:r>
      <w:r>
        <w:rPr>
          <w:rFonts w:cs="David"/>
          <w:rtl/>
        </w:rPr>
        <w:t>החוק.</w:t>
      </w:r>
    </w:p>
    <w:p w:rsidR="00000000" w:rsidRDefault="00D82920">
      <w:pPr>
        <w:jc w:val="both"/>
        <w:rPr>
          <w:rFonts w:cs="David"/>
          <w:rtl/>
        </w:rPr>
      </w:pPr>
    </w:p>
    <w:p w:rsidR="00000000" w:rsidRDefault="00D82920">
      <w:pPr>
        <w:jc w:val="both"/>
        <w:rPr>
          <w:rFonts w:cs="David"/>
          <w:u w:val="single"/>
          <w:rtl/>
        </w:rPr>
      </w:pPr>
      <w:r>
        <w:rPr>
          <w:rFonts w:cs="David"/>
          <w:u w:val="single"/>
          <w:rtl/>
        </w:rPr>
        <w:t>היו"ר אברהם פורז:</w:t>
      </w:r>
    </w:p>
    <w:p w:rsidR="00000000" w:rsidRDefault="00D82920">
      <w:pPr>
        <w:jc w:val="both"/>
        <w:rPr>
          <w:rFonts w:cs="David"/>
          <w:rtl/>
        </w:rPr>
      </w:pPr>
    </w:p>
    <w:p w:rsidR="00000000" w:rsidRDefault="00D82920">
      <w:pPr>
        <w:jc w:val="both"/>
        <w:rPr>
          <w:rFonts w:cs="David"/>
          <w:rtl/>
        </w:rPr>
      </w:pPr>
      <w:r>
        <w:rPr>
          <w:rFonts w:cs="David"/>
          <w:rtl/>
        </w:rPr>
        <w:tab/>
        <w:t xml:space="preserve">לא. </w:t>
      </w:r>
    </w:p>
    <w:p w:rsidR="00000000" w:rsidRDefault="00D82920">
      <w:pPr>
        <w:jc w:val="both"/>
        <w:rPr>
          <w:rFonts w:cs="David"/>
          <w:rtl/>
        </w:rPr>
      </w:pPr>
    </w:p>
    <w:p w:rsidR="00000000" w:rsidRDefault="00D82920">
      <w:pPr>
        <w:jc w:val="both"/>
        <w:rPr>
          <w:rFonts w:cs="David"/>
          <w:rtl/>
        </w:rPr>
      </w:pPr>
      <w:r>
        <w:rPr>
          <w:rFonts w:cs="David"/>
          <w:rtl/>
        </w:rPr>
        <w:t>הישיבה ננעלה בשעה 11:00</w:t>
      </w: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tl/>
        </w:rPr>
      </w:pPr>
    </w:p>
    <w:p w:rsidR="00000000" w:rsidRDefault="00D82920">
      <w:pPr>
        <w:jc w:val="both"/>
        <w:rPr>
          <w:rFonts w:cs="David"/>
        </w:rPr>
      </w:pPr>
    </w:p>
    <w:p w:rsidR="00000000" w:rsidRDefault="00D82920">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2920">
      <w:r>
        <w:separator/>
      </w:r>
    </w:p>
  </w:endnote>
  <w:endnote w:type="continuationSeparator" w:id="0">
    <w:p w:rsidR="00000000" w:rsidRDefault="00D82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920">
    <w:pPr>
      <w:pStyle w:val="a7"/>
      <w:rPr>
        <w:rFonts w:cs="David"/>
        <w:rtl/>
      </w:rPr>
    </w:pPr>
  </w:p>
  <w:p w:rsidR="00000000" w:rsidRDefault="00D8292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2920">
      <w:r>
        <w:separator/>
      </w:r>
    </w:p>
  </w:footnote>
  <w:footnote w:type="continuationSeparator" w:id="0">
    <w:p w:rsidR="00000000" w:rsidRDefault="00D82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92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82920">
    <w:pPr>
      <w:pStyle w:val="a5"/>
      <w:ind w:right="360"/>
      <w:rPr>
        <w:rFonts w:cs="David"/>
        <w:rtl/>
      </w:rPr>
    </w:pPr>
    <w:r>
      <w:rPr>
        <w:rFonts w:cs="David"/>
        <w:rtl/>
      </w:rPr>
      <w:t>ועדת כלכלה</w:t>
    </w:r>
  </w:p>
  <w:p w:rsidR="00000000" w:rsidRDefault="00D82920">
    <w:pPr>
      <w:pStyle w:val="a5"/>
      <w:rPr>
        <w:rFonts w:cs="David"/>
        <w:rtl/>
      </w:rPr>
    </w:pPr>
    <w:r>
      <w:rPr>
        <w:rFonts w:cs="David"/>
        <w:rtl/>
      </w:rPr>
      <w:t>5.7.2000</w:t>
    </w:r>
  </w:p>
  <w:p w:rsidR="00000000" w:rsidRDefault="00D82920">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2920"/>
    <w:rsid w:val="00D82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3BA639-4268-400D-B15B-2EA088DB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1086</Words>
  <Characters>5432</Characters>
  <Application>Microsoft Office Word</Application>
  <DocSecurity>0</DocSecurity>
  <Lines>45</Lines>
  <Paragraphs>13</Paragraphs>
  <ScaleCrop>false</ScaleCrop>
  <Company/>
  <LinksUpToDate>false</LinksUpToDate>
  <CharactersWithSpaces>6505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פרוטוקולים/כלכלה/780</dc:title>
  <dc:subject>כלכלה 5.7.2000 ב</dc:subject>
  <dc:creator>יפעת שפרכר</dc:creator>
  <cp:keywords/>
  <dc:description/>
  <cp:lastModifiedBy>רינה דבורה קדרון</cp:lastModifiedBy>
  <cp:revision>2</cp:revision>
  <dcterms:created xsi:type="dcterms:W3CDTF">2017-04-20T06:42:00Z</dcterms:created>
  <dcterms:modified xsi:type="dcterms:W3CDTF">2017-04-20T06:42:00Z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