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127C">
      <w:pPr>
        <w:jc w:val="right"/>
        <w:rPr>
          <w:rFonts w:cs="Guttman David"/>
          <w:sz w:val="18"/>
          <w:rtl/>
        </w:rPr>
      </w:pPr>
      <w:bookmarkStart w:id="0" w:name="_GoBack"/>
      <w:bookmarkEnd w:id="0"/>
      <w:r>
        <w:rPr>
          <w:rFonts w:cs="Guttman David"/>
          <w:sz w:val="18"/>
          <w:rtl/>
        </w:rPr>
        <w:t>פרוטוקולים/כלכלה/2339</w:t>
      </w:r>
    </w:p>
    <w:p w:rsidR="00000000" w:rsidRDefault="0047127C">
      <w:pPr>
        <w:jc w:val="right"/>
        <w:rPr>
          <w:rFonts w:cs="Guttman David"/>
          <w:sz w:val="18"/>
          <w:rtl/>
        </w:rPr>
      </w:pPr>
      <w:r>
        <w:rPr>
          <w:rFonts w:cs="Guttman David"/>
          <w:sz w:val="18"/>
          <w:rtl/>
        </w:rPr>
        <w:tab/>
        <w:t>ירושלים, י"ז בכסלו, תשס"א</w:t>
      </w:r>
    </w:p>
    <w:p w:rsidR="00000000" w:rsidRDefault="0047127C">
      <w:pPr>
        <w:jc w:val="right"/>
        <w:rPr>
          <w:rFonts w:cs="Guttman David"/>
          <w:sz w:val="18"/>
          <w:rtl/>
          <w:lang w:val="es"/>
        </w:rPr>
      </w:pPr>
      <w:r>
        <w:rPr>
          <w:rFonts w:cs="Guttman David"/>
          <w:sz w:val="18"/>
          <w:rtl/>
          <w:lang w:val="es"/>
        </w:rPr>
        <w:t>14 בדצמבר, 2000</w:t>
      </w:r>
    </w:p>
    <w:p w:rsidR="00000000" w:rsidRDefault="0047127C">
      <w:pPr>
        <w:jc w:val="right"/>
        <w:rPr>
          <w:rFonts w:cs="Guttman David"/>
          <w:sz w:val="18"/>
          <w:rtl/>
        </w:rPr>
      </w:pPr>
    </w:p>
    <w:p w:rsidR="00000000" w:rsidRDefault="0047127C">
      <w:pPr>
        <w:pStyle w:val="5"/>
        <w:tabs>
          <w:tab w:val="left" w:pos="6486"/>
          <w:tab w:val="left" w:pos="8606"/>
        </w:tabs>
        <w:jc w:val="left"/>
        <w:rPr>
          <w:rFonts w:cs="Guttman David"/>
          <w:rtl/>
        </w:rPr>
      </w:pPr>
      <w:r>
        <w:rPr>
          <w:rFonts w:cs="Guttman David"/>
          <w:rtl/>
        </w:rPr>
        <w:t>הכנסת החמש-עשרה</w:t>
      </w:r>
    </w:p>
    <w:p w:rsidR="00000000" w:rsidRDefault="0047127C">
      <w:pPr>
        <w:tabs>
          <w:tab w:val="left" w:pos="6486"/>
          <w:tab w:val="left" w:pos="8606"/>
        </w:tabs>
        <w:jc w:val="left"/>
        <w:rPr>
          <w:rFonts w:cs="Guttman David"/>
          <w:b/>
          <w:bCs/>
          <w:sz w:val="20"/>
          <w:szCs w:val="20"/>
          <w:rtl/>
        </w:rPr>
      </w:pPr>
      <w:r>
        <w:rPr>
          <w:rFonts w:cs="Guttman David"/>
          <w:b/>
          <w:bCs/>
          <w:sz w:val="20"/>
          <w:szCs w:val="20"/>
          <w:rtl/>
        </w:rPr>
        <w:t>מושב שלישי</w:t>
      </w:r>
    </w:p>
    <w:p w:rsidR="00000000" w:rsidRDefault="0047127C">
      <w:pPr>
        <w:tabs>
          <w:tab w:val="left" w:pos="6486"/>
          <w:tab w:val="left" w:pos="8606"/>
        </w:tabs>
        <w:jc w:val="left"/>
        <w:rPr>
          <w:rFonts w:cs="Guttman David"/>
          <w:b/>
          <w:bCs/>
          <w:sz w:val="20"/>
          <w:szCs w:val="20"/>
          <w:rtl/>
        </w:rPr>
      </w:pPr>
      <w:r>
        <w:rPr>
          <w:rFonts w:cs="Guttman David"/>
          <w:sz w:val="20"/>
          <w:szCs w:val="20"/>
          <w:rtl/>
        </w:rPr>
        <w:t>נוסח לא מתוקן</w:t>
      </w:r>
      <w:r>
        <w:rPr>
          <w:rFonts w:cs="Guttman David"/>
          <w:sz w:val="20"/>
          <w:szCs w:val="20"/>
          <w:rtl/>
        </w:rPr>
        <w:tab/>
      </w:r>
    </w:p>
    <w:p w:rsidR="00000000" w:rsidRDefault="0047127C">
      <w:pPr>
        <w:rPr>
          <w:rFonts w:cs="Guttman David"/>
          <w:sz w:val="20"/>
          <w:szCs w:val="20"/>
          <w:rtl/>
        </w:rPr>
      </w:pPr>
    </w:p>
    <w:p w:rsidR="00000000" w:rsidRDefault="0047127C">
      <w:pPr>
        <w:rPr>
          <w:rFonts w:cs="Guttman David"/>
          <w:sz w:val="20"/>
          <w:szCs w:val="20"/>
          <w:rtl/>
        </w:rPr>
      </w:pPr>
    </w:p>
    <w:p w:rsidR="00000000" w:rsidRDefault="0047127C">
      <w:pPr>
        <w:jc w:val="center"/>
        <w:rPr>
          <w:rFonts w:cs="Guttman David"/>
          <w:b/>
          <w:bCs/>
          <w:sz w:val="20"/>
          <w:szCs w:val="20"/>
          <w:rtl/>
        </w:rPr>
      </w:pPr>
      <w:r>
        <w:rPr>
          <w:rFonts w:cs="Guttman David"/>
          <w:b/>
          <w:bCs/>
          <w:sz w:val="20"/>
          <w:szCs w:val="20"/>
          <w:rtl/>
        </w:rPr>
        <w:t>פרוטוקול מס' 222</w:t>
      </w:r>
    </w:p>
    <w:p w:rsidR="00000000" w:rsidRDefault="0047127C">
      <w:pPr>
        <w:jc w:val="center"/>
        <w:rPr>
          <w:rFonts w:cs="Guttman David"/>
          <w:b/>
          <w:bCs/>
          <w:sz w:val="20"/>
          <w:szCs w:val="20"/>
          <w:rtl/>
        </w:rPr>
      </w:pPr>
    </w:p>
    <w:p w:rsidR="00000000" w:rsidRDefault="0047127C">
      <w:pPr>
        <w:jc w:val="center"/>
        <w:rPr>
          <w:rFonts w:cs="Guttman David"/>
          <w:b/>
          <w:bCs/>
          <w:sz w:val="20"/>
          <w:szCs w:val="20"/>
          <w:rtl/>
        </w:rPr>
      </w:pPr>
      <w:r>
        <w:rPr>
          <w:rFonts w:cs="Guttman David"/>
          <w:b/>
          <w:bCs/>
          <w:sz w:val="20"/>
          <w:szCs w:val="20"/>
          <w:rtl/>
        </w:rPr>
        <w:t xml:space="preserve">מישיבת ועדת הכלכלה </w:t>
      </w:r>
    </w:p>
    <w:p w:rsidR="00000000" w:rsidRDefault="0047127C">
      <w:pPr>
        <w:jc w:val="center"/>
        <w:rPr>
          <w:rFonts w:cs="Guttman David"/>
          <w:sz w:val="20"/>
          <w:szCs w:val="20"/>
          <w:u w:val="single"/>
          <w:rtl/>
        </w:rPr>
      </w:pPr>
      <w:r>
        <w:rPr>
          <w:rFonts w:cs="Guttman David"/>
          <w:b/>
          <w:bCs/>
          <w:sz w:val="20"/>
          <w:szCs w:val="20"/>
          <w:u w:val="single"/>
          <w:rtl/>
        </w:rPr>
        <w:t>‏יום שני, ז' בכסלו התשס"א (4 בדצמבר, 2000), שעה 12:30</w:t>
      </w:r>
    </w:p>
    <w:p w:rsidR="00000000" w:rsidRDefault="0047127C">
      <w:pPr>
        <w:rPr>
          <w:rFonts w:cs="Guttman David"/>
          <w:sz w:val="20"/>
          <w:szCs w:val="20"/>
          <w:rtl/>
        </w:rPr>
      </w:pPr>
    </w:p>
    <w:p w:rsidR="00000000" w:rsidRDefault="0047127C">
      <w:pPr>
        <w:rPr>
          <w:rFonts w:cs="Guttman David"/>
          <w:b/>
          <w:bCs/>
          <w:sz w:val="20"/>
          <w:szCs w:val="20"/>
          <w:u w:val="single"/>
          <w:rtl/>
        </w:rPr>
      </w:pPr>
      <w:r>
        <w:rPr>
          <w:rFonts w:cs="Guttman David"/>
          <w:b/>
          <w:bCs/>
          <w:sz w:val="20"/>
          <w:szCs w:val="20"/>
          <w:u w:val="single"/>
          <w:rtl/>
        </w:rPr>
        <w:t>נוכחים:</w:t>
      </w:r>
    </w:p>
    <w:p w:rsidR="00000000" w:rsidRDefault="0047127C">
      <w:pPr>
        <w:tabs>
          <w:tab w:val="left" w:pos="6499"/>
          <w:tab w:val="left" w:pos="7803"/>
        </w:tabs>
        <w:jc w:val="left"/>
        <w:rPr>
          <w:rFonts w:cs="Guttman David"/>
          <w:sz w:val="20"/>
          <w:szCs w:val="20"/>
          <w:rtl/>
        </w:rPr>
      </w:pPr>
      <w:r>
        <w:rPr>
          <w:rFonts w:cs="Guttman David"/>
          <w:b/>
          <w:bCs/>
          <w:sz w:val="20"/>
          <w:szCs w:val="20"/>
          <w:u w:val="single"/>
          <w:rtl/>
        </w:rPr>
        <w:t>חברי הוועדה:</w:t>
      </w:r>
    </w:p>
    <w:p w:rsidR="00000000" w:rsidRDefault="0047127C">
      <w:pPr>
        <w:rPr>
          <w:rFonts w:cs="Guttman David"/>
          <w:sz w:val="20"/>
          <w:szCs w:val="20"/>
          <w:rtl/>
        </w:rPr>
      </w:pPr>
      <w:r>
        <w:rPr>
          <w:rFonts w:cs="Guttman David"/>
          <w:sz w:val="20"/>
          <w:szCs w:val="20"/>
          <w:rtl/>
        </w:rPr>
        <w:t>אברהם פורז- היו"ר</w:t>
      </w:r>
    </w:p>
    <w:p w:rsidR="00000000" w:rsidRDefault="0047127C">
      <w:pPr>
        <w:tabs>
          <w:tab w:val="left" w:pos="6499"/>
          <w:tab w:val="left" w:pos="7803"/>
        </w:tabs>
        <w:jc w:val="left"/>
        <w:rPr>
          <w:rFonts w:cs="Guttman David"/>
          <w:sz w:val="20"/>
          <w:szCs w:val="20"/>
          <w:rtl/>
        </w:rPr>
      </w:pPr>
      <w:r>
        <w:rPr>
          <w:rFonts w:cs="Guttman David"/>
          <w:sz w:val="20"/>
          <w:szCs w:val="20"/>
          <w:rtl/>
        </w:rPr>
        <w:t>יורי שטרן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b/>
          <w:bCs/>
          <w:sz w:val="20"/>
          <w:szCs w:val="20"/>
          <w:u w:val="single"/>
          <w:rtl/>
        </w:rPr>
        <w:t>מוזמנים:</w:t>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ab/>
        <w:t>חה"כ מיכאל איתן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ab/>
        <w:t>חה"כ מיכאל נודלמן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יועץ משפטי, משרד התקשורת</w:t>
      </w:r>
      <w:r>
        <w:rPr>
          <w:rFonts w:cs="Guttman David"/>
          <w:sz w:val="20"/>
          <w:szCs w:val="20"/>
          <w:rtl/>
        </w:rPr>
        <w:tab/>
        <w:t>ד"ר יזהר טל</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עוזר השר, משרד התקשורת</w:t>
      </w:r>
      <w:r>
        <w:rPr>
          <w:rFonts w:cs="Guttman David"/>
          <w:sz w:val="20"/>
          <w:szCs w:val="20"/>
          <w:rtl/>
        </w:rPr>
        <w:tab/>
        <w:t>אורי אולניק</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עוזרת השר, משרד התקשורת</w:t>
      </w:r>
      <w:r>
        <w:rPr>
          <w:rFonts w:cs="Guttman David"/>
          <w:sz w:val="20"/>
          <w:szCs w:val="20"/>
          <w:rtl/>
        </w:rPr>
        <w:tab/>
        <w:t>מיכל פלד</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מתמחה בלשכה המשפטית, משרד התקשורת</w:t>
      </w:r>
      <w:r>
        <w:rPr>
          <w:rFonts w:cs="Guttman David"/>
          <w:sz w:val="20"/>
          <w:szCs w:val="20"/>
          <w:rtl/>
        </w:rPr>
        <w:tab/>
        <w:t>אחסאן חלבי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סגן מנהל אגף ספקטרום, משרד התקשורת</w:t>
      </w:r>
      <w:r>
        <w:rPr>
          <w:rFonts w:cs="Guttman David"/>
          <w:sz w:val="20"/>
          <w:szCs w:val="20"/>
          <w:rtl/>
        </w:rPr>
        <w:tab/>
        <w:t>דוד אקרמן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לשכה משפטית, משרד התקשורת</w:t>
      </w:r>
      <w:r>
        <w:rPr>
          <w:rFonts w:cs="Guttman David"/>
          <w:sz w:val="20"/>
          <w:szCs w:val="20"/>
          <w:rtl/>
        </w:rPr>
        <w:tab/>
        <w:t>יעל מלם-יפה</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עוזרת מנכ"ל, משרד התקשורת</w:t>
      </w:r>
      <w:r>
        <w:rPr>
          <w:rFonts w:cs="Guttman David"/>
          <w:sz w:val="20"/>
          <w:szCs w:val="20"/>
          <w:rtl/>
        </w:rPr>
        <w:tab/>
        <w:t>שרון פליישר</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משרד התקשורת</w:t>
      </w:r>
      <w:r>
        <w:rPr>
          <w:rFonts w:cs="Guttman David"/>
          <w:sz w:val="20"/>
          <w:szCs w:val="20"/>
          <w:rtl/>
        </w:rPr>
        <w:tab/>
        <w:t>מי</w:t>
      </w:r>
      <w:r>
        <w:rPr>
          <w:rFonts w:cs="Guttman David"/>
          <w:sz w:val="20"/>
          <w:szCs w:val="20"/>
          <w:rtl/>
        </w:rPr>
        <w:t>כל הואש</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לשכה משפטית, משרד התקשורת</w:t>
      </w:r>
      <w:r>
        <w:rPr>
          <w:rFonts w:cs="Guttman David"/>
          <w:sz w:val="20"/>
          <w:szCs w:val="20"/>
          <w:rtl/>
        </w:rPr>
        <w:tab/>
        <w:t>עו"ד שריל קמפינסקי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היועצת המשפטית, משרד המדע, התרבות והספורט</w:t>
      </w:r>
      <w:r>
        <w:rPr>
          <w:rFonts w:cs="Guttman David"/>
          <w:sz w:val="20"/>
          <w:szCs w:val="20"/>
          <w:rtl/>
        </w:rPr>
        <w:tab/>
        <w:t>עו"ד עדנה הראל</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משנה ליועץ המשפטי לממשלה, משרד המשפטים</w:t>
      </w:r>
      <w:r>
        <w:rPr>
          <w:rFonts w:cs="Guttman David"/>
          <w:sz w:val="20"/>
          <w:szCs w:val="20"/>
          <w:rtl/>
        </w:rPr>
        <w:tab/>
        <w:t>עו"ד דוידה לחמן-מסר</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משרד המשפטים</w:t>
      </w:r>
      <w:r>
        <w:rPr>
          <w:rFonts w:cs="Guttman David"/>
          <w:sz w:val="20"/>
          <w:szCs w:val="20"/>
          <w:rtl/>
        </w:rPr>
        <w:tab/>
        <w:t>נגה רובינשטיין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דשק"ש, חברות הכבלים</w:t>
      </w:r>
      <w:r>
        <w:rPr>
          <w:rFonts w:cs="Guttman David"/>
          <w:sz w:val="20"/>
          <w:szCs w:val="20"/>
          <w:rtl/>
        </w:rPr>
        <w:tab/>
        <w:t>בני איינהורן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 xml:space="preserve">דנקנר השקעות, חברות </w:t>
      </w:r>
      <w:r>
        <w:rPr>
          <w:rFonts w:cs="Guttman David"/>
          <w:sz w:val="20"/>
          <w:szCs w:val="20"/>
          <w:rtl/>
        </w:rPr>
        <w:t>הכבלים</w:t>
      </w:r>
      <w:r>
        <w:rPr>
          <w:rFonts w:cs="Guttman David"/>
          <w:sz w:val="20"/>
          <w:szCs w:val="20"/>
          <w:rtl/>
        </w:rPr>
        <w:tab/>
        <w:t>יעקב ברדוגו</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חברות הכבלים</w:t>
      </w:r>
      <w:r>
        <w:rPr>
          <w:rFonts w:cs="Guttman David"/>
          <w:sz w:val="20"/>
          <w:szCs w:val="20"/>
          <w:rtl/>
        </w:rPr>
        <w:tab/>
        <w:t>פרופ' דוד ליבאי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מייצגת את חברות הכבלים</w:t>
      </w:r>
      <w:r>
        <w:rPr>
          <w:rFonts w:cs="Guttman David"/>
          <w:sz w:val="20"/>
          <w:szCs w:val="20"/>
          <w:rtl/>
        </w:rPr>
        <w:tab/>
        <w:t>עו"ד דפנה ליבאי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חברות הכבלים</w:t>
      </w:r>
      <w:r>
        <w:rPr>
          <w:rFonts w:cs="Guttman David"/>
          <w:sz w:val="20"/>
          <w:szCs w:val="20"/>
          <w:rtl/>
        </w:rPr>
        <w:tab/>
        <w:t>עו"ד אסתר שטרנבך</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גורן יועצים</w:t>
      </w:r>
      <w:r>
        <w:rPr>
          <w:rFonts w:cs="Guttman David"/>
          <w:sz w:val="20"/>
          <w:szCs w:val="20"/>
          <w:rtl/>
        </w:rPr>
        <w:tab/>
        <w:t>תומר עמיר</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ממונה אכיפה פנימית, חברת בזק</w:t>
      </w:r>
      <w:r>
        <w:rPr>
          <w:rFonts w:cs="Guttman David"/>
          <w:sz w:val="20"/>
          <w:szCs w:val="20"/>
          <w:rtl/>
        </w:rPr>
        <w:tab/>
        <w:t>נתי ביאליסטוק-כהן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סמנכ"ל כלכלה, חברת בזק</w:t>
      </w:r>
      <w:r>
        <w:rPr>
          <w:rFonts w:cs="Guttman David"/>
          <w:sz w:val="20"/>
          <w:szCs w:val="20"/>
          <w:rtl/>
        </w:rPr>
        <w:tab/>
        <w:t>אבי גבאי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לשכה משפטית, חברת בזק</w:t>
      </w:r>
      <w:r>
        <w:rPr>
          <w:rFonts w:cs="Guttman David"/>
          <w:sz w:val="20"/>
          <w:szCs w:val="20"/>
          <w:rtl/>
        </w:rPr>
        <w:tab/>
        <w:t>עו"ד אייל</w:t>
      </w:r>
      <w:r>
        <w:rPr>
          <w:rFonts w:cs="Guttman David"/>
          <w:sz w:val="20"/>
          <w:szCs w:val="20"/>
          <w:rtl/>
        </w:rPr>
        <w:t>ת כהן-מעגן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מנהל אגף רגולציה, חברת בזק</w:t>
      </w:r>
      <w:r>
        <w:rPr>
          <w:rFonts w:cs="Guttman David"/>
          <w:sz w:val="20"/>
          <w:szCs w:val="20"/>
          <w:rtl/>
        </w:rPr>
        <w:tab/>
        <w:t>דוד מזרחי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עוזרת לדוברת, חברת בזק</w:t>
      </w:r>
      <w:r>
        <w:rPr>
          <w:rFonts w:cs="Guttman David"/>
          <w:sz w:val="20"/>
          <w:szCs w:val="20"/>
          <w:rtl/>
        </w:rPr>
        <w:tab/>
        <w:t>מירי פריאל</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חברת בזק</w:t>
      </w:r>
      <w:r>
        <w:rPr>
          <w:rFonts w:cs="Guttman David"/>
          <w:sz w:val="20"/>
          <w:szCs w:val="20"/>
          <w:rtl/>
        </w:rPr>
        <w:tab/>
        <w:t>פנינה שנהב</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לוביסטית, חברת בזק</w:t>
      </w:r>
      <w:r>
        <w:rPr>
          <w:rFonts w:cs="Guttman David"/>
          <w:sz w:val="20"/>
          <w:szCs w:val="20"/>
          <w:rtl/>
        </w:rPr>
        <w:tab/>
        <w:t>גלית מנזין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יועצת משפטית, חברת בזק בינלאומי</w:t>
      </w:r>
      <w:r>
        <w:rPr>
          <w:rFonts w:cs="Guttman David"/>
          <w:sz w:val="20"/>
          <w:szCs w:val="20"/>
          <w:rtl/>
        </w:rPr>
        <w:tab/>
        <w:t>עו"ד אסתר שלאין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יו"ר די.בי.אס שירותי לוויין בע"מ</w:t>
      </w:r>
      <w:r>
        <w:rPr>
          <w:rFonts w:cs="Guttman David"/>
          <w:sz w:val="20"/>
          <w:szCs w:val="20"/>
          <w:rtl/>
        </w:rPr>
        <w:tab/>
        <w:t>דוד ברודט</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יועצת משפטית, די.בי.אס שיר</w:t>
      </w:r>
      <w:r>
        <w:rPr>
          <w:rFonts w:cs="Guttman David"/>
          <w:sz w:val="20"/>
          <w:szCs w:val="20"/>
          <w:rtl/>
        </w:rPr>
        <w:t>ותי לוויין בע"מ</w:t>
      </w:r>
      <w:r>
        <w:rPr>
          <w:rFonts w:cs="Guttman David"/>
          <w:sz w:val="20"/>
          <w:szCs w:val="20"/>
          <w:rtl/>
        </w:rPr>
        <w:tab/>
        <w:t>עו"ד יעל מיטס</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סמנכ"ל די.בי.אס שירותי לוויין בע"מ</w:t>
      </w:r>
      <w:r>
        <w:rPr>
          <w:rFonts w:cs="Guttman David"/>
          <w:sz w:val="20"/>
          <w:szCs w:val="20"/>
          <w:rtl/>
        </w:rPr>
        <w:tab/>
        <w:t>מיכל רפאלי-כדורי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די.בי.אס שירותי לוויין בע"מ</w:t>
      </w:r>
      <w:r>
        <w:rPr>
          <w:rFonts w:cs="Guttman David"/>
          <w:sz w:val="20"/>
          <w:szCs w:val="20"/>
          <w:rtl/>
        </w:rPr>
        <w:tab/>
        <w:t>עו"ד תמר פז-תאני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lastRenderedPageBreak/>
        <w:t>די.בי.אס שירותי לוויין בע"מ</w:t>
      </w:r>
      <w:r>
        <w:rPr>
          <w:rFonts w:cs="Guttman David"/>
          <w:sz w:val="20"/>
          <w:szCs w:val="20"/>
          <w:rtl/>
        </w:rPr>
        <w:tab/>
        <w:t>עו"ד גיורא ארדינסט</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די.בי.אס שירותי לוויין בע"מ</w:t>
      </w:r>
      <w:r>
        <w:rPr>
          <w:rFonts w:cs="Guttman David"/>
          <w:sz w:val="20"/>
          <w:szCs w:val="20"/>
          <w:rtl/>
        </w:rPr>
        <w:tab/>
        <w:t>קרן גרין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יועץ, די.בי.אס שירותי לוויין בע"מ</w:t>
      </w:r>
      <w:r>
        <w:rPr>
          <w:rFonts w:cs="Guttman David"/>
          <w:sz w:val="20"/>
          <w:szCs w:val="20"/>
          <w:rtl/>
        </w:rPr>
        <w:tab/>
        <w:t>בני כה</w:t>
      </w:r>
      <w:r>
        <w:rPr>
          <w:rFonts w:cs="Guttman David"/>
          <w:sz w:val="20"/>
          <w:szCs w:val="20"/>
          <w:rtl/>
        </w:rPr>
        <w:t>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די.בי.אס שירותי לוויין בע"מ</w:t>
      </w:r>
      <w:r>
        <w:rPr>
          <w:rFonts w:cs="Guttman David"/>
          <w:sz w:val="20"/>
          <w:szCs w:val="20"/>
          <w:rtl/>
        </w:rPr>
        <w:tab/>
        <w:t>עו"ד מוריאל מטלון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די.בי.אס שירותי לוויין בע"מ</w:t>
      </w:r>
      <w:r>
        <w:rPr>
          <w:rFonts w:cs="Guttman David"/>
          <w:sz w:val="20"/>
          <w:szCs w:val="20"/>
          <w:rtl/>
        </w:rPr>
        <w:tab/>
        <w:t>ליאור פורת</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מנהל אסטרטגיה ומידע, נטוויז'ן, חברות אינטרנט</w:t>
      </w:r>
      <w:r>
        <w:rPr>
          <w:rFonts w:cs="Guttman David"/>
          <w:sz w:val="20"/>
          <w:szCs w:val="20"/>
          <w:rtl/>
        </w:rPr>
        <w:tab/>
        <w:t>יוסי מזוז</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חברת ברק</w:t>
      </w:r>
      <w:r>
        <w:rPr>
          <w:rFonts w:cs="Guttman David"/>
          <w:sz w:val="20"/>
          <w:szCs w:val="20"/>
          <w:rtl/>
        </w:rPr>
        <w:tab/>
        <w:t>עו"ד דב אברמוביץ</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עוזרת מנכ"ל, חברת ברק</w:t>
      </w:r>
      <w:r>
        <w:rPr>
          <w:rFonts w:cs="Guttman David"/>
          <w:sz w:val="20"/>
          <w:szCs w:val="20"/>
          <w:rtl/>
        </w:rPr>
        <w:tab/>
        <w:t>איה איסרוב</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חברת ברק</w:t>
      </w:r>
      <w:r>
        <w:rPr>
          <w:rFonts w:cs="Guttman David"/>
          <w:sz w:val="20"/>
          <w:szCs w:val="20"/>
          <w:rtl/>
        </w:rPr>
        <w:tab/>
        <w:t>אורית לרנר</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מנהל רגולציה, חברת סלקום</w:t>
      </w:r>
      <w:r>
        <w:rPr>
          <w:rFonts w:cs="Guttman David"/>
          <w:sz w:val="20"/>
          <w:szCs w:val="20"/>
          <w:rtl/>
        </w:rPr>
        <w:tab/>
        <w:t>עמי</w:t>
      </w:r>
      <w:r>
        <w:rPr>
          <w:rFonts w:cs="Guttman David"/>
          <w:sz w:val="20"/>
          <w:szCs w:val="20"/>
          <w:rtl/>
        </w:rPr>
        <w:t>ת שכטר</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מנהלת קשרי ספקי תקשורת, חברת פרטנר</w:t>
      </w:r>
      <w:r>
        <w:rPr>
          <w:rFonts w:cs="Guttman David"/>
          <w:sz w:val="20"/>
          <w:szCs w:val="20"/>
          <w:rtl/>
        </w:rPr>
        <w:tab/>
        <w:t>יעל יקואל</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דובר חברת פלאפון</w:t>
      </w:r>
      <w:r>
        <w:rPr>
          <w:rFonts w:cs="Guttman David"/>
          <w:sz w:val="20"/>
          <w:szCs w:val="20"/>
          <w:rtl/>
        </w:rPr>
        <w:tab/>
        <w:t>מוטי שרף</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חברת פלאפון</w:t>
      </w:r>
      <w:r>
        <w:rPr>
          <w:rFonts w:cs="Guttman David"/>
          <w:sz w:val="20"/>
          <w:szCs w:val="20"/>
          <w:rtl/>
        </w:rPr>
        <w:tab/>
        <w:t>אורלי בן-שמאי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יועמ"ש המועצה לצרכנות</w:t>
      </w:r>
      <w:r>
        <w:rPr>
          <w:rFonts w:cs="Guttman David"/>
          <w:sz w:val="20"/>
          <w:szCs w:val="20"/>
          <w:rtl/>
        </w:rPr>
        <w:tab/>
        <w:t>ד"ר יוסי ברג</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איגוד הצרכנים</w:t>
      </w:r>
      <w:r>
        <w:rPr>
          <w:rFonts w:cs="Guttman David"/>
          <w:sz w:val="20"/>
          <w:szCs w:val="20"/>
          <w:rtl/>
        </w:rPr>
        <w:tab/>
        <w:t>תקוה נוימן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סמנכ"ל תפעול, אופק העולם החדש בע"מ</w:t>
      </w:r>
      <w:r>
        <w:rPr>
          <w:rFonts w:cs="Guttman David"/>
          <w:sz w:val="20"/>
          <w:szCs w:val="20"/>
          <w:rtl/>
        </w:rPr>
        <w:tab/>
        <w:t>שלמה קס</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ממונה על רגולציה, אופק העולם החדש בע"מ</w:t>
      </w:r>
      <w:r>
        <w:rPr>
          <w:rFonts w:cs="Guttman David"/>
          <w:sz w:val="20"/>
          <w:szCs w:val="20"/>
          <w:rtl/>
        </w:rPr>
        <w:tab/>
        <w:t>עוד</w:t>
      </w:r>
      <w:r>
        <w:rPr>
          <w:rFonts w:cs="Guttman David"/>
          <w:sz w:val="20"/>
          <w:szCs w:val="20"/>
          <w:rtl/>
        </w:rPr>
        <w:t xml:space="preserve"> נילי יבניאלי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איגוד מפיקי סרטים וטלוויזיה</w:t>
      </w:r>
      <w:r>
        <w:rPr>
          <w:rFonts w:cs="Guttman David"/>
          <w:sz w:val="20"/>
          <w:szCs w:val="20"/>
          <w:rtl/>
        </w:rPr>
        <w:tab/>
        <w:t>שלום פוריס</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יו"ר המועצה לשידורי כבלים</w:t>
      </w:r>
      <w:r>
        <w:rPr>
          <w:rFonts w:cs="Guttman David"/>
          <w:sz w:val="20"/>
          <w:szCs w:val="20"/>
          <w:rtl/>
        </w:rPr>
        <w:tab/>
        <w:t>עו"ד דורית ענבר</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מנכ"ל המינהלת להסדרת השידורים לציבור, המועצה לשידורי כבלים</w:t>
      </w:r>
      <w:r>
        <w:rPr>
          <w:rFonts w:cs="Guttman David"/>
          <w:sz w:val="20"/>
          <w:szCs w:val="20"/>
          <w:rtl/>
        </w:rPr>
        <w:tab/>
        <w:t>יורם מוקדי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הממונה על הגבלים עסקיים</w:t>
      </w:r>
      <w:r>
        <w:rPr>
          <w:rFonts w:cs="Guttman David"/>
          <w:sz w:val="20"/>
          <w:szCs w:val="20"/>
          <w:rtl/>
        </w:rPr>
        <w:tab/>
        <w:t>ד"ר דוד תדמור</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הרשות להגבלים עסקיים</w:t>
      </w:r>
      <w:r>
        <w:rPr>
          <w:rFonts w:cs="Guttman David"/>
          <w:sz w:val="20"/>
          <w:szCs w:val="20"/>
          <w:rtl/>
        </w:rPr>
        <w:tab/>
        <w:t>עו"ד גל רוזנט</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לשכת עורכי-ה</w:t>
      </w:r>
      <w:r>
        <w:rPr>
          <w:rFonts w:cs="Guttman David"/>
          <w:sz w:val="20"/>
          <w:szCs w:val="20"/>
          <w:rtl/>
        </w:rPr>
        <w:t>דין</w:t>
      </w:r>
      <w:r>
        <w:rPr>
          <w:rFonts w:cs="Guttman David"/>
          <w:sz w:val="20"/>
          <w:szCs w:val="20"/>
          <w:rtl/>
        </w:rPr>
        <w:tab/>
        <w:t>עו"ד אלי בורוכוב</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מנכ"ל איגוד העובדים בקולנוע ובטלוויזיה</w:t>
      </w:r>
      <w:r>
        <w:rPr>
          <w:rFonts w:cs="Guttman David"/>
          <w:sz w:val="20"/>
          <w:szCs w:val="20"/>
          <w:rtl/>
        </w:rPr>
        <w:tab/>
        <w:t>אייל מלובן</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יו"ר איגוד העובדים בקולנוע ובטלוויזיה</w:t>
      </w:r>
      <w:r>
        <w:rPr>
          <w:rFonts w:cs="Guttman David"/>
          <w:sz w:val="20"/>
          <w:szCs w:val="20"/>
          <w:rtl/>
        </w:rPr>
        <w:tab/>
        <w:t>דב מעוז</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פורום היוצרים בקולנוע ובטלוויזיה</w:t>
      </w:r>
      <w:r>
        <w:rPr>
          <w:rFonts w:cs="Guttman David"/>
          <w:sz w:val="20"/>
          <w:szCs w:val="20"/>
          <w:rtl/>
        </w:rPr>
        <w:tab/>
        <w:t>יינית קריינר</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יועץ לפורום חברות התקשורת העצמאיות</w:t>
      </w:r>
      <w:r>
        <w:rPr>
          <w:rFonts w:cs="Guttman David"/>
          <w:sz w:val="20"/>
          <w:szCs w:val="20"/>
          <w:rtl/>
        </w:rPr>
        <w:tab/>
        <w:t>ליאור חורב</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קבוצת הארץ</w:t>
      </w:r>
      <w:r>
        <w:rPr>
          <w:rFonts w:cs="Guttman David"/>
          <w:sz w:val="20"/>
          <w:szCs w:val="20"/>
          <w:rtl/>
        </w:rPr>
        <w:tab/>
        <w:t>יוסי עבדי</w:t>
      </w:r>
      <w:r>
        <w:rPr>
          <w:rFonts w:cs="Guttman David"/>
          <w:sz w:val="20"/>
          <w:szCs w:val="20"/>
          <w:rtl/>
        </w:rPr>
        <w:tab/>
      </w:r>
    </w:p>
    <w:p w:rsidR="00000000" w:rsidRDefault="0047127C">
      <w:pPr>
        <w:tabs>
          <w:tab w:val="left" w:pos="4523"/>
          <w:tab w:val="left" w:pos="6513"/>
          <w:tab w:val="left" w:pos="7817"/>
        </w:tabs>
        <w:jc w:val="left"/>
        <w:rPr>
          <w:rFonts w:cs="Guttman David"/>
          <w:sz w:val="20"/>
          <w:szCs w:val="20"/>
          <w:rtl/>
        </w:rPr>
      </w:pPr>
      <w:r>
        <w:rPr>
          <w:rFonts w:cs="Guttman David"/>
          <w:sz w:val="20"/>
          <w:szCs w:val="20"/>
          <w:rtl/>
        </w:rPr>
        <w:t>מרכז מחקר ומידע של ה</w:t>
      </w:r>
      <w:r>
        <w:rPr>
          <w:rFonts w:cs="Guttman David"/>
          <w:sz w:val="20"/>
          <w:szCs w:val="20"/>
          <w:rtl/>
        </w:rPr>
        <w:t>כנסת</w:t>
      </w:r>
      <w:r>
        <w:rPr>
          <w:rFonts w:cs="Guttman David"/>
          <w:sz w:val="20"/>
          <w:szCs w:val="20"/>
          <w:rtl/>
        </w:rPr>
        <w:tab/>
        <w:t>יהודה שחרור</w:t>
      </w:r>
      <w:r>
        <w:rPr>
          <w:rFonts w:cs="Guttman David"/>
          <w:sz w:val="20"/>
          <w:szCs w:val="20"/>
          <w:rtl/>
        </w:rPr>
        <w:tab/>
      </w:r>
    </w:p>
    <w:p w:rsidR="00000000" w:rsidRDefault="0047127C">
      <w:pPr>
        <w:jc w:val="left"/>
        <w:rPr>
          <w:rFonts w:cs="Guttman David"/>
          <w:sz w:val="20"/>
          <w:szCs w:val="20"/>
          <w:rtl/>
        </w:rPr>
      </w:pPr>
    </w:p>
    <w:p w:rsidR="00000000" w:rsidRDefault="0047127C">
      <w:pPr>
        <w:rPr>
          <w:rFonts w:cs="Guttman David"/>
          <w:sz w:val="20"/>
          <w:szCs w:val="20"/>
          <w:rtl/>
        </w:rPr>
      </w:pPr>
      <w:r>
        <w:rPr>
          <w:rFonts w:cs="Guttman David"/>
          <w:b/>
          <w:bCs/>
          <w:sz w:val="20"/>
          <w:szCs w:val="20"/>
          <w:u w:val="single"/>
          <w:rtl/>
        </w:rPr>
        <w:t>יועצת משפטית</w:t>
      </w:r>
      <w:r>
        <w:rPr>
          <w:rFonts w:cs="Guttman David"/>
          <w:sz w:val="20"/>
          <w:szCs w:val="20"/>
          <w:u w:val="single"/>
          <w:rtl/>
        </w:rPr>
        <w:t>:</w:t>
      </w:r>
      <w:r>
        <w:rPr>
          <w:rFonts w:cs="Guttman David"/>
          <w:sz w:val="20"/>
          <w:szCs w:val="20"/>
          <w:rtl/>
        </w:rPr>
        <w:tab/>
        <w:t>אתי בנדלר</w:t>
      </w:r>
    </w:p>
    <w:p w:rsidR="00000000" w:rsidRDefault="0047127C">
      <w:pPr>
        <w:rPr>
          <w:rFonts w:cs="Guttman David"/>
          <w:sz w:val="20"/>
          <w:szCs w:val="20"/>
          <w:rtl/>
        </w:rPr>
      </w:pPr>
      <w:r>
        <w:rPr>
          <w:rFonts w:cs="Guttman David"/>
          <w:sz w:val="20"/>
          <w:szCs w:val="20"/>
          <w:rtl/>
        </w:rPr>
        <w:tab/>
      </w:r>
      <w:r>
        <w:rPr>
          <w:rFonts w:cs="Guttman David"/>
          <w:sz w:val="20"/>
          <w:szCs w:val="20"/>
          <w:rtl/>
        </w:rPr>
        <w:tab/>
      </w:r>
      <w:r>
        <w:rPr>
          <w:rFonts w:cs="Guttman David"/>
          <w:sz w:val="20"/>
          <w:szCs w:val="20"/>
          <w:rtl/>
        </w:rPr>
        <w:tab/>
        <w:t>עדי שפריר (מתמחה)</w:t>
      </w:r>
    </w:p>
    <w:p w:rsidR="00000000" w:rsidRDefault="0047127C">
      <w:pPr>
        <w:ind w:left="454"/>
        <w:jc w:val="left"/>
        <w:rPr>
          <w:rFonts w:cs="Guttman David"/>
          <w:sz w:val="20"/>
          <w:szCs w:val="20"/>
          <w:rtl/>
        </w:rPr>
      </w:pPr>
    </w:p>
    <w:p w:rsidR="00000000" w:rsidRDefault="0047127C">
      <w:pPr>
        <w:rPr>
          <w:rFonts w:cs="Guttman David"/>
          <w:sz w:val="20"/>
          <w:szCs w:val="20"/>
          <w:rtl/>
        </w:rPr>
      </w:pPr>
      <w:r>
        <w:rPr>
          <w:rFonts w:cs="Guttman David"/>
          <w:b/>
          <w:bCs/>
          <w:sz w:val="20"/>
          <w:szCs w:val="20"/>
          <w:u w:val="single"/>
          <w:rtl/>
        </w:rPr>
        <w:t>מנהלת הוועדה:</w:t>
      </w:r>
      <w:r>
        <w:rPr>
          <w:rFonts w:cs="Guttman David"/>
          <w:sz w:val="20"/>
          <w:szCs w:val="20"/>
          <w:rtl/>
        </w:rPr>
        <w:tab/>
        <w:t>לאה ורון</w:t>
      </w:r>
    </w:p>
    <w:p w:rsidR="00000000" w:rsidRDefault="0047127C">
      <w:pPr>
        <w:ind w:left="454"/>
        <w:jc w:val="left"/>
        <w:rPr>
          <w:rFonts w:cs="Guttman David"/>
          <w:sz w:val="20"/>
          <w:szCs w:val="20"/>
          <w:rtl/>
        </w:rPr>
      </w:pPr>
    </w:p>
    <w:p w:rsidR="00000000" w:rsidRDefault="0047127C">
      <w:pPr>
        <w:tabs>
          <w:tab w:val="left" w:pos="1728"/>
        </w:tabs>
        <w:rPr>
          <w:rFonts w:cs="Guttman David"/>
          <w:sz w:val="20"/>
          <w:szCs w:val="20"/>
          <w:rtl/>
        </w:rPr>
      </w:pPr>
      <w:r>
        <w:rPr>
          <w:rFonts w:cs="Guttman David"/>
          <w:b/>
          <w:bCs/>
          <w:sz w:val="20"/>
          <w:szCs w:val="20"/>
          <w:u w:val="single"/>
          <w:rtl/>
        </w:rPr>
        <w:t>רשמה:</w:t>
      </w:r>
      <w:r>
        <w:rPr>
          <w:rFonts w:cs="Guttman David"/>
          <w:sz w:val="20"/>
          <w:szCs w:val="20"/>
          <w:rtl/>
        </w:rPr>
        <w:tab/>
        <w:t>אירית שלהבת</w:t>
      </w:r>
    </w:p>
    <w:p w:rsidR="00000000" w:rsidRDefault="0047127C">
      <w:pPr>
        <w:rPr>
          <w:rFonts w:cs="Guttman David"/>
          <w:sz w:val="20"/>
          <w:szCs w:val="20"/>
          <w:rtl/>
        </w:rPr>
      </w:pPr>
    </w:p>
    <w:p w:rsidR="00000000" w:rsidRDefault="0047127C">
      <w:pPr>
        <w:rPr>
          <w:rFonts w:cs="Guttman David"/>
          <w:sz w:val="20"/>
          <w:szCs w:val="20"/>
          <w:rtl/>
        </w:rPr>
      </w:pPr>
    </w:p>
    <w:p w:rsidR="00000000" w:rsidRDefault="0047127C">
      <w:pPr>
        <w:rPr>
          <w:rFonts w:cs="Guttman David"/>
          <w:sz w:val="20"/>
          <w:szCs w:val="20"/>
          <w:rtl/>
        </w:rPr>
      </w:pPr>
      <w:r>
        <w:rPr>
          <w:rFonts w:cs="Guttman David"/>
          <w:b/>
          <w:bCs/>
          <w:sz w:val="20"/>
          <w:szCs w:val="20"/>
          <w:u w:val="single"/>
          <w:rtl/>
        </w:rPr>
        <w:t>סדר היום:</w:t>
      </w:r>
      <w:r>
        <w:rPr>
          <w:rFonts w:cs="Guttman David"/>
          <w:sz w:val="20"/>
          <w:szCs w:val="20"/>
          <w:rtl/>
        </w:rPr>
        <w:tab/>
        <w:t>1.</w:t>
      </w:r>
      <w:r>
        <w:rPr>
          <w:rFonts w:cs="Guttman David"/>
          <w:sz w:val="20"/>
          <w:szCs w:val="20"/>
          <w:rtl/>
        </w:rPr>
        <w:tab/>
        <w:t xml:space="preserve"> הצעת חוק הבזק (תיקון - שירותי אינטרנט), התש"ס-2000 (של חה"כ מ' איתן). </w:t>
      </w:r>
    </w:p>
    <w:p w:rsidR="00000000" w:rsidRDefault="0047127C">
      <w:pPr>
        <w:tabs>
          <w:tab w:val="left" w:pos="1134"/>
          <w:tab w:val="left" w:pos="1418"/>
        </w:tabs>
        <w:ind w:left="1418" w:hanging="1418"/>
        <w:rPr>
          <w:rFonts w:cs="Guttman David"/>
          <w:sz w:val="20"/>
          <w:szCs w:val="20"/>
          <w:rtl/>
        </w:rPr>
      </w:pPr>
    </w:p>
    <w:p w:rsidR="00000000" w:rsidRDefault="0047127C">
      <w:pPr>
        <w:ind w:left="1701" w:hanging="567"/>
        <w:rPr>
          <w:rFonts w:cs="Guttman David"/>
          <w:sz w:val="20"/>
          <w:szCs w:val="20"/>
          <w:rtl/>
        </w:rPr>
      </w:pPr>
      <w:r>
        <w:rPr>
          <w:rFonts w:cs="Guttman David"/>
          <w:sz w:val="20"/>
          <w:szCs w:val="20"/>
          <w:rtl/>
        </w:rPr>
        <w:t>2.</w:t>
      </w:r>
      <w:r>
        <w:rPr>
          <w:rFonts w:cs="Guttman David"/>
          <w:sz w:val="20"/>
          <w:szCs w:val="20"/>
          <w:rtl/>
        </w:rPr>
        <w:tab/>
        <w:t>הצעת חוק הבזק (תיקון - שידורי בזק פנים ארציים נייחים), התש</w:t>
      </w:r>
      <w:r>
        <w:rPr>
          <w:rFonts w:cs="Guttman David"/>
          <w:sz w:val="20"/>
          <w:szCs w:val="20"/>
          <w:rtl/>
        </w:rPr>
        <w:t>"ס-2000 (של חה"כ א' בן-מנחם).</w:t>
      </w:r>
    </w:p>
    <w:p w:rsidR="00000000" w:rsidRDefault="0047127C">
      <w:pPr>
        <w:tabs>
          <w:tab w:val="left" w:pos="1134"/>
          <w:tab w:val="left" w:pos="1418"/>
        </w:tabs>
        <w:ind w:left="2552" w:hanging="1418"/>
        <w:rPr>
          <w:rFonts w:cs="Guttman David"/>
          <w:sz w:val="20"/>
          <w:szCs w:val="20"/>
          <w:rtl/>
        </w:rPr>
      </w:pPr>
    </w:p>
    <w:p w:rsidR="00000000" w:rsidRDefault="0047127C">
      <w:pPr>
        <w:pStyle w:val="22"/>
        <w:ind w:left="1701" w:right="0" w:hanging="567"/>
        <w:rPr>
          <w:rFonts w:cs="Guttman David"/>
          <w:sz w:val="20"/>
          <w:szCs w:val="20"/>
          <w:rtl/>
        </w:rPr>
      </w:pPr>
      <w:r>
        <w:rPr>
          <w:rFonts w:cs="Guttman David"/>
          <w:sz w:val="20"/>
          <w:szCs w:val="20"/>
          <w:rtl/>
        </w:rPr>
        <w:t>3.       הצעת חוק הבזק (תנאים להענקת רשיונות למתן שירותי בזק פנים-ארציים נייחים והסדרת השירותים הרב-ערוציים למנויים) (תיקון מס' 24), התשס"א-2000 (של חה"כ: א' פורז, מ' איתן, א' גולדשמידט, נ' חזן, א' טיבי, מ' שטרית).</w:t>
      </w:r>
    </w:p>
    <w:p w:rsidR="00000000" w:rsidRDefault="0047127C">
      <w:pPr>
        <w:tabs>
          <w:tab w:val="left" w:pos="1134"/>
          <w:tab w:val="left" w:pos="1418"/>
        </w:tabs>
        <w:ind w:left="1445" w:hanging="311"/>
        <w:rPr>
          <w:rFonts w:cs="Guttman David"/>
          <w:sz w:val="20"/>
          <w:szCs w:val="20"/>
          <w:rtl/>
        </w:rPr>
      </w:pPr>
    </w:p>
    <w:p w:rsidR="00000000" w:rsidRDefault="0047127C">
      <w:pPr>
        <w:rPr>
          <w:rFonts w:cs="Guttman David"/>
          <w:sz w:val="20"/>
          <w:szCs w:val="20"/>
          <w:rtl/>
        </w:rPr>
      </w:pPr>
      <w:r>
        <w:rPr>
          <w:rFonts w:cs="Guttman David"/>
          <w:sz w:val="20"/>
          <w:szCs w:val="20"/>
          <w:rtl/>
        </w:rPr>
        <w:br w:type="page"/>
      </w:r>
    </w:p>
    <w:p w:rsidR="00000000" w:rsidRDefault="0047127C">
      <w:pPr>
        <w:jc w:val="center"/>
        <w:rPr>
          <w:rFonts w:cs="Guttman David"/>
          <w:b/>
          <w:bCs/>
          <w:sz w:val="20"/>
          <w:szCs w:val="20"/>
          <w:rtl/>
        </w:rPr>
      </w:pPr>
      <w:r>
        <w:rPr>
          <w:rFonts w:cs="Guttman David"/>
          <w:b/>
          <w:bCs/>
          <w:sz w:val="20"/>
          <w:szCs w:val="20"/>
          <w:rtl/>
        </w:rPr>
        <w:t>הצעת חו</w:t>
      </w:r>
      <w:r>
        <w:rPr>
          <w:rFonts w:cs="Guttman David"/>
          <w:b/>
          <w:bCs/>
          <w:sz w:val="20"/>
          <w:szCs w:val="20"/>
          <w:rtl/>
        </w:rPr>
        <w:t>ק הבזק (תיקון - שירותי אינטרנט), התש"ס-2000</w:t>
      </w:r>
    </w:p>
    <w:p w:rsidR="00000000" w:rsidRDefault="0047127C">
      <w:pPr>
        <w:jc w:val="center"/>
        <w:rPr>
          <w:rFonts w:cs="Guttman David"/>
          <w:b/>
          <w:bCs/>
          <w:sz w:val="20"/>
          <w:szCs w:val="20"/>
          <w:rtl/>
        </w:rPr>
      </w:pPr>
      <w:r>
        <w:rPr>
          <w:rFonts w:cs="Guttman David"/>
          <w:b/>
          <w:bCs/>
          <w:sz w:val="20"/>
          <w:szCs w:val="20"/>
          <w:rtl/>
        </w:rPr>
        <w:t>הצעת חוק הבזק (תיקון - שידורי בזק פנים ארציים נייחים), התש"ס-2000</w:t>
      </w:r>
    </w:p>
    <w:p w:rsidR="00000000" w:rsidRDefault="0047127C">
      <w:pPr>
        <w:jc w:val="center"/>
        <w:rPr>
          <w:rFonts w:cs="Guttman David"/>
          <w:b/>
          <w:bCs/>
          <w:sz w:val="20"/>
          <w:szCs w:val="20"/>
          <w:rtl/>
        </w:rPr>
      </w:pPr>
      <w:r>
        <w:rPr>
          <w:rFonts w:cs="Guttman David"/>
          <w:b/>
          <w:bCs/>
          <w:sz w:val="20"/>
          <w:szCs w:val="20"/>
          <w:rtl/>
        </w:rPr>
        <w:t xml:space="preserve">הצעת חוק הבזק (תנאים להענקת רשיונות למתן שירותי בזק פנים-ארציים נייחים והסדרת השירותים </w:t>
      </w:r>
      <w:r>
        <w:rPr>
          <w:rFonts w:cs="Guttman David"/>
          <w:b/>
          <w:bCs/>
          <w:sz w:val="20"/>
          <w:szCs w:val="20"/>
          <w:u w:val="single"/>
          <w:rtl/>
        </w:rPr>
        <w:t>הרב-ערוציים למנויים) (תיקון מס' 24), התשס"א-2000</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w:t>
      </w:r>
      <w:r>
        <w:rPr>
          <w:rFonts w:cs="Guttman David"/>
          <w:sz w:val="20"/>
          <w:szCs w:val="20"/>
          <w:u w:val="single"/>
          <w:rtl/>
        </w:rPr>
        <w:t>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אני מבקש להתנצל על האיחור בפתיחת הישיבה.</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רוצה לדבר קצת על הפרוצדורה. אני לא יודע מתי הכנסת תצא לפגרת בחירות, אם בכלל. יתכן שזה יהיה מוקדם ויתכן שקצת יותר מאוחר. אבל אנחנו צריכים לצאת מתוך הנחה שזה עשוי או עלול לקרות, הכל לפי טעמו של השומע</w:t>
      </w:r>
      <w:r>
        <w:rPr>
          <w:rFonts w:cs="Guttman David"/>
          <w:sz w:val="20"/>
          <w:szCs w:val="20"/>
          <w:rtl/>
        </w:rPr>
        <w:t>.</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כפי שאתם רואים, האולם מלא. אני מודיע בזה שאני אהיה חסר סבלנות לחלוטין לגבי הפרעות. מי שיפריע - ייצא, ואחר-כך אני אשקול אם בכל ניתן לו אי פעם להשתתף בעוד ישיבות. אנחנו יכולים למעשה לקיים דיון שבו יהיו נוכחים רק חברי הכנסת בלי לשמוע אף אחד ומבלי לדבר עם </w:t>
      </w:r>
      <w:r>
        <w:rPr>
          <w:rFonts w:cs="Guttman David"/>
          <w:sz w:val="20"/>
          <w:szCs w:val="20"/>
          <w:rtl/>
        </w:rPr>
        <w:t>אף אחד. לא כתוב בשום מקום שאנחנו צריכים להתייעץ עם מישהו או לשמוע חוות דעת ממישהו. אני לא מתכוון להקדיש חלק גדול מהזמן המועט שיש לנו להשלטת סדר.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לגבי הישיבות הבאות, אני מבקש שכל גוף ישלח לכל היותר שני נציגים. אנחנו אפילו כמעט בבעיה פיסית של מקומות ישיבה </w:t>
      </w:r>
      <w:r>
        <w:rPr>
          <w:rFonts w:cs="Guttman David"/>
          <w:sz w:val="20"/>
          <w:szCs w:val="20"/>
          <w:rtl/>
        </w:rPr>
        <w:t>ואין לנו חדר יותר גדול.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בהמשך הדיונים אנחנו נבדוק את האפשרות, האם אנחנו יכולים לנסות לסכם את העניין כולו או שאנחנו צריכים לקחת כמה פרקים מתוך העניין ולפתור אותם.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עיינתי בחומר והייתי רוצה שהמשתתפים יתרכזו בכמה נושאים שמעניינים אותנו.</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הנושא הראשון הוא </w:t>
      </w:r>
      <w:r>
        <w:rPr>
          <w:rFonts w:cs="Guttman David"/>
          <w:sz w:val="20"/>
          <w:szCs w:val="20"/>
          <w:rtl/>
        </w:rPr>
        <w:t xml:space="preserve">האם לגבי הכבלים, בתום תקופת הזכיונות הראשונה, צריך להוציא את זה למכרז. דהיינו, האם אנחנו יכולים באופן סטטוטורי להחליט שהזכיון מוארך ל-4 שנים נוספות, מתוך ההנחה המובנית שהם כאילו עמדו בתנאי הזכיון? הרי שם נאמר שאפשר להאריך את הזכיון אם עמדו בתנאים - אני לא </w:t>
      </w:r>
      <w:r>
        <w:rPr>
          <w:rFonts w:cs="Guttman David"/>
          <w:sz w:val="20"/>
          <w:szCs w:val="20"/>
          <w:rtl/>
        </w:rPr>
        <w:t xml:space="preserve">זוכר בדיוק את הניסוח, למרות שהייתי שותף להכנת הניסוח הזה.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פה מדובר על רשיון ולא על זכיון.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ברור לחלוטין שאם יש עוד שחקנים נוספים בשוק הטלוויזיה בכבלים אז זה כבר לא יותר זכיון, כי זכיון הוא יחודי ובלעדי. מרגע שנכנסים עוד ג</w:t>
      </w:r>
      <w:r>
        <w:rPr>
          <w:rFonts w:cs="Guttman David"/>
          <w:sz w:val="20"/>
          <w:szCs w:val="20"/>
          <w:rtl/>
        </w:rPr>
        <w:t>ורמים זה כבר מפסיק להיות זכיון והופך למשהו אחר. אני לא יודע בדיוק אם זה רשיון או לא. אבל השאלה הראשונה שאנחנו שואלים היא האם מן הראוי בחקיקה לקבוע שתקופת הזכיונות המקורית שהוענקה מתארכת.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זקוקים לזה.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הנושא השני, האם המ</w:t>
      </w:r>
      <w:r>
        <w:rPr>
          <w:rFonts w:cs="Guttman David"/>
          <w:sz w:val="20"/>
          <w:szCs w:val="20"/>
          <w:rtl/>
        </w:rPr>
        <w:t>דינה זכאית לתמורה, ואם כן - למה. מה ההנמקה לתמורה הזאת?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הנושא השלישי, מה אנחנו עושים לגבי שאלת זכות המעבר החופשי של גורמים נוספים, מה אנחנו עושים לגבי ה-</w:t>
      </w:r>
      <w:r>
        <w:rPr>
          <w:rFonts w:cs="Guttman David"/>
          <w:sz w:val="20"/>
          <w:szCs w:val="20"/>
        </w:rPr>
        <w:t>unbundling</w:t>
      </w:r>
      <w:r>
        <w:rPr>
          <w:rFonts w:cs="Guttman David"/>
          <w:sz w:val="20"/>
          <w:szCs w:val="20"/>
          <w:rtl/>
        </w:rPr>
        <w:t>, ועד כמה אנחנו צריכים להפוך את חברות הכבלים מחברות טלוויזיה לחברות תקשורת.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יש פה מיש</w:t>
      </w:r>
      <w:r>
        <w:rPr>
          <w:rFonts w:cs="Guttman David"/>
          <w:sz w:val="20"/>
          <w:szCs w:val="20"/>
          <w:rtl/>
        </w:rPr>
        <w:t>הו ממשרד האוצר שיכול להסביר? האם יש פה מישהו אחר מטעם המדינה שרוצה להסביר?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מבקש לומר משהו פרה-לימינרי לסדרי הדיון. מבין 3 ההצעות שעל סדר היום יש אחת שהיא מאוד נקודתית, היא לא חלק מהמכלול שעליו אתה דיברת עכשיו, הצעת החוק של חבר הכנסת אלי בן-</w:t>
      </w:r>
      <w:r>
        <w:rPr>
          <w:rFonts w:cs="Guttman David"/>
          <w:sz w:val="20"/>
          <w:szCs w:val="20"/>
          <w:rtl/>
        </w:rPr>
        <w:t>מנחם. אני חושב שאפשר יהיה להפריד את הנושא הזה ולפתור אותו בצורה יותר מהירה. זה יקנה הרבה וודאות לתחום הזה.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יכול להיות. כרגע כל אחת משלוש ההצעות עומדת ברשות עצמה. אנחנו עדיין לא איחדנו שום דבר. נראה בהמשך. יכול להיות שזה באמת דבר שצריך </w:t>
      </w:r>
      <w:r>
        <w:rPr>
          <w:rFonts w:cs="Guttman David"/>
          <w:sz w:val="20"/>
          <w:szCs w:val="20"/>
          <w:rtl/>
        </w:rPr>
        <w:t>להיות מטופל בנפרד.</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האם יש פה מישהו מנציגי המדינה שרוצה להסביר את העמדה של חברות הכבלים נגד הארכת הזכיונות?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נגד אי-ביטול חובת המכירה.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נגד אי-ביטול חובת המכירה. ואם כן, למה? האם מישהו יכול להסביר? האם אף אחד מאנשי האוצר </w:t>
      </w:r>
      <w:r>
        <w:rPr>
          <w:rFonts w:cs="Guttman David"/>
          <w:sz w:val="20"/>
          <w:szCs w:val="20"/>
          <w:rtl/>
        </w:rPr>
        <w:t xml:space="preserve">לא בא? אני אף פעם לא אוהב שנותנים כאן את הטיעון של הצד השני. ד"ר יזהר טל, אני מבקש ממך להודיע לאנשי משרד האוצר שבישיבה הקרובה ביום חמישי אנחנו נבקש מהם הסבר - שישלחו לפה את מי שהם רוצים - על מנת לשכנע אותנו בטיעון שלהם. אני לא יודע מה הטיעון באופן מדוייק. </w:t>
      </w:r>
      <w:r>
        <w:rPr>
          <w:rFonts w:cs="Guttman David"/>
          <w:sz w:val="20"/>
          <w:szCs w:val="20"/>
          <w:rtl/>
        </w:rPr>
        <w:t>אני רוצה לשמוע אותו מפיהם.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דבר שני, רציתי לשאול אתכם לגבי ההצעה הממשלתית. איפה אתם עומדים איתה?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קיבלנו את ברכתה של ועדת שרים לענייני חקיקה. אנחנו עכשיו בעבודה אינטנסיבית של ניסוח מול משרד המשפטים לקראת העברה לפרסום בהצעות חוק בנוסח הכחו</w:t>
      </w:r>
      <w:r>
        <w:rPr>
          <w:rFonts w:cs="Guttman David"/>
          <w:sz w:val="20"/>
          <w:szCs w:val="20"/>
          <w:rtl/>
        </w:rPr>
        <w:t>ל. אני מניח שזה ידרוש עוד 7-10 ימים של עבודה על פרטים קטנים.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מה סגרתם שם לגבי התמורה? הרי יש ויכוח על כך. איך תיקבע התמורה?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לגבי התמורה אין ויכוח. לגבי התמורה ישנו נוסח שהיה מוסכם על משרד המשפטים ועלינו, ואני חושב שגם על מש</w:t>
      </w:r>
      <w:r>
        <w:rPr>
          <w:rFonts w:cs="Guttman David"/>
          <w:sz w:val="20"/>
          <w:szCs w:val="20"/>
          <w:rtl/>
        </w:rPr>
        <w:t xml:space="preserve">רד האוצר. מהות ההסדר היא שימונה מעריך מומחה בידי שר התקשורת, בהסכמת שר האוצר, ואולי יותר ממומחה אחד, על כך עוד יש ויכוח. המומחה יקבע את התמורה כשיעור יחסי, כאיזה חלק מתאים מתוך הערך הכלכלי שיצמח לבעל הזכיון בעקבות ביטולו של סעיף 6יא(ב), כלומר בעקבות ביטול </w:t>
      </w:r>
      <w:r>
        <w:rPr>
          <w:rFonts w:cs="Guttman David"/>
          <w:sz w:val="20"/>
          <w:szCs w:val="20"/>
          <w:rtl/>
        </w:rPr>
        <w:t>חובת המכירה.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זה מקובל על הממשלה. האם ההסדר הזה מקובל גם על חברות הכבלים?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צריך לשאול אותם. הם נמצאים פה והם יכולים לדבר בעד עצמם.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נשמע עכשיו כמה מהנוכחים. מה אתם אומרים?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 xml:space="preserve"> </w:t>
      </w:r>
      <w:r>
        <w:rPr>
          <w:rFonts w:cs="Guttman David"/>
          <w:sz w:val="20"/>
          <w:szCs w:val="20"/>
          <w:rtl/>
        </w:rPr>
        <w:tab/>
        <w:t xml:space="preserve">באופן מוחלט </w:t>
      </w:r>
      <w:r>
        <w:rPr>
          <w:rFonts w:cs="Guttman David"/>
          <w:sz w:val="20"/>
          <w:szCs w:val="20"/>
          <w:rtl/>
        </w:rPr>
        <w:t>אנחנו לא מסכימים לסעיף התמורה. אני חושב שסעיף התמורה הזה מבוסס על חוות הדעת של היועץ המשפטי לממשלה, שאנחנו משוכנעים שהיא לא נכונה, ובגין זה הגשנו בג"ץ. יש לנו גם חוות דעת של מומחים מכל האקדמיה וסביבתה המשפטית שחושבת שחוות הדעת מוטעית.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r>
      <w:r>
        <w:rPr>
          <w:rFonts w:cs="Guttman David"/>
          <w:sz w:val="20"/>
          <w:szCs w:val="20"/>
          <w:rtl/>
        </w:rPr>
        <w:t>מכל האקדמיה? לא השארתם אף אחד שהוא נגדכם?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חושבים שאין שום עילה לסעיף התמורה. אני חושב שגם חוות הדעת הראשונות של משרד התקשורת התייחסו ברוח זאת.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נקבע מועד לדיון בבג"ץ?</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המדינה צריכה להגיב נדמה לי תוך</w:t>
      </w:r>
      <w:r>
        <w:rPr>
          <w:rFonts w:cs="Guttman David"/>
          <w:sz w:val="20"/>
          <w:szCs w:val="20"/>
          <w:rtl/>
        </w:rPr>
        <w:t xml:space="preserve"> 7-10 ימים. היא נדרשה להגיב תוך 45 ימים.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מבין שאתם גם הסכמתם לבוררות בעניין הזה אבל המדינה לא הסכימה.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הסכמנו לבוררות וביקשנו אותה. הצענו אפילו, כדי שיהיה מעל לכל ספק, את נשיא בית-המשפט העליון לשעבר, מתוך הנחה</w:t>
      </w:r>
      <w:r>
        <w:rPr>
          <w:rFonts w:cs="Guttman David"/>
          <w:sz w:val="20"/>
          <w:szCs w:val="20"/>
          <w:rtl/>
        </w:rPr>
        <w:t xml:space="preserve"> שהוא יסתכל על כל הסוגיות ויבחן גם את חוות הדעת של היועץ המשפטי לממשלה. אם הוא יגיע לאותה מסקנה כמונו אז הוא ישקול את כל ההיבטים. אנחנו מוכנים לחתום שכל קביעה שלו תהיה מקובלת עלינו. גם אם הוא יאשר את הקביעה שצריכים לשלם, וגם אם הוא יבחר לעצמו את אותו מומחה</w:t>
      </w:r>
      <w:r>
        <w:rPr>
          <w:rFonts w:cs="Guttman David"/>
          <w:sz w:val="20"/>
          <w:szCs w:val="20"/>
          <w:rtl/>
        </w:rPr>
        <w:t xml:space="preserve"> כלכלי ויגיד שדעת האוצר נכונה וצריך לשלם את מה שהאוצר חשב - אנחנו נעמוד מאחורי זה. אנחנו מוכנים לחתום על זה, מתוך הנחה שכאשר בורר כזה יוצא לדרך אפשר בעצם להעניק את רשיונות התקשורת, או לפתוח את שוק התקשורת.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בהנחה שהעניין הזה יהיה נ</w:t>
      </w:r>
      <w:r>
        <w:rPr>
          <w:rFonts w:cs="Guttman David"/>
          <w:sz w:val="20"/>
          <w:szCs w:val="20"/>
          <w:rtl/>
        </w:rPr>
        <w:t>ניח בבוררות או בהסדר דומה לזה, יש לכם איזה בעיה עם כך שמרגע שאנחנו נתקן את החוק אתם עוברים למשטר של רשיונות, זאת אומרת: אפשר לתת גם לגורמים אחרים לעסוק בכל התחומים? האם אתם מוכנים לעסוק בתחומים האחרים ולא איכפת לכם שאחרים יעסקו בתחומים שלכם? זה מקובל על כל</w:t>
      </w:r>
      <w:r>
        <w:rPr>
          <w:rFonts w:cs="Guttman David"/>
          <w:sz w:val="20"/>
          <w:szCs w:val="20"/>
          <w:rtl/>
        </w:rPr>
        <w:t xml:space="preserve"> חברות הכבלים?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אמת.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היות וזה הצעת חוק פרטית, יש לי חירות מלאה להתייחס אליה. זה יותר טוב מבחינתי.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באמת שמעתי קודם שהיית מאוד ממושמע וצייתן להחלטות הממשלה, באופן קתולי, באדיקות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אדוני היושב</w:t>
      </w:r>
      <w:r>
        <w:rPr>
          <w:rFonts w:cs="Guttman David"/>
          <w:sz w:val="20"/>
          <w:szCs w:val="20"/>
          <w:rtl/>
        </w:rPr>
        <w:t>-ראש, קודם כל אני רוצה להגיב להצעת החוק של ששת חברי הכנסת באופן כללי. את דעתי על הצעת החוק של חבר הכנסת איתן נתתי בדיון הקודם. אמרתי שטוב היה לקדם אותה ולהוסיף לה סעיף שיאמר שה--- שהשר נתן רישיון יפגע בבלעדיות של חברות הכבלים.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הצעת החוק של ששה חברי הכנסת</w:t>
      </w:r>
      <w:r>
        <w:rPr>
          <w:rFonts w:cs="Guttman David"/>
          <w:sz w:val="20"/>
          <w:szCs w:val="20"/>
          <w:rtl/>
        </w:rPr>
        <w:t xml:space="preserve"> מערבת שני נושאים מאוד חשובים: נושא התוכן ונושא התקשורת והאינטרנט המהיר. אני חושב שהיא מערבבת מין בשאינו מינו. טוב היה אם היתה דנה בנפרד בנושאים. אלה נושאים מאוד כבדי משקל בשתי הגזרות ואסור לנו בשום אופן לשכוח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כשאתה פועל בדבר אח</w:t>
      </w:r>
      <w:r>
        <w:rPr>
          <w:rFonts w:cs="Guttman David"/>
          <w:sz w:val="20"/>
          <w:szCs w:val="20"/>
          <w:rtl/>
        </w:rPr>
        <w:t>ד ואתה גומר אותו עד הסוף אז יש לזה השלכות על השני. הלא כך?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השלכות מסויימות אבל צריך לזכור שהמירוץ, שאני תומך בו בכל ליבי, לתת רשיון לאינטרנט מהיר לכל מי שיכול טכנולוגית לתת אותו, לא צריך לגרום לנו להתעלם מהשאלה איזה מידה של רגולציה אנחנו ר</w:t>
      </w:r>
      <w:r>
        <w:rPr>
          <w:rFonts w:cs="Guttman David"/>
          <w:sz w:val="20"/>
          <w:szCs w:val="20"/>
          <w:rtl/>
        </w:rPr>
        <w:t>וצים בתחום התוכן. הממשלה מציעה מה שהיא מציעה, זה כמובן זכותה. מצד חברי הכנסת, שחלקם עוסקים הרבה בתחום התקשורת, יש כאן הצעת חוק שמשמעותה הטלת חובת רישוי על ערוצי כבלים, שאינה קיימת במדינת ישראל. כאן יש קביעה של סוגי רשיונות לשידורים של ערוצים: רשיון כללי, ש</w:t>
      </w:r>
      <w:r>
        <w:rPr>
          <w:rFonts w:cs="Guttman David"/>
          <w:sz w:val="20"/>
          <w:szCs w:val="20"/>
          <w:rtl/>
        </w:rPr>
        <w:t xml:space="preserve">דומה לרשיון של זכיון - - -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מציע, ד"ר תדמור, שתעלה את הדברים כשנגיע לסעיפים הרלוונטיים.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בכל זאת, הרשה לי לומר מלה כללית. אני חושב שהמגמה הכללית בחקיקת החוק צריכה להיות לדה-רגולציה ולא לרה-רגולציה. הצעת החוק הזאת כולל</w:t>
      </w:r>
      <w:r>
        <w:rPr>
          <w:rFonts w:cs="Guttman David"/>
          <w:sz w:val="20"/>
          <w:szCs w:val="20"/>
          <w:rtl/>
        </w:rPr>
        <w:t>ת נדבכים לרגולציה שאינם קיימים בחקיקה הישראלית היום. יכול להיות שהוועדה סבורה שיש לנו מחסור בחקיקה בתחום התקשורת וצריך להוסיף את זה. אני רוצה להצביע על כך שלפחות מזווית ראייה של תחרות - תרומה גדולה אין בכך.</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נגיע לסעיפים. רבותי, מ</w:t>
      </w:r>
      <w:r>
        <w:rPr>
          <w:rFonts w:cs="Guttman David"/>
          <w:sz w:val="20"/>
          <w:szCs w:val="20"/>
          <w:rtl/>
        </w:rPr>
        <w:t>אחר שאנחנו בלחץ של זמן ומאחר שהצעת חוק פרטית צריכה גם לעבור מכשול של קריאה מוקדמת וקריאה ראשונה, אנחנו עכשיו נשתדל להכין במהירות המקסימלית הצעת חוק לצורך הקריאה הראשונה. זה עדיין לא סוף פסוק. יכולנו כמובן לעשות לעצמנו חיים קלים - לקחת את הדבר הזה, להעביר א</w:t>
      </w:r>
      <w:r>
        <w:rPr>
          <w:rFonts w:cs="Guttman David"/>
          <w:sz w:val="20"/>
          <w:szCs w:val="20"/>
          <w:rtl/>
        </w:rPr>
        <w:t>ותו לקריאה ראשונה תוך שתי דקות ואחר-כך לקיים דיון הרבה יותר עמוק אחרי הקריאה הראשונה. אני חושב שזה לא יהיה ראוי. אנחנו נתחיל כבר עכשיו לדון סעיף, סעיף, לצורך הכנה לקריאה הראשונה. ההחלטות שיתקבלו פה כוחן יפה לצורך קריאה ראשונה. הוועדה כמובן יכולה בכל עת לאח</w:t>
      </w:r>
      <w:r>
        <w:rPr>
          <w:rFonts w:cs="Guttman David"/>
          <w:sz w:val="20"/>
          <w:szCs w:val="20"/>
          <w:rtl/>
        </w:rPr>
        <w:t>ר הקריאה הראשונה, אם יתגבש פה רוב או אם יהיה שינוי מצב, לשנות את הסעיפים.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לך 5 נקודות ואני אשמח להגיד עליהן מלה. השאלה הראשונה היא האם נדרש מכרז בסוף התקופה. כל הגיונו של השינוי הזה וכל הגיונה של עמדת היועץ המשפטי לממשלה בדבר קיומה של תמור</w:t>
      </w:r>
      <w:r>
        <w:rPr>
          <w:rFonts w:cs="Guttman David"/>
          <w:sz w:val="20"/>
          <w:szCs w:val="20"/>
          <w:rtl/>
        </w:rPr>
        <w:t>ה, מתייחס אל ביטול החובה למכור את התשתית לאחר, ככל שאני מבין את הדברים. ביטול החובה למכור את התשתית לאחר היא פועל יוצא של שינוי החוק. החוק דיבר על משטר של זכיון בלעדי. אדם קיבל זכיון בלעדי במכרז, ולא בתמורה, ובנה תשתית בכספו. לפי החוק הקיים בסוף התקופה אדם</w:t>
      </w:r>
      <w:r>
        <w:rPr>
          <w:rFonts w:cs="Guttman David"/>
          <w:sz w:val="20"/>
          <w:szCs w:val="20"/>
          <w:rtl/>
        </w:rPr>
        <w:t xml:space="preserve"> אחר יכול לקבל זכיון. לפי החוק הקיים אם מישהו אחר יקבל זכיון, יהיה אחד עם זכיון ואחד עם תשתית. אחד צריך לקנות את התשתית והשני צריך למכור לו את התשתית. ביטול החובה הזאת מקנה איזה ויתור על זכות של המדינה, שזה, על-פי התיזה, מקנה זכות כספית למדינה.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השאלה, הא</w:t>
      </w:r>
      <w:r>
        <w:rPr>
          <w:rFonts w:cs="Guttman David"/>
          <w:sz w:val="20"/>
          <w:szCs w:val="20"/>
          <w:rtl/>
        </w:rPr>
        <w:t>ם נדרש מכרז בסוף התקופה, עולה מטיבה של ההצעה הזאת. הואיל ובעלי התשתית אמורים לקבל את הרשיונות והזכיונות, ממילא התשתית שלהם אינה מועמדת למכרז יותר. בכלל, היא איננה נמכרת - זה כל ההגיון של דרישת הפיצוי. המכרז לזכיון לא יהיה, הואיל ולא מדובר על זכיון בלבדי אל</w:t>
      </w:r>
      <w:r>
        <w:rPr>
          <w:rFonts w:cs="Guttman David"/>
          <w:sz w:val="20"/>
          <w:szCs w:val="20"/>
          <w:rtl/>
        </w:rPr>
        <w:t>א ברשיון, כמו שקיים ב-</w:t>
      </w:r>
      <w:r>
        <w:rPr>
          <w:rFonts w:cs="Guttman David"/>
          <w:sz w:val="20"/>
          <w:szCs w:val="20"/>
        </w:rPr>
        <w:t>DBS</w:t>
      </w:r>
      <w:r>
        <w:rPr>
          <w:rFonts w:cs="Guttman David"/>
          <w:sz w:val="20"/>
          <w:szCs w:val="20"/>
          <w:rtl/>
        </w:rPr>
        <w:t xml:space="preserve"> או בהקשרים אחרים. אדם ישלם את מה שישלם כתשלום קבוע ויקבל רשיון. לכן אין רלוונטיות לנושא המכרז מעת ששינוי הדין יתקיים, ככל שאני מבין את 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תקופת הזכיונות היא בת-הארכה? הכנסת בחקיקה יכלה להאריך את תקופת הזכיונות. היום לשר התק</w:t>
      </w:r>
      <w:r>
        <w:rPr>
          <w:rFonts w:cs="Guttman David"/>
          <w:sz w:val="20"/>
          <w:szCs w:val="20"/>
          <w:rtl/>
        </w:rPr>
        <w:t>שורת יש סמכות להאריך את זה אם מתקיימים תנאים. גם הכנסת יכולה להאריך את זה. אני לא ממליץ לה לעשות את זה, משום שהזכיונות כפי שהם היום הם זכיונות בלעדיים. אני חושב שבחלומו השחור של איש מאיתנו אנחנו לא רוצים לתת הארכת בלעדיות לזכייני הכבלים ולו אף ליום אחד. הא</w:t>
      </w:r>
      <w:r>
        <w:rPr>
          <w:rFonts w:cs="Guttman David"/>
          <w:sz w:val="20"/>
          <w:szCs w:val="20"/>
          <w:rtl/>
        </w:rPr>
        <w:t>רכת זכיונות קיימים על-פי הדין הקיים, משמע - הארכת בלעדיות. כאן חברי הכנסת מציעים לתקן את החוק כדי שזכות הבלעדיות תבוטל ורשיונות ינתנו. אין מקום להאריך את הזכיון הקיים, אלא אם אתה לא רוצה לקרוא לו רשיון וזכיון ותבטל את הבלעדיות ואז אין לך יותר בעיה של הארכה</w:t>
      </w:r>
      <w:r>
        <w:rPr>
          <w:rFonts w:cs="Guttman David"/>
          <w:sz w:val="20"/>
          <w:szCs w:val="20"/>
          <w:rtl/>
        </w:rPr>
        <w:t xml:space="preserve"> כי אתה במילא לא לוקח אותו יותר מאף אחד.</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זכאית המדינה לתמורה? אני לא רוצה להתייחס לזה כי לא הבנתי את הטיעון.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אין צורך. מי שחושב שמגיע למדינה, שינמק למה ביום חמישי בשעה 11.</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שר התקשורת התייחס לזה במכתבו האחרון.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מעב</w:t>
      </w:r>
      <w:r>
        <w:rPr>
          <w:rFonts w:cs="Guttman David"/>
          <w:sz w:val="20"/>
          <w:szCs w:val="20"/>
          <w:rtl/>
        </w:rPr>
        <w:t xml:space="preserve">ר חופשי של איזורים ברשת </w:t>
      </w:r>
      <w:r>
        <w:rPr>
          <w:rFonts w:cs="Guttman David"/>
          <w:sz w:val="20"/>
          <w:szCs w:val="20"/>
        </w:rPr>
        <w:t>unbundling</w:t>
      </w:r>
      <w:r>
        <w:rPr>
          <w:rFonts w:cs="Guttman David"/>
          <w:sz w:val="20"/>
          <w:szCs w:val="20"/>
          <w:rtl/>
        </w:rPr>
        <w:t>: יש פה הגדרה של 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אתם בעד 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ברגע שחברות הכבלים מקבלות רשיון תקשורת הן כפופות לחובת </w:t>
      </w:r>
      <w:r>
        <w:rPr>
          <w:rFonts w:cs="Guttman David"/>
          <w:sz w:val="20"/>
          <w:szCs w:val="20"/>
        </w:rPr>
        <w:t>unbundling</w:t>
      </w:r>
      <w:r>
        <w:rPr>
          <w:rFonts w:cs="Guttman David"/>
          <w:sz w:val="20"/>
          <w:szCs w:val="20"/>
          <w:rtl/>
        </w:rPr>
        <w:t xml:space="preserve"> מכוח סעיף 5 לחוק, כמו כל מפעיל תקשורת אחר.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אשר לתחום שידורי הטלוויזיה: כאן העסק קצת יו</w:t>
      </w:r>
      <w:r>
        <w:rPr>
          <w:rFonts w:cs="Guttman David"/>
          <w:sz w:val="20"/>
          <w:szCs w:val="20"/>
          <w:rtl/>
        </w:rPr>
        <w:t xml:space="preserve">תר מורכב. אין דין שאנחנו מכירים שבו עושים </w:t>
      </w:r>
      <w:r>
        <w:rPr>
          <w:rFonts w:cs="Guttman David"/>
          <w:sz w:val="20"/>
          <w:szCs w:val="20"/>
        </w:rPr>
        <w:t>unbundling</w:t>
      </w:r>
      <w:r>
        <w:rPr>
          <w:rFonts w:cs="Guttman David"/>
          <w:sz w:val="20"/>
          <w:szCs w:val="20"/>
          <w:rtl/>
        </w:rPr>
        <w:t xml:space="preserve"> של שידורי טלוויזיה. יש הסדרים אחרים, שבאים ואומרים לבעל התשתית שלא יעשה את כל הערוצים בבית אלא שיקנה חלק מהערוצים בחלק מהכסף בחוץ, שיתקשר גם עם אחרים ב-</w:t>
      </w:r>
      <w:r>
        <w:rPr>
          <w:rFonts w:cs="Guttman David"/>
          <w:sz w:val="20"/>
          <w:szCs w:val="20"/>
        </w:rPr>
        <w:t>must carry</w:t>
      </w:r>
      <w:r>
        <w:rPr>
          <w:rFonts w:cs="Guttman David"/>
          <w:sz w:val="20"/>
          <w:szCs w:val="20"/>
          <w:rtl/>
        </w:rPr>
        <w:t xml:space="preserve">, אבל </w:t>
      </w:r>
      <w:r>
        <w:rPr>
          <w:rFonts w:cs="Guttman David"/>
          <w:sz w:val="20"/>
          <w:szCs w:val="20"/>
        </w:rPr>
        <w:t>must carry</w:t>
      </w:r>
      <w:r>
        <w:rPr>
          <w:rFonts w:cs="Guttman David"/>
          <w:sz w:val="20"/>
          <w:szCs w:val="20"/>
          <w:rtl/>
        </w:rPr>
        <w:t xml:space="preserve"> אף פעם לא היה במובן של </w:t>
      </w:r>
      <w:r>
        <w:rPr>
          <w:rFonts w:cs="Guttman David"/>
          <w:sz w:val="20"/>
          <w:szCs w:val="20"/>
        </w:rPr>
        <w:t>u</w:t>
      </w:r>
      <w:r>
        <w:rPr>
          <w:rFonts w:cs="Guttman David"/>
          <w:sz w:val="20"/>
          <w:szCs w:val="20"/>
        </w:rPr>
        <w:t>nbundling</w:t>
      </w:r>
      <w:r>
        <w:rPr>
          <w:rFonts w:cs="Guttman David"/>
          <w:sz w:val="20"/>
          <w:szCs w:val="20"/>
          <w:rtl/>
        </w:rPr>
        <w:t>. אנחנו חושבים שטוב אם תינתן זכות גישה לאחרים אבל ההסדרה של זה, הטכנית והחוקית, היא מאוד מסובכת.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לגבי השאלה עד כמה צריכות חברות הכבלים להפוך לתאגידי תקשורת: אני מציע שהשאלה הזאת - - -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ברודט:</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רציתי להעיר 2-3 הערות קצרות לעניינים שעומדים ע</w:t>
      </w:r>
      <w:r>
        <w:rPr>
          <w:rFonts w:cs="Guttman David"/>
          <w:sz w:val="20"/>
          <w:szCs w:val="20"/>
          <w:rtl/>
        </w:rPr>
        <w:t xml:space="preserve">ל סדר היום.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 xml:space="preserve"> </w:t>
      </w:r>
      <w:r>
        <w:rPr>
          <w:rFonts w:cs="Guttman David"/>
          <w:sz w:val="20"/>
          <w:szCs w:val="20"/>
          <w:rtl/>
        </w:rPr>
        <w:tab/>
        <w:t>אני לא רוצה להתייחס לשאלות הראשונות ששאלת, בקשר לתמורה, זה באמת לא ענייני. אני רוצה רק לציין, באשר לשאלתך האם הכבלים עמדו בכל התנאים - שהתשובה היא לא. רק המקרה שלנו הוא מספיק כדי להוכיח את העניין הזה. זה הערה רק לצורך הפרוטוקול.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הנקודה שא</w:t>
      </w:r>
      <w:r>
        <w:rPr>
          <w:rFonts w:cs="Guttman David"/>
          <w:sz w:val="20"/>
          <w:szCs w:val="20"/>
          <w:rtl/>
        </w:rPr>
        <w:t xml:space="preserve">ני רוצה להדגיש היא, בהזדמנות זאת כשמחוקקים את התיקונים הרלוונטיים בחוק אני חושב שאחד הנושאים שצריך להפיק לקח מהם הוא הנושא של התיעול. הנושא של חצרי המנוי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זה </w:t>
      </w:r>
      <w:r>
        <w:rPr>
          <w:rFonts w:cs="Guttman David"/>
          <w:sz w:val="20"/>
          <w:szCs w:val="20"/>
        </w:rPr>
        <w:t>unbundling</w:t>
      </w:r>
      <w:r>
        <w:rPr>
          <w:rFonts w:cs="Guttman David"/>
          <w:sz w:val="20"/>
          <w:szCs w:val="20"/>
          <w:rtl/>
        </w:rPr>
        <w:t xml:space="preserve"> כזה.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ברודט:</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אני מדבר על התשתית, לא על ה-</w:t>
      </w:r>
      <w:r>
        <w:rPr>
          <w:rFonts w:cs="Guttman David"/>
          <w:sz w:val="20"/>
          <w:szCs w:val="20"/>
        </w:rPr>
        <w:t>unbundlin</w:t>
      </w:r>
      <w:r>
        <w:rPr>
          <w:rFonts w:cs="Guttman David"/>
          <w:sz w:val="20"/>
          <w:szCs w:val="20"/>
        </w:rPr>
        <w:t>g</w:t>
      </w:r>
      <w:r>
        <w:rPr>
          <w:rFonts w:cs="Guttman David"/>
          <w:sz w:val="20"/>
          <w:szCs w:val="20"/>
          <w:rtl/>
        </w:rPr>
        <w:t xml:space="preserve">. על בית המנוי.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u w:val="single"/>
          <w:rtl/>
        </w:rPr>
        <w:t>בני כהן:</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התשתית בחוץ שייכת לכבלים.</w:t>
      </w: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ברודט:</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אני מדבר על אפשרות המעבר מספק אחד לספק אחר. הקשיים שחברת </w:t>
      </w:r>
      <w:r>
        <w:rPr>
          <w:rFonts w:cs="Guttman David"/>
          <w:sz w:val="20"/>
          <w:szCs w:val="20"/>
        </w:rPr>
        <w:t>YES</w:t>
      </w:r>
      <w:r>
        <w:rPr>
          <w:rFonts w:cs="Guttman David"/>
          <w:sz w:val="20"/>
          <w:szCs w:val="20"/>
          <w:rtl/>
        </w:rPr>
        <w:t xml:space="preserve"> עברה בחודשים האחרונים - זה סיפור שכרגע אין לנו את הזמן להאריך בדיבור עליו. אני יכול לומר לך בוודאות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זה </w:t>
      </w:r>
      <w:r>
        <w:rPr>
          <w:rFonts w:cs="Guttman David"/>
          <w:sz w:val="20"/>
          <w:szCs w:val="20"/>
        </w:rPr>
        <w:t>unbundling</w:t>
      </w:r>
      <w:r>
        <w:rPr>
          <w:rFonts w:cs="Guttman David"/>
          <w:sz w:val="20"/>
          <w:szCs w:val="20"/>
          <w:rtl/>
        </w:rPr>
        <w:t xml:space="preserve"> טוטאלי. זאת אומרת, שהוא עף לגמרי החוצה.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ברודט:</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אני מדבר כרגע על המנוי שרוצה להחליף. עושים לו קשיים איומים ונוראים. בסופו של דבר אפשר פה לחוקק חוקים יפים מאוד, שיש מאחוריהם רעיונות וחזונות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האם אין בחקיקה </w:t>
      </w:r>
      <w:r>
        <w:rPr>
          <w:rFonts w:cs="Guttman David"/>
          <w:sz w:val="20"/>
          <w:szCs w:val="20"/>
          <w:rtl/>
        </w:rPr>
        <w:t>פתרון לזה?  הרי עשו בוועדת הכספים את חוק הלוויין והיו אמורים לתת פתרון לזה. האם לא נתנו?</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הסכם חתום בינינו לבינם.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ברודט:</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הסכם חתום אך אני ממש לא רוצה להתייחס להסכם כרגע.</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כל זה הוא לא לעניין.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זה </w:t>
      </w:r>
      <w:r>
        <w:rPr>
          <w:rFonts w:cs="Guttman David"/>
          <w:sz w:val="20"/>
          <w:szCs w:val="20"/>
          <w:rtl/>
        </w:rPr>
        <w:t>עולם אחר.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ברודט:</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עולם אחר. זה בפירוש אותו עניין. אתה רוצה לעשות התקנה עם חופש, לתת שירותים, תשתיות וכדומה.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מר ברודט, לקראת הישיבה הבאה - יש לכם בטח יועצים משפטיים, חלק מהם אני מכיר - תגידו לנו מה לדעתכם לא טוב בחקיקה והיכן</w:t>
      </w:r>
      <w:r>
        <w:rPr>
          <w:rFonts w:cs="Guttman David"/>
          <w:sz w:val="20"/>
          <w:szCs w:val="20"/>
          <w:rtl/>
        </w:rPr>
        <w:t xml:space="preserve"> אתם צריכים פתרון מעבר לזה. לפעמים יש בעיה: החוק הוא חוק אבל בפועל זה שצריך לוותר על המנוי שלו ולתת לך אותו לא מאושר מזה, אז הוא לא מקיים בהתלהבות את החוק. אפשר להבין. יש חוקים שאתה לא כל-כך אוהב לקיים.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יורי שטרן:</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הוא אומר: </w:t>
      </w:r>
      <w:r>
        <w:rPr>
          <w:rFonts w:cs="Guttman David"/>
          <w:sz w:val="20"/>
          <w:szCs w:val="20"/>
        </w:rPr>
        <w:t>No to YES</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ברודט:</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אם </w:t>
      </w:r>
      <w:r>
        <w:rPr>
          <w:rFonts w:cs="Guttman David"/>
          <w:sz w:val="20"/>
          <w:szCs w:val="20"/>
          <w:rtl/>
        </w:rPr>
        <w:t>כך, אנחנו נעביר בישיבה הקרובה נוסח שאנחנו חושבים שבא לתקן את העניין הזה.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אתה מאיץ בי אז אני אומר בכותרות, שהנושאים שעלו פה, וגם עלו בישיבות האחרונות, חייבים למצוא ביטוי: גם העניין של ה-</w:t>
      </w:r>
      <w:r>
        <w:rPr>
          <w:rFonts w:cs="Guttman David"/>
          <w:sz w:val="20"/>
          <w:szCs w:val="20"/>
        </w:rPr>
        <w:t>open access</w:t>
      </w:r>
      <w:r>
        <w:rPr>
          <w:rFonts w:cs="Guttman David"/>
          <w:sz w:val="20"/>
          <w:szCs w:val="20"/>
          <w:rtl/>
        </w:rPr>
        <w:t xml:space="preserve"> וגם ה-</w:t>
      </w:r>
      <w:r>
        <w:rPr>
          <w:rFonts w:cs="Guttman David"/>
          <w:sz w:val="20"/>
          <w:szCs w:val="20"/>
        </w:rPr>
        <w:t>unbundling</w:t>
      </w:r>
      <w:r>
        <w:rPr>
          <w:rFonts w:cs="Guttman David"/>
          <w:sz w:val="20"/>
          <w:szCs w:val="20"/>
          <w:rtl/>
        </w:rPr>
        <w:t xml:space="preserve">, לא במובן של התשתיות אלא במובן הטכני </w:t>
      </w:r>
      <w:r>
        <w:rPr>
          <w:rFonts w:cs="Guttman David"/>
          <w:sz w:val="20"/>
          <w:szCs w:val="20"/>
          <w:rtl/>
        </w:rPr>
        <w:t>של השירותים שקשורים בהקשר הזה.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אני רוצה להצטרף לדבריו של ד"ר תדמור בנושא מעורבות היתר של הממשלה בהצעת החוק הזאת ברישוי התכנים. אני חושב שהיא לא נחוצה ולא חיונית. אני חושב שיש קצת אובר-רגולציה לעניין הזה.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מה היית מציע? </w:t>
      </w:r>
      <w:r>
        <w:rPr>
          <w:rFonts w:cs="Guttman David"/>
          <w:sz w:val="20"/>
          <w:szCs w:val="20"/>
        </w:rPr>
        <w:t>Laisser faire</w:t>
      </w:r>
      <w:r>
        <w:rPr>
          <w:rFonts w:cs="Guttman David"/>
          <w:sz w:val="20"/>
          <w:szCs w:val="20"/>
          <w:rtl/>
        </w:rPr>
        <w:t xml:space="preserve"> </w:t>
      </w:r>
      <w:r>
        <w:rPr>
          <w:rFonts w:cs="Guttman David"/>
          <w:sz w:val="20"/>
          <w:szCs w:val="20"/>
          <w:rtl/>
        </w:rPr>
        <w:t>מוחלט? כל אחד יכול לשדר מה שהוא רוצה?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יש מספיק קיבולת, אנחנו כולנו בעד. רק שיגידו לנו שהקיבולת היא בלתי מוגבלת. אני רוצה לשמוע את האמירה הזאת. בטלוויזיה. לא באינטרנט.</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הלוויין. את מדברת עם האיש הלא נכון.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w:t>
      </w:r>
      <w:r>
        <w:rPr>
          <w:rFonts w:cs="Guttman David"/>
          <w:sz w:val="20"/>
          <w:szCs w:val="20"/>
          <w:u w:val="single"/>
          <w:rtl/>
        </w:rPr>
        <w:t>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מדברת אל מי שיטען את הטענה.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גם בלוויין יש את זה. גם בלוויין יש עניין של קיבולת. תמיד יש מגבלה בחיים אבל זאת לא הנקודה של הרישוי.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הנקודה של הרישוי זה לאפשר זכות גישה לאחר.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רבותי, אנ</w:t>
      </w:r>
      <w:r>
        <w:rPr>
          <w:rFonts w:cs="Guttman David"/>
          <w:sz w:val="20"/>
          <w:szCs w:val="20"/>
          <w:rtl/>
        </w:rPr>
        <w:t>י יודע שיש פה הרבה אמוציות אבל אנחנו נשתדל איכשהו לצאת מזה.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יורי שטרן:</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מבחינת הפרוצדורות, יש לנו פה כאילו שתי מטרות: הראשונה, לפתור את הפלונטר שנוצר בתחום האינטרנט המהיר. אני חושב שהמדינה, בכך שהיא סוחבת את העניין הזה כשנתיים, בעצם כבר ויתרה על כל תמורה</w:t>
      </w:r>
      <w:r>
        <w:rPr>
          <w:rFonts w:cs="Guttman David"/>
          <w:sz w:val="20"/>
          <w:szCs w:val="20"/>
          <w:rtl/>
        </w:rPr>
        <w:t>. אני לא רוצה להתייחס לתמורה, כי הנזק שנגרם לכלכלת ישראל, ובסופו של דבר גם לקופה, הוא כל-כך גדול ששום תמורה כבר לא תפצה על כך. לכן אני חושב שאת הפלונטר המיידי אנחנו צריכים לפתור, בשביל לתת גם לכבלים להוביל את זה, ואולי יבואו אחרים.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המטרה השניה, יש חקיקה </w:t>
      </w:r>
      <w:r>
        <w:rPr>
          <w:rFonts w:cs="Guttman David"/>
          <w:sz w:val="20"/>
          <w:szCs w:val="20"/>
          <w:rtl/>
        </w:rPr>
        <w:t>הרבה יותר מורכבת, שהיא באמת רצויה. אבל בלוח הזמנים של הכנסת הזאת אני מציע לזרז כמה שניתן את אישורה של הצעת החוק, עם התיקונים ההכרחיים ביותר בלבד, ואחר-כך לעשות ממנה נגזרת, גירסה הרבה יותר מצומצמת של הדברים המיידיים, שהם חיוניים לאינטרנט המהיר. על כל היתר י</w:t>
      </w:r>
      <w:r>
        <w:rPr>
          <w:rFonts w:cs="Guttman David"/>
          <w:sz w:val="20"/>
          <w:szCs w:val="20"/>
          <w:rtl/>
        </w:rPr>
        <w:t>חול דין רציפות וזה יידון בכנסת הבאה.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אתה פוחד מטענות על נושא חדש וטענות על אי-חוקיות - אני לא רוצה לעשות חוק שאחר-כך יפסלו אותו.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יורי שטרן:</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מציע שחלק מסויים יופיע בגירסה מקוצרת, שתעבור מייד.</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אנחנו חייבים </w:t>
      </w:r>
      <w:r>
        <w:rPr>
          <w:rFonts w:cs="Guttman David"/>
          <w:sz w:val="20"/>
          <w:szCs w:val="20"/>
          <w:rtl/>
        </w:rPr>
        <w:t>גם לקראת קריאה ראשונה לעבור על הסעיפים. נתחיל כעת לקרוא את הסעיפים.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הממונה על הגבלים עסקיים התייחס, אני רוצה להסביר דבר אחד.</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את לא היית כאן כשהוא דיבר. אמנם את בוודאי יודעת את גירסותיו. אני רוצה להתחיל לקרוא את הס</w:t>
      </w:r>
      <w:r>
        <w:rPr>
          <w:rFonts w:cs="Guttman David"/>
          <w:sz w:val="20"/>
          <w:szCs w:val="20"/>
          <w:rtl/>
        </w:rPr>
        <w:t>עיפים. נגיע אלייך, עוד תהיה לך אפשרות לדבר. הרי הבעיה היא לא לדבר. הבעיה היא לשכנע.</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מבינה שבזה אתה מתכוון לדברים שנאמרו. ולגבי אלה שלא נאמרו?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לא בדיוק חדש בעסק הזה, אני קצת מבין.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מזכירה לנוכ</w:t>
      </w:r>
      <w:r>
        <w:rPr>
          <w:rFonts w:cs="Guttman David"/>
          <w:sz w:val="20"/>
          <w:szCs w:val="20"/>
          <w:rtl/>
        </w:rPr>
        <w:t>חים שההצעה הזאת היא בעצם העתק של תסקיר הצעת חוק שבזמנו הופץ. מאז היו שינויים.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ד"ר טל, כשאנחנו נגיע לסעיף שאתה רוצה לשנות אותו - אגב, מדובר על כל אחד מהנוכחים, כשמגיעים לסעיף פלוני ולמישהו תהיה הערה, הוא יעיר על הסעיף.</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w:t>
      </w:r>
      <w:r>
        <w:rPr>
          <w:rFonts w:cs="Guttman David"/>
          <w:b/>
          <w:bCs/>
          <w:sz w:val="20"/>
          <w:szCs w:val="20"/>
          <w:u w:val="single"/>
          <w:rtl/>
        </w:rPr>
        <w:t>ף 1 - תיקון סעיף 1 לחוק העיקרי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"בחוק הבזק, התשמ"ב-1982 (להלן - החוק העיקרי), בסעיף 1 -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(1)</w:t>
      </w:r>
      <w:r>
        <w:rPr>
          <w:rFonts w:cs="Guttman David"/>
          <w:sz w:val="20"/>
          <w:szCs w:val="20"/>
          <w:rtl/>
        </w:rPr>
        <w:tab/>
        <w:t>אחרי "בחוק זה" יבוא:</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 "אזור שרות" - תחום גיאוגרפי בו חייב בעל רשיון כללי, על פי רשיונו, להקים, לקיים או להפעיל רשת בזק ציבורית ולספק באמצעותה שירותי בזק לכלל ה</w:t>
      </w:r>
      <w:r>
        <w:rPr>
          <w:rFonts w:cs="Guttman David"/>
          <w:sz w:val="20"/>
          <w:szCs w:val="20"/>
          <w:rtl/>
        </w:rPr>
        <w:t>ציבור;"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אף אחד לא אומר כלום, את ממשיכה.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לי הערה. בחברות הכבלים הוגדרו איזורי שירות שונים מאיזורי השירות שמוגדרים פה. מתוך הנחה שרוצים לתת רשיונות תקשורת לחברות הכבלים, האיזורים צריכים לתאום את הרשיונות שניתנו לחב</w:t>
      </w:r>
      <w:r>
        <w:rPr>
          <w:rFonts w:cs="Guttman David"/>
          <w:sz w:val="20"/>
          <w:szCs w:val="20"/>
          <w:rtl/>
        </w:rPr>
        <w:t>רות הכבלים.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יכול להיות שחברות הכבלים יקבלו רישיון אחר.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ההגדרה הזאת מתאימה גם לחברות הכבלים.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נאמר פה: " תחום גיאוגרפי בו חייב בעל רשיון כללי". איש לא אומר שהתחום הגיאוגרפי לא יכול לחפוף.</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אין לי רשיון כללי.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עוד יהיה לך אולי.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קריאה:</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גם אין לך איזור שירות בשטחי "בזק".</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עדיין בשלב ההגדרות. אם יסתבר לך, אחרי שנגיע לסעיפים המהותיים, שיש בעיה ויש צורך בשינוי ההגדרות - בדרך כלל הגדרות צריך לקר</w:t>
      </w:r>
      <w:r>
        <w:rPr>
          <w:rFonts w:cs="Guttman David"/>
          <w:sz w:val="20"/>
          <w:szCs w:val="20"/>
          <w:rtl/>
        </w:rPr>
        <w:t>וא בסוף. נעבור על זה עכשיו בקצרה ואם יהיה צורך, נחזור אליהן.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על-פי ההגדרה של "אזור שרות" צריכים להתקיים שני מאפיינים כדי שיהיה תחום גיאוגרפי לאותו איזור: 1) באותו איזור אתה חייב לתת את השירות לכלל הציבור; 2) הרשת הציבורית צריכה להיות בתחום </w:t>
      </w:r>
      <w:r>
        <w:rPr>
          <w:rFonts w:cs="Guttman David"/>
          <w:sz w:val="20"/>
          <w:szCs w:val="20"/>
          <w:rtl/>
        </w:rPr>
        <w:t xml:space="preserve">האיזור.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מה לא טוב בהגדרה?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חושבת שקיומה של הרשת בתוך תחום האיזור הוא לא מאפיין הכרחי לקביעת התחום הגיאוגרפי. חלק מהרשת יכול להיות מחוץ לאיזור ועדיין זה יהיה איזור שירות שחייבים לתת בו את השירות.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נכון</w:t>
      </w:r>
      <w:r>
        <w:rPr>
          <w:rFonts w:cs="Guttman David"/>
          <w:sz w:val="20"/>
          <w:szCs w:val="20"/>
          <w:rtl/>
        </w:rPr>
        <w:t>, אבל ההגדרה מאפשרת בדיוק את מה שאמרת.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מה היית מציעה לשנות בהגדרה?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ש"אזור שרות" יהיה תחום גיאוגרפי שבו חייב בעל רשיון כללי, על-פי רשיונו, לספק שירותי בזק לכלל הציבור". הרי ממילא בעל רשיון כללי מוגדר כמי שחייב להפעיל רשת</w:t>
      </w:r>
      <w:r>
        <w:rPr>
          <w:rFonts w:cs="Guttman David"/>
          <w:sz w:val="20"/>
          <w:szCs w:val="20"/>
          <w:rtl/>
        </w:rPr>
        <w:t xml:space="preserve"> בזק ציבורית . השאלה איפה היא מתקיימת, בתוך האיזור או מחוץ לו, היא לא רלוונטית.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למה זה מפריע?</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אין פה בעיה בשני האלמנטים שגברת אסתר שטרנבך דיברה עליהם. אחד הוא חובת מתן שירות, על זה אין ספק. לגבי האלמנט של הפעלת הרשת אין שום מ</w:t>
      </w:r>
      <w:r>
        <w:rPr>
          <w:rFonts w:cs="Guttman David"/>
          <w:sz w:val="20"/>
          <w:szCs w:val="20"/>
          <w:rtl/>
        </w:rPr>
        <w:t>ניעה שתהיה גם רשת מחוץ לאיזור. מאידך, אין גם מניעה שבתוך האיזור חלקים מתוך הרשת לא יהיו בבעלותו. שימי לב, זה "להקים, לקיים או להפעיל".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כלומר, הוא חייב להפעיל את זה בתוך האיזור.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רבותי, אני עשיתי טעות, אני מודה, כשנכנסתי </w:t>
      </w:r>
      <w:r>
        <w:rPr>
          <w:rFonts w:cs="Guttman David"/>
          <w:sz w:val="20"/>
          <w:szCs w:val="20"/>
          <w:rtl/>
        </w:rPr>
        <w:t>לסעיף ההגדרות לפני שהתחלתי עם הסעיפים. אני מציע שנעזוב את זה בצד. כל אחד צריך ללמוד מהנסיון.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יורי שטרן:</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עשית טעות שאתה בכלל דן בזה במקום לאשר לקריאה ראשונה. זה רק מסבך אותנו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נחזור לסעיף ההגדרות בסוף. זאת הדרך הנכונה, ועשית</w:t>
      </w:r>
      <w:r>
        <w:rPr>
          <w:rFonts w:cs="Guttman David"/>
          <w:sz w:val="20"/>
          <w:szCs w:val="20"/>
          <w:rtl/>
        </w:rPr>
        <w:t>י טעות הפעם.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מצד שני, בסעיף המהותי משתמשים במונחים שמוגדרים בסעיף ההגדרות.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נחזור אליהם.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סעיף 2 - תיקון סעיף 4 לחוק העיקרי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בסעיף 4(ד) לחוק העיקרי נאמר: "השר רשאי לאשר בקשה, להתנות את אישורו בתנאים שיש לקיי</w:t>
      </w:r>
      <w:r>
        <w:rPr>
          <w:rFonts w:cs="Guttman David"/>
          <w:sz w:val="20"/>
          <w:szCs w:val="20"/>
          <w:rtl/>
        </w:rPr>
        <w:t>מם לפני שיינתן הרשיון, לרבות לענין תשלום אגרות או מתן ערבויות והדרכים למימושן אחרי שניתן, או לדחות את הבקשה תוך מתן נימוקים לדחיה; לענין רשיון מיוחד הכולל ציוד קצה, רשאי הוא גם להתנות שיינתן תחילה אישור סוג לציוד."</w:t>
      </w:r>
      <w:r>
        <w:rPr>
          <w:rFonts w:cs="Guttman David"/>
          <w:sz w:val="20"/>
          <w:szCs w:val="20"/>
          <w:rtl/>
        </w:rPr>
        <w:br/>
      </w: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"בסעיף 4 לחוק העיקרי -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(1)</w:t>
      </w:r>
      <w:r>
        <w:rPr>
          <w:rFonts w:cs="Guttman David"/>
          <w:sz w:val="20"/>
          <w:szCs w:val="20"/>
          <w:rtl/>
        </w:rPr>
        <w:tab/>
        <w:t>בסעיף קטן</w:t>
      </w:r>
      <w:r>
        <w:rPr>
          <w:rFonts w:cs="Guttman David"/>
          <w:sz w:val="20"/>
          <w:szCs w:val="20"/>
          <w:rtl/>
        </w:rPr>
        <w:t xml:space="preserve"> (ד)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r>
      <w:r>
        <w:rPr>
          <w:rFonts w:cs="Guttman David"/>
          <w:sz w:val="20"/>
          <w:szCs w:val="20"/>
          <w:rtl/>
        </w:rPr>
        <w:tab/>
        <w:t>(א)</w:t>
      </w:r>
      <w:r>
        <w:rPr>
          <w:rFonts w:cs="Guttman David"/>
          <w:sz w:val="20"/>
          <w:szCs w:val="20"/>
          <w:rtl/>
        </w:rPr>
        <w:tab/>
        <w:t>במקום "שיינתן הרשיון" יבוא "מתן הרשיון או לאחריו";"</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דהיינו, הוא רשאי להתנות את התנאים לא רק קודם למתן הרשיון אלא גם לאחר מכן.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r>
      <w:r>
        <w:rPr>
          <w:rFonts w:cs="Guttman David"/>
          <w:sz w:val="20"/>
          <w:szCs w:val="20"/>
          <w:rtl/>
        </w:rPr>
        <w:tab/>
        <w:t>"(ב)</w:t>
      </w:r>
      <w:r>
        <w:rPr>
          <w:rFonts w:cs="Guttman David"/>
          <w:sz w:val="20"/>
          <w:szCs w:val="20"/>
          <w:rtl/>
        </w:rPr>
        <w:tab/>
        <w:t>במקום "או אחרי שניתן, או" יבוא "ורשאי הוא";"</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את הגעת כבר לסעיף 4. אנחנו הוספנו עוד תיקון בסעיף</w:t>
      </w:r>
      <w:r>
        <w:rPr>
          <w:rFonts w:cs="Guttman David"/>
          <w:sz w:val="20"/>
          <w:szCs w:val="20"/>
          <w:rtl/>
        </w:rPr>
        <w:t xml:space="preserve"> 3 בעניין ניסוחי שלא היה לפני כן.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מניח שעד שאנחנו נעבור קריאה ראשונה אולי גם ההצעה הממשלתית תעבור. אבל אם לא, אתם תעירו פה.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לי הערה לתיקון סעיף 3. במקום "פקודת הטלגרף האלחוטי [נוסח חדש], התשל"ב-1972" יבוא "</w:t>
      </w:r>
      <w:r>
        <w:rPr>
          <w:sz w:val="20"/>
          <w:szCs w:val="20"/>
          <w:rtl/>
        </w:rPr>
        <w:t>ה</w:t>
      </w:r>
      <w:r>
        <w:rPr>
          <w:rFonts w:cs="Guttman David"/>
          <w:sz w:val="20"/>
          <w:szCs w:val="20"/>
          <w:rtl/>
        </w:rPr>
        <w:t xml:space="preserve">פקודה".  </w:t>
      </w:r>
      <w:r>
        <w:rPr>
          <w:rFonts w:cs="Guttman David"/>
          <w:sz w:val="20"/>
          <w:szCs w:val="20"/>
          <w:rtl/>
        </w:rPr>
        <w:t>כמו כן, המלה "אמורה" - תימחק.</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מאשרים את התיקונים.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"(2)</w:t>
      </w:r>
      <w:r>
        <w:rPr>
          <w:rFonts w:cs="Guttman David"/>
          <w:sz w:val="20"/>
          <w:szCs w:val="20"/>
          <w:rtl/>
        </w:rPr>
        <w:tab/>
        <w:t>במקום סעיפים קטנים (ד1) ו-(ד2) יבוא:</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1701" w:hanging="567"/>
        <w:rPr>
          <w:rFonts w:cs="Guttman David"/>
          <w:sz w:val="20"/>
          <w:szCs w:val="20"/>
          <w:rtl/>
        </w:rPr>
      </w:pPr>
      <w:r>
        <w:rPr>
          <w:rFonts w:cs="Guttman David"/>
          <w:sz w:val="20"/>
          <w:szCs w:val="20"/>
          <w:rtl/>
        </w:rPr>
        <w:t>"(ד1)</w:t>
      </w:r>
      <w:r>
        <w:rPr>
          <w:rFonts w:cs="Guttman David"/>
          <w:sz w:val="20"/>
          <w:szCs w:val="20"/>
          <w:rtl/>
        </w:rPr>
        <w:tab/>
        <w:t>רשיון, לרבות זכות מהזכויות המוקנות בו, אינו ניתן להעברה, לשעבוד או לעיקול; העברה, שעבוד או עיקול של נכס מנכסי הרשיון</w:t>
      </w:r>
      <w:r>
        <w:rPr>
          <w:rFonts w:cs="Guttman David"/>
          <w:sz w:val="20"/>
          <w:szCs w:val="20"/>
          <w:rtl/>
        </w:rPr>
        <w:t>, שלא הותרו במפורש ברשיון, טעונים אישור השר;"</w:t>
      </w:r>
    </w:p>
    <w:p w:rsidR="00000000" w:rsidRDefault="0047127C">
      <w:pPr>
        <w:pStyle w:val="a5"/>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לגבי (ד) - כשאתם אומרים שאי אפשר לשעבד או לעקל נכס מנכסי הרשיון - מה הפירוש? שלמשל הנושה לא יכול לבוא ולקחת איזה ארון סעף וללכת איתו? זאת הכוונה? זאת אומרת, אין פה בעיה מבחינת הבטחונות.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w:t>
      </w:r>
      <w:r>
        <w:rPr>
          <w:rFonts w:cs="Guttman David"/>
          <w:sz w:val="20"/>
          <w:szCs w:val="20"/>
          <w:u w:val="single"/>
          <w:rtl/>
        </w:rPr>
        <w:t>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זאת הכוונה.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מציעים להגביל את זה למתקני הבזק שהם נכסי הרשיון. לא יכול להיות אני לא אוכל לשעבד מבנה שאני שמה אותו בתפעול. צריך להגביל את זה לנכסים שהם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אבל אז יכול להיות שאת המבנה יעקלו ותצטרכי להפעיל </w:t>
      </w:r>
      <w:r>
        <w:rPr>
          <w:rFonts w:cs="Guttman David"/>
          <w:sz w:val="20"/>
          <w:szCs w:val="20"/>
          <w:rtl/>
        </w:rPr>
        <w:t>את הציוד מהרחוב. זה צריך להיות "במקום שבו יש מתקני בזק, לרבות המבנה שבו נמצא מתקן הבזק". זאת אומרת, אם יש לך מוקד שידור, לא יכול לבוא מישהו ולהוציא לך את הציוד לרחוב ולהגיד שאת הבניין הוא משכיר עכשיו למשרדי עורכי-דין.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נצטרך למצוא לו מקום</w:t>
      </w:r>
      <w:r>
        <w:rPr>
          <w:rFonts w:cs="Guttman David"/>
          <w:sz w:val="20"/>
          <w:szCs w:val="20"/>
          <w:rtl/>
        </w:rPr>
        <w:t xml:space="preserve"> אחר, אבל את המבנה עצמו אני יכולה למשכן ואני יכולה לקבל בטוחות והלוואות. למה לא?</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אבל במימוש הבטוחה לא יכול להיות מצב שבו הנושה אומר: תפנה את הציוד, אני רוצה את הבניין.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אפשר גם לקבוע שזה לא יפריע להבטחת רציפות השידור.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מציע שתמצאו נוסח האומר: "לגבי ציוד הבזק והמבנים המשמשים לתפעול ציוד הבזק". זאת אומרת, המשרדים הכלליים, ששם יש נניח את רשימת הלקוחות - את זה אפשר. אבל לא המקום שבו נמצא מוקד השידור. צריך למצוא את הנוסח.</w:t>
      </w:r>
    </w:p>
    <w:p w:rsidR="00000000" w:rsidRDefault="0047127C">
      <w:pPr>
        <w:rPr>
          <w:rFonts w:cs="Guttman David"/>
          <w:sz w:val="20"/>
          <w:szCs w:val="20"/>
          <w:u w:val="single"/>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אחר-כך הם מ</w:t>
      </w:r>
      <w:r>
        <w:rPr>
          <w:rFonts w:cs="Guttman David"/>
          <w:sz w:val="20"/>
          <w:szCs w:val="20"/>
          <w:rtl/>
        </w:rPr>
        <w:t>סתדרים ממילא, הם משעבדים בשעבוד צף את הכל באישור השר.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אין שום סיבה שלא יוכל למשכן איזה מקום, כמו מחסן של תפאורות ישנות. מצידי שיעקלו לו.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יש הגדרה מה זה "נכס מנכסי הרשיון?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הגדרנו. אך לאור מה שנאמר כאן </w:t>
      </w:r>
      <w:r>
        <w:rPr>
          <w:rFonts w:cs="Guttman David"/>
          <w:sz w:val="20"/>
          <w:szCs w:val="20"/>
          <w:rtl/>
        </w:rPr>
        <w:t>צריך קצת להצר אותה.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נראה לי שהוועדה מטילה הגבלות על היכולת להעביר רשיונות שלא מאוד נחוצים. אם אדם קיבל רשיון, למשל רשיון מיוחד לשידורים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חבל על הזמן.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לגברתי חבל על הזמן, תלך למקום אחר ותבלה את זמנה בע</w:t>
      </w:r>
      <w:r>
        <w:rPr>
          <w:rFonts w:cs="Guttman David"/>
          <w:sz w:val="20"/>
          <w:szCs w:val="20"/>
          <w:rtl/>
        </w:rPr>
        <w:t>שיית דברים אחרים. אין סיבה לקבוע בחקיקה ראשית, שרשיון איננו ניתן להעברה והשר רשאי להתיר אותו רק במקרה שהוא מיזוג ונולד בתנאים הנכונים. הגיוני שאם אדם קיבל רשיון הוא יוכל להעביר אותו רק אם השר התיר, מטבע הדברים. כך עולה מחובת הרישוי. אבל זה לא מה שכתוב כאן.</w:t>
      </w:r>
      <w:r>
        <w:rPr>
          <w:rFonts w:cs="Guttman David"/>
          <w:sz w:val="20"/>
          <w:szCs w:val="20"/>
          <w:rtl/>
        </w:rPr>
        <w:t xml:space="preserve"> פה צריך להיות כתוב שהרישיון יועבר באישור השר. המגבלות שקיימות כאן, שהוא רשאי לעשות את זה רק אגב מיזוג בתנאים כאלה ולא בתנאים אחרים - אין בזה צורך. זאת הגבלה מיותרת.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באישור השר והמועצה לכבלים.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מתייחס להצעה של חברי הכנ</w:t>
      </w:r>
      <w:r>
        <w:rPr>
          <w:rFonts w:cs="Guttman David"/>
          <w:sz w:val="20"/>
          <w:szCs w:val="20"/>
          <w:rtl/>
        </w:rPr>
        <w:t>סת.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חושב שההערה, לפחות בשלב זה, ש"רשיון ניתן להעברה באישור השר והמועצה לכבלים" - היא בסדר.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המועצה לכבלים. אם זה רשיון בזק - יש לזה הגיון, יש לזה הסבר.</w:t>
      </w: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קודם כל מדובר על רשיון בזק ולא על רשיון שלמו</w:t>
      </w:r>
      <w:r>
        <w:rPr>
          <w:rFonts w:cs="Guttman David"/>
          <w:sz w:val="20"/>
          <w:szCs w:val="20"/>
          <w:rtl/>
        </w:rPr>
        <w:t xml:space="preserve">עצה לכבלים יש </w:t>
      </w:r>
      <w:r>
        <w:rPr>
          <w:rFonts w:cs="Guttman David"/>
          <w:sz w:val="20"/>
          <w:szCs w:val="20"/>
        </w:rPr>
        <w:t>say</w:t>
      </w:r>
      <w:r>
        <w:rPr>
          <w:rFonts w:cs="Guttman David"/>
          <w:sz w:val="20"/>
          <w:szCs w:val="20"/>
          <w:rtl/>
        </w:rPr>
        <w:t xml:space="preserve"> בו.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אם הוא משדר גם טלוויזיה אז הוא צריך לקבל את האישור.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פרק אחר.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לקטע הזה אין שום קשר לטלוויזיה?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יש שני רשיונות בחוק: רשיון מפ"א ורשיון שידורים</w:t>
      </w:r>
      <w:r>
        <w:rPr>
          <w:rFonts w:cs="Guttman David"/>
          <w:sz w:val="20"/>
          <w:szCs w:val="20"/>
          <w:rtl/>
        </w:rPr>
        <w:t>.</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הרגולציה של שידורי בזק והרגולציה של שידורים הן נפרדות.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ברשיון בזק כן צריך את ההגבלה הזאת? בשביל מה? בסוף ניתן רשיון. אם השר מאשר - הוא יעביר.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הוא ייתן רשיון לחדש. לא צריך להעביר. הרשיון הוא "דידי לחמן מסר -</w:t>
      </w:r>
      <w:r>
        <w:rPr>
          <w:rFonts w:cs="Guttman David"/>
          <w:sz w:val="20"/>
          <w:szCs w:val="20"/>
          <w:rtl/>
        </w:rPr>
        <w:t xml:space="preserve"> רשיון כללי". אם אני מעבירה אותו לדוד תדמור בהסכמה רצונית, דבר שאני לא משערת, הרי שבמקרה הזה השר ייתן רשיון חדש למר דוד תדמור. הוא לא צריך להעביר את הרשיון שעל שם דידי לחמן מסר אלא ייתן לו רשיון חדש. התפיסה בחוק הבזק היא שהרשיון הוא דבר שניתן לתאגיד שמתקיי</w:t>
      </w:r>
      <w:r>
        <w:rPr>
          <w:rFonts w:cs="Guttman David"/>
          <w:sz w:val="20"/>
          <w:szCs w:val="20"/>
          <w:rtl/>
        </w:rPr>
        <w:t xml:space="preserve">מות בו דרישות מסויימות. אם בעל התאגיד רוצה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הבנתי. אין צורך להבהיר. זה מתבטל, וזה מקבל חדש.</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מאוד מקשה על עשיית עסקאות. נניח שאתה רוצה לקנות חברה שיש לה רישיון. אתה רוצה לקנות איזה מכלול נכסים שכולל גם רשיון.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אנחנו לא רוצים שהרשיון הזה יהיה כמו מספר ירוק למונית, שבמשך הזמן עצם המסמך של המדינה הפך לבעל ערך כלכלי. אנחנו לא רוצים את זה. זה היה דבר לא נכון. כתוצאה מזה, כשהמדינה חשבה שהיא צריכה לתת עוד רשיונות למוניות, כשהיה צורך כי המחירים היו </w:t>
      </w:r>
      <w:r>
        <w:rPr>
          <w:rFonts w:cs="Guttman David"/>
          <w:sz w:val="20"/>
          <w:szCs w:val="20"/>
          <w:rtl/>
        </w:rPr>
        <w:t>גבוהים, אז באו כל אלה שהתחילו לשלם דמי מפתח על הרישיון ואמרו: מה אתם נותנים רשיונות? אתם פוגעים בנו, אנחנו קנינו את זה בכסף. אני לא רוצה לתת ערך נכסי לנייר של המדינה.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זאת בדיוק הנקודה.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אדוני הרי יחליט כרצונו. אני רק רוצה לה</w:t>
      </w:r>
      <w:r>
        <w:rPr>
          <w:rFonts w:cs="Guttman David"/>
          <w:sz w:val="20"/>
          <w:szCs w:val="20"/>
          <w:rtl/>
        </w:rPr>
        <w:t>עמיד אותך על הבדלי גישות. יכול להיות ש... בעניין הזה היא כפי שרשום כאן, שרישוי בתחום התקשורת הוא משהו נורא מונומנטלי, זה מין רשיון כזה שאי אפשר להעביר אותו לאף אחד, שהוא כפוף ל-60,000 תנאים ודרישות. הואיל וכאן יש גישה מאוד מחמירה לעניין הרישוי אז פשוט צריך</w:t>
      </w:r>
      <w:r>
        <w:rPr>
          <w:rFonts w:cs="Guttman David"/>
          <w:sz w:val="20"/>
          <w:szCs w:val="20"/>
          <w:rtl/>
        </w:rPr>
        <w:t xml:space="preserve"> להיות ....שזה חלק מהביטוי שלה. בחוקים אחרים כשנותנים רשיונות אין כל-כך הרבה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תן לנו דוגמא.</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נחזור לזה. אני  חושב שכרגע אפשר לאשר את הסעיף. אני לא רוצה שהרשיון עצמו, המסמך, יהיה בעל ערך נכסי.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מוריאל מטלון: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בר</w:t>
      </w:r>
      <w:r>
        <w:rPr>
          <w:rFonts w:cs="Guttman David"/>
          <w:sz w:val="20"/>
          <w:szCs w:val="20"/>
          <w:rtl/>
        </w:rPr>
        <w:t>מה של התיקונים שהתבקשו כעת, שיאפשרו למשל לשעבד חלק מן הנכסים של בעל הרשיון - אני רוצה להזכיר ש-</w:t>
      </w:r>
      <w:r>
        <w:rPr>
          <w:rFonts w:cs="Guttman David"/>
          <w:sz w:val="20"/>
          <w:szCs w:val="20"/>
        </w:rPr>
        <w:t>YES</w:t>
      </w:r>
      <w:r>
        <w:rPr>
          <w:rFonts w:cs="Guttman David"/>
          <w:sz w:val="20"/>
          <w:szCs w:val="20"/>
          <w:rtl/>
        </w:rPr>
        <w:t xml:space="preserve"> קיבלה רשיון רק  לפני שנה עם הגבלות מאוד קשות. אם היום באים ונותנים לכבלים תנאים חדשים, שמאפשרים להם לעשות למשל שעבוד או העברה, שלא ניתנו ל-</w:t>
      </w:r>
      <w:r>
        <w:rPr>
          <w:rFonts w:cs="Guttman David"/>
          <w:sz w:val="20"/>
          <w:szCs w:val="20"/>
        </w:rPr>
        <w:t>YES</w:t>
      </w:r>
      <w:r>
        <w:rPr>
          <w:rFonts w:cs="Guttman David"/>
          <w:sz w:val="20"/>
          <w:szCs w:val="20"/>
          <w:rtl/>
        </w:rPr>
        <w:t>, משפרים גם בצד</w:t>
      </w:r>
      <w:r>
        <w:rPr>
          <w:rFonts w:cs="Guttman David"/>
          <w:sz w:val="20"/>
          <w:szCs w:val="20"/>
          <w:rtl/>
        </w:rPr>
        <w:t xml:space="preserve"> הרגולטורי את התנאים לטובתם. מקלים עליהם ומאפשרים להם מה שלא איפשרו ל-</w:t>
      </w:r>
      <w:r>
        <w:rPr>
          <w:rFonts w:cs="Guttman David"/>
          <w:sz w:val="20"/>
          <w:szCs w:val="20"/>
        </w:rPr>
        <w:t>YES</w:t>
      </w:r>
      <w:r>
        <w:rPr>
          <w:rFonts w:cs="Guttman David"/>
          <w:sz w:val="20"/>
          <w:szCs w:val="20"/>
          <w:rtl/>
        </w:rPr>
        <w:t>.</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זה התפרצות לדלת פתוחה. בנושא הזה בדיוק הרישיון של </w:t>
      </w:r>
      <w:r>
        <w:rPr>
          <w:rFonts w:cs="Guttman David"/>
          <w:sz w:val="20"/>
          <w:szCs w:val="20"/>
        </w:rPr>
        <w:t>YES</w:t>
      </w:r>
      <w:r>
        <w:rPr>
          <w:rFonts w:cs="Guttman David"/>
          <w:sz w:val="20"/>
          <w:szCs w:val="20"/>
          <w:rtl/>
        </w:rPr>
        <w:t xml:space="preserve"> הקל בהרבה מול מה שהיה אצל הכבלים. זה ממש הפוך.</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מר מטלון, ככל שאנחנו נעשה תיקון ונראה לך שהוא מ</w:t>
      </w:r>
      <w:r>
        <w:rPr>
          <w:rFonts w:cs="Guttman David"/>
          <w:sz w:val="20"/>
          <w:szCs w:val="20"/>
          <w:rtl/>
        </w:rPr>
        <w:t>פלה את הלוויין לעומת הכבלים, תפנה את תשומת ליבנו ונשתדל להקל עליך. אבל באותם מקרים שאנחנו נחמיר איתם תגיד: אני מבקש להחיל גם עלי.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מוריאל מטלון: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כשיהיה לי את מספר המנויים שיש להם, אני מוכן לקבל את כל ההחמרות.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בעצם על ההמשך שאני אקרא עכשיו כ</w:t>
      </w:r>
      <w:r>
        <w:rPr>
          <w:rFonts w:cs="Guttman David"/>
          <w:sz w:val="20"/>
          <w:szCs w:val="20"/>
          <w:rtl/>
        </w:rPr>
        <w:t>בר נערך דיון.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1701"/>
        <w:rPr>
          <w:rFonts w:cs="Guttman David"/>
          <w:sz w:val="20"/>
          <w:szCs w:val="20"/>
          <w:rtl/>
        </w:rPr>
      </w:pPr>
      <w:r>
        <w:rPr>
          <w:rFonts w:cs="Guttman David"/>
          <w:sz w:val="20"/>
          <w:szCs w:val="20"/>
          <w:rtl/>
        </w:rPr>
        <w:t>"על אף האמור, רשאי השר, לאחר ששקל את השיקולים המפורטים בסעיף קטן (ב), להתיר העברת רשיון אגב מיזוג, אם חברת היעד והחברה הקולטת הן בעלות רשיון לאותו סוג של פעולות בזק או שירותי בזק, או אם החברה הקולטת הוקמה במיוחד לצורך המיזוג וכל חברות היעד ה</w:t>
      </w:r>
      <w:r>
        <w:rPr>
          <w:rFonts w:cs="Guttman David"/>
          <w:sz w:val="20"/>
          <w:szCs w:val="20"/>
          <w:rtl/>
        </w:rPr>
        <w:t>ן בעלות רשיון כאמור; השר רשאי להתנות העברה כאמור, בתנאים שיש לקיימם לפני ההעברה או לאחריה."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גברת לחמן-מסר, למה אנחנו צריכים את כל האידיאולוגיה הזאת?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שינינו את 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סומכים על השר. מספיק לומר</w:t>
      </w:r>
      <w:r>
        <w:rPr>
          <w:rFonts w:cs="Guttman David"/>
          <w:sz w:val="20"/>
          <w:szCs w:val="20"/>
          <w:rtl/>
        </w:rPr>
        <w:t>: "על אף האמור, רשאי השר, לאחר ששקל את השיקולים המפורטים בסעיף קטן (ב), להתיר העברת רשיון אגב מיזוג", נקודה.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"אגב שינויים מבניים". נתנו לזה את המסגרת של שינויים מבניים.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למה לי לא לתת שיקול דעת יותר רחב לשר? למה אני צריך לכב</w:t>
      </w:r>
      <w:r>
        <w:rPr>
          <w:rFonts w:cs="Guttman David"/>
          <w:sz w:val="20"/>
          <w:szCs w:val="20"/>
          <w:rtl/>
        </w:rPr>
        <w:t xml:space="preserve">ול את ידיו? מחר יסתבר שזה כן מבני, או לא מבני. למה אני צריך את זה? אני תמיד מפחד שבאיזה שלב פתאום יסתבר שעושים משהו שלא בדיוק מתאים לדבר הזה ואז פתאום אנחנו בפלונטר, לא יודעים איך יוצאים מזה, צריך לתקן את החוק וכמו שאמר השר בן-אליעזר: זה לא פחות מ-3 שנים, </w:t>
      </w:r>
      <w:r>
        <w:rPr>
          <w:rFonts w:cs="Guttman David"/>
          <w:sz w:val="20"/>
          <w:szCs w:val="20"/>
          <w:rtl/>
        </w:rPr>
        <w:t>והעסק נתקע.</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במצב שבו העברת רשיון או שעבוד רשיון היה לגמרי פתוח יצא שכל אימת שרצו לקבל אשראי מהבנק התחיל מסע שלם של שכנוע לשר מדוע לאפשר לשעבד את הרשיון וכולי, ושזה עיקר שווי החברה. כמעט אין סוף לפניות האלה. לכן צמצמנו את זה בנושא שלפנינו.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w:t>
      </w:r>
      <w:r>
        <w:rPr>
          <w:rFonts w:cs="Guttman David"/>
          <w:sz w:val="20"/>
          <w:szCs w:val="20"/>
          <w:u w:val="single"/>
          <w:rtl/>
        </w:rPr>
        <w:t>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גברת בנדלר, לצורך הקריאה הראשונה תנסחו את זה כך שיהיה שיקול דעת רחב לשר לאפשר את ההעברה הזאת.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נשים נקודה אחרי "העברת רשיון".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צריך יותר מדי לצמצם. אני נותן לשר שיקול דעת.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הרעיון הכל</w:t>
      </w:r>
      <w:r>
        <w:rPr>
          <w:rFonts w:cs="Guttman David"/>
          <w:sz w:val="20"/>
          <w:szCs w:val="20"/>
          <w:rtl/>
        </w:rPr>
        <w:t>לי הוא שמי שמקבל את הרשיון הוא גוף שיש לו כבר סוג של רשיון, או שהוא חברה חדשה שקמה.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בסדר, אז השר ישקול את 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ברגע שאתה נותן פתח, כשהשר רשאי לעשות הכל, אז הוא רשאי להעביר את הרשיון גם למי שקודם בכלל לא קיבל רשיון.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w:t>
      </w:r>
      <w:r>
        <w:rPr>
          <w:rFonts w:cs="Guttman David"/>
          <w:sz w:val="20"/>
          <w:szCs w:val="20"/>
          <w:u w:val="single"/>
          <w:rtl/>
        </w:rPr>
        <w:t>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ונניח שלא היה לו קודם רשיון, אז מה?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אז אתה סוטה מהעניין של רשיון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ממה אני סוטה אם אני נותן שיקול דעת רחב לשר?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אמרת קודם שהרשיון הוא דבר פרסונלי ולא מסמך סחיר. ברגע שאתה אומ</w:t>
      </w:r>
      <w:r>
        <w:rPr>
          <w:rFonts w:cs="Guttman David"/>
          <w:sz w:val="20"/>
          <w:szCs w:val="20"/>
          <w:rtl/>
        </w:rPr>
        <w:t xml:space="preserve">ר: "על אף האמור, רשאי השר להתיר את העברת הרשיון" - אתה הופך אותו למסמך סחיר פתוח ללחצים. הרעיון כאן היה בסך הכל לאפשר העברת רשיון לחברה שקמה כתוצאה ממיזוגים או מפיצולים, לגוף שהיה קודם בעל רשיון. לכן חשוב לנו לקחת את ההגדרה הרחבה ביותר, כדי לא להגיע למשהו </w:t>
      </w:r>
      <w:r>
        <w:rPr>
          <w:rFonts w:cs="Guttman David"/>
          <w:sz w:val="20"/>
          <w:szCs w:val="20"/>
          <w:rtl/>
        </w:rPr>
        <w:t>כמו רשיון המוניות עליו דיברת. זה הכל.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עדיין חושב שכל ההגבלות האלה באיזה שלב יכולות "לתקוע" אתכם.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כל מבקש רשיון שיעמוד בתנאים יקבל רשיון. אם אני רוצה להעביר רשיון לך, או במסגרת שינוי מבני או במסגרת מיזוג, הכוו</w:t>
      </w:r>
      <w:r>
        <w:rPr>
          <w:rFonts w:cs="Guttman David"/>
          <w:sz w:val="20"/>
          <w:szCs w:val="20"/>
          <w:rtl/>
        </w:rPr>
        <w:t>נה היא שלך כבר היה קודם רשיון ואנחנו מקימים ביחד חברה שלישית ולה ינתן הרשיון, כי לשנינו היה. זה הכל. המקרה היחידי של העברת רשיון בסמכות השר הוא כאשר הנעבר הוא "ילד" של שניים או שלושה, או מישהו שהיה בעל רשיון קודם.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יכול להיות גם בהעברת אמ</w:t>
      </w:r>
      <w:r>
        <w:rPr>
          <w:rFonts w:cs="Guttman David"/>
          <w:sz w:val="20"/>
          <w:szCs w:val="20"/>
          <w:rtl/>
        </w:rPr>
        <w:t>צעי שליטה. בין העסקים יש עיסקאות שונות. זה לא חייב להיות מיזוג.</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גברת לחמן-מסר, בשלב זה נוריד את זה. תצטרכי לשכנע אותי למה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אתה פשוט סותר את מה שאמרת קודם.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בכלל הייתי רוצה שבמקרה כזה ינת</w:t>
      </w:r>
      <w:r>
        <w:rPr>
          <w:rFonts w:cs="Guttman David"/>
          <w:sz w:val="20"/>
          <w:szCs w:val="20"/>
          <w:rtl/>
        </w:rPr>
        <w:t>ן רשיון חדש. אבל יכול להיות שעוד לא עשינו את השילוב. בינתיים נוריד את התנאים המחמירים.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מבקשים שבינתיים, אם יורשה, מאחר ומדובר במשפט אחד שנקרא במסגרת של חריג - שהוא ישאר. אחר-כך  נצטרך לשכנע אותך למה להצר.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"אגב </w:t>
      </w:r>
      <w:r>
        <w:rPr>
          <w:rFonts w:cs="Guttman David"/>
          <w:sz w:val="20"/>
          <w:szCs w:val="20"/>
          <w:rtl/>
        </w:rPr>
        <w:t xml:space="preserve">מיזוג".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מקובל.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"אגב מיזוג" הוא יותר צר מ"שינויים מבניים".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ד"ר תדמור, תאפשר לי להגיע לקריאה ראשונה. אחרי שאני אעבור את הקריאה הראשונה, תגיד כל מה שתרצה.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מבקש להוסיף פה "בתנאים שיורה עלי</w:t>
      </w:r>
      <w:r>
        <w:rPr>
          <w:rFonts w:cs="Guttman David"/>
          <w:sz w:val="20"/>
          <w:szCs w:val="20"/>
          <w:rtl/>
        </w:rPr>
        <w:t>הם".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המלים "השר רשאי להתנות העברה ..." נשארות.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המלים "אגב מיזוג" הן צרות יותר מ"שינויים מבניים". למה להפוך את זה לצר יותר?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הצעתי "שינויים מבניים".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אתם רוצים לכתוב "מיזוג אגב שינויים מב</w:t>
      </w:r>
      <w:r>
        <w:rPr>
          <w:rFonts w:cs="Guttman David"/>
          <w:sz w:val="20"/>
          <w:szCs w:val="20"/>
          <w:rtl/>
        </w:rPr>
        <w:t>ניים"?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"שינויים מבניים" - זה כולל מיזוג, הסדר ופשרה, כל מיני דברים. אנחנו מבקשים לכתוב "שינויים מבניים".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"בתנאים שיורה עליהם".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לא צריכה את זה. אני משאירה את המשפט האחרון: "השר רשאי להתנות העברה כאמור, בת</w:t>
      </w:r>
      <w:r>
        <w:rPr>
          <w:rFonts w:cs="Guttman David"/>
          <w:sz w:val="20"/>
          <w:szCs w:val="20"/>
          <w:rtl/>
        </w:rPr>
        <w:t xml:space="preserve">נאים שיש לקיימם לפני ההעברה או לאחריה".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1701" w:hanging="567"/>
        <w:rPr>
          <w:rFonts w:cs="Guttman David"/>
          <w:sz w:val="20"/>
          <w:szCs w:val="20"/>
          <w:rtl/>
        </w:rPr>
      </w:pPr>
      <w:r>
        <w:rPr>
          <w:rFonts w:cs="Guttman David"/>
          <w:sz w:val="20"/>
          <w:szCs w:val="20"/>
          <w:rtl/>
        </w:rPr>
        <w:t>"(ד2)</w:t>
      </w:r>
      <w:r>
        <w:rPr>
          <w:rFonts w:cs="Guttman David"/>
          <w:sz w:val="20"/>
          <w:szCs w:val="20"/>
          <w:rtl/>
        </w:rPr>
        <w:tab/>
        <w:t>בלי לגרוע מהוראות סעיפים קטנים (ב) ו-(ה) או סעיף 59 ובהביאו בחשבון, בין השאר, את השיקולים האמורים בסעיף קטן (ב) ובסעיפים 6ט ו-6נ, רשאי השר לקבוע, בתקנות או ברשיון, הוראות בעניינים אלה:</w:t>
      </w:r>
    </w:p>
    <w:p w:rsidR="00000000" w:rsidRDefault="0047127C">
      <w:pPr>
        <w:pStyle w:val="a5"/>
        <w:tabs>
          <w:tab w:val="clear" w:pos="4153"/>
          <w:tab w:val="clear" w:pos="8306"/>
        </w:tabs>
        <w:ind w:left="1701" w:hanging="567"/>
        <w:rPr>
          <w:rFonts w:cs="Guttman David"/>
          <w:sz w:val="20"/>
          <w:szCs w:val="20"/>
          <w:rtl/>
        </w:rPr>
      </w:pPr>
    </w:p>
    <w:p w:rsidR="00000000" w:rsidRDefault="0047127C">
      <w:pPr>
        <w:pStyle w:val="a5"/>
        <w:tabs>
          <w:tab w:val="clear" w:pos="4153"/>
          <w:tab w:val="clear" w:pos="8306"/>
        </w:tabs>
        <w:ind w:left="2268" w:hanging="567"/>
        <w:rPr>
          <w:rFonts w:cs="Guttman David"/>
          <w:sz w:val="20"/>
          <w:szCs w:val="20"/>
          <w:rtl/>
        </w:rPr>
      </w:pPr>
      <w:r>
        <w:rPr>
          <w:rFonts w:cs="Guttman David"/>
          <w:sz w:val="20"/>
          <w:szCs w:val="20"/>
          <w:rtl/>
        </w:rPr>
        <w:t>(1)</w:t>
      </w:r>
      <w:r>
        <w:rPr>
          <w:rFonts w:cs="Guttman David"/>
          <w:sz w:val="20"/>
          <w:szCs w:val="20"/>
          <w:rtl/>
        </w:rPr>
        <w:tab/>
        <w:t>הגבלות ותנאים לעני</w:t>
      </w:r>
      <w:r>
        <w:rPr>
          <w:rFonts w:cs="Guttman David"/>
          <w:sz w:val="20"/>
          <w:szCs w:val="20"/>
          <w:rtl/>
        </w:rPr>
        <w:t xml:space="preserve">ן החזקה, העברה או רכישה של אמצעי שליטה במבקש רשיון או בבעל רשיון, לרבות בידי בעל רשיון אחר או בעל רשיון לשידורים לפי חוק זה, או בידי מי שמשדר שידורים לציבור לפי כל דין, או בידי בעל עניין בכל אחד מהם, והכל במישרין או בעקיפין, וכן הגבלות ותנאים לעניין מינוי </w:t>
      </w:r>
      <w:r>
        <w:rPr>
          <w:rFonts w:cs="Guttman David"/>
          <w:sz w:val="20"/>
          <w:szCs w:val="20"/>
          <w:rtl/>
        </w:rPr>
        <w:t>נושאי משרה בהם;</w:t>
      </w:r>
    </w:p>
    <w:p w:rsidR="00000000" w:rsidRDefault="0047127C">
      <w:pPr>
        <w:pStyle w:val="a5"/>
        <w:tabs>
          <w:tab w:val="clear" w:pos="4153"/>
          <w:tab w:val="clear" w:pos="8306"/>
        </w:tabs>
        <w:ind w:left="2268" w:hanging="567"/>
        <w:rPr>
          <w:rFonts w:cs="Guttman David"/>
          <w:sz w:val="20"/>
          <w:szCs w:val="20"/>
          <w:rtl/>
        </w:rPr>
      </w:pPr>
    </w:p>
    <w:p w:rsidR="00000000" w:rsidRDefault="0047127C">
      <w:pPr>
        <w:pStyle w:val="a5"/>
        <w:tabs>
          <w:tab w:val="clear" w:pos="4153"/>
          <w:tab w:val="clear" w:pos="8306"/>
        </w:tabs>
        <w:ind w:left="2268" w:hanging="567"/>
        <w:rPr>
          <w:rFonts w:cs="Guttman David"/>
          <w:sz w:val="20"/>
          <w:szCs w:val="20"/>
          <w:rtl/>
        </w:rPr>
      </w:pPr>
      <w:r>
        <w:rPr>
          <w:rFonts w:cs="Guttman David"/>
          <w:sz w:val="20"/>
          <w:szCs w:val="20"/>
          <w:rtl/>
        </w:rPr>
        <w:t>(2)</w:t>
      </w:r>
      <w:r>
        <w:rPr>
          <w:rFonts w:cs="Guttman David"/>
          <w:sz w:val="20"/>
          <w:szCs w:val="20"/>
          <w:rtl/>
        </w:rPr>
        <w:tab/>
        <w:t>הפרדה חשבונאית בין שירותים שונים הניתנים בידי בעל רשיון, לרבות באמצעות מערך לרישום נפרד של הוצאות והכנסות;</w:t>
      </w:r>
    </w:p>
    <w:p w:rsidR="00000000" w:rsidRDefault="0047127C">
      <w:pPr>
        <w:pStyle w:val="a5"/>
        <w:tabs>
          <w:tab w:val="clear" w:pos="4153"/>
          <w:tab w:val="clear" w:pos="8306"/>
        </w:tabs>
        <w:ind w:left="2268" w:hanging="567"/>
        <w:rPr>
          <w:rFonts w:cs="Guttman David"/>
          <w:sz w:val="20"/>
          <w:szCs w:val="20"/>
          <w:rtl/>
        </w:rPr>
      </w:pPr>
    </w:p>
    <w:p w:rsidR="00000000" w:rsidRDefault="0047127C">
      <w:pPr>
        <w:pStyle w:val="a5"/>
        <w:tabs>
          <w:tab w:val="clear" w:pos="4153"/>
          <w:tab w:val="clear" w:pos="8306"/>
        </w:tabs>
        <w:ind w:left="2268" w:hanging="567"/>
        <w:rPr>
          <w:rFonts w:cs="Guttman David"/>
          <w:sz w:val="20"/>
          <w:szCs w:val="20"/>
          <w:rtl/>
        </w:rPr>
      </w:pPr>
      <w:r>
        <w:rPr>
          <w:rFonts w:cs="Guttman David"/>
          <w:sz w:val="20"/>
          <w:szCs w:val="20"/>
          <w:rtl/>
        </w:rPr>
        <w:t>(3)</w:t>
      </w:r>
      <w:r>
        <w:rPr>
          <w:rFonts w:cs="Guttman David"/>
          <w:sz w:val="20"/>
          <w:szCs w:val="20"/>
          <w:rtl/>
        </w:rPr>
        <w:tab/>
        <w:t>הפרדה תאגידית בין בעל רשיון לבין אחר לצורך מתן שירותים שונים, לרבות הוראות בדבר מימוש ההפרדה.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 xml:space="preserve">בסעיף קטן זה - </w:t>
      </w:r>
    </w:p>
    <w:p w:rsidR="00000000" w:rsidRDefault="0047127C">
      <w:pPr>
        <w:pStyle w:val="a5"/>
        <w:tabs>
          <w:tab w:val="clear" w:pos="4153"/>
          <w:tab w:val="clear" w:pos="8306"/>
        </w:tabs>
        <w:ind w:left="1134"/>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"נושא משרה"</w:t>
      </w:r>
      <w:r>
        <w:rPr>
          <w:rFonts w:cs="Guttman David"/>
          <w:sz w:val="20"/>
          <w:szCs w:val="20"/>
          <w:rtl/>
        </w:rPr>
        <w:t xml:space="preserve"> - כהגדרתו בחוק החברות;</w:t>
      </w:r>
    </w:p>
    <w:p w:rsidR="00000000" w:rsidRDefault="0047127C">
      <w:pPr>
        <w:pStyle w:val="a5"/>
        <w:tabs>
          <w:tab w:val="clear" w:pos="4153"/>
          <w:tab w:val="clear" w:pos="8306"/>
        </w:tabs>
        <w:ind w:left="1134"/>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"שירותים" - שירותי בזק או שידורים."."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למרות שסעיפים 2 ו-3 הם בוודאי סעיפים מבורכים אני מבקש להצביע בפני היושב-ראש על כך שסעיף (ד2)(1) אומר, בלשון ארוכה, שהשר יכול לעשות מה שמתחשק לו.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מיכאל איתן: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אדוני היושב-ראש, הא</w:t>
      </w:r>
      <w:r>
        <w:rPr>
          <w:rFonts w:cs="Guttman David"/>
          <w:sz w:val="20"/>
          <w:szCs w:val="20"/>
          <w:rtl/>
        </w:rPr>
        <w:t>ם מותר לי להבין דבר אחד? אני מצטער על התזוזה בשעת הישיבה. הודיעו לי על כך משום מה מאוחר. אני מבין שההצעה הזאת כעת נדונה בהכנתה לקריאה ראשונה.</w:t>
      </w: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נשלב את העניין שלך בפנים, ככל האפשר.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מיכאל איתן:</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פוחד מאוד שיסתבר שיהיו כאלה שיחשבו שאי</w:t>
      </w:r>
      <w:r>
        <w:rPr>
          <w:rFonts w:cs="Guttman David"/>
          <w:sz w:val="20"/>
          <w:szCs w:val="20"/>
          <w:rtl/>
        </w:rPr>
        <w:t xml:space="preserve"> אפשר.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אומר: ככל האפשר. ואתה תהיה פה.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מיכאל איתן:</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מתי תהיה הישיבה?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ביום חמישי הקרוב בשעה 11:00.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מיכאל איתן:</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מתנצל שאני נאלץ לעזוב אבל השינוי שעשיתם בלוח הזמנים, ממש ברגע האחרון, לא מאפשר לי להישאר. ז</w:t>
      </w:r>
      <w:r>
        <w:rPr>
          <w:rFonts w:cs="Guttman David"/>
          <w:sz w:val="20"/>
          <w:szCs w:val="20"/>
          <w:rtl/>
        </w:rPr>
        <w:t>ה חקיקה של הכנסת במיטבה.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אנחנו כרגע עוסקים ממש בדברים טכניים. לא בשום דבר שצריך להדאיג אותך.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מיכאל איתן:</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בהצלחה.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אדוני היושב-ראש, ההערה שלי היא שהאמירה, ששר התקשורת רשאי ברשיון לשידורים או שירותים לפי החוק להתנות איזה</w:t>
      </w:r>
      <w:r>
        <w:rPr>
          <w:rFonts w:cs="Guttman David"/>
          <w:sz w:val="20"/>
          <w:szCs w:val="20"/>
          <w:rtl/>
        </w:rPr>
        <w:t xml:space="preserve"> תנאי שנראה לו, איננה מהווה תרומה גדולה לוודאות העסקית. אני  חושב שכדאי שהוועדה תשקול האם באמת נכון לאפשר להתנות כל תנאי שרוצים בכל עניין שהוא על הגוף עצמו, על בעל העניין שלו.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לא נכון ששר צריך להפעיל שיקול דעת במשפט המנהלי: סבירות,</w:t>
      </w:r>
      <w:r>
        <w:rPr>
          <w:rFonts w:cs="Guttman David"/>
          <w:sz w:val="20"/>
          <w:szCs w:val="20"/>
          <w:rtl/>
        </w:rPr>
        <w:t xml:space="preserve"> העדר שיקולים זרים וכולי?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כל הפעלת סמכות על-פי דין כפופה לביקורת של בית-המשפט. עדיין אתה שואל את עצמך האם אתה רוצה בחקיקה ראשית ששר התקשורת - לאו דווקא הנוכחי אלא איזה שר תקשורת היפותטי - יוסמך להתנות כל תנאי שהוא רוצה לגבי מי שהוא מחזיק ברשי</w:t>
      </w:r>
      <w:r>
        <w:rPr>
          <w:rFonts w:cs="Guttman David"/>
          <w:sz w:val="20"/>
          <w:szCs w:val="20"/>
          <w:rtl/>
        </w:rPr>
        <w:t>ון, מי שהוא בעל עניין בו, נושא המשרה במי שהוא בעל עניין בו - כשההגדרה של "בעל עניין" היא מאוד רחבה. אני חושב שזה לא כדאי.</w:t>
      </w: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נשאיר את זה כך. השרים במילא לא משתמשים בסמכויות שלהם.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רק לשים את זה בפרופורציה. השינוי שעשינו כאן לעומ</w:t>
      </w:r>
      <w:r>
        <w:rPr>
          <w:rFonts w:cs="Guttman David"/>
          <w:sz w:val="20"/>
          <w:szCs w:val="20"/>
          <w:rtl/>
        </w:rPr>
        <w:t>ת נוסח החוק הקיים הוא זעיר. זה אותו נוסח שהיה, למעט שהוספנו כאן את עניין "נושא מישרה".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לא מודאג מעודף סמכויות השרים בגלל שהם כפופים לשיקול דעת המשפט המנהלי. לכן, אם הם יפעילו את זה בשרירות או שלא בתום לב או באפליה, אז במילא בית-המש</w:t>
      </w:r>
      <w:r>
        <w:rPr>
          <w:rFonts w:cs="Guttman David"/>
          <w:sz w:val="20"/>
          <w:szCs w:val="20"/>
          <w:rtl/>
        </w:rPr>
        <w:t>פט יתערב. חוץ מזה, אני אמור לסמוך על הייעוץ המשפטי שניתן לשרים, שהם לא יעשו יותר מדי שטויות.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אבי גבאי: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יש כאן התייחסות ליכולת של השר לקבוע כללים לגבי הפרדה חשבונאית ולגבי הפרדה תאגידית. בכל העולם, לפחות כפי שאנחנו מכירים, או שהולכים על הפרדה תאגידית או </w:t>
      </w:r>
      <w:r>
        <w:rPr>
          <w:rFonts w:cs="Guttman David"/>
          <w:sz w:val="20"/>
          <w:szCs w:val="20"/>
          <w:rtl/>
        </w:rPr>
        <w:t>שהולכים על הפרדה חשבונאית. זאת אומרת, אומרים - - - "טלקום", תחרות גדולה יש באנגליה וזה הפרדה חשבונאית ולא תאגידית, כדוגמא. בארץ מה שמנסים לעשות בחקיקה הזאת - ואנחנו כבר רואים את זה ברשיונות שהמשרד מתכוון לתת - בעצם אומרים: כולם הפרדה חשבונאית, חוץ מבזק - ש</w:t>
      </w:r>
      <w:r>
        <w:rPr>
          <w:rFonts w:cs="Guttman David"/>
          <w:sz w:val="20"/>
          <w:szCs w:val="20"/>
          <w:rtl/>
        </w:rPr>
        <w:t xml:space="preserve">ם זה הפרדה תאגידית. בזק היא היחידה שצריכה ל-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מי אמר את זה? איפה כתוב שזה בזק?</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סליחה, זה סמכויות השר. זה לא הנושא.</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אבי גבאי: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מופיע כאן. זה יותר הסמכויות לקבוע לאחד הפרדה חשבונאית ולאחר הפרדה תאגידית. אנח</w:t>
      </w:r>
      <w:r>
        <w:rPr>
          <w:rFonts w:cs="Guttman David"/>
          <w:sz w:val="20"/>
          <w:szCs w:val="20"/>
          <w:rtl/>
        </w:rPr>
        <w:t>נו אומרים, שיחליטו מה רוצים: הפרדה תאגידית או הפרדה חשבונאית, ואז אותו דין יהיה לכולם, ולא לאחד כך ולשני אחרת.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מה לא בסדר בסעיף כפי שהוא מנוסח כרגע?</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אבי גבאי: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שהשר יכול להחליט על הפרדה חשבונאית לאחד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הו</w:t>
      </w:r>
      <w:r>
        <w:rPr>
          <w:rFonts w:cs="Guttman David"/>
          <w:sz w:val="20"/>
          <w:szCs w:val="20"/>
          <w:rtl/>
        </w:rPr>
        <w:t>א יחליט על הפרדה חשבונאית לאחד, אם יש לו שיקול סביר למה הוא עושה את זה. יש מקרים שצריך ככה וצריך אחרת. אם הוא יפעיל שיקול דעת בצורה שרירותית ובלתי סבירה, בית-משפט יפסול את זה. אני לא יכול כרגע לנבא ולומר שבכל המקרים, ללא יוצא מן הכלל, זה תמיד צריך להיות או</w:t>
      </w:r>
      <w:r>
        <w:rPr>
          <w:rFonts w:cs="Guttman David"/>
          <w:sz w:val="20"/>
          <w:szCs w:val="20"/>
          <w:rtl/>
        </w:rPr>
        <w:t xml:space="preserve"> כך או כך. צריך לתת לשר שיקול דעת לפי המקרה. אם הוא יפעיל שיקול דעת בצורה פרוורטית - יש עוד בתי-משפט.</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אבי גבאי: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שמים את זה בחקיקה הראשית בעצם הוא יכול לעשות מה שהוא רוצה, מתי שהוא רוצה.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נכון, בכפוף לשיקולים של המשפט המנהלי.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אייל</w:t>
      </w:r>
      <w:r>
        <w:rPr>
          <w:rFonts w:cs="Guttman David"/>
          <w:sz w:val="20"/>
          <w:szCs w:val="20"/>
          <w:u w:val="single"/>
          <w:rtl/>
        </w:rPr>
        <w:t>ת כהן-מעגן: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לפעמים צריך להגביל את זה מטעמים מיוחדים מראש.</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נעבור הלאה. לא קיבלתי את ההערה.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אבי גבאי: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נושא מאוד מהותי. זה לא עניין טכני בכלל.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איפה זה כתוב?</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בהתחלה: "רשאי השר לקבוע, בתקנות או ברש</w:t>
      </w:r>
      <w:r>
        <w:rPr>
          <w:rFonts w:cs="Guttman David"/>
          <w:sz w:val="20"/>
          <w:szCs w:val="20"/>
          <w:rtl/>
        </w:rPr>
        <w:t>יון, הוראות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נשאיר את זה כך.</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סעיף קטן (ו) אומר: "השר רשאי, בהודעה ברשומות, להעניק לבעל רשיון כללי את הסמכויות ואת החסינויות המנויות בפרקים ו' ו-ט', כולן או מקצתן;"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"(3)</w:t>
      </w:r>
      <w:r>
        <w:rPr>
          <w:rFonts w:cs="Guttman David"/>
          <w:sz w:val="20"/>
          <w:szCs w:val="20"/>
          <w:rtl/>
        </w:rPr>
        <w:tab/>
        <w:t>בסעיף קטן (ו), בסופו יבוא:</w:t>
      </w:r>
    </w:p>
    <w:p w:rsidR="00000000" w:rsidRDefault="0047127C">
      <w:pPr>
        <w:pStyle w:val="a5"/>
        <w:tabs>
          <w:tab w:val="clear" w:pos="4153"/>
          <w:tab w:val="clear" w:pos="8306"/>
        </w:tabs>
        <w:ind w:left="1134"/>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"השר רשאי להורות ע</w:t>
      </w:r>
      <w:r>
        <w:rPr>
          <w:rFonts w:cs="Guttman David"/>
          <w:sz w:val="20"/>
          <w:szCs w:val="20"/>
          <w:rtl/>
        </w:rPr>
        <w:t>ל תנאים להפעלת סמכויות או לתחולת חסינויות שהוענקו כאמור"."</w:t>
      </w:r>
    </w:p>
    <w:p w:rsidR="00000000" w:rsidRDefault="0047127C">
      <w:pPr>
        <w:pStyle w:val="a5"/>
        <w:tabs>
          <w:tab w:val="clear" w:pos="4153"/>
          <w:tab w:val="clear" w:pos="8306"/>
        </w:tabs>
        <w:rPr>
          <w:rFonts w:cs="Guttman David"/>
          <w:b/>
          <w:bCs/>
          <w:sz w:val="20"/>
          <w:szCs w:val="20"/>
          <w:u w:val="single"/>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זה צריך לחול גם על רשיון כללי לשידור. יש הבחנה שהכבלים מקבלים לא רק רשיון כללי. בהגדרות של המשרד הכבלים מקבלים רשיון כללי לשידור. זה צריך לחול גם על זה. לא רק על בעל הרשיון הכללי. </w:t>
      </w:r>
      <w:r>
        <w:rPr>
          <w:rFonts w:cs="Guttman David"/>
          <w:sz w:val="20"/>
          <w:szCs w:val="20"/>
          <w:rtl/>
        </w:rPr>
        <w:t>השר רשאי להורות על תנאים. זה מוגדר על בעל רשיון כללי. בטרמינולוגיה שהם הגדירו, הכבלים מקבלים רשיון כללי לשידור, שזה קטגוריה אחרת. שזה יחול גם על הכבלים. שזה יחול גם וגם.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ברור שזה חל. רשיון לשידורים זה רשיון כללי ולא רשיון מיוחד.</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w:t>
      </w:r>
      <w:r>
        <w:rPr>
          <w:rFonts w:cs="Guttman David"/>
          <w:sz w:val="20"/>
          <w:szCs w:val="20"/>
          <w:u w:val="single"/>
          <w:rtl/>
        </w:rPr>
        <w:t>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חל? אני לא קראתי את ההגדרות.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חל רק על רשיון לשירותי בזק. זה לא חל על רשיונות לשידורים.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עו"ד בנדלר, תרשמי לך בצד את ההערה.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אומר ד"ר יזהר טל שזה לא חל על בעל רשיון לשידורים. האם כל הסעיף לא חל על בעל</w:t>
      </w:r>
      <w:r>
        <w:rPr>
          <w:rFonts w:cs="Guttman David"/>
          <w:sz w:val="20"/>
          <w:szCs w:val="20"/>
          <w:rtl/>
        </w:rPr>
        <w:t xml:space="preserve"> רשיון לשידורים?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הסעיף הזה הוא על טלקומוניקציה בלבד?</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הסעיף הזה הוא בחלק של הטלקומוניקציה. הסמכויות לגבי הנושא של שידורים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אם הוא יהפוך לחברה שנותנת שירותי טלקומוניקציה אז זה יחול גם עליו.</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w:t>
      </w:r>
      <w:r>
        <w:rPr>
          <w:rFonts w:cs="Guttman David"/>
          <w:sz w:val="20"/>
          <w:szCs w:val="20"/>
          <w:u w:val="single"/>
          <w:rtl/>
        </w:rPr>
        <w:t>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בוודאי. השינוי הבסיסי ביותר בתיקון הזה, שעובר לכל אורכו, שהוא הופך להיות בעל רשיון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יהיו לו שני רשיונות.</w:t>
      </w:r>
    </w:p>
    <w:p w:rsidR="00000000" w:rsidRDefault="0047127C">
      <w:pPr>
        <w:pStyle w:val="a5"/>
        <w:tabs>
          <w:tab w:val="clear" w:pos="4153"/>
          <w:tab w:val="clear" w:pos="8306"/>
        </w:tabs>
        <w:rPr>
          <w:rFonts w:cs="Guttman David"/>
          <w:b/>
          <w:bCs/>
          <w:sz w:val="20"/>
          <w:szCs w:val="20"/>
          <w:u w:val="single"/>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מר איינהורן, אם ההסבר לא יניח את דעתך, תחזור. כרגע הסעיף מאושר כפי שהוא.</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סעיף 3 - ת</w:t>
      </w:r>
      <w:r>
        <w:rPr>
          <w:rFonts w:cs="Guttman David"/>
          <w:b/>
          <w:bCs/>
          <w:sz w:val="20"/>
          <w:szCs w:val="20"/>
          <w:u w:val="single"/>
          <w:rtl/>
        </w:rPr>
        <w:t>יקון סעיף 4א לחוק העיקרי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סעיף 4א לחוק העיקרי עניינו במתן אישור סוג.</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"בסעיף 4א לחוק העיקרי, במקום סעיף קטן (ה) יבוא:</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w:t>
      </w:r>
      <w:r>
        <w:rPr>
          <w:rFonts w:cs="Guttman David"/>
          <w:sz w:val="20"/>
          <w:szCs w:val="20"/>
          <w:rtl/>
        </w:rPr>
        <w:tab/>
        <w:t>הוראות סעיף זה לא יחולו על ציוד קצה שניתן לגביו אישור סוג לפי הפקודה".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פה אנחנו שינינו לאחר מכן. הנוסח החדש אומר שסעיף</w:t>
      </w:r>
      <w:r>
        <w:rPr>
          <w:rFonts w:cs="Guttman David"/>
          <w:sz w:val="20"/>
          <w:szCs w:val="20"/>
          <w:rtl/>
        </w:rPr>
        <w:t xml:space="preserve"> קטן (ה) בחוק המקורי - בטל. סעיף קטן (ה) אומר "הודעה על אישור סוג של ציוד קצה ... תפורסם ברשומות ...". זה הפך להיות גזירה שאי אפשר לעמוד בה.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סעיף 4 - ביטול סעיף 4ב בחוק העיקרי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"סעיף 4ב לחוק העיקרי - בטל."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סעיף 4ב לחוק העיקרי עניינו ברשיון</w:t>
      </w:r>
      <w:r>
        <w:rPr>
          <w:rFonts w:cs="Guttman David"/>
          <w:sz w:val="20"/>
          <w:szCs w:val="20"/>
          <w:rtl/>
        </w:rPr>
        <w:t xml:space="preserve"> מיוחד לתאגיד בתי מלון.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צריך לדעתי לתת הודעה להתאחדות בעלי בתי-המלון שהסעיף הזה הולך להתבטל.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חושבת שפשוט לא יהיה בזה צורך. לכן זה מתבטל.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חושבת שזה היה חלום שלא הגשים את עצמו. נדמה לי שלא ניתן אף</w:t>
      </w:r>
      <w:r>
        <w:rPr>
          <w:rFonts w:cs="Guttman David"/>
          <w:sz w:val="20"/>
          <w:szCs w:val="20"/>
          <w:rtl/>
        </w:rPr>
        <w:t xml:space="preserve"> רשיון לתאגיד בתי-מלון.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אבל אפשר יהיה לתת מכוח התיקונים המוצעים? כן.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נזכר מה היתה מטרתו של הסעיף הזה. דובר על כך שלבתי-המלון באילת אין זמן להמתין לכבלים, עד שיגיעו אליהם מתל-אביב עם החוט. בפירוש אפשר לבטל את 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w:t>
      </w:r>
      <w:r>
        <w:rPr>
          <w:rFonts w:cs="Guttman David"/>
          <w:sz w:val="20"/>
          <w:szCs w:val="20"/>
          <w:u w:val="single"/>
          <w:rtl/>
        </w:rPr>
        <w:t xml:space="preserve">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סעיף 5 - תיקון סעיף 4ד לחוק העיקרי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סעיף 4ד לחוק העיקרי עוסק בשירות חיוני.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סעיף קטן (ג) מדבר על הגבלות תנאים והוראות לפי סעיף קטן (ב1). סעיף קטן (ג) אומר: "ההגבלות, התנאים וההוראות לפי סעיף קטן (ב1) יהיו בעניינים אלה, כולם או חלקם: ...(5) קביע</w:t>
      </w:r>
      <w:r>
        <w:rPr>
          <w:rFonts w:cs="Guttman David"/>
          <w:sz w:val="20"/>
          <w:szCs w:val="20"/>
          <w:rtl/>
        </w:rPr>
        <w:t>ה מטעמים של בטחון המדינה".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הכבלים. זה משהו אחר.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השינוי הוא רק לגבי הגדרת "נושא משרה".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"כי נושאי משרה ונותן השירות החיוני, כולם או מקצתם, ובעלי תפקידים אחרים לנותן השירות החיוני, כפי שייקבע בסל, יהיו אזרחים</w:t>
      </w:r>
      <w:r>
        <w:rPr>
          <w:rFonts w:cs="Guttman David"/>
          <w:sz w:val="20"/>
          <w:szCs w:val="20"/>
          <w:rtl/>
        </w:rPr>
        <w:t xml:space="preserve"> ישראלים ותושבים בה, וכי אלה, כולם או מקצתם, יהיו בעלי סיווג בטחוני מתאים, כפי שייקבע שירות הבטחון הכללי; לעניין זה "נושא משרה" - כמשמעותו בסעיף 96 לפקודת החברות".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"בסעיף 4ד לחוק העיקרי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(1)</w:t>
      </w:r>
      <w:r>
        <w:rPr>
          <w:rFonts w:cs="Guttman David"/>
          <w:sz w:val="20"/>
          <w:szCs w:val="20"/>
          <w:rtl/>
        </w:rPr>
        <w:tab/>
        <w:t xml:space="preserve">בסעיף קטן (ג) - </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701" w:hanging="567"/>
        <w:rPr>
          <w:rFonts w:cs="Guttman David"/>
          <w:sz w:val="20"/>
          <w:szCs w:val="20"/>
          <w:rtl/>
        </w:rPr>
      </w:pPr>
      <w:r>
        <w:rPr>
          <w:rFonts w:cs="Guttman David"/>
          <w:sz w:val="20"/>
          <w:szCs w:val="20"/>
          <w:rtl/>
        </w:rPr>
        <w:t>(א)</w:t>
      </w:r>
      <w:r>
        <w:rPr>
          <w:rFonts w:cs="Guttman David"/>
          <w:sz w:val="20"/>
          <w:szCs w:val="20"/>
          <w:rtl/>
        </w:rPr>
        <w:tab/>
        <w:t>בפסקה (5), במקום "כמשמעותו בסעיף 96כד ל</w:t>
      </w:r>
      <w:r>
        <w:rPr>
          <w:rFonts w:cs="Guttman David"/>
          <w:sz w:val="20"/>
          <w:szCs w:val="20"/>
          <w:rtl/>
        </w:rPr>
        <w:t>פקודת החברות [נוסח חדש], התשמ"ג-1983 (להלן - פקודת החברות)" יבוא "כהגדרתו בחוק החברות.";"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תיקון חשוב. אני מציעה לאשר אותו.</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1701" w:hanging="567"/>
        <w:rPr>
          <w:rFonts w:cs="Guttman David"/>
          <w:sz w:val="20"/>
          <w:szCs w:val="20"/>
          <w:rtl/>
        </w:rPr>
      </w:pPr>
      <w:r>
        <w:rPr>
          <w:rFonts w:cs="Guttman David"/>
          <w:sz w:val="20"/>
          <w:szCs w:val="20"/>
          <w:rtl/>
        </w:rPr>
        <w:t>"(ב)</w:t>
      </w:r>
      <w:r>
        <w:rPr>
          <w:rFonts w:cs="Guttman David"/>
          <w:sz w:val="20"/>
          <w:szCs w:val="20"/>
          <w:rtl/>
        </w:rPr>
        <w:tab/>
        <w:t>במקום פסקה (6) יבוא:</w:t>
      </w:r>
    </w:p>
    <w:p w:rsidR="00000000" w:rsidRDefault="0047127C">
      <w:pPr>
        <w:pStyle w:val="a5"/>
        <w:tabs>
          <w:tab w:val="clear" w:pos="4153"/>
          <w:tab w:val="clear" w:pos="8306"/>
        </w:tabs>
        <w:ind w:left="1701" w:hanging="567"/>
        <w:rPr>
          <w:rFonts w:cs="Guttman David"/>
          <w:sz w:val="20"/>
          <w:szCs w:val="20"/>
          <w:rtl/>
        </w:rPr>
      </w:pPr>
    </w:p>
    <w:p w:rsidR="00000000" w:rsidRDefault="0047127C">
      <w:pPr>
        <w:pStyle w:val="a5"/>
        <w:tabs>
          <w:tab w:val="clear" w:pos="4153"/>
          <w:tab w:val="clear" w:pos="8306"/>
        </w:tabs>
        <w:ind w:left="2268" w:hanging="567"/>
        <w:rPr>
          <w:rFonts w:cs="Guttman David"/>
          <w:sz w:val="20"/>
          <w:szCs w:val="20"/>
          <w:rtl/>
        </w:rPr>
      </w:pPr>
      <w:r>
        <w:rPr>
          <w:rFonts w:cs="Guttman David"/>
          <w:sz w:val="20"/>
          <w:szCs w:val="20"/>
          <w:rtl/>
        </w:rPr>
        <w:t>(6)</w:t>
      </w:r>
      <w:r>
        <w:rPr>
          <w:rFonts w:cs="Guttman David"/>
          <w:sz w:val="20"/>
          <w:szCs w:val="20"/>
          <w:rtl/>
        </w:rPr>
        <w:tab/>
        <w:t>קביעה לענין תוקפם של העברה, שיעבוד או עיקול של נכס מנכסי הרשיון, שנעשו בניגוד להוראות סעיף 4(ד</w:t>
      </w:r>
      <w:r>
        <w:rPr>
          <w:rFonts w:cs="Guttman David"/>
          <w:sz w:val="20"/>
          <w:szCs w:val="20"/>
          <w:rtl/>
        </w:rPr>
        <w:t>1), כלפי מי שידע או שהיה עליו לדעת על כך;";"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פה פשוט התאמנו את הנוסח הקודם לשינוי שעשינו לגבי העברת רשיון.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יש למישהו הערות? זה נראה לי עניינים טכניים. אנחנו נאשר את 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סעיף קטן (ו) הוא סעיף של הגדרות לעני</w:t>
      </w:r>
      <w:r>
        <w:rPr>
          <w:rFonts w:cs="Guttman David"/>
          <w:sz w:val="20"/>
          <w:szCs w:val="20"/>
          <w:rtl/>
        </w:rPr>
        <w:t>ין אותו סעיף.</w:t>
      </w:r>
    </w:p>
    <w:p w:rsidR="00000000" w:rsidRDefault="0047127C">
      <w:pPr>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"(2)</w:t>
      </w:r>
      <w:r>
        <w:rPr>
          <w:rFonts w:cs="Guttman David"/>
          <w:sz w:val="20"/>
          <w:szCs w:val="20"/>
          <w:rtl/>
        </w:rPr>
        <w:tab/>
        <w:t xml:space="preserve">בסעיף קטן (ו) - </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(א)</w:t>
      </w:r>
      <w:r>
        <w:rPr>
          <w:rFonts w:cs="Guttman David"/>
          <w:sz w:val="20"/>
          <w:szCs w:val="20"/>
          <w:rtl/>
        </w:rPr>
        <w:tab/>
        <w:t>ההגדרה "אמצעי שליטה" - תימחק;</w:t>
      </w:r>
    </w:p>
    <w:p w:rsidR="00000000" w:rsidRDefault="0047127C">
      <w:pPr>
        <w:pStyle w:val="a5"/>
        <w:tabs>
          <w:tab w:val="clear" w:pos="4153"/>
          <w:tab w:val="clear" w:pos="8306"/>
        </w:tabs>
        <w:ind w:left="1134"/>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(ב)</w:t>
      </w:r>
      <w:r>
        <w:rPr>
          <w:rFonts w:cs="Guttman David"/>
          <w:sz w:val="20"/>
          <w:szCs w:val="20"/>
          <w:rtl/>
        </w:rPr>
        <w:tab/>
        <w:t>בהגדרה "החזקה", בסופה, יבוא "והכל מבלי לגרוע מהגדרת "החזקה" בסעיף 1;";</w:t>
      </w:r>
    </w:p>
    <w:p w:rsidR="00000000" w:rsidRDefault="0047127C">
      <w:pPr>
        <w:pStyle w:val="a5"/>
        <w:tabs>
          <w:tab w:val="clear" w:pos="4153"/>
          <w:tab w:val="clear" w:pos="8306"/>
        </w:tabs>
        <w:ind w:left="1134"/>
        <w:rPr>
          <w:rFonts w:cs="Guttman David"/>
          <w:sz w:val="20"/>
          <w:szCs w:val="20"/>
          <w:rtl/>
        </w:rPr>
      </w:pPr>
    </w:p>
    <w:p w:rsidR="00000000" w:rsidRDefault="0047127C">
      <w:pPr>
        <w:pStyle w:val="a5"/>
        <w:tabs>
          <w:tab w:val="clear" w:pos="4153"/>
          <w:tab w:val="clear" w:pos="8306"/>
        </w:tabs>
        <w:ind w:left="1701" w:hanging="567"/>
        <w:rPr>
          <w:rFonts w:cs="Guttman David"/>
          <w:sz w:val="20"/>
          <w:szCs w:val="20"/>
          <w:rtl/>
        </w:rPr>
      </w:pPr>
      <w:r>
        <w:rPr>
          <w:rFonts w:cs="Guttman David"/>
          <w:sz w:val="20"/>
          <w:szCs w:val="20"/>
          <w:rtl/>
        </w:rPr>
        <w:t>(ג)</w:t>
      </w:r>
      <w:r>
        <w:rPr>
          <w:rFonts w:cs="Guttman David"/>
          <w:sz w:val="20"/>
          <w:szCs w:val="20"/>
          <w:rtl/>
        </w:rPr>
        <w:tab/>
        <w:t>בהגדרה " "פירוק מרצון" ו"הסדר" ", בסופה, יבוא "[נוסח חדש], התשמ"ג-1983 (להלן פקודת החברות);";</w:t>
      </w:r>
    </w:p>
    <w:p w:rsidR="00000000" w:rsidRDefault="0047127C">
      <w:pPr>
        <w:pStyle w:val="a5"/>
        <w:tabs>
          <w:tab w:val="clear" w:pos="4153"/>
          <w:tab w:val="clear" w:pos="8306"/>
        </w:tabs>
        <w:ind w:left="1134"/>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(ד)</w:t>
      </w:r>
      <w:r>
        <w:rPr>
          <w:rFonts w:cs="Guttman David"/>
          <w:sz w:val="20"/>
          <w:szCs w:val="20"/>
          <w:rtl/>
        </w:rPr>
        <w:tab/>
        <w:t>ההגד</w:t>
      </w:r>
      <w:r>
        <w:rPr>
          <w:rFonts w:cs="Guttman David"/>
          <w:sz w:val="20"/>
          <w:szCs w:val="20"/>
          <w:rtl/>
        </w:rPr>
        <w:t>רה "שליטה" - תימחק.</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יש למישהו הערות? אם אין הערות, אנחנו מאשרים. תמיד נוכל לחזור לזה, במידת הצורך.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בסעיף 5(2)(ב) לתיקון בהגדרה "החזקה" יש תיקון קטן. זה לא "והכל מבלי לגרוע" אלא "והכל בנוסף להגדרה "החזקה" בסעיף 1;".</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w:t>
      </w:r>
      <w:r>
        <w:rPr>
          <w:rFonts w:cs="Guttman David"/>
          <w:b/>
          <w:bCs/>
          <w:sz w:val="20"/>
          <w:szCs w:val="20"/>
          <w:u w:val="single"/>
          <w:rtl/>
        </w:rPr>
        <w:t>יף 6 - תיקון סעיף 5 לחוק העיקרי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סעיף 5 לחוק העיקרי עניינו קישור גומלין ושימוש במתקן בזק של אחר, תיקון לחוק הבזק שהתקבל במסגרת חוק ההסדרים התש"ס.</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סעיף קטן (א) הוא סעיף ה-</w:t>
      </w:r>
      <w:r>
        <w:rPr>
          <w:rFonts w:cs="Guttman David"/>
          <w:sz w:val="20"/>
          <w:szCs w:val="20"/>
        </w:rPr>
        <w:t>unbundling</w:t>
      </w:r>
      <w:r>
        <w:rPr>
          <w:rFonts w:cs="Guttman David"/>
          <w:sz w:val="20"/>
          <w:szCs w:val="20"/>
          <w:rtl/>
        </w:rPr>
        <w:t xml:space="preserve"> בגדול.</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מוריאל מטלון: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ab/>
        <w:t>חבר הכנסת פורז, השא</w:t>
      </w:r>
      <w:r>
        <w:rPr>
          <w:rFonts w:cs="Guttman David"/>
          <w:sz w:val="20"/>
          <w:szCs w:val="20"/>
          <w:rtl/>
        </w:rPr>
        <w:t>לה היא האם לא כדאי לדחות את זה לישיבה הבאה כיוון שאנחנו נגיש נייר ספציפי עם הבקשות שלנו. זה אולי הסעיף החשוב ביותר בהצעה.</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אני מוכן לקפוץ על הסעיף הזה. האם כל הסעיף עוסק ב-</w:t>
      </w:r>
      <w:r>
        <w:rPr>
          <w:rFonts w:cs="Guttman David"/>
          <w:sz w:val="20"/>
          <w:szCs w:val="20"/>
        </w:rPr>
        <w:t>unbundling</w:t>
      </w:r>
      <w:r>
        <w:rPr>
          <w:rFonts w:cs="Guttman David"/>
          <w:sz w:val="20"/>
          <w:szCs w:val="20"/>
          <w:rtl/>
        </w:rPr>
        <w:t>?</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 xml:space="preserve">זה </w:t>
      </w:r>
      <w:r>
        <w:rPr>
          <w:rFonts w:cs="Guttman David"/>
          <w:sz w:val="20"/>
          <w:szCs w:val="20"/>
        </w:rPr>
        <w:t>unbundling</w:t>
      </w:r>
      <w:r>
        <w:rPr>
          <w:rFonts w:cs="Guttman David"/>
          <w:sz w:val="20"/>
          <w:szCs w:val="20"/>
          <w:rtl/>
        </w:rPr>
        <w:t xml:space="preserve"> טלקומוניקציה. לא שי</w:t>
      </w:r>
      <w:r>
        <w:rPr>
          <w:rFonts w:cs="Guttman David"/>
          <w:sz w:val="20"/>
          <w:szCs w:val="20"/>
          <w:rtl/>
        </w:rPr>
        <w:t>דורים.</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אבי גבאי: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ab/>
        <w:t xml:space="preserve">זה גם </w:t>
      </w:r>
      <w:r>
        <w:rPr>
          <w:rFonts w:cs="Guttman David"/>
          <w:sz w:val="20"/>
          <w:szCs w:val="20"/>
        </w:rPr>
        <w:t>unbundling</w:t>
      </w:r>
      <w:r>
        <w:rPr>
          <w:rFonts w:cs="Guttman David"/>
          <w:sz w:val="20"/>
          <w:szCs w:val="20"/>
          <w:rtl/>
        </w:rPr>
        <w:t xml:space="preserve">. </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 xml:space="preserve">לא רק זה. סעיף 6(3) לתיקון מחיל את העקרון של סעיף 5 גם על תשתית הבזק הציבורית לעניין שידורים. זאת אומרת, יש פה בעצם גם את הסוגיה האם יהיה </w:t>
      </w:r>
      <w:r>
        <w:rPr>
          <w:rFonts w:cs="Guttman David"/>
          <w:sz w:val="20"/>
          <w:szCs w:val="20"/>
        </w:rPr>
        <w:t>open access</w:t>
      </w:r>
      <w:r>
        <w:rPr>
          <w:rFonts w:cs="Guttman David"/>
          <w:sz w:val="20"/>
          <w:szCs w:val="20"/>
          <w:rtl/>
        </w:rPr>
        <w:t xml:space="preserve"> או לא.</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אנחנו ניכנס לזה. השק</w:t>
      </w:r>
      <w:r>
        <w:rPr>
          <w:rFonts w:cs="Guttman David"/>
          <w:sz w:val="20"/>
          <w:szCs w:val="20"/>
          <w:rtl/>
        </w:rPr>
        <w:t>פתי היא ברורה, שכל אחד יכול לעשות כל דבר ולשלם עבור זה.</w:t>
      </w: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השאלה, האם זה אפשרי. השאלה מי מחליט.</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אתם בטח תשמחו לשמוע את דעתי, שצריך לאפשר לבזק להעביר טלוויזיה.</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ab/>
        <w:t xml:space="preserve">אנחנו נשמח. הבעיה בכל היא בעיית התשלום, כמו </w:t>
      </w:r>
      <w:r>
        <w:rPr>
          <w:rFonts w:cs="Guttman David"/>
          <w:sz w:val="20"/>
          <w:szCs w:val="20"/>
          <w:rtl/>
        </w:rPr>
        <w:t>שאתה אמרת.</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אבי גבאי: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ab/>
        <w:t>אין תשלום. זה בדיוק ערוץ הקניות.</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הסעיף הזה הוא לב ליבו של החוק.</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rPr>
          <w:rFonts w:cs="Guttman David"/>
          <w:b/>
          <w:bCs/>
          <w:sz w:val="20"/>
          <w:szCs w:val="20"/>
          <w:u w:val="single"/>
          <w:rtl/>
        </w:rPr>
      </w:pPr>
      <w:r>
        <w:rPr>
          <w:rFonts w:cs="Guttman David"/>
          <w:sz w:val="20"/>
          <w:szCs w:val="20"/>
          <w:rtl/>
        </w:rPr>
        <w:tab/>
      </w:r>
      <w:r>
        <w:rPr>
          <w:rFonts w:cs="Guttman David"/>
          <w:b/>
          <w:bCs/>
          <w:sz w:val="20"/>
          <w:szCs w:val="20"/>
          <w:u w:val="single"/>
          <w:rtl/>
        </w:rPr>
        <w:t>סעיף 7 - תיקון סעיף 6 בחוק העיקרי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 xml:space="preserve"> </w:t>
      </w:r>
      <w:r>
        <w:rPr>
          <w:rFonts w:cs="Guttman David"/>
          <w:sz w:val="20"/>
          <w:szCs w:val="20"/>
          <w:rtl/>
        </w:rPr>
        <w:tab/>
        <w:t>סעיף 6 לחוק העיקרי עניינו בביטול רשיון, הגבלתו או התלייתו: "השר רשאי בכל עת לבטל רשיון, להגבילו או</w:t>
      </w:r>
      <w:r>
        <w:rPr>
          <w:rFonts w:cs="Guttman David"/>
          <w:sz w:val="20"/>
          <w:szCs w:val="20"/>
          <w:rtl/>
        </w:rPr>
        <w:t xml:space="preserve"> להתלותו, לפי הענין, בכל אחד מן המקרים הבאים, ובלבד שניתנה לבעל הרשיון הזדמנות סבירה להשמיע טענותיו;</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פיסקה (2א): "בעל הרשיון הפר או מנע את ביצועה של הוראה של השר, שניתנה לפי סעיף 13".</w:t>
      </w:r>
    </w:p>
    <w:p w:rsidR="00000000" w:rsidRDefault="0047127C">
      <w:pPr>
        <w:rPr>
          <w:rFonts w:cs="Guttman David"/>
          <w:sz w:val="20"/>
          <w:szCs w:val="20"/>
          <w:rtl/>
        </w:rPr>
      </w:pPr>
      <w:r>
        <w:rPr>
          <w:rFonts w:cs="Guttman David"/>
          <w:sz w:val="20"/>
          <w:szCs w:val="20"/>
          <w:rtl/>
        </w:rPr>
        <w:tab/>
      </w:r>
    </w:p>
    <w:p w:rsidR="00000000" w:rsidRDefault="0047127C">
      <w:pPr>
        <w:pStyle w:val="a5"/>
        <w:tabs>
          <w:tab w:val="clear" w:pos="4153"/>
          <w:tab w:val="clear" w:pos="8306"/>
        </w:tabs>
        <w:ind w:left="567"/>
        <w:rPr>
          <w:rFonts w:cs="Guttman David"/>
          <w:sz w:val="20"/>
          <w:szCs w:val="20"/>
          <w:rtl/>
        </w:rPr>
      </w:pPr>
      <w:r>
        <w:rPr>
          <w:rFonts w:cs="Guttman David"/>
          <w:sz w:val="20"/>
          <w:szCs w:val="20"/>
          <w:rtl/>
        </w:rPr>
        <w:t xml:space="preserve">"בסעיף 6 לחוק העיקרי - </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(1)</w:t>
      </w:r>
      <w:r>
        <w:rPr>
          <w:rFonts w:cs="Guttman David"/>
          <w:sz w:val="20"/>
          <w:szCs w:val="20"/>
          <w:rtl/>
        </w:rPr>
        <w:tab/>
        <w:t>בפסקה (2א), במקום "לפי סעיף 13", יבוא "</w:t>
      </w:r>
      <w:r>
        <w:rPr>
          <w:rFonts w:cs="Guttman David"/>
          <w:sz w:val="20"/>
          <w:szCs w:val="20"/>
          <w:rtl/>
        </w:rPr>
        <w:t>לפי סעיף 11(ב) או סעיף 13";"</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מוריאל מטלון: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מבקשים לאפשר גם לבעלי רשיונות אחרים להביע את דעתם באותה הזדמנות. לא רק לבעל הרשיון עצמו.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לא. מה פתאום? אולי תיתן גם לציבור? זה לעולם לא יגמר.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לעולם לא יעשה השר שו</w:t>
      </w:r>
      <w:r>
        <w:rPr>
          <w:rFonts w:cs="Guttman David"/>
          <w:sz w:val="20"/>
          <w:szCs w:val="20"/>
          <w:rtl/>
        </w:rPr>
        <w:t>ם דבר בעניין הזה.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מוריאל מטלון: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לוקחים משאב של המדינה ונותנים אותו לבעל רשיון. בעל הרשיון הזה מחוייב לתת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בא בחשבון. אם השר יצטרך לעשות את מה שאתה אומר אז הוא לעולם לא יצליח לבצע.</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מוריאל מטלון: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השר צריך לשקול האם בוצע</w:t>
      </w:r>
      <w:r>
        <w:rPr>
          <w:rFonts w:cs="Guttman David"/>
          <w:sz w:val="20"/>
          <w:szCs w:val="20"/>
          <w:rtl/>
        </w:rPr>
        <w:t xml:space="preserve"> ה-</w:t>
      </w:r>
      <w:r>
        <w:rPr>
          <w:rFonts w:cs="Guttman David"/>
          <w:sz w:val="20"/>
          <w:szCs w:val="20"/>
        </w:rPr>
        <w:t>unbundling</w:t>
      </w:r>
      <w:r>
        <w:rPr>
          <w:rFonts w:cs="Guttman David"/>
          <w:sz w:val="20"/>
          <w:szCs w:val="20"/>
          <w:rtl/>
        </w:rPr>
        <w:t xml:space="preserve"> כהלכה, האם נתנו לבעל רשיון אחר גישה - הוא לא יכול להזמין עדים, כפי שאני מוזמן לכאן.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מר מטלון, אסביר לך מה ההבדל ואת גישתי לבקשתך. תמיד אתה יכול לפנות לשר ולומר לו: ההוא מפר, ולגרום לכך שהשר יעשה לו איזה שימוע כתוצאה מתלונ</w:t>
      </w:r>
      <w:r>
        <w:rPr>
          <w:rFonts w:cs="Guttman David"/>
          <w:sz w:val="20"/>
          <w:szCs w:val="20"/>
          <w:rtl/>
        </w:rPr>
        <w:t>תך. אני לא רוצה להקנות לך זכות עמידה בהליך הזה. פשוט, יהיה בלתי אפשרי אחר-כך לחיות.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מוריאל מטלון: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אבל זה הכלי. האם יהיה לי כלי אחר? אם אדוני ייתן לי כלי אחר, שיאמר שאני יכול לפנות לבית-הדין, לבית-המשפט ולבקש לבטל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אתה פונה לשר</w:t>
      </w:r>
      <w:r>
        <w:rPr>
          <w:rFonts w:cs="Guttman David"/>
          <w:sz w:val="20"/>
          <w:szCs w:val="20"/>
          <w:rtl/>
        </w:rPr>
        <w:t xml:space="preserve"> ואם השר לא מתחשב ויש פגיעה - יש את בית-המשפט.</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עילה נוספת שמוצעת כאן לביטול רשיון, הגבלתו או התלייתו:</w:t>
      </w:r>
    </w:p>
    <w:p w:rsidR="00000000" w:rsidRDefault="0047127C">
      <w:pPr>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"(2)</w:t>
      </w:r>
      <w:r>
        <w:rPr>
          <w:rFonts w:cs="Guttman David"/>
          <w:sz w:val="20"/>
          <w:szCs w:val="20"/>
          <w:rtl/>
        </w:rPr>
        <w:tab/>
        <w:t>אחרי פסקה (2א) יבוא:</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701" w:hanging="567"/>
        <w:rPr>
          <w:rFonts w:cs="Guttman David"/>
          <w:sz w:val="20"/>
          <w:szCs w:val="20"/>
          <w:rtl/>
        </w:rPr>
      </w:pPr>
      <w:r>
        <w:rPr>
          <w:rFonts w:cs="Guttman David"/>
          <w:sz w:val="20"/>
          <w:szCs w:val="20"/>
          <w:rtl/>
        </w:rPr>
        <w:t>"(2ב)</w:t>
      </w:r>
      <w:r>
        <w:rPr>
          <w:rFonts w:cs="Guttman David"/>
          <w:sz w:val="20"/>
          <w:szCs w:val="20"/>
          <w:rtl/>
        </w:rPr>
        <w:tab/>
        <w:t>בעל הרשיון הפר תנאי מתנאי הרשיון שאינו תנאי מהותי, ולא תיקן את ההפרה כפי שהורה לו השר;"."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במקרה כזה לשר </w:t>
      </w:r>
      <w:r>
        <w:rPr>
          <w:rFonts w:cs="Guttman David"/>
          <w:sz w:val="20"/>
          <w:szCs w:val="20"/>
          <w:rtl/>
        </w:rPr>
        <w:t>מותר לבטל, להגביל או להתלות את הרישיון.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כמו בכל חוזה.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בעניין החוקתי, כאשר מתלוננים על סעיפים מורכבים, מותר להגביל את חופש העיסוק או זכות אחרת בהסמכה מפורשת בחוק או לפיו. לכן אנחנו הולכים היום בחקיקה על פירוט של נושא הסמכות, כדי שניתן י</w:t>
      </w:r>
      <w:r>
        <w:rPr>
          <w:rFonts w:cs="Guttman David"/>
          <w:sz w:val="20"/>
          <w:szCs w:val="20"/>
          <w:rtl/>
        </w:rPr>
        <w:t>היה להפעילה. לכן המורכבות. זה ההסבר שלי לגבי הערות קודמות שהושמעו כאן.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סעיף 8 - תיקון סעיף 6א לחוק העיקרי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 xml:space="preserve"> </w:t>
      </w:r>
      <w:r>
        <w:rPr>
          <w:rFonts w:cs="Guttman David"/>
          <w:sz w:val="20"/>
          <w:szCs w:val="20"/>
          <w:rtl/>
        </w:rPr>
        <w:tab/>
        <w:t>פרק ב1 לחוק הבזק עניינו בשידורי טלוויזיה בכבלים למנויים. סעיף 6א לחוק העיקרי הוא הגדרות לעניין פרק זה. אנחנו חוזרים להגדרות.</w:t>
      </w:r>
    </w:p>
    <w:p w:rsidR="00000000" w:rsidRDefault="0047127C">
      <w:pPr>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 xml:space="preserve">"בסעיף </w:t>
      </w:r>
      <w:r>
        <w:rPr>
          <w:rFonts w:cs="Guttman David"/>
          <w:sz w:val="20"/>
          <w:szCs w:val="20"/>
          <w:rtl/>
        </w:rPr>
        <w:t xml:space="preserve">6א לחוק העיקרי -"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ההגדרה הנוכחית ל"אזור" היא "תחום גיאוגרפי שגבולותיו נקבעו במכרז למתן זכיון לשידורי כבלים".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1134" w:hanging="567"/>
        <w:rPr>
          <w:rFonts w:cs="Guttman David"/>
          <w:sz w:val="20"/>
          <w:szCs w:val="20"/>
          <w:rtl/>
        </w:rPr>
      </w:pPr>
      <w:r>
        <w:rPr>
          <w:rFonts w:cs="Guttman David"/>
          <w:sz w:val="20"/>
          <w:szCs w:val="20"/>
          <w:rtl/>
        </w:rPr>
        <w:t>"(1)</w:t>
      </w:r>
      <w:r>
        <w:rPr>
          <w:rFonts w:cs="Guttman David"/>
          <w:sz w:val="20"/>
          <w:szCs w:val="20"/>
          <w:rtl/>
        </w:rPr>
        <w:tab/>
        <w:t>בהגדרה "אזור", במקום "שגבולותיו נקבעו במכרז למתן זכיון לשידורי כבלים", יבוא "בו חייב בעל רשיון שידור, על פי רשיונו, לספק שידורים;";"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1134" w:hanging="567"/>
        <w:rPr>
          <w:rFonts w:cs="Guttman David"/>
          <w:sz w:val="20"/>
          <w:szCs w:val="20"/>
          <w:rtl/>
        </w:rPr>
      </w:pPr>
      <w:r>
        <w:rPr>
          <w:rFonts w:cs="Guttman David"/>
          <w:sz w:val="20"/>
          <w:szCs w:val="20"/>
          <w:rtl/>
        </w:rPr>
        <w:t>(2)</w:t>
      </w:r>
      <w:r>
        <w:rPr>
          <w:rFonts w:cs="Guttman David"/>
          <w:sz w:val="20"/>
          <w:szCs w:val="20"/>
          <w:rtl/>
        </w:rPr>
        <w:tab/>
      </w:r>
      <w:r>
        <w:rPr>
          <w:rFonts w:cs="Guttman David"/>
          <w:sz w:val="20"/>
          <w:szCs w:val="20"/>
          <w:rtl/>
        </w:rPr>
        <w:t>ההגדרות "אמצעי שליטה", "בעל זכיון", "בעל עניין", "ציוד מישק", "רשת כבלים" ו"תחנת שידור" - תימחקנה."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כנראה שהם מסתפקים בהגדרות הכלליות שבחוק לעניין 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חלקן הופכות להיות הגדרות כלליות. חלקן מתייתרות, כמו "בעל זכיון", כי כבר לא יהיה בעל זכיון.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"תחנת שידור" תוגדר באופן אחר בסעיף 1.</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גם "תחנת שידור" כתחנת שידור כבר איננה. במקומה יהיה "מוקד שידור". "תחנת שידור" בחוק הישן זה כל רשת הכבלים.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"(3)</w:t>
      </w:r>
      <w:r>
        <w:rPr>
          <w:rFonts w:cs="Guttman David"/>
          <w:sz w:val="20"/>
          <w:szCs w:val="20"/>
          <w:rtl/>
        </w:rPr>
        <w:tab/>
        <w:t>בהגדרה "הפקה מקומית עצמית", במקום "זכיון" יבוא, בכל מקום, "</w:t>
      </w:r>
      <w:r>
        <w:rPr>
          <w:rFonts w:cs="Guttman David"/>
          <w:sz w:val="20"/>
          <w:szCs w:val="20"/>
          <w:rtl/>
        </w:rPr>
        <w:t>רשיון שידור";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(4)</w:t>
      </w:r>
      <w:r>
        <w:rPr>
          <w:rFonts w:cs="Guttman David"/>
          <w:sz w:val="20"/>
          <w:szCs w:val="20"/>
          <w:rtl/>
        </w:rPr>
        <w:tab/>
        <w:t>בהגדרה "זמן שידור בסיסי", במקום "זכיון" יבוא "רשיון כללי לשידור";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(5)</w:t>
      </w:r>
      <w:r>
        <w:rPr>
          <w:rFonts w:cs="Guttman David"/>
          <w:sz w:val="20"/>
          <w:szCs w:val="20"/>
          <w:rtl/>
        </w:rPr>
        <w:tab/>
        <w:t>במקום ההגדרה "מוקד תפעול" יבוא:</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 "מוקד שידור" - מיתקן בזק בו מותקנים אמצעים הדרושים לשם הזנת שידורים, לרבות שידורי טלויזיה ורדיו הנקלטים מהאוויר, אל רשת בזק ציבורית</w:t>
      </w:r>
      <w:r>
        <w:rPr>
          <w:rFonts w:cs="Guttman David"/>
          <w:sz w:val="20"/>
          <w:szCs w:val="20"/>
          <w:rtl/>
        </w:rPr>
        <w:t>, לשם הפצתם למנויים;";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(6)</w:t>
      </w:r>
      <w:r>
        <w:rPr>
          <w:rFonts w:cs="Guttman David"/>
          <w:sz w:val="20"/>
          <w:szCs w:val="20"/>
          <w:rtl/>
        </w:rPr>
        <w:tab/>
        <w:t>בהגדרה "מנוי", במקום "זכיון" יבוא "רשיון שידור";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(7)</w:t>
      </w:r>
      <w:r>
        <w:rPr>
          <w:rFonts w:cs="Guttman David"/>
          <w:sz w:val="20"/>
          <w:szCs w:val="20"/>
          <w:rtl/>
        </w:rPr>
        <w:tab/>
        <w:t>במקום ההגדרה "משדר ערוץ" יבוא:</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 "משדר ערוץ" - מי שקיבל רשיון מיוחד לשידור לפי סעיף 6לד1, לשם שידורו של ערוץ ייעודי;";"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אני מבקשת לחזור לרגע להגדרה של "מוקד </w:t>
      </w:r>
      <w:r>
        <w:rPr>
          <w:rFonts w:cs="Guttman David"/>
          <w:sz w:val="20"/>
          <w:szCs w:val="20"/>
          <w:rtl/>
        </w:rPr>
        <w:t xml:space="preserve">שידור". משום מה הוצא ממנה שזה מתקן שממנו מופצים השידורים המשודרים לרשת הכבלים. אני מציעה להשלים את ההגדרה כאן בהתאמה להגדרה של "מתקן שידור לווייני" שנמצאת בסעיף 6מג. שם זה לא שונה.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גברת לחמן-מסר, את חושבת שזה השמטה?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לא חושבת שזה השמטה. אנחנו נבדוק את זה. הרעיון היה שמוקד שידור מזין. השתמשו כאן בביטויים חדשים.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תרשמי לך כרגע להוסיף שזה המקום שבו מופצים השידורים. אם יהיה צורך, נוריד את 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היתה כאן הבחנה טרמינולוגית. היכן שמזינים את </w:t>
      </w:r>
      <w:r>
        <w:rPr>
          <w:rFonts w:cs="Guttman David"/>
          <w:sz w:val="20"/>
          <w:szCs w:val="20"/>
          <w:rtl/>
        </w:rPr>
        <w:t>השידורים - זה מוקד השידור. השידורים מופצים למנויים רק בהמשך הדרך. לכן חבל סתם לערבב את המונחים.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איפה ההפצה?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ההפצה היא לא במוקד.</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ההפצה היא מהמוקד.</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הוא מקבל את השידורים ומזין אותם ל</w:t>
      </w:r>
      <w:r>
        <w:rPr>
          <w:rFonts w:cs="Guttman David"/>
          <w:sz w:val="20"/>
          <w:szCs w:val="20"/>
          <w:rtl/>
        </w:rPr>
        <w:t>רשת הבזק הציבורית, שבה מתבצעת ההפצה. כאן התבצע שינוי מהתפיסה הקודמת. יש כאן שאלה יפה, מיהו הבעלים של מוקד הרשת.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הזנה של מוקד השידור זה עצם הקליטה של השידורים מהאוויר או מהלוויין למוקד השידור, או איכסונו בכל חומר שידור אחר. זאת ההזנה. לאחר ה</w:t>
      </w:r>
      <w:r>
        <w:rPr>
          <w:rFonts w:cs="Guttman David"/>
          <w:sz w:val="20"/>
          <w:szCs w:val="20"/>
          <w:rtl/>
        </w:rPr>
        <w:t>הזנה התפקיד המרכזי של מוקד השידור הוא הפצת הסיגנלים והשידור שלהם לרשת. למה קוראים לזה מוקד שידור אם כל מה שהוא עושה זה להזין חומר? התפקיד המרכזי שלו הוא להפיק ולשדר את הסיגנל דרך רשת הכבלים למנוי. את זה השמיטו מההגדרה. אני לא מבינה למה. אני מציעה להסתכל על</w:t>
      </w:r>
      <w:r>
        <w:rPr>
          <w:rFonts w:cs="Guttman David"/>
          <w:sz w:val="20"/>
          <w:szCs w:val="20"/>
          <w:rtl/>
        </w:rPr>
        <w:t xml:space="preserve"> ההגדרה המקבילה, של "מתקן שידור לווייני", שגם הוא מוגדר כמוקד שמשדר.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השאלה היפה היא: כמה מוקדי שידור יכולים להיות על רשת אחת. אם נקודת המוצא להפצת כלל השידורים היא במוקד השידור, אז אולי צודקת גברת שטרנבך. אבל החוק הזה בנוי על הרעיון, שיכ</w:t>
      </w:r>
      <w:r>
        <w:rPr>
          <w:rFonts w:cs="Guttman David"/>
          <w:sz w:val="20"/>
          <w:szCs w:val="20"/>
          <w:rtl/>
        </w:rPr>
        <w:t>ולים להיות מספר מוקדי שידור על רשת הכבלים. מרכז הכובד עובר ממוקד השידור אל רשת הבזק. היא זאת שמפיצה. מוקד השידור למעשה מזין את רשת הבזק הציבורית.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איך את קוראת לכל אותם מקומות שקולטים נניח מהאוויר, מלוויין, ומכניסים לרשת?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w:t>
      </w:r>
      <w:r>
        <w:rPr>
          <w:rFonts w:cs="Guttman David"/>
          <w:sz w:val="20"/>
          <w:szCs w:val="20"/>
          <w:u w:val="single"/>
          <w:rtl/>
        </w:rPr>
        <w:t>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"מוקד שידור". הוויכוח ביני ובין חברתי הוא על משמעות הביטוי "הפצה" ומי מבצע אותה. אנחנו סברנו שמוקד השידורים מזין. יש נקודת מפגש בין המוקד ובין הרשת הציבורית ואז השידורים מופצים באמצעות הרשת הציבורית.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אבל היא לא עושה את זה אלא לאחר </w:t>
      </w:r>
      <w:r>
        <w:rPr>
          <w:rFonts w:cs="Guttman David"/>
          <w:sz w:val="20"/>
          <w:szCs w:val="20"/>
          <w:rtl/>
        </w:rPr>
        <w:t>שמוקד השידור שידר לה את הסיגנלים.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הוא לא מפיץ את זה לרשת.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היושב-ראש ירשה לי, אני אסביר את התעלומה. חבל על הוויכוח. אפשר להסביר את השינוי.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יכול להיות שחבל אבל תן לי לנהל את זה לפי דרכי. כתוב בסוף</w:t>
      </w:r>
      <w:r>
        <w:rPr>
          <w:rFonts w:cs="Guttman David"/>
          <w:sz w:val="20"/>
          <w:szCs w:val="20"/>
          <w:rtl/>
        </w:rPr>
        <w:t xml:space="preserve"> "... אל רשת בזק ציבורית, לשם הפצתם למנויים". זה בעצם עונה על השאלה.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הרשת אכן מסייעת בהפצה אבל מוקד השידור הוא זה שמשדר לה. כמו שמתקן שידור לווייני משדר לציבור המנויים באמצעות לוויין, כך מוקד השידור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אומרים ש"מוקד</w:t>
      </w:r>
      <w:r>
        <w:rPr>
          <w:rFonts w:cs="Guttman David"/>
          <w:sz w:val="20"/>
          <w:szCs w:val="20"/>
          <w:rtl/>
        </w:rPr>
        <w:t xml:space="preserve"> שידור" הוא מתקן בזק שמותקנים בו אמצעים והוא מזין את זה לשם הפצה. מה חסר בחוליה הזאת?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הוא משדר את הסיגנל לרשת. הוא מוקד שידור.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מה שהם אומרים. מה זה "הזנת שידורים" בעינייך?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"הזנה" זה משהו אחר. "הזנה" ז</w:t>
      </w:r>
      <w:r>
        <w:rPr>
          <w:rFonts w:cs="Guttman David"/>
          <w:sz w:val="20"/>
          <w:szCs w:val="20"/>
          <w:rtl/>
        </w:rPr>
        <w:t>ה איכסון החומר בתוך המוקד.</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ההזנה היא לא של המוקד. ההזנה היא אל רשת הבזק.</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למה צריך היה לעשות שוני בין זה לזה, מההגדרה שמקבילה לזה של "מתקן שידור לווייני"?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משאיר כרגע את ההגדרה. אני מבקש שתעיי</w:t>
      </w:r>
      <w:r>
        <w:rPr>
          <w:rFonts w:cs="Guttman David"/>
          <w:sz w:val="20"/>
          <w:szCs w:val="20"/>
          <w:rtl/>
        </w:rPr>
        <w:t>ני עוד פעם בסעיף הזה ותראי אם יש בעיה. אנחנו נחזור לזה ביום חמישי, במידת הצורך.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אולי נשיב כעת כדי שהיא לא תישאר במתח. יש תשובה פשוטה.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אין צורך. ההזנה היא לרשת. זה לכאורה נראה לי כפותר את הבעיה. אני לא רוצה שהחוק הזה ייקח 3 </w:t>
      </w:r>
      <w:r>
        <w:rPr>
          <w:rFonts w:cs="Guttman David"/>
          <w:sz w:val="20"/>
          <w:szCs w:val="20"/>
          <w:rtl/>
        </w:rPr>
        <w:t>שנים. זה ברור לכם?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רציתי לחסוך לך זמן, פשוט, לתת את התשובה ישר.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"(8)</w:t>
      </w:r>
      <w:r>
        <w:rPr>
          <w:rFonts w:cs="Guttman David"/>
          <w:sz w:val="20"/>
          <w:szCs w:val="20"/>
          <w:rtl/>
        </w:rPr>
        <w:tab/>
        <w:t>אחרי ההגדרה "ערוץ ייעודי" יבוא:</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 "רשיון כללי לשידור" - רשיון שניתן לפי פרק זה לקיום שידורי כבלים הכוללים מגוון ערוצי טלויזיה, ולהקמה, קיום או הפעלה של מוקד שידו</w:t>
      </w:r>
      <w:r>
        <w:rPr>
          <w:rFonts w:cs="Guttman David"/>
          <w:sz w:val="20"/>
          <w:szCs w:val="20"/>
          <w:rtl/>
        </w:rPr>
        <w:t>ר;</w:t>
      </w:r>
    </w:p>
    <w:p w:rsidR="00000000" w:rsidRDefault="0047127C">
      <w:pPr>
        <w:pStyle w:val="a5"/>
        <w:tabs>
          <w:tab w:val="clear" w:pos="4153"/>
          <w:tab w:val="clear" w:pos="8306"/>
        </w:tabs>
        <w:ind w:left="1134"/>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"רשיון מיוחד לשידור" - רשיון שניתן לפי פרק זה לשידור ערוץ טלויזיה למנויים, באמצעות מוקד שידור של בעל רשיון כללי לשידור, לרבות ערוץ ייעודי;</w:t>
      </w:r>
    </w:p>
    <w:p w:rsidR="00000000" w:rsidRDefault="0047127C">
      <w:pPr>
        <w:pStyle w:val="a5"/>
        <w:tabs>
          <w:tab w:val="clear" w:pos="4153"/>
          <w:tab w:val="clear" w:pos="8306"/>
        </w:tabs>
        <w:ind w:left="1134"/>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"רשיון שידור" - רשיון כללי לשידור או רשיון מיוחד לשידור;";"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לי שאלה לגבי הגדרה של "רשיון מיוח</w:t>
      </w:r>
      <w:r>
        <w:rPr>
          <w:rFonts w:cs="Guttman David"/>
          <w:sz w:val="20"/>
          <w:szCs w:val="20"/>
          <w:rtl/>
        </w:rPr>
        <w:t xml:space="preserve">ד לשידור". יש אפשרות להעניק רשיון הפעלה למוקד שידור למי שהוא לא בעל רשיון כללי. קיימת היום אפשרות לשר לתת רשיון רק להפעלת מוקד שידור ללא מתן רישיון כללי לשידורים.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מה האיש הזה עושה, הוא מציע לאחרים? מה רע בזה?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למה בעל </w:t>
      </w:r>
      <w:r>
        <w:rPr>
          <w:rFonts w:cs="Guttman David"/>
          <w:sz w:val="20"/>
          <w:szCs w:val="20"/>
          <w:rtl/>
        </w:rPr>
        <w:t>רשיון מיוחד לשידור לא יכול גם לעבור דרך מוקד שידור של בעל רשיון כזה? לפי ההגדרה הזאת הוא לא יכול.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u w:val="single"/>
          <w:rtl/>
        </w:rPr>
        <w:t>דוד ליבאי:</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כי זה רק לבעל רשיון כללי ולא כתוב "בעל רשיון מיוחד".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צריך לאפשר את זה. איך היית מציעה לנסח את 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"באמצעו</w:t>
      </w:r>
      <w:r>
        <w:rPr>
          <w:rFonts w:cs="Guttman David"/>
          <w:sz w:val="20"/>
          <w:szCs w:val="20"/>
          <w:rtl/>
        </w:rPr>
        <w:t xml:space="preserve">ת מוקד שידור", ולהוריד את המלים "של בעל רשיון כללי". זה לא חייב להיות של בעל רשיון כללי.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u w:val="single"/>
          <w:rtl/>
        </w:rPr>
        <w:t>דוד ליבאי:</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תומך בהערה לפתוח יותר אפשרויות: "רשיון כללי או מיוחד".</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כאן בכל זאת בעיה. אני רוצה להסביר. הרעיון הכללי פה הוא סוגיית ה-</w:t>
      </w:r>
      <w:r>
        <w:rPr>
          <w:rFonts w:cs="Guttman David"/>
          <w:sz w:val="20"/>
          <w:szCs w:val="20"/>
        </w:rPr>
        <w:t>access</w:t>
      </w:r>
      <w:r>
        <w:rPr>
          <w:rFonts w:cs="Guttman David"/>
          <w:sz w:val="20"/>
          <w:szCs w:val="20"/>
          <w:rtl/>
        </w:rPr>
        <w:t>. אם בעל רשיון כללי לשידור צריך להיות חייב, אנחנו צריכים לראות איך אנחנו מסדרים את זה שאם מישהו מקבל רשיון מיוחד לערוץ שידור - ואני בזמנו הבעתי את התקווה שזה יהיה מספר ערוצים ולא רק ערוץ אחד - הרי שהוא יוכל לחייב את בעל הרשיון הכללי להעביר אותו. נכון שאם ה</w:t>
      </w:r>
      <w:r>
        <w:rPr>
          <w:rFonts w:cs="Guttman David"/>
          <w:sz w:val="20"/>
          <w:szCs w:val="20"/>
          <w:rtl/>
        </w:rPr>
        <w:t>וא מתקשר עם מישהו אחר, אז יופי.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בקטע אחר, באופרה אחרת.</w:t>
      </w:r>
    </w:p>
    <w:p w:rsidR="00000000" w:rsidRDefault="0047127C">
      <w:pPr>
        <w:pStyle w:val="a5"/>
        <w:tabs>
          <w:tab w:val="clear" w:pos="4153"/>
          <w:tab w:val="clear" w:pos="8306"/>
        </w:tabs>
        <w:rPr>
          <w:rFonts w:cs="Guttman David"/>
          <w:sz w:val="20"/>
          <w:szCs w:val="20"/>
          <w:rtl/>
        </w:rPr>
      </w:pPr>
      <w:r>
        <w:rPr>
          <w:rFonts w:cs="Guttman David"/>
          <w:sz w:val="20"/>
          <w:szCs w:val="20"/>
          <w:rtl/>
        </w:rPr>
        <w:tab/>
      </w: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אין "אחר" כזה. מדברים פה על אחר שלא קיים.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לא מכירה מקרה, כמו שחברתי מציגה, של אדם שמקבל רשיון מיוחד למוקד שידור.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אול</w:t>
      </w:r>
      <w:r>
        <w:rPr>
          <w:rFonts w:cs="Guttman David"/>
          <w:sz w:val="20"/>
          <w:szCs w:val="20"/>
          <w:rtl/>
        </w:rPr>
        <w:t>י יהיה בעתיד. למה לי לשלול את האפשרות?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אין בזה כל בעיה. נגיד: באמצעות מוקד שידור -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"של בעל רשיון לשידור".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לא יהיה, אז לא יהיה. אבל אם מישהו ירצה, למה לשלול את האפשרות?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מי זה </w:t>
      </w:r>
      <w:r>
        <w:rPr>
          <w:rFonts w:cs="Guttman David"/>
          <w:sz w:val="20"/>
          <w:szCs w:val="20"/>
          <w:rtl/>
        </w:rPr>
        <w:t>ה"מישהו" הזה?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מציע שהנוסח הנוכחי ישאר. אני רוצה גם להסביר למה.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זה פותר את הבעיה, גברת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u w:val="single"/>
          <w:rtl/>
        </w:rPr>
        <w:t>דוד ליבאי:</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פותר את הבעיה עד לתיקון הבא.</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נוריד את המלה "כללי" כרגע.</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w:t>
      </w:r>
      <w:r>
        <w:rPr>
          <w:rFonts w:cs="Guttman David"/>
          <w:sz w:val="20"/>
          <w:szCs w:val="20"/>
          <w:rtl/>
        </w:rPr>
        <w:t>א. אדוני, אנא תן למר יזהר טל להסביר לך.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הסידור הוא כזה: מי שמפעיל את מוקד השידור, ושבאמת בעל רשיון מיוחד יכול גם כן לשדר דרכו, זה אחד שיש לו רשיון כללי לשידור. אין אחר. אם אין לו רשיון כללי לשידור אז הוא לא יכול לשדר.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מי או</w:t>
      </w:r>
      <w:r>
        <w:rPr>
          <w:rFonts w:cs="Guttman David"/>
          <w:sz w:val="20"/>
          <w:szCs w:val="20"/>
          <w:rtl/>
        </w:rPr>
        <w:t>מר שבעידן הרשיונות אי אפשר לתת רשיונות מסוג אחר? בהנחה שעברנו לעידן הרשיונות, מי אומר שלא יוכלו לתת רשיונות מסוגים אחרים, לא רק כלליים?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החלוקה של סוגי הרגולציה כאן היא: רשיונות להפעיל שירותי תקשורת ומתקן תקשורת בפני עצמו, והסדרה של רשיונות לשיד</w:t>
      </w:r>
      <w:r>
        <w:rPr>
          <w:rFonts w:cs="Guttman David"/>
          <w:sz w:val="20"/>
          <w:szCs w:val="20"/>
          <w:rtl/>
        </w:rPr>
        <w:t xml:space="preserve">ורים. אומר הממונה על הגבלים עסקיים שיש יותר מדי רגולציה פה. זה שאלה נפרדת. אבל אותו אחד שמפעיל את מוקד השידור וחלות עליו החובות של מי שמפעיל מוקד שידור - למשל, לתת </w:t>
      </w:r>
      <w:r>
        <w:rPr>
          <w:rFonts w:cs="Guttman David"/>
          <w:sz w:val="20"/>
          <w:szCs w:val="20"/>
        </w:rPr>
        <w:t>access</w:t>
      </w:r>
      <w:r>
        <w:rPr>
          <w:rFonts w:cs="Guttman David"/>
          <w:sz w:val="20"/>
          <w:szCs w:val="20"/>
          <w:rtl/>
        </w:rPr>
        <w:t xml:space="preserve"> לאחרים, או להשאיר מספיק מקום לאחרים, וכולי - זה אחד שיש לו רשיון כללי לשידור. אם תיתן</w:t>
      </w:r>
      <w:r>
        <w:rPr>
          <w:rFonts w:cs="Guttman David"/>
          <w:sz w:val="20"/>
          <w:szCs w:val="20"/>
          <w:rtl/>
        </w:rPr>
        <w:t xml:space="preserve"> לו איזה רשיון מסוג אחר - אתה יכול, אבל אז לא יחולו עליו אותן חובות שאתה רוצה להצמיד לכל הפעילות הזאת.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יכול להיות.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u w:val="single"/>
          <w:rtl/>
        </w:rPr>
        <w:t>דוד ליבאי:</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שאלה של מדיניות. הכנסת יכולה להחליט.</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ככה הם זורקים את הערוצים המיוחדים. זה התוצאה ש</w:t>
      </w:r>
      <w:r>
        <w:rPr>
          <w:rFonts w:cs="Guttman David"/>
          <w:sz w:val="20"/>
          <w:szCs w:val="20"/>
          <w:rtl/>
        </w:rPr>
        <w:t>ל ההערה שלך.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נכון. למה את סתם מעוותת את הדברים?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u w:val="single"/>
          <w:rtl/>
        </w:rPr>
        <w:t>דוד ליבאי:</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נותנים גמישות, זה הכל.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אנחנו עוברים לעידן של רשיונות. הרי אתם לא רוצים לבוא עם תיקון חקיקה בעוד שנה-שנתיים. אנחנו יודעים שכל תיקון חקיקה לוקח 3 שנים. </w:t>
      </w:r>
      <w:r>
        <w:rPr>
          <w:rFonts w:cs="Guttman David"/>
          <w:sz w:val="20"/>
          <w:szCs w:val="20"/>
          <w:rtl/>
        </w:rPr>
        <w:t>אנחנו רוצים כרגע לעשות חוק רחב ככל האפשר, שבעידן הרשיונות נותן לשר התקשורת מגוון של אפשרויות. אני לא רוצה להגביל.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הדרך התקינה, דרך המלך, זה הערוץ המיוחד שעובר דרך בעל הרשיון הכללי. הדרך שהצביעה עליה חברתי, שאני עוד לא ראיתי איפה היא קמה</w:t>
      </w:r>
      <w:r>
        <w:rPr>
          <w:rFonts w:cs="Guttman David"/>
          <w:sz w:val="20"/>
          <w:szCs w:val="20"/>
          <w:rtl/>
        </w:rPr>
        <w:t>, היא דרך צדדית, באמצעות מוקד שידור גם של בעל רשיון כללי. זה הכל.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למה "גם"? "של בעל רשיון לשידור". "בעל רשיון" בוודאי כולל גם בעל רשיון כללי.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היא מדברת על בעל רשיון בזק.</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מדברים על "בעל רשיון לשידור". מוח</w:t>
      </w:r>
      <w:r>
        <w:rPr>
          <w:rFonts w:cs="Guttman David"/>
          <w:sz w:val="20"/>
          <w:szCs w:val="20"/>
          <w:rtl/>
        </w:rPr>
        <w:t>קים את המלה "כללי" ואז ברור שזה כולל גם בעל רשיון כללי.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יהיה צורך נחזור לזה אחרי הקריאה הראשונה.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לפחות שיירשם בפרוטוקול שהתיקון הזה משבש כאן את ההסדרה. טשטוש הסוגים לא תורם לכלום, חוץ מזה שהוא משבש את המערך. המערך הי</w:t>
      </w:r>
      <w:r>
        <w:rPr>
          <w:rFonts w:cs="Guttman David"/>
          <w:sz w:val="20"/>
          <w:szCs w:val="20"/>
          <w:rtl/>
        </w:rPr>
        <w:t xml:space="preserve">ה כזה: הכוונה היתה שהאדם המפעיל את מוקד השידור הוא לא פועל חופשי בשטח. מוטלות עליו חובות מסויימות. למשל, אותם דברים שנאמרו כאן, לאפשר לאלה שאין להם מזל ויש להם מוקד שידור משלהם, שגם הם יוכלו לעבור. צריך להגדיר על מי חלה החובה הזאת. לכן הטלנו אותה לא על כל </w:t>
      </w:r>
      <w:r>
        <w:rPr>
          <w:rFonts w:cs="Guttman David"/>
          <w:sz w:val="20"/>
          <w:szCs w:val="20"/>
          <w:rtl/>
        </w:rPr>
        <w:t xml:space="preserve">משדר באשר הוא אלא על אותו משדר ש- - -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אני לא יודע. מחר יהיה אחד שיש לו איזה רשת קטנטונת באיזה מקום, שכל מה שהוא משדר זה נתוני מזג אוויר ואתה תרצה לחייב אותו להעביר דרך השידורים שלו מישהו. למה לא?</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ab/>
        <w:t xml:space="preserve">אנחנו מדברים רק על המוקד. </w:t>
      </w:r>
      <w:r>
        <w:rPr>
          <w:rFonts w:cs="Guttman David"/>
          <w:sz w:val="20"/>
          <w:szCs w:val="20"/>
          <w:rtl/>
        </w:rPr>
        <w:t>לא על רשת ההפצה. ההפצה היא כולה על רשת הבזק הציבורית והיא לא קשורה למוקד. רשת הבזק הציבורית היא אותה רשת שפרוסה ושיועברו עליה בעידן החדש גם שירותי תקשורת וגם שידורים. אותה רשת, אותה תשתית.</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האם יכול להיות שיהיו רשיונות מסוג אחר?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w:t>
      </w:r>
      <w:r>
        <w:rPr>
          <w:rFonts w:cs="Guttman David"/>
          <w:sz w:val="20"/>
          <w:szCs w:val="20"/>
          <w:u w:val="single"/>
          <w:rtl/>
        </w:rPr>
        <w:t>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ab/>
        <w:t>יש שני סוגי פעילויות על הרשת הזאת: גם תקשורת וגם שידורים.</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נניח שמישהו קיבל ממך רשיון מיוחד והוא לא קשור לאף אחת מהרשתות הקיימות היום.</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אז אין לו מוקד שידור, על-פי ההגדרה.</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למה אין לו? אולי יהי</w:t>
      </w:r>
      <w:r>
        <w:rPr>
          <w:rFonts w:cs="Guttman David"/>
          <w:sz w:val="20"/>
          <w:szCs w:val="20"/>
          <w:rtl/>
        </w:rPr>
        <w:t>ה לו.</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 xml:space="preserve">אם יהיה לו, אז הוא יקבל רשיון. זה אי-הסימטרית שיש בחוק במידה מסויימת. הרעיון הכללי הוא לאפשר לקטנים לא להקים מוקד שידור אלא להעביר באמצעות מוקד השידור של הגדול. אומרת חברתי, קיים גדול אחד שהוא לא בעל רשיון כללי לשידור. אני לא רואה </w:t>
      </w:r>
      <w:r>
        <w:rPr>
          <w:rFonts w:cs="Guttman David"/>
          <w:sz w:val="20"/>
          <w:szCs w:val="20"/>
          <w:rtl/>
        </w:rPr>
        <w:t>את זה.</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ab/>
        <w:t>תסתכלי על סעיף 13(ג)(2), שמדבר על מתן רשיון להפעלת מוקד שידור למי שאינו בעל רשיון שידור.</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אני רוצה להציע פתרון. הרעיון הוא שבעל רשיון מיוחד צריך לעבור דרך מישהו. בואו נקבע דרך מי הוא צריך לעבור.</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 xml:space="preserve">גברת לחמן-מסר, אני  רוצה לומר מה לדעתי צריך להיות ואת תדאגי לניסוח. אני רוצה לומר כך, שמי שיש לו רשיון לשידורים, בין אם כללי ובין אם מיוחד, המדינה יכולה לחייב אותו בתנאים מסויימים להעביר שידורים גם של אחר. זה יכול להיות גם הגוף הכי קטן וגם הגוף הכי גדול. </w:t>
      </w:r>
      <w:r>
        <w:rPr>
          <w:rFonts w:cs="Guttman David"/>
          <w:sz w:val="20"/>
          <w:szCs w:val="20"/>
          <w:rtl/>
        </w:rPr>
        <w:t>בעקרון, נניח שמחר מישהו יחליט שהוא רוצה בבורסה של תל-אביב, ב"סיטי", לחבר את כל בנייני המשרדים הגבוהים ולעשות רשת שבה הוא ייתן עדכונים כלכליים. הוא הגיע למסקנה שזה כלכלי. ומחר יהיה אחר שירצה לשדר את תחזית מזג האוויר. יכול להיות שאני אחייב את זה שמעביר נתוני</w:t>
      </w:r>
      <w:r>
        <w:rPr>
          <w:rFonts w:cs="Guttman David"/>
          <w:sz w:val="20"/>
          <w:szCs w:val="20"/>
          <w:rtl/>
        </w:rPr>
        <w:t>ם כלכליים גם לקלוט את שידורי מזג האוויר ולחבר רק 5 בניינים ב"סיטי". למה לא?</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את יוצאת מהנחה שלראשון אין מוקד שידור. אומר חבר הכנסת פורז שאולי תהיה סיטואציה עתידית שכן יהיה לו מוקד שידור.</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 xml:space="preserve">החוק הזה מבחין בין רשיון כללי לרשיון </w:t>
      </w:r>
      <w:r>
        <w:rPr>
          <w:rFonts w:cs="Guttman David"/>
          <w:sz w:val="20"/>
          <w:szCs w:val="20"/>
          <w:rtl/>
        </w:rPr>
        <w:t>מיוחד, זה הכל. אין עוד סוג רשיון.</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מה שאת מנסה לומר, שלא יתכן רשיון מיוחד לבעל מוקד שידור. אומר חבר הכנסת פורז - מי יודע מה יהיה בעתיד. אולי בעתיד יהיה.</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rPr>
          <w:rFonts w:cs="Guttman David"/>
          <w:sz w:val="20"/>
          <w:szCs w:val="20"/>
          <w:rtl/>
        </w:rPr>
      </w:pPr>
      <w:r>
        <w:rPr>
          <w:rFonts w:cs="Guttman David"/>
          <w:sz w:val="20"/>
          <w:szCs w:val="20"/>
          <w:rtl/>
        </w:rPr>
        <w:tab/>
        <w:t>עבור ערוץ אחד יקימו מוקד שידור?</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למה לא? זה לא מקלקל שום ד</w:t>
      </w:r>
      <w:r>
        <w:rPr>
          <w:rFonts w:cs="Guttman David"/>
          <w:sz w:val="20"/>
          <w:szCs w:val="20"/>
          <w:rtl/>
        </w:rPr>
        <w:t>בר.</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העניין הוא כזה: אם לא יהיה - לא יהיה, לא קרה כלום. אנחנו לא רוצים לסגור אופציות.</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שלמה קס:</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הטלוויזיה הפירטית חיה ככה עשרות שנים. כל אחד בבית עשה מוקד.</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נכון. זה, אגב, עסק טוב מאוד, וגם מס הכנסה מאוד "אהב" את ז</w:t>
      </w:r>
      <w:r>
        <w:rPr>
          <w:rFonts w:cs="Guttman David"/>
          <w:sz w:val="20"/>
          <w:szCs w:val="20"/>
          <w:rtl/>
        </w:rPr>
        <w:t>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מוחקים אחרי "מוקד שידור" - זה הופך להיות תיאורי ולא משפטי, אז זה בסדר. "רשיון שניתן לפי פרק זה לשידור ערוץ טלויזיה למנויים, באמצעות מוקד שידור" - לא משנה של מי.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"של בעל רשיון לשידור".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לכל אחד שיר</w:t>
      </w:r>
      <w:r>
        <w:rPr>
          <w:rFonts w:cs="Guttman David"/>
          <w:sz w:val="20"/>
          <w:szCs w:val="20"/>
          <w:rtl/>
        </w:rPr>
        <w:t>צה לעשות ערוץ משפטי ולחבר משרדי עורכי-דין בתל-אביב.</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מוקד שידור לא של בעל רשיון. זה מוקד שידור בכלל.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כמו אוטובוס: הוא לא יכול להגיד לנוסעים מסויימים לא לעלות.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תיאור. מה זה רשיון לשידור? מה איכ</w:t>
      </w:r>
      <w:r>
        <w:rPr>
          <w:rFonts w:cs="Guttman David"/>
          <w:sz w:val="20"/>
          <w:szCs w:val="20"/>
          <w:rtl/>
        </w:rPr>
        <w:t>פת לי אם יש לו רשיון בזק ויש לו מוקד שידור? למה דווקא רשיון שידור?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u w:val="single"/>
          <w:rtl/>
        </w:rPr>
        <w:t>דוד ליבאי:</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כי ההגדרה היא "רשיון מיוחד לשידור". אם את רוצה, תשני את ההגדרה.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 xml:space="preserve">רבותי, ד"ר תדמור מנסה עכשיו לשכנע אותי ללכת בגישה שהיא פחות </w:t>
      </w:r>
      <w:r>
        <w:rPr>
          <w:rFonts w:cs="Guttman David"/>
          <w:sz w:val="20"/>
          <w:szCs w:val="20"/>
        </w:rPr>
        <w:t>Laisser faire</w:t>
      </w:r>
      <w:r>
        <w:rPr>
          <w:rFonts w:cs="Guttman David"/>
          <w:sz w:val="20"/>
          <w:szCs w:val="20"/>
          <w:rtl/>
        </w:rPr>
        <w:t>.</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r>
      <w:r>
        <w:rPr>
          <w:rFonts w:cs="Guttman David"/>
          <w:sz w:val="20"/>
          <w:szCs w:val="20"/>
          <w:rtl/>
        </w:rPr>
        <w:t>ההגיון של מתן זכות גישה לתשתיות נובע מדוקטרינות שקיימות, גם בארץ וגם בחוץ-לארץ, שמסתכלות על מתקן מסויים כעל מתקן חיוני. באיזה מובן חיוני? שאי אפשר בלעדיו למתחרה. ואז אתה עושה דבר שהוא מאוד חריג: אתה הולך לבעל רכוש, שזה שלו, ואומר לו שהוא צריך לאפשר לאחר לה</w:t>
      </w:r>
      <w:r>
        <w:rPr>
          <w:rFonts w:cs="Guttman David"/>
          <w:sz w:val="20"/>
          <w:szCs w:val="20"/>
          <w:rtl/>
        </w:rPr>
        <w:t>שתמש. ולא סתם לאחר אלא לאפשר לאחר שהוא המתחרה שלו להשתמש. זה דבר לא פשוט.</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כנגד תשלום.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בוודאי כנגד תשלום. הוא דורש הסדרה רגולטורית כי בדרך כלל בעל תשתית לא כל-כך נלהב לתת למתחרה שלו להיכנס פנימה, ואנחנו מכירים את זה בהקשרי</w:t>
      </w:r>
      <w:r>
        <w:rPr>
          <w:rFonts w:cs="Guttman David"/>
          <w:sz w:val="20"/>
          <w:szCs w:val="20"/>
          <w:rtl/>
        </w:rPr>
        <w:t>ם שונים. אבל ההגיון של ההגדרה הזאת בא מאותו מחסום, שיכול המחזיק באותו אמצעי חיוני - זה יכול להיות רשת כבלים, או תחנת אוטובוס, או טכנולוגיה מסויימת - למנוע תחרות במוצר. כך קיים גם כאן.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הרעיון לתת זכות גישה לתשתיות בזק, לכבלים, לחברת בזק, אולי גם ללוויין, </w:t>
      </w:r>
      <w:r>
        <w:rPr>
          <w:rFonts w:cs="Guttman David"/>
          <w:sz w:val="20"/>
          <w:szCs w:val="20"/>
          <w:rtl/>
        </w:rPr>
        <w:t>לתשתיות ארציות שאם לא תהיה גישה ללקוח דרכן אז אולי לא תהיה תחרות, כי יש מעט תשתית והרבה גופים שאולי רוצים לפעול על התשתית - הוא רעיון נכון וטוב. ללכת ולהרחיב את הקונספציה הזאת על כל מי שיש לו איזה צינור או איזה מוקד, שאפשר יהיה בהתערבות רגולטורית להכניס לו</w:t>
      </w:r>
      <w:r>
        <w:rPr>
          <w:rFonts w:cs="Guttman David"/>
          <w:sz w:val="20"/>
          <w:szCs w:val="20"/>
          <w:rtl/>
        </w:rPr>
        <w:t xml:space="preserve"> מישהו פנימה? - אני מבקש ממך לשקול האם זה שיעור הפגיעה בקניין שאתה רוצה לקבוע בחוק הזה.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אגיד לך מה הבעיה. מאחר שאני רוצה לתת לכל אלה אפשרות לעבור למקרקעין פרטיים של אנשים ולפרוס תשתית בלי לקבל היתר מכל אחד, כמו שעשו עד היום, כי אחרת לע</w:t>
      </w:r>
      <w:r>
        <w:rPr>
          <w:rFonts w:cs="Guttman David"/>
          <w:sz w:val="20"/>
          <w:szCs w:val="20"/>
          <w:rtl/>
        </w:rPr>
        <w:t xml:space="preserve">ולם לא יגיעו לאף אחד - אז הוא לא יכול מצד אחד ליהנות מזה שאנחנו נותנים לו אפשרות להיות </w:t>
      </w:r>
      <w:r>
        <w:rPr>
          <w:rFonts w:cs="Guttman David"/>
          <w:sz w:val="20"/>
          <w:szCs w:val="20"/>
        </w:rPr>
        <w:t>public utility</w:t>
      </w:r>
      <w:r>
        <w:rPr>
          <w:rFonts w:cs="Guttman David"/>
          <w:sz w:val="20"/>
          <w:szCs w:val="20"/>
          <w:rtl/>
        </w:rPr>
        <w:t xml:space="preserve"> במובן של כניסה למקרקעין של הזולת, אבל מאותו רגע שהוא גמר לפרוס את התשתית הוא פתאום הופך להיות נכס פרטי.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הוא רק מוקד שידור. הוא לא פורס שום דבר</w:t>
      </w:r>
      <w:r>
        <w:rPr>
          <w:rFonts w:cs="Guttman David"/>
          <w:sz w:val="20"/>
          <w:szCs w:val="20"/>
          <w:rtl/>
        </w:rPr>
        <w:t>.</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יש שיקול דעת לגופים הרגולטוריים להחליט האם זה המקרה כן לעשות או לא. אני הרי לא קבעתי שתמיד בכל מקרה זה חייב.</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התקנה של זה שפורס לא חלה עליו.</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אם אתה רוצה לתת כנגד זכות הפריסה גם זכות גישה - לא עשית את </w:t>
      </w:r>
      <w:r>
        <w:rPr>
          <w:rFonts w:cs="Guttman David"/>
          <w:sz w:val="20"/>
          <w:szCs w:val="20"/>
          <w:rtl/>
        </w:rPr>
        <w:t>זה בניסוח הנוכחי. נתת ליותר ממה שאמרת.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זה הרצון.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הסעיף הזה הוא תיאורי. אני חושבת שד"ר תדמור טועה ואני רוצה להסביר מדוע.</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צריך, כי אני גיבשתי לעצמי עמדה. אולי תשכנעו אותי אחרת אחרי הקריאה הרא</w:t>
      </w:r>
      <w:r>
        <w:rPr>
          <w:rFonts w:cs="Guttman David"/>
          <w:sz w:val="20"/>
          <w:szCs w:val="20"/>
          <w:rtl/>
        </w:rPr>
        <w:t>שונה. ההנחה היא שזה לא אוטומטית, שבכל מקרה תמיד, ללא יוצאים מן הכלל. אני רוצה לתת שיקול דעת לשר התקשורת, ששיקול הדעת שלו גם נתון לבקורת שיפוטית. כשיהיה מדובר בטלוויזיה אז נגיע גם למועצה לכבלים, כשמדובר בטלקומוניקציה זה שר התקשורת. באותם מקרים לאפשר את הדבר</w:t>
      </w:r>
      <w:r>
        <w:rPr>
          <w:rFonts w:cs="Guttman David"/>
          <w:sz w:val="20"/>
          <w:szCs w:val="20"/>
          <w:rtl/>
        </w:rPr>
        <w:t xml:space="preserve"> הזה. זה הכל.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תהיה מודע לרוחב המעשה שאתה עושה. אני לא מכיר חקיקה דומה בשום מקום אחר.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חקיקה מתקדמת היא צופה פני העתיד. תאר לעצמך שבעוד 3 שנים יהיה חידוש טכנולוגי ולא צפינו את זה, כמו עם האינטרנט. אז יצטרכו עוד פעם לבוא לכנס</w:t>
      </w:r>
      <w:r>
        <w:rPr>
          <w:rFonts w:cs="Guttman David"/>
          <w:sz w:val="20"/>
          <w:szCs w:val="20"/>
          <w:rtl/>
        </w:rPr>
        <w:t>ת? ככה צפינו מראש.</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אלא אם כן יהיה איזה חידוש טכנולוגי שיאפשר לחוקק תוך יום ולא תוך 3 שנים.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אם כך, ההחלטה של הוועדה היא שבהגדרה "רשיון מיוחד לשידורים" יהיה : "באמצעות מוקד שידור של בעל רשיון לשידור" וכו'.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w:t>
      </w:r>
      <w:r>
        <w:rPr>
          <w:rFonts w:cs="Guttman David"/>
          <w:sz w:val="20"/>
          <w:szCs w:val="20"/>
          <w:u w:val="single"/>
          <w:rtl/>
        </w:rPr>
        <w:t>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אחרי שתתפרסם החוברת הכחולה לקריאה ראשונה, לכל אחד תהיה אפשרות ללכת הביתה, להתייעץ עם מיטב עורכי-הדין, לחשוב על המשמעות של כל מלה ואנחנו נחזור ונדון. חלק אולי יגיעו למסקנה שהנוסח לא נורא ושאפשר לחיות איתו.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rPr>
          <w:rFonts w:cs="Guttman David"/>
          <w:sz w:val="20"/>
          <w:szCs w:val="20"/>
          <w:rtl/>
        </w:rPr>
      </w:pPr>
      <w:r>
        <w:rPr>
          <w:rFonts w:cs="Guttman David"/>
          <w:sz w:val="20"/>
          <w:szCs w:val="20"/>
          <w:rtl/>
        </w:rPr>
        <w:tab/>
        <w:t>סעיף 6ב מתייחס למינוי המועצה, הר</w:t>
      </w:r>
      <w:r>
        <w:rPr>
          <w:rFonts w:cs="Guttman David"/>
          <w:sz w:val="20"/>
          <w:szCs w:val="20"/>
          <w:rtl/>
        </w:rPr>
        <w:t>כבה וסדרי עבודתה. יש כאן תיקון מאוד "מהותי": בכל מקום שכתוב "שר החינוך התרבות והספורט, המלים "התרבות והספורט" יימחקו.</w:t>
      </w:r>
    </w:p>
    <w:p w:rsidR="00000000" w:rsidRDefault="0047127C">
      <w:pPr>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סעיף 9 - תיקון סעיף 6ב לחוק העיקרי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"בסעיף 6ב(ב) לחוק העיקרי, בפסקאות (1) ו-(2), המלים "התרבות והספורט" - תימחקנה;"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פה יש מי</w:t>
      </w:r>
      <w:r>
        <w:rPr>
          <w:rFonts w:cs="Guttman David"/>
          <w:sz w:val="20"/>
          <w:szCs w:val="20"/>
          <w:rtl/>
        </w:rPr>
        <w:t>קצה שיפורים. יש פה שינוי משמעותי. על הנושא הזה היה דיון בוועדת שרים לחקיקה והוחלט על מתכונת אחרת לגמרי. המועצה גדלה בשני חברים. בקטגוריה של נציגי ממשלה נוסף אחד לפי המלצת שר המדע, התרבות והספורט. היה שם בהתחלה "שר החינוך, התרבות והספורט" והוא התפצל.  עכשיו</w:t>
      </w:r>
      <w:r>
        <w:rPr>
          <w:rFonts w:cs="Guttman David"/>
          <w:sz w:val="20"/>
          <w:szCs w:val="20"/>
          <w:rtl/>
        </w:rPr>
        <w:t xml:space="preserve"> יש נציג שימונה על-ידי שר החינוך ויש נציג שימונה על-ידי שר המדע, התרבות והספורט. אני מעביר לך את ההצעה הממשלתית.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לא מוכן להגדיל את המועצה, אף לא באחד. אני לא מקבל את זה. גם 13 זה יותר מדי. מאחר שהדיסציפלינה היא שהטלוויזיה נוגעת לתר</w:t>
      </w:r>
      <w:r>
        <w:rPr>
          <w:rFonts w:cs="Guttman David"/>
          <w:sz w:val="20"/>
          <w:szCs w:val="20"/>
          <w:rtl/>
        </w:rPr>
        <w:t>בות יותר מאשר לחינוך, לא מדובר על ילדים, אנחנו נוריד את נציג שר החינוך ובמקומו נוסיף את נציג משרד המדע, התרבות והספורט. לא מגדילים את המועצה. הבעיה תהיה אם בכנסת הבאה יאחדו שוב את המשרדים.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p>
    <w:p w:rsidR="00000000" w:rsidRDefault="0047127C">
      <w:pPr>
        <w:rPr>
          <w:rFonts w:cs="Guttman David"/>
          <w:sz w:val="20"/>
          <w:szCs w:val="20"/>
          <w:u w:val="single"/>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אפשר להוסיף סעיף, שאם יבוטל משרד המדע, התרבות </w:t>
      </w:r>
      <w:r>
        <w:rPr>
          <w:rFonts w:cs="Guttman David"/>
          <w:sz w:val="20"/>
          <w:szCs w:val="20"/>
          <w:rtl/>
        </w:rPr>
        <w:t>והספורט - אז זה יהיה משרד החינוך.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עדנה הראל: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"המשרד הממונה על ענייני תרבות".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אף אחד לא יודע מי יהיה ממונה על תרבות. יגידו לך שחינוך זה חלק מתרבות.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u w:val="single"/>
          <w:rtl/>
        </w:rPr>
        <w:t>דוד ליבאי:</w:t>
      </w:r>
      <w:r>
        <w:rPr>
          <w:rFonts w:cs="Guttman David"/>
          <w:sz w:val="20"/>
          <w:szCs w:val="20"/>
          <w:rtl/>
        </w:rPr>
        <w:t xml:space="preserve">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בזה אפשר לדון אחרי הקריאה הראשונה לאור המצב האקטואלי אז.</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 xml:space="preserve">היו"ר אברהם </w:t>
      </w:r>
      <w:r>
        <w:rPr>
          <w:rFonts w:cs="Guttman David"/>
          <w:sz w:val="20"/>
          <w:szCs w:val="20"/>
          <w:u w:val="single"/>
          <w:rtl/>
        </w:rPr>
        <w:t>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צריך להכניס הוראה שבמקרה שאחד המשרדים האלה יתבטל - זה שר שתקבע הממשלה.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אין צורך. זה במסגרת חוק-יסוד: הממשלה (העברת סמכויות). זה העברת משרדים.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סליחה, האם דילגתם על ההגדרה "שידורי כבלים" בסעיף 8(9) לתיקון? אני מבקשת להעי</w:t>
      </w:r>
      <w:r>
        <w:rPr>
          <w:rFonts w:cs="Guttman David"/>
          <w:sz w:val="20"/>
          <w:szCs w:val="20"/>
          <w:rtl/>
        </w:rPr>
        <w:t>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מתנצלת, הפנו את תשומת לבי שדילגתי על פיסקה (9) בסעיף 8 להצעת החוק אז אני אתקן עכשיו את המעוות.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"(9)</w:t>
      </w:r>
      <w:r>
        <w:rPr>
          <w:rFonts w:cs="Guttman David"/>
          <w:sz w:val="20"/>
          <w:szCs w:val="20"/>
          <w:rtl/>
        </w:rPr>
        <w:tab/>
        <w:t>במקום ההגדרה "שידורי כבלים", יבוא:</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"שידורי כבלים" - שידורים המופצים באמצעות מוקד שידור ורשת בזק ציבורית;"."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שידורי הכ</w:t>
      </w:r>
      <w:r>
        <w:rPr>
          <w:rFonts w:cs="Guttman David"/>
          <w:sz w:val="20"/>
          <w:szCs w:val="20"/>
          <w:rtl/>
        </w:rPr>
        <w:t xml:space="preserve">בלים הפכו בנוסח המוצע למשהו שהוא טכני בעיקרו. זה שידורים שמופצים באמצעות מוקד שידור ורשת בזק ציבורית. אין שום מלה לגבי זה שזה שידורי טלוויזיה, לגבי האפשרויות של מתן שירותים נוספים במסגרת שידורי הטלוויזיה, למרות שבשידורי הלוויין ניתנה הגדרה מקבילה ל"שידורי </w:t>
      </w:r>
      <w:r>
        <w:rPr>
          <w:rFonts w:cs="Guttman David"/>
          <w:sz w:val="20"/>
          <w:szCs w:val="20"/>
          <w:rtl/>
        </w:rPr>
        <w:t>טלוויזיה באמצעות לוויין" שכוללת הרחבה גם לגבי תכני השידורים. אני מבקשת שההגדרה של "שידורי כבלים" תותאם להגדרת "שידורי טלוויזיה באמצעות לוויין".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מה היית מציעה? האם את לא מחטיאה את המטרה עם המלה "שידורים"? היא הכי רחבה שרק אפשר.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w:t>
      </w:r>
      <w:r>
        <w:rPr>
          <w:rFonts w:cs="Guttman David"/>
          <w:sz w:val="20"/>
          <w:szCs w:val="20"/>
          <w:u w:val="single"/>
          <w:rtl/>
        </w:rPr>
        <w:t>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היא לא רחבה. יש הגדרת "שידורים" בסעיף 1.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תרשה לי לתקן. לא קיפחנו את שידורי הטלוויזיה במסגרת הזאת. צריך לחזור פה להגדרת "שידורים" בסעיף 1. שם "שידורים" זה שידורי טלוויזיה, כולל שירותים נלווים.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רבותי, חבל להתעסק בזה.</w:t>
      </w:r>
      <w:r>
        <w:rPr>
          <w:rFonts w:cs="Guttman David"/>
          <w:sz w:val="20"/>
          <w:szCs w:val="20"/>
          <w:rtl/>
        </w:rPr>
        <w:t xml:space="preserve"> אם לא  כתוב שזה טלוויזיה ושירותים נלווים - זה יכתב פה. תקראו את זה שוב. גברת בנדלר מוסמכת, מכוח הסמכות הטבעית וההיסטורית שיש לה, לקבוע את זה כהבנתה. מה היית רוצה שנוסיף פה?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רוצים שזה יהיה כמו שכתוב אצל הלוויין.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שיפרנו את</w:t>
      </w:r>
      <w:r>
        <w:rPr>
          <w:rFonts w:cs="Guttman David"/>
          <w:sz w:val="20"/>
          <w:szCs w:val="20"/>
          <w:rtl/>
        </w:rPr>
        <w:t xml:space="preserve"> זה מאז הלוויין.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היא מדברת על טלוויזיה אינטראקטיבית. היא אמרה שאם תיוותר ההגדרה הצרה לא ניתן יהיה לתת שידורים אינטראקטיביים. אני רוצה להזכיר שהוויכוח על אינטרנט מהיר גם כולל בתוכו את הוויכוח מי ישדר ראשון טלוויזיה אינטראקטיבית. את זה כדא</w:t>
      </w:r>
      <w:r>
        <w:rPr>
          <w:rFonts w:cs="Guttman David"/>
          <w:sz w:val="20"/>
          <w:szCs w:val="20"/>
          <w:rtl/>
        </w:rPr>
        <w:t>י לזכור.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גברת לחמן-מסר, לא תפקידה של ועדה של הכנסת לנסות למצוא את הנוסח המתאים למה שהיא רוצה. זה תפקידם של היועצים המשפטיים. אנחנו רוצים שזה יהיה כלול. גברת בנדלר תשב אתכם במידת הצורך, ואם לא - עם עצמה, תבדוק אם זה מתאים ותנסח את זה בא</w:t>
      </w:r>
      <w:r>
        <w:rPr>
          <w:rFonts w:cs="Guttman David"/>
          <w:sz w:val="20"/>
          <w:szCs w:val="20"/>
          <w:rtl/>
        </w:rPr>
        <w:t>ופן שכלול בזה גם טלוויזיה אינטראקטיבית וגם הכל.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אדוני, אני הערתי הערה מהותית, שהוויכוח על אינטרנט מהיר משום מה אף פעם לא דובר בו על טלוויזיה אינטראקטיבית. זה אחד הנושאים שהם פועל יוצא של הפעלת אינטרנט מהיר ללא שינוי החקיקה. חברות הכבלים </w:t>
      </w:r>
      <w:r>
        <w:rPr>
          <w:rFonts w:cs="Guttman David"/>
          <w:sz w:val="20"/>
          <w:szCs w:val="20"/>
          <w:rtl/>
        </w:rPr>
        <w:t>יהיו הראשונות שיוכלו לשדר טלוויזיה אינטראקטיבית בישראל.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אסתר שטרנבך: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יכולה להציע הצעת נוסח?</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תעבירי לגברת בנדלר נוסח.</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החוק דאג לכולם. לא רק לחברות הכבלים.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כדאי לערבב את התחום של שידורי טלוויזיה ו</w:t>
      </w:r>
      <w:r>
        <w:rPr>
          <w:rFonts w:cs="Guttman David"/>
          <w:sz w:val="20"/>
          <w:szCs w:val="20"/>
          <w:rtl/>
        </w:rPr>
        <w:t>את האינטרנט המהיר. שידורי טלוויזיה הם לא באינטרנט. חשוב שההבחנה הזאת תהיה ברורה.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טלוויזיה אינטראקטיבית היא בטלוויזיה.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הפס הרחב מאפשר שירותי טלוויזיה אינטראקטיבית. נכון?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רבותי, תשאירו משהו גם </w:t>
      </w:r>
      <w:r>
        <w:rPr>
          <w:rFonts w:cs="Guttman David"/>
          <w:sz w:val="20"/>
          <w:szCs w:val="20"/>
          <w:rtl/>
        </w:rPr>
        <w:t>לאחרי הקריאה הראשונה.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סעיף 10 - תיקון סעיף 6ג לחוק העיקרי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"בסעיף 6ג(ב) לחוק העיקרי, במקום "זיכיון" יבוא "רשיון שידור".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b/>
          <w:bCs/>
          <w:sz w:val="20"/>
          <w:szCs w:val="20"/>
          <w:u w:val="single"/>
          <w:rtl/>
        </w:rPr>
      </w:pPr>
      <w:r>
        <w:rPr>
          <w:rFonts w:cs="Guttman David"/>
          <w:sz w:val="20"/>
          <w:szCs w:val="20"/>
          <w:rtl/>
        </w:rPr>
        <w:tab/>
      </w:r>
      <w:r>
        <w:rPr>
          <w:rFonts w:cs="Guttman David"/>
          <w:b/>
          <w:bCs/>
          <w:sz w:val="20"/>
          <w:szCs w:val="20"/>
          <w:u w:val="single"/>
          <w:rtl/>
        </w:rPr>
        <w:t>סעיף 11 - תיקון סעיף 6ה לחוק העיקרי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סעיף 6ה לחוק העיקרי מדבר על תפקידי המועצה.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"בסעיף 6ה לחוק העיקרי -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567"/>
        <w:rPr>
          <w:rFonts w:cs="Guttman David"/>
          <w:sz w:val="20"/>
          <w:szCs w:val="20"/>
          <w:rtl/>
        </w:rPr>
      </w:pPr>
      <w:r>
        <w:rPr>
          <w:rFonts w:cs="Guttman David"/>
          <w:sz w:val="20"/>
          <w:szCs w:val="20"/>
          <w:rtl/>
        </w:rPr>
        <w:t>(1)</w:t>
      </w:r>
      <w:r>
        <w:rPr>
          <w:rFonts w:cs="Guttman David"/>
          <w:sz w:val="20"/>
          <w:szCs w:val="20"/>
          <w:rtl/>
        </w:rPr>
        <w:tab/>
        <w:t>בפסקה</w:t>
      </w:r>
      <w:r>
        <w:rPr>
          <w:rFonts w:cs="Guttman David"/>
          <w:sz w:val="20"/>
          <w:szCs w:val="20"/>
          <w:rtl/>
        </w:rPr>
        <w:t xml:space="preserve"> (1) - </w:t>
      </w:r>
    </w:p>
    <w:p w:rsidR="00000000" w:rsidRDefault="0047127C">
      <w:pPr>
        <w:pStyle w:val="a5"/>
        <w:tabs>
          <w:tab w:val="clear" w:pos="4153"/>
          <w:tab w:val="clear" w:pos="8306"/>
        </w:tabs>
        <w:ind w:left="567"/>
        <w:rPr>
          <w:rFonts w:cs="Guttman David"/>
          <w:sz w:val="20"/>
          <w:szCs w:val="20"/>
          <w:rtl/>
        </w:rPr>
      </w:pPr>
    </w:p>
    <w:p w:rsidR="00000000" w:rsidRDefault="0047127C">
      <w:pPr>
        <w:pStyle w:val="a5"/>
        <w:tabs>
          <w:tab w:val="clear" w:pos="4153"/>
          <w:tab w:val="clear" w:pos="8306"/>
        </w:tabs>
        <w:ind w:left="1134"/>
        <w:rPr>
          <w:rFonts w:cs="Guttman David"/>
          <w:sz w:val="20"/>
          <w:szCs w:val="20"/>
          <w:rtl/>
        </w:rPr>
      </w:pPr>
      <w:r>
        <w:rPr>
          <w:rFonts w:cs="Guttman David"/>
          <w:sz w:val="20"/>
          <w:szCs w:val="20"/>
          <w:rtl/>
        </w:rPr>
        <w:t>(א)</w:t>
      </w:r>
      <w:r>
        <w:rPr>
          <w:rFonts w:cs="Guttman David"/>
          <w:sz w:val="20"/>
          <w:szCs w:val="20"/>
          <w:rtl/>
        </w:rPr>
        <w:tab/>
        <w:t>בפסקת משנה (ב), המלה "באזורים" - תימחק;"</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rtl/>
        </w:rPr>
      </w:pPr>
      <w:r>
        <w:rPr>
          <w:rFonts w:cs="Guttman David"/>
          <w:sz w:val="20"/>
          <w:szCs w:val="20"/>
          <w:rtl/>
        </w:rPr>
        <w:tab/>
        <w:t>"קיום שידורים קהילתיים באזורים". פה מאפשרים למועצה לקבוע את המדיניות לגבי שידורים קהילתיים לאו דווקא באזורים.</w:t>
      </w:r>
    </w:p>
    <w:p w:rsidR="00000000" w:rsidRDefault="0047127C">
      <w:pPr>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אין לנו בעיה עם זה. תורידי. זה בסדר. שיעשו שידורים קהילתיים לכל המדינ</w:t>
      </w:r>
      <w:r>
        <w:rPr>
          <w:rFonts w:cs="Guttman David"/>
          <w:sz w:val="20"/>
          <w:szCs w:val="20"/>
          <w:rtl/>
        </w:rPr>
        <w:t>ה. בכדי לגמור את החקיקה הזאת בשעתו היינו צריכים לשכנע את כולם שאיזורים בפריפריה מקופחים ואין להם ביטוי ולכן צריך כבלים, כי שם תהיה מהדורת חדשות מקומית וסוף סוף קריית-שמונה תוכל לבטא את עצמה. לא רצו להעביר את החוק בלי השטויות האלה.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רוצה להצי</w:t>
      </w:r>
      <w:r>
        <w:rPr>
          <w:rFonts w:cs="Guttman David"/>
          <w:sz w:val="20"/>
          <w:szCs w:val="20"/>
          <w:rtl/>
        </w:rPr>
        <w:t xml:space="preserve">ע עוד תוספת לפיסקה הקודמת, בפיסקה (1)(א), לצורך הבהירות. בסופה יבוא: "לרבות לעניין לוחות משדרים".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רוצה להפנות את תשומת הלב, שתפקידי המועצה היום בהתאם לפיסקה (1)(א) הם "לקבוע את המדיניות לגבי סוגי השידורים, נושאיהם, תכנם, רמתם, היקפם ומוע</w:t>
      </w:r>
      <w:r>
        <w:rPr>
          <w:rFonts w:cs="Guttman David"/>
          <w:sz w:val="20"/>
          <w:szCs w:val="20"/>
          <w:rtl/>
        </w:rPr>
        <w:t xml:space="preserve">דיהם". ואם כל זה לא מספיק, יבוא גם "לרבות לעניין לוחות משדרים".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כשאתה אומר "תוכנם" - האם זה לא כולל גם את לוחות המשדרים?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מאפשר למועצה לקבוע: אנא עדכן את לוח המשדרים שלך.</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גם בלי זה לדעתי הוא יכול.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קיים היום. יש לה סמכות לקבוע מדיניות לגבי שידורים ולא את לוח המשדרים.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סתם הם מבקשים להוסיף את המלים הללו.</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גברת ענבר, מה הסמכויות שלכם בכבלים? האם המלה "תוכנם" לא מאפשרת לכם לקבוע את המדיניות באשר</w:t>
      </w:r>
      <w:r>
        <w:rPr>
          <w:rFonts w:cs="Guttman David"/>
          <w:sz w:val="20"/>
          <w:szCs w:val="20"/>
          <w:rtl/>
        </w:rPr>
        <w:t xml:space="preserve"> ללוחות המשדרים? האם כשאתם מפקחים על שידורי הכבלים אי פעם נתקלת בבעיה שיש משהו בחוק שמונע מכם לפקח כפי שהייתם רוצים? האם היית רוצה לעשות משהו והחוק לא מאפשר לך?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דורית ענבר: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בעניין לוחות המשדרים - זה היה קיים בסעיף אחר.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שואל, האם</w:t>
      </w:r>
      <w:r>
        <w:rPr>
          <w:rFonts w:cs="Guttman David"/>
          <w:sz w:val="20"/>
          <w:szCs w:val="20"/>
          <w:rtl/>
        </w:rPr>
        <w:t xml:space="preserve"> נתקלת בבעיה, שאת רוצה להפעיל סמכות ואומרים לך שזה בלתי אפשרי? אם לא, אז נשאיר את הנוסח כפי שהוא. לא נוסיף את המשפט "לרבות לעניין לוחות משדרים". אני לא מחפש צרות. את אומרת שאת מרגישה שאין לך בעיות אז אין צורך בכך.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דורית ענבר: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אולי כדאי להקדיש לזה עוד מח</w:t>
      </w:r>
      <w:r>
        <w:rPr>
          <w:rFonts w:cs="Guttman David"/>
          <w:sz w:val="20"/>
          <w:szCs w:val="20"/>
          <w:rtl/>
        </w:rPr>
        <w:t>שבה.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אם אתם שואלים אותי, ברגע שהיא יכולה לקבוע את תוכנם, רמתם וכן הלאה - היא יכולה לקבוע הכל. </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אנחנו חוזרים לסעיף 11 להצעת החוק.</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פסקת משנה (ד) מדברת על "פיקוח על ביצוע השידורים בשים לב לסוגי המשדרים והיקפם ועל מתן השיר</w:t>
      </w:r>
      <w:r>
        <w:rPr>
          <w:rFonts w:cs="Guttman David"/>
          <w:sz w:val="20"/>
          <w:szCs w:val="20"/>
          <w:rtl/>
        </w:rPr>
        <w:t xml:space="preserve">ותים בידי בעלי זיכיונות".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ind w:left="1701" w:hanging="567"/>
        <w:rPr>
          <w:rFonts w:cs="Guttman David"/>
          <w:sz w:val="20"/>
          <w:szCs w:val="20"/>
          <w:rtl/>
        </w:rPr>
      </w:pPr>
      <w:r>
        <w:rPr>
          <w:rFonts w:cs="Guttman David"/>
          <w:sz w:val="20"/>
          <w:szCs w:val="20"/>
          <w:rtl/>
        </w:rPr>
        <w:t>"(ב)</w:t>
      </w:r>
      <w:r>
        <w:rPr>
          <w:rFonts w:cs="Guttman David"/>
          <w:sz w:val="20"/>
          <w:szCs w:val="20"/>
          <w:rtl/>
        </w:rPr>
        <w:tab/>
        <w:t>בפסקת משנה (ד), אחרי "השידורים" יבוא "הניתנים בידי בעלי רשיון שידור", ובסופה, המלים "ועל מתן השירותים בידי בעלי הזכיונות" - תימחקנה;"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נאמר כאן: "השידורים הניתנים בידי בעלי רשיון שידור". מה הם - בסמכות השר</w:t>
      </w:r>
      <w:r>
        <w:rPr>
          <w:rFonts w:cs="Guttman David"/>
          <w:sz w:val="20"/>
          <w:szCs w:val="20"/>
          <w:rtl/>
        </w:rPr>
        <w:t xml:space="preserve"> או בסמכות המועצה? זה הוויכוח. מי יפקח על שירותי טלוויזיה אינטראקטיבית, השר או המועצה?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המועצה.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תכתבו. לכן צריך את: "השידורים, לרבות השירותים הנלווים להם".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למה מתכוונים פה בטלוויזיה אינטראקטיבית? מדברים</w:t>
      </w:r>
      <w:r>
        <w:rPr>
          <w:rFonts w:cs="Guttman David"/>
          <w:sz w:val="20"/>
          <w:szCs w:val="20"/>
          <w:rtl/>
        </w:rPr>
        <w:t xml:space="preserve"> על זה כמשהו מובן מאליו.</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למשל לבנקאות בטלוויזיה אינטראקטיבית. אתה נכנס לסניף הבנק שלך בטלוויזיה ומבצע פעולה.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בזה אין בעיה. אבל אם אתה משתתף בשעשועון בשידור חי ואתה חלק מהתוכנית?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כמו שידורי טלוויזיה רגילים</w:t>
      </w:r>
      <w:r>
        <w:rPr>
          <w:rFonts w:cs="Guttman David"/>
          <w:sz w:val="20"/>
          <w:szCs w:val="20"/>
          <w:rtl/>
        </w:rPr>
        <w:t>.</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יש שעשועון פרסים בטלוויזיה ובין היתר שואלים את הקהל שאלה. אתה יכול מהמכשיר שלך להשתתף בעניין, ומחר גם יכניסו לך מצלמה ואתה תוכל גם להיכנס לאולפן - אז זה חלק מטלוויזיה.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דורית ענבר: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רוב הטלוויזיה האינטראקטיבית היא הרחבה של הקיי</w:t>
      </w:r>
      <w:r>
        <w:rPr>
          <w:rFonts w:cs="Guttman David"/>
          <w:sz w:val="20"/>
          <w:szCs w:val="20"/>
          <w:rtl/>
        </w:rPr>
        <w:t>מת.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בינתיים עוד אין טלוויזיה באינטרנט, אבל מה שכן יש זה שירותים אינטראקטיביים בטלוויזיה. השאלה, אם בכלל צריך לפקח, מי יפקח? על הימורים בשידורי טלוויזיה - מי יפקח? על הימורים באינטרנט לא צריך לפקח.</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אני רוצה להגיד לכם </w:t>
      </w:r>
      <w:r>
        <w:rPr>
          <w:rFonts w:cs="Guttman David"/>
          <w:sz w:val="20"/>
          <w:szCs w:val="20"/>
          <w:rtl/>
        </w:rPr>
        <w:t xml:space="preserve">את עמדתי, שברגע זה היא עמדת הוועדה. אחר-כך תראו את הניסוח.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אולי תרשה לנו לטעון בנושא הזה לפני שאתה קובע עמדה.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עמדתי לא תהיה מקובלת עליך, אתן לך אפשרות לעשות מקצה שיפורים. ככל שמדובר בחלק משידור הטלוויזיה, זאת אומרת, שהצ</w:t>
      </w:r>
      <w:r>
        <w:rPr>
          <w:rFonts w:cs="Guttman David"/>
          <w:sz w:val="20"/>
          <w:szCs w:val="20"/>
          <w:rtl/>
        </w:rPr>
        <w:t>ופה בבית מעורב בחלק משידור הטלוויזיה, למשל משתתף בשעשועון, משתתף במשאל, משתתף במשהו - זה המועצה לכבלים. ככל שלא מדובר בחלק מהטלוויזיה אלא מדובר בדיסציפלינות אחרות, כמו מידע מהבורסה או מידע אחר - זה לא שייך למועצה לכבלים. האם זה מקובל עליך?</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 xml:space="preserve">כן. </w:t>
      </w:r>
      <w:r>
        <w:rPr>
          <w:rFonts w:cs="Guttman David"/>
          <w:sz w:val="20"/>
          <w:szCs w:val="20"/>
          <w:rtl/>
        </w:rPr>
        <w:t>זה מקובל עלי. בדיוק לכן צריך להימנע מהמושג העמום הזה, שעוד אף אחד לא יודע בדיוק מה הוא, "טלוויזיה אינטראקטיבית", ולקיים את ההבחנה שאנחנו הצענו בין שידורים לבין שירותי תקשורת.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דורית ענבר: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אבל יודעים מה זה "טלוויזיה אינטראקטיבית".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מה שקשור ל</w:t>
      </w:r>
      <w:r>
        <w:rPr>
          <w:rFonts w:cs="Guttman David"/>
          <w:sz w:val="20"/>
          <w:szCs w:val="20"/>
          <w:rtl/>
        </w:rPr>
        <w:t>שידורים - יישאר במועצה, ומה שהוא לא שידורים - לא יישאר במועצה.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יזהר טל:</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רק שירותים נלווים, כפי שהוגדרו בסעיף 1, ולא מעבר לזה.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מדבר על מה שאנחנו רוצים שיהיה כתוב. עו"ד אתי בנדלר תבדוק את הנוסח. אם האינטראקטיביות היא חלק מתהליך של</w:t>
      </w:r>
      <w:r>
        <w:rPr>
          <w:rFonts w:cs="Guttman David"/>
          <w:sz w:val="20"/>
          <w:szCs w:val="20"/>
          <w:rtl/>
        </w:rPr>
        <w:t xml:space="preserve"> טלוויזיה - המועצה לכבלים מפקחת על זה. אם זה לא שייך לשידורי הטלוויזיה אלא זה דיסציפלינה אחרת - אז אין למועצה לכבלים מה לעשות. את זה תנסחו. תקחי את הנוסחים, תראי מה מתאים ותתאימי את זה לתפיסה הזאת. לא נשב עכשיו לנסח את הסעיף.</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נניח, בנק הפ</w:t>
      </w:r>
      <w:r>
        <w:rPr>
          <w:rFonts w:cs="Guttman David"/>
          <w:sz w:val="20"/>
          <w:szCs w:val="20"/>
          <w:rtl/>
        </w:rPr>
        <w:t>ועלים או בנק לאומי רוצים לתת את דברי - - - בטלוויזיה אינטראקטיבית. מתבקשת השאלה למה צריך רישוי בכלל?</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האם בנק הפועלים לא משדר תוכניות בידור לציבור אז אין צורך. אתה לא מאזין לי, לדעתי. אם בנק הפועלים רוצה לתת משהו שלא שייך בכלל לטלוויזיה</w:t>
      </w:r>
      <w:r>
        <w:rPr>
          <w:rFonts w:cs="Guttman David"/>
          <w:sz w:val="20"/>
          <w:szCs w:val="20"/>
          <w:rtl/>
        </w:rPr>
        <w:t xml:space="preserve"> אלא רק איזה מין דיאלוג - - - </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לא באינטרנט. בטלוויזיה. הוא מאפשר באופן אינטראקטיבי לעשות בנקאות דרך הטלוויזיה.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דורית ענבר: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הוא רוצה לתת ערוץ בנק הפועלים.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ערוץ טלוויזיה.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למה לא? לפי הצורה שזה רשום כעת</w:t>
      </w:r>
      <w:r>
        <w:rPr>
          <w:rFonts w:cs="Guttman David"/>
          <w:sz w:val="20"/>
          <w:szCs w:val="20"/>
          <w:rtl/>
        </w:rPr>
        <w:t>, חוששני שזה יהיה חייב ברשיון.</w:t>
      </w:r>
    </w:p>
    <w:p w:rsidR="00000000" w:rsidRDefault="0047127C">
      <w:pPr>
        <w:pStyle w:val="a5"/>
        <w:tabs>
          <w:tab w:val="clear" w:pos="4153"/>
          <w:tab w:val="clear" w:pos="8306"/>
        </w:tabs>
        <w:rPr>
          <w:rFonts w:cs="Guttman David"/>
          <w:sz w:val="20"/>
          <w:szCs w:val="20"/>
          <w:u w:val="single"/>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זה יהיה חייב ברשיון.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יכול להיות שבמשך השנים הכל ישתבש ואנחנו כבר לא נדע מה הוא טלוויזיה ומה לא טלוויזיה, ומה הוא אינטרנט. יכול להיות שהכל ישתבש, שהטכנולוגיה תתקדם ולא נדע. כרגע אנחנו</w:t>
      </w:r>
      <w:r>
        <w:rPr>
          <w:rFonts w:cs="Guttman David"/>
          <w:sz w:val="20"/>
          <w:szCs w:val="20"/>
          <w:rtl/>
        </w:rPr>
        <w:t xml:space="preserve"> יודעים: טלוויזיה זה מה שיש היום. יכול להיות שבמשך הזמן בשעשועונים במקום שיחייגו למישהו בטלפון תהיה  לו אולי אפשרות להצטלם בביתו, להיכנס לשידור ולתת את התשובה. ככל שזה חלק משידור הטלוויזיה - זה בפיקוח המועצה לכבלים; ככל שזה לא שייך לעסק הזה - זה טלקומוניקצ</w:t>
      </w:r>
      <w:r>
        <w:rPr>
          <w:rFonts w:cs="Guttman David"/>
          <w:sz w:val="20"/>
          <w:szCs w:val="20"/>
          <w:rtl/>
        </w:rPr>
        <w:t>יה במובנה הרחבה, בסמכות משרד התקשורת.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דוד תדמור:</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שאלתי היתה למה זה בכלל חייב ברישוי?</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איך נגדיר את מה שלא צריך רישוי?</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יש בישראל חברה שנמכרה ל"מיקרוסופט" והיום סביב זה ל"מיקרוסופט" יש מוצר שנקרא "מיקרוסופט טי.וי". "מ</w:t>
      </w:r>
      <w:r>
        <w:rPr>
          <w:rFonts w:cs="Guttman David"/>
          <w:sz w:val="20"/>
          <w:szCs w:val="20"/>
          <w:rtl/>
        </w:rPr>
        <w:t>יקרוסופט טי.וי" לוקחת את הטלוויזיה שאתה מכיר ועל הערוצים הרגילים מעבירה משהו שנראה כמו אינטרנט מהיר. זה לא שידור, זה יחידני. אתה פועל בזה בדיוק כמו באינטרנט, רק על מסך הטלוויזיה, וזה עובר בחוט השידור של הטלוויזיה.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לצורך העניין, בואו ניקח את הדוגמא של בנק</w:t>
      </w:r>
      <w:r>
        <w:rPr>
          <w:rFonts w:cs="Guttman David"/>
          <w:sz w:val="20"/>
          <w:szCs w:val="20"/>
          <w:rtl/>
        </w:rPr>
        <w:t xml:space="preserve"> הפועלים: אתה רואה את אתר בנק הפועלים, אתה מבצע טרנסקציה, אתה מסתכל על היתרות שלך ויכול להעביר חשבונות.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זה לא טלוויזיה.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אז איך נגדיר את הגבולות?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עכשיו הגענו לבעיה אך מגדירים את מה שאמרתי קודם. גברת</w:t>
      </w:r>
      <w:r>
        <w:rPr>
          <w:rFonts w:cs="Guttman David"/>
          <w:sz w:val="20"/>
          <w:szCs w:val="20"/>
          <w:rtl/>
        </w:rPr>
        <w:t xml:space="preserve"> בנדלר תעשה מאמץ עליון להגדיר והיא תיעזר גם בכם.</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u w:val="single"/>
          <w:rtl/>
        </w:rPr>
      </w:pPr>
      <w:r>
        <w:rPr>
          <w:rFonts w:cs="Guttman David"/>
          <w:sz w:val="20"/>
          <w:szCs w:val="20"/>
          <w:u w:val="single"/>
          <w:rtl/>
        </w:rPr>
        <w:t>בני איינהורן:</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הדוגמא שנתתי  - זה למעשה לא מועצת הכבלים ולא שידור.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אם הוא לא מועצה ולא שידור, איך בנק הפועלים מגיע לרשת? ה-</w:t>
      </w:r>
      <w:r>
        <w:rPr>
          <w:rFonts w:cs="Guttman David"/>
          <w:sz w:val="20"/>
          <w:szCs w:val="20"/>
        </w:rPr>
        <w:t>Laisser faire</w:t>
      </w:r>
      <w:r>
        <w:rPr>
          <w:rFonts w:cs="Guttman David"/>
          <w:sz w:val="20"/>
          <w:szCs w:val="20"/>
          <w:rtl/>
        </w:rPr>
        <w:t xml:space="preserve"> הזה לא ברור לי. איך הוא מגיע לחברת הכבלים? איך הו</w:t>
      </w:r>
      <w:r>
        <w:rPr>
          <w:rFonts w:cs="Guttman David"/>
          <w:sz w:val="20"/>
          <w:szCs w:val="20"/>
          <w:rtl/>
        </w:rPr>
        <w:t>א מגיע לחברת השידור? אם הוא מגיע דרך האינטרנט - אני באמת לא חושבת שזה צריך רישוי. אבל אם חברת הכבלים או חברת הלוויין, אם איזה גוף שיש לו רישיון כללי לשידור עושה עסק כתוצאה מזה שהוא מוכר אפיק מאפיקי הפס הרחב לצורך שירות טלוויזיה אינטראקטיבית לבנק הפועלים, ה</w:t>
      </w:r>
      <w:r>
        <w:rPr>
          <w:rFonts w:cs="Guttman David"/>
          <w:sz w:val="20"/>
          <w:szCs w:val="20"/>
          <w:rtl/>
        </w:rPr>
        <w:t>אם אתה רוצה שמישהו יידע על זה?</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השאלה היא איפה נגמרת הטלוויזיה ומתחיל דבר אחר.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ומי מרוויח מזה. על חשבון מי זה יבוא. אם קיבולת הפס היא לא מוגבלת אז יכול להיות שהוא יעדיף מבחינה עסקית לקחת את אותם עסקים שנניח אינם טעוני</w:t>
      </w:r>
      <w:r>
        <w:rPr>
          <w:rFonts w:cs="Guttman David"/>
          <w:sz w:val="20"/>
          <w:szCs w:val="20"/>
          <w:rtl/>
        </w:rPr>
        <w:t xml:space="preserve"> רישוי גם לפי תפיסת עולמנו אבל על-ידי כך תידחק רגלם של אותם ערוצים מיוחדים.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גברת לחמן-מסר, מאחר ואת בקיאה בתחום הזה היטב, תנסי למצוא הגדרה שתאמר איפה נגמרת טלוויזיה ומתחיל דבר אחר.</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דוידה לחמן-מסר:</w:t>
      </w:r>
    </w:p>
    <w:p w:rsidR="00000000" w:rsidRDefault="0047127C">
      <w:pPr>
        <w:rPr>
          <w:rFonts w:cs="Guttman David"/>
          <w:sz w:val="20"/>
          <w:szCs w:val="20"/>
          <w:u w:val="single"/>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אני אתייעץ עם חברי ואשמח לקבל מהם ה</w:t>
      </w:r>
      <w:r>
        <w:rPr>
          <w:rFonts w:cs="Guttman David"/>
          <w:sz w:val="20"/>
          <w:szCs w:val="20"/>
          <w:rtl/>
        </w:rPr>
        <w:t>צעות.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אתי בנדלר:</w:t>
      </w:r>
    </w:p>
    <w:p w:rsidR="00000000" w:rsidRDefault="0047127C">
      <w:pPr>
        <w:rPr>
          <w:rFonts w:cs="Guttman David"/>
          <w:sz w:val="20"/>
          <w:szCs w:val="20"/>
          <w:rtl/>
        </w:rPr>
      </w:pPr>
    </w:p>
    <w:p w:rsidR="00000000" w:rsidRDefault="0047127C">
      <w:pPr>
        <w:pStyle w:val="a5"/>
        <w:tabs>
          <w:tab w:val="clear" w:pos="4153"/>
          <w:tab w:val="clear" w:pos="8306"/>
        </w:tabs>
        <w:ind w:left="1701" w:hanging="567"/>
        <w:rPr>
          <w:rFonts w:cs="Guttman David"/>
          <w:sz w:val="20"/>
          <w:szCs w:val="20"/>
          <w:rtl/>
        </w:rPr>
      </w:pPr>
      <w:r>
        <w:rPr>
          <w:rFonts w:cs="Guttman David"/>
          <w:sz w:val="20"/>
          <w:szCs w:val="20"/>
          <w:rtl/>
        </w:rPr>
        <w:t>"(ג)</w:t>
      </w:r>
      <w:r>
        <w:rPr>
          <w:rFonts w:cs="Guttman David"/>
          <w:sz w:val="20"/>
          <w:szCs w:val="20"/>
          <w:rtl/>
        </w:rPr>
        <w:tab/>
        <w:t>אחרי פסקת משנה (ד) יבוא:</w:t>
      </w:r>
    </w:p>
    <w:p w:rsidR="00000000" w:rsidRDefault="0047127C">
      <w:pPr>
        <w:pStyle w:val="a5"/>
        <w:tabs>
          <w:tab w:val="clear" w:pos="4153"/>
          <w:tab w:val="clear" w:pos="8306"/>
        </w:tabs>
        <w:ind w:left="1701" w:hanging="567"/>
        <w:rPr>
          <w:rFonts w:cs="Guttman David"/>
          <w:sz w:val="20"/>
          <w:szCs w:val="20"/>
          <w:rtl/>
        </w:rPr>
      </w:pPr>
    </w:p>
    <w:p w:rsidR="00000000" w:rsidRDefault="0047127C">
      <w:pPr>
        <w:pStyle w:val="a5"/>
        <w:tabs>
          <w:tab w:val="clear" w:pos="4153"/>
          <w:tab w:val="clear" w:pos="8306"/>
        </w:tabs>
        <w:ind w:left="2268" w:hanging="567"/>
        <w:rPr>
          <w:rFonts w:cs="Guttman David"/>
          <w:sz w:val="20"/>
          <w:szCs w:val="20"/>
          <w:rtl/>
        </w:rPr>
      </w:pPr>
      <w:r>
        <w:rPr>
          <w:rFonts w:cs="Guttman David"/>
          <w:sz w:val="20"/>
          <w:szCs w:val="20"/>
          <w:rtl/>
        </w:rPr>
        <w:t>"(ה)</w:t>
      </w:r>
      <w:r>
        <w:rPr>
          <w:rFonts w:cs="Guttman David"/>
          <w:sz w:val="20"/>
          <w:szCs w:val="20"/>
          <w:rtl/>
        </w:rPr>
        <w:tab/>
        <w:t>תנאים והגבלות בדבר בלעדיות בתכני שידורים;"</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היו"ר אברהם פורז:</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נכון לרגע זה, זה בסדר. אחר-כך נראה.</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המשך הישיבה יהיה ביום חמישי הקרוב בשעה 11 בכנסת.</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שלמה קס:</w:t>
      </w:r>
    </w:p>
    <w:p w:rsidR="00000000" w:rsidRDefault="0047127C">
      <w:pPr>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sz w:val="20"/>
          <w:szCs w:val="20"/>
          <w:rtl/>
        </w:rPr>
        <w:tab/>
        <w:t>אולי אפשר יהיה להתחיל את הדיון בהצעת ה</w:t>
      </w:r>
      <w:r>
        <w:rPr>
          <w:rFonts w:cs="Guttman David"/>
          <w:sz w:val="20"/>
          <w:szCs w:val="20"/>
          <w:rtl/>
        </w:rPr>
        <w:t>חוק של חבר הכנסת אלי בן-מנחם, שהיא קצרה, כדי לא להחזיק את כולם כל הזמן.</w:t>
      </w:r>
    </w:p>
    <w:p w:rsidR="00000000" w:rsidRDefault="0047127C">
      <w:pPr>
        <w:pStyle w:val="a5"/>
        <w:tabs>
          <w:tab w:val="clear" w:pos="4153"/>
          <w:tab w:val="clear" w:pos="8306"/>
        </w:tabs>
        <w:rPr>
          <w:rFonts w:cs="Guttman David"/>
          <w:sz w:val="20"/>
          <w:szCs w:val="20"/>
          <w:rtl/>
        </w:rPr>
      </w:pPr>
    </w:p>
    <w:p w:rsidR="00000000" w:rsidRDefault="0047127C">
      <w:pPr>
        <w:rPr>
          <w:rFonts w:cs="Guttman David"/>
          <w:sz w:val="20"/>
          <w:szCs w:val="20"/>
          <w:u w:val="single"/>
          <w:rtl/>
        </w:rPr>
      </w:pPr>
      <w:r>
        <w:rPr>
          <w:rFonts w:cs="Guttman David"/>
          <w:sz w:val="20"/>
          <w:szCs w:val="20"/>
          <w:u w:val="single"/>
          <w:rtl/>
        </w:rPr>
        <w:t>לאה ורון:</w:t>
      </w:r>
    </w:p>
    <w:p w:rsidR="00000000" w:rsidRDefault="0047127C">
      <w:pPr>
        <w:rPr>
          <w:rFonts w:cs="Guttman David"/>
          <w:sz w:val="20"/>
          <w:szCs w:val="20"/>
          <w:rtl/>
        </w:rPr>
      </w:pPr>
      <w:r>
        <w:rPr>
          <w:rFonts w:cs="Guttman David"/>
          <w:sz w:val="20"/>
          <w:szCs w:val="20"/>
          <w:rtl/>
        </w:rPr>
        <w:tab/>
      </w:r>
    </w:p>
    <w:p w:rsidR="00000000" w:rsidRDefault="0047127C">
      <w:pPr>
        <w:pStyle w:val="a5"/>
        <w:tabs>
          <w:tab w:val="clear" w:pos="4153"/>
          <w:tab w:val="clear" w:pos="8306"/>
        </w:tabs>
        <w:rPr>
          <w:rFonts w:cs="Guttman David"/>
          <w:sz w:val="20"/>
          <w:szCs w:val="20"/>
          <w:rtl/>
        </w:rPr>
      </w:pPr>
      <w:r>
        <w:rPr>
          <w:rFonts w:cs="Guttman David"/>
          <w:sz w:val="20"/>
          <w:szCs w:val="20"/>
          <w:rtl/>
        </w:rPr>
        <w:tab/>
        <w:t>הצעת החוק הזאת לא נמצאת על סדר היום של הוועדה ביום חמישי. על סדר היום הצעתו של חבר הכנסת איתן והצעת קבוצת חברי הכנסת.</w:t>
      </w:r>
    </w:p>
    <w:p w:rsidR="00000000" w:rsidRDefault="0047127C">
      <w:pPr>
        <w:pStyle w:val="a5"/>
        <w:tabs>
          <w:tab w:val="clear" w:pos="4153"/>
          <w:tab w:val="clear" w:pos="8306"/>
        </w:tabs>
        <w:rPr>
          <w:rFonts w:cs="Guttman David"/>
          <w:sz w:val="20"/>
          <w:szCs w:val="20"/>
          <w:rtl/>
        </w:rPr>
      </w:pPr>
    </w:p>
    <w:p w:rsidR="00000000" w:rsidRDefault="0047127C">
      <w:pPr>
        <w:pStyle w:val="a5"/>
        <w:tabs>
          <w:tab w:val="clear" w:pos="4153"/>
          <w:tab w:val="clear" w:pos="8306"/>
        </w:tabs>
        <w:rPr>
          <w:rFonts w:cs="Guttman David"/>
          <w:sz w:val="20"/>
          <w:szCs w:val="20"/>
          <w:rtl/>
        </w:rPr>
      </w:pPr>
      <w:r>
        <w:rPr>
          <w:rFonts w:cs="Guttman David"/>
          <w:b/>
          <w:bCs/>
          <w:sz w:val="20"/>
          <w:szCs w:val="20"/>
          <w:u w:val="single"/>
          <w:rtl/>
        </w:rPr>
        <w:t>הישיבה ננעלה בשעה 14:30</w:t>
      </w:r>
    </w:p>
    <w:p w:rsidR="00000000" w:rsidRDefault="0047127C">
      <w:pPr>
        <w:jc w:val="right"/>
        <w:rPr>
          <w:rFonts w:cs="Guttman David"/>
          <w:sz w:val="18"/>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127C">
      <w:pPr>
        <w:spacing w:line="240" w:lineRule="auto"/>
      </w:pPr>
      <w:r>
        <w:separator/>
      </w:r>
    </w:p>
  </w:endnote>
  <w:endnote w:type="continuationSeparator" w:id="0">
    <w:p w:rsidR="00000000" w:rsidRDefault="004712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27C">
    <w:pPr>
      <w:pStyle w:val="a7"/>
      <w:rPr>
        <w:rFonts w:cs="Guttman David"/>
        <w:sz w:val="18"/>
        <w:rtl/>
      </w:rPr>
    </w:pPr>
  </w:p>
  <w:p w:rsidR="00000000" w:rsidRDefault="0047127C">
    <w:pPr>
      <w:pStyle w:val="a7"/>
      <w:rPr>
        <w:rFonts w:cs="Guttman David"/>
        <w:sz w:val="18"/>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27C">
    <w:pPr>
      <w:pStyle w:val="a7"/>
      <w:rPr>
        <w:rFonts w:cs="Guttman David"/>
        <w:sz w:val="18"/>
        <w:rtl/>
      </w:rPr>
    </w:pPr>
  </w:p>
  <w:p w:rsidR="00000000" w:rsidRDefault="0047127C">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127C">
      <w:pPr>
        <w:spacing w:line="240" w:lineRule="auto"/>
      </w:pPr>
      <w:r>
        <w:separator/>
      </w:r>
    </w:p>
  </w:footnote>
  <w:footnote w:type="continuationSeparator" w:id="0">
    <w:p w:rsidR="00000000" w:rsidRDefault="0047127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27C">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sz w:val="18"/>
        <w:rtl/>
      </w:rPr>
      <w:t>-</w:t>
    </w:r>
  </w:p>
  <w:p w:rsidR="00000000" w:rsidRDefault="0047127C">
    <w:pPr>
      <w:pStyle w:val="a5"/>
      <w:rPr>
        <w:rFonts w:cs="Guttman David"/>
        <w:sz w:val="18"/>
        <w:rtl/>
      </w:rPr>
    </w:pPr>
    <w:r>
      <w:rPr>
        <w:rFonts w:cs="Guttman David"/>
        <w:sz w:val="18"/>
        <w:rtl/>
      </w:rPr>
      <w:t>ועדת הכלכלה  (222)</w:t>
    </w:r>
  </w:p>
  <w:p w:rsidR="00000000" w:rsidRDefault="0047127C">
    <w:pPr>
      <w:pStyle w:val="a5"/>
      <w:rPr>
        <w:rFonts w:cs="Guttman David"/>
        <w:sz w:val="18"/>
        <w:rtl/>
      </w:rPr>
    </w:pPr>
    <w:r>
      <w:rPr>
        <w:rFonts w:cs="Guttman David"/>
        <w:sz w:val="18"/>
        <w:rtl/>
      </w:rPr>
      <w:t>‏4.12.2000</w:t>
    </w:r>
  </w:p>
  <w:p w:rsidR="00000000" w:rsidRDefault="0047127C">
    <w:pPr>
      <w:pStyle w:val="a5"/>
      <w:rPr>
        <w:rFonts w:cs="Guttman David"/>
        <w:sz w:val="18"/>
        <w:rtl/>
      </w:rPr>
    </w:pPr>
  </w:p>
  <w:p w:rsidR="00000000" w:rsidRDefault="0047127C">
    <w:pPr>
      <w:pStyle w:val="a5"/>
      <w:rPr>
        <w:rFonts w:cs="Guttman David"/>
        <w:sz w:val="18"/>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27C">
    <w:pPr>
      <w:pStyle w:val="a5"/>
      <w:rPr>
        <w:rFonts w:cs="Guttman David"/>
        <w:sz w:val="18"/>
        <w:rtl/>
      </w:rPr>
    </w:pPr>
  </w:p>
  <w:p w:rsidR="00000000" w:rsidRDefault="0047127C">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num w:numId="1">
    <w:abstractNumId w:val="13"/>
  </w:num>
  <w:num w:numId="2">
    <w:abstractNumId w:val="12"/>
  </w:num>
  <w:num w:numId="3">
    <w:abstractNumId w:val="10"/>
  </w:num>
  <w:num w:numId="4">
    <w:abstractNumId w:val="1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127C"/>
    <w:rsid w:val="00471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10B5B6-11E7-48F0-A31D-B5A9B92A6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paragraph" w:customStyle="1" w:styleId="1">
    <w:name w:val="מספור 1"/>
    <w:basedOn w:val="a"/>
    <w:uiPriority w:val="99"/>
    <w:pPr>
      <w:numPr>
        <w:numId w:val="1"/>
      </w:numPr>
      <w:ind w:left="0" w:right="397"/>
      <w:jc w:val="left"/>
    </w:pPr>
  </w:style>
  <w:style w:type="paragraph" w:customStyle="1" w:styleId="2">
    <w:name w:val="מספור 2"/>
    <w:basedOn w:val="a"/>
    <w:uiPriority w:val="99"/>
    <w:pPr>
      <w:numPr>
        <w:numId w:val="2"/>
      </w:numPr>
      <w:ind w:left="0" w:right="720"/>
      <w:jc w:val="left"/>
    </w:pPr>
  </w:style>
  <w:style w:type="paragraph" w:customStyle="1" w:styleId="3">
    <w:name w:val="מספור 3"/>
    <w:basedOn w:val="a"/>
    <w:uiPriority w:val="99"/>
    <w:pPr>
      <w:numPr>
        <w:numId w:val="3"/>
      </w:numPr>
      <w:ind w:left="0" w:right="1077"/>
      <w:jc w:val="left"/>
    </w:pPr>
  </w:style>
  <w:style w:type="paragraph" w:customStyle="1" w:styleId="4">
    <w:name w:val="מספור 4"/>
    <w:basedOn w:val="a"/>
    <w:uiPriority w:val="99"/>
    <w:pPr>
      <w:numPr>
        <w:numId w:val="4"/>
      </w:numPr>
      <w:ind w:left="0" w:right="1440"/>
      <w:jc w:val="left"/>
    </w:pPr>
  </w:style>
  <w:style w:type="character" w:styleId="a9">
    <w:name w:val="page number"/>
    <w:basedOn w:val="a0"/>
    <w:uiPriority w:val="99"/>
    <w:rPr>
      <w:rFonts w:cs="Guttman David"/>
      <w:lang w:bidi="he-IL"/>
    </w:rPr>
  </w:style>
  <w:style w:type="paragraph" w:styleId="22">
    <w:name w:val="Body Text 2"/>
    <w:basedOn w:val="a"/>
    <w:link w:val="23"/>
    <w:uiPriority w:val="99"/>
    <w:pPr>
      <w:ind w:right="1134"/>
    </w:pPr>
  </w:style>
  <w:style w:type="character" w:customStyle="1" w:styleId="23">
    <w:name w:val="גוף טקסט 2 תו"/>
    <w:basedOn w:val="a0"/>
    <w:link w:val="22"/>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12039</Words>
  <Characters>60196</Characters>
  <Application>Microsoft Office Word</Application>
  <DocSecurity>0</DocSecurity>
  <Lines>501</Lines>
  <Paragraphs>144</Paragraphs>
  <ScaleCrop>false</ScaleCrop>
  <Company>Knesset</Company>
  <LinksUpToDate>false</LinksUpToDate>
  <CharactersWithSpaces>72091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פרוטוקולים/כלכלה/2339</dc:title>
  <dc:subject>כלכלה 4.12.2000</dc:subject>
  <dc:creator>אירית שלהבת</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