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32FB9">
      <w:pPr>
        <w:jc w:val="right"/>
        <w:rPr>
          <w:rFonts w:cs="Miriam"/>
          <w:rtl/>
        </w:rPr>
      </w:pPr>
      <w:bookmarkStart w:id="0" w:name="_GoBack"/>
      <w:bookmarkEnd w:id="0"/>
      <w:r>
        <w:rPr>
          <w:rFonts w:cs="Miriam"/>
          <w:rtl/>
        </w:rPr>
        <w:t>פרוטוקולים/כלכלה/4876</w:t>
      </w:r>
    </w:p>
    <w:p w:rsidR="00000000" w:rsidRDefault="00E32FB9">
      <w:pPr>
        <w:jc w:val="right"/>
        <w:rPr>
          <w:rFonts w:cs="Miriam"/>
          <w:rtl/>
        </w:rPr>
      </w:pPr>
      <w:r>
        <w:rPr>
          <w:rFonts w:cs="Miriam"/>
          <w:rtl/>
        </w:rPr>
        <w:tab/>
        <w:t>ירושלים, כ"ז בניסן, תשס"ב</w:t>
      </w:r>
    </w:p>
    <w:p w:rsidR="00000000" w:rsidRDefault="00E32FB9">
      <w:pPr>
        <w:jc w:val="right"/>
        <w:rPr>
          <w:rFonts w:cs="Miriam"/>
          <w:rtl/>
          <w:lang w:val="es"/>
        </w:rPr>
      </w:pPr>
      <w:r>
        <w:rPr>
          <w:rFonts w:cs="Miriam"/>
          <w:rtl/>
          <w:lang w:val="es"/>
        </w:rPr>
        <w:t>9 באפריל, 2002</w:t>
      </w:r>
    </w:p>
    <w:p w:rsidR="00000000" w:rsidRDefault="00E32FB9">
      <w:pPr>
        <w:jc w:val="right"/>
        <w:rPr>
          <w:rFonts w:cs="Miriam"/>
          <w:rtl/>
        </w:rPr>
      </w:pPr>
    </w:p>
    <w:p w:rsidR="00000000" w:rsidRDefault="00E32FB9">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E32FB9">
      <w:pPr>
        <w:jc w:val="both"/>
        <w:rPr>
          <w:rFonts w:cs="David"/>
          <w:b/>
          <w:bCs/>
          <w:sz w:val="24"/>
          <w:szCs w:val="24"/>
          <w:rtl/>
        </w:rPr>
      </w:pPr>
      <w:r>
        <w:rPr>
          <w:rFonts w:cs="David"/>
          <w:b/>
          <w:bCs/>
          <w:sz w:val="24"/>
          <w:szCs w:val="24"/>
          <w:rtl/>
        </w:rPr>
        <w:t>מו</w:t>
      </w:r>
      <w:r>
        <w:rPr>
          <w:rFonts w:cs="David"/>
          <w:b/>
          <w:bCs/>
          <w:sz w:val="24"/>
          <w:szCs w:val="24"/>
          <w:rtl/>
        </w:rPr>
        <w:t>שב רביעי</w:t>
      </w:r>
    </w:p>
    <w:p w:rsidR="00000000" w:rsidRDefault="00E32FB9">
      <w:pPr>
        <w:jc w:val="both"/>
        <w:rPr>
          <w:rFonts w:cs="David"/>
          <w:b/>
          <w:bCs/>
          <w:sz w:val="24"/>
          <w:szCs w:val="24"/>
          <w:rtl/>
        </w:rPr>
      </w:pPr>
    </w:p>
    <w:p w:rsidR="00000000" w:rsidRDefault="00E32FB9">
      <w:pPr>
        <w:jc w:val="both"/>
        <w:rPr>
          <w:rFonts w:cs="David"/>
          <w:b/>
          <w:bCs/>
          <w:sz w:val="24"/>
          <w:szCs w:val="24"/>
          <w:rtl/>
        </w:rPr>
      </w:pPr>
    </w:p>
    <w:p w:rsidR="00000000" w:rsidRDefault="00E32FB9">
      <w:pPr>
        <w:jc w:val="both"/>
        <w:rPr>
          <w:rFonts w:cs="David"/>
          <w:b/>
          <w:bCs/>
          <w:sz w:val="24"/>
          <w:szCs w:val="24"/>
          <w:rtl/>
        </w:rPr>
      </w:pPr>
    </w:p>
    <w:p w:rsidR="00000000" w:rsidRDefault="00E32FB9">
      <w:pPr>
        <w:jc w:val="both"/>
        <w:rPr>
          <w:rFonts w:cs="David"/>
          <w:b/>
          <w:bCs/>
          <w:sz w:val="24"/>
          <w:szCs w:val="24"/>
          <w:rtl/>
        </w:rPr>
      </w:pPr>
    </w:p>
    <w:p w:rsidR="00000000" w:rsidRDefault="00E32FB9">
      <w:pPr>
        <w:jc w:val="center"/>
        <w:rPr>
          <w:rFonts w:cs="David"/>
          <w:b/>
          <w:bCs/>
          <w:sz w:val="24"/>
          <w:szCs w:val="24"/>
          <w:rtl/>
        </w:rPr>
      </w:pPr>
      <w:r>
        <w:rPr>
          <w:rFonts w:cs="David"/>
          <w:b/>
          <w:bCs/>
          <w:sz w:val="24"/>
          <w:szCs w:val="24"/>
          <w:rtl/>
        </w:rPr>
        <w:t>פרוטוקול מס' 437</w:t>
      </w:r>
    </w:p>
    <w:p w:rsidR="00000000" w:rsidRDefault="00E32FB9">
      <w:pPr>
        <w:jc w:val="center"/>
        <w:rPr>
          <w:rFonts w:cs="David"/>
          <w:b/>
          <w:bCs/>
          <w:sz w:val="24"/>
          <w:szCs w:val="24"/>
          <w:rtl/>
        </w:rPr>
      </w:pPr>
      <w:r>
        <w:rPr>
          <w:rFonts w:cs="David"/>
          <w:b/>
          <w:bCs/>
          <w:sz w:val="24"/>
          <w:szCs w:val="24"/>
          <w:rtl/>
        </w:rPr>
        <w:t>מישיבת ועדת הכלכלה</w:t>
      </w:r>
    </w:p>
    <w:p w:rsidR="00000000" w:rsidRDefault="00E32FB9">
      <w:pPr>
        <w:jc w:val="center"/>
        <w:rPr>
          <w:rFonts w:cs="David"/>
          <w:b/>
          <w:bCs/>
          <w:sz w:val="24"/>
          <w:szCs w:val="24"/>
          <w:u w:val="single"/>
          <w:rtl/>
        </w:rPr>
      </w:pPr>
      <w:r>
        <w:rPr>
          <w:rFonts w:cs="David"/>
          <w:b/>
          <w:bCs/>
          <w:sz w:val="24"/>
          <w:szCs w:val="24"/>
          <w:u w:val="single"/>
          <w:rtl/>
        </w:rPr>
        <w:t>שהתקיימה ביום ד', כ"ט באדר התשס"ב, 13.3.2002, בשעה 10:15</w:t>
      </w:r>
    </w:p>
    <w:p w:rsidR="00000000" w:rsidRDefault="00E32FB9">
      <w:pPr>
        <w:jc w:val="center"/>
        <w:rPr>
          <w:rFonts w:cs="David"/>
          <w:b/>
          <w:bCs/>
          <w:sz w:val="24"/>
          <w:szCs w:val="24"/>
          <w:u w:val="single"/>
          <w:rtl/>
        </w:rPr>
      </w:pPr>
    </w:p>
    <w:p w:rsidR="00000000" w:rsidRDefault="00E32FB9">
      <w:pPr>
        <w:jc w:val="center"/>
        <w:rPr>
          <w:rFonts w:cs="David"/>
          <w:b/>
          <w:bCs/>
          <w:sz w:val="24"/>
          <w:szCs w:val="24"/>
          <w:u w:val="single"/>
          <w:rtl/>
        </w:rPr>
      </w:pPr>
    </w:p>
    <w:p w:rsidR="00000000" w:rsidRDefault="00E32FB9">
      <w:pPr>
        <w:jc w:val="center"/>
        <w:rPr>
          <w:rFonts w:cs="David"/>
          <w:b/>
          <w:bCs/>
          <w:sz w:val="24"/>
          <w:szCs w:val="24"/>
          <w:u w:val="single"/>
          <w:rtl/>
        </w:rPr>
      </w:pPr>
      <w:r>
        <w:rPr>
          <w:rFonts w:cs="David"/>
          <w:b/>
          <w:bCs/>
          <w:sz w:val="24"/>
          <w:szCs w:val="24"/>
          <w:u w:val="single"/>
          <w:rtl/>
        </w:rPr>
        <w:t>ס ד ר    ה י ו ם</w:t>
      </w:r>
    </w:p>
    <w:p w:rsidR="00000000" w:rsidRDefault="00E32FB9">
      <w:pPr>
        <w:jc w:val="both"/>
        <w:rPr>
          <w:rFonts w:cs="David"/>
          <w:sz w:val="24"/>
          <w:szCs w:val="24"/>
          <w:rtl/>
        </w:rPr>
      </w:pPr>
    </w:p>
    <w:p w:rsidR="00000000" w:rsidRDefault="00E32FB9">
      <w:pPr>
        <w:jc w:val="both"/>
        <w:rPr>
          <w:rFonts w:cs="David"/>
          <w:sz w:val="24"/>
          <w:szCs w:val="24"/>
          <w:rtl/>
        </w:rPr>
      </w:pPr>
    </w:p>
    <w:p w:rsidR="00000000" w:rsidRDefault="00E32FB9">
      <w:pPr>
        <w:pStyle w:val="aa"/>
        <w:rPr>
          <w:rFonts w:cs="David"/>
          <w:sz w:val="24"/>
          <w:rtl/>
        </w:rPr>
      </w:pPr>
      <w:r>
        <w:rPr>
          <w:rFonts w:cs="David"/>
          <w:sz w:val="24"/>
          <w:rtl/>
        </w:rPr>
        <w:t>צו הגנת הצרכן (סימון טובין) (תיקון), התשס"ב2002- בדבר החובה לצרף הוראות שימוש בעברית לחמישה מוצרים חדשים</w:t>
      </w:r>
    </w:p>
    <w:p w:rsidR="00000000" w:rsidRDefault="00E32FB9">
      <w:pPr>
        <w:jc w:val="both"/>
        <w:rPr>
          <w:rFonts w:cs="David"/>
          <w:sz w:val="24"/>
          <w:szCs w:val="24"/>
          <w:rtl/>
        </w:rPr>
      </w:pPr>
    </w:p>
    <w:p w:rsidR="00000000" w:rsidRDefault="00E32FB9">
      <w:pPr>
        <w:jc w:val="both"/>
        <w:rPr>
          <w:rFonts w:cs="David"/>
          <w:sz w:val="24"/>
          <w:szCs w:val="24"/>
          <w:rtl/>
        </w:rPr>
      </w:pPr>
    </w:p>
    <w:p w:rsidR="00000000" w:rsidRDefault="00E32FB9">
      <w:pPr>
        <w:jc w:val="both"/>
        <w:rPr>
          <w:rFonts w:cs="David"/>
          <w:sz w:val="24"/>
          <w:szCs w:val="24"/>
          <w:rtl/>
        </w:rPr>
      </w:pPr>
    </w:p>
    <w:p w:rsidR="00000000" w:rsidRDefault="00E32FB9">
      <w:pPr>
        <w:jc w:val="both"/>
        <w:rPr>
          <w:rFonts w:cs="David"/>
          <w:sz w:val="24"/>
          <w:szCs w:val="24"/>
          <w:rtl/>
        </w:rPr>
      </w:pPr>
    </w:p>
    <w:p w:rsidR="00000000" w:rsidRDefault="00E32FB9">
      <w:pPr>
        <w:jc w:val="both"/>
        <w:rPr>
          <w:rFonts w:cs="David"/>
          <w:sz w:val="24"/>
          <w:szCs w:val="24"/>
          <w:rtl/>
        </w:rPr>
      </w:pPr>
    </w:p>
    <w:p w:rsidR="00000000" w:rsidRDefault="00E32FB9">
      <w:pPr>
        <w:jc w:val="both"/>
        <w:rPr>
          <w:rFonts w:cs="David"/>
          <w:b/>
          <w:bCs/>
          <w:sz w:val="24"/>
          <w:szCs w:val="24"/>
          <w:u w:val="single"/>
          <w:rtl/>
        </w:rPr>
      </w:pPr>
      <w:r>
        <w:rPr>
          <w:rFonts w:cs="David"/>
          <w:b/>
          <w:bCs/>
          <w:sz w:val="24"/>
          <w:szCs w:val="24"/>
          <w:u w:val="single"/>
          <w:rtl/>
        </w:rPr>
        <w:t>נכחו:</w:t>
      </w:r>
    </w:p>
    <w:p w:rsidR="00000000" w:rsidRDefault="00E32FB9">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r>
      <w:r>
        <w:rPr>
          <w:rFonts w:cs="David"/>
          <w:sz w:val="24"/>
          <w:szCs w:val="24"/>
          <w:rtl/>
        </w:rPr>
        <w:t>מ"מ היו"ר מיכאל קליינר</w:t>
      </w:r>
    </w:p>
    <w:p w:rsidR="00000000" w:rsidRDefault="00E32FB9">
      <w:pPr>
        <w:jc w:val="both"/>
        <w:rPr>
          <w:rFonts w:cs="David"/>
          <w:sz w:val="24"/>
          <w:szCs w:val="24"/>
          <w:rtl/>
        </w:rPr>
      </w:pPr>
    </w:p>
    <w:p w:rsidR="00000000" w:rsidRDefault="00E32FB9">
      <w:pPr>
        <w:jc w:val="both"/>
        <w:rPr>
          <w:rFonts w:cs="David"/>
          <w:sz w:val="24"/>
          <w:szCs w:val="24"/>
          <w:rtl/>
        </w:rPr>
      </w:pPr>
    </w:p>
    <w:p w:rsidR="00000000" w:rsidRDefault="00E32FB9">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 xml:space="preserve">עו"ד יצחק קמחי, הממונה על הגנת הצרכן, משרד התעשייה </w:t>
      </w:r>
      <w:r>
        <w:rPr>
          <w:rFonts w:cs="David"/>
          <w:sz w:val="24"/>
          <w:szCs w:val="24"/>
          <w:rtl/>
        </w:rPr>
        <w:br/>
        <w:t xml:space="preserve"> </w:t>
      </w:r>
      <w:r>
        <w:rPr>
          <w:rFonts w:cs="David"/>
          <w:sz w:val="24"/>
          <w:szCs w:val="24"/>
          <w:rtl/>
        </w:rPr>
        <w:tab/>
      </w:r>
      <w:r>
        <w:rPr>
          <w:rFonts w:cs="David"/>
          <w:sz w:val="24"/>
          <w:szCs w:val="24"/>
          <w:rtl/>
        </w:rPr>
        <w:tab/>
        <w:t>והמסחר</w:t>
      </w:r>
    </w:p>
    <w:p w:rsidR="00000000" w:rsidRDefault="00E32FB9">
      <w:pPr>
        <w:jc w:val="both"/>
        <w:rPr>
          <w:rFonts w:cs="David"/>
          <w:sz w:val="24"/>
          <w:szCs w:val="24"/>
          <w:rtl/>
        </w:rPr>
      </w:pPr>
    </w:p>
    <w:p w:rsidR="00000000" w:rsidRDefault="00E32FB9">
      <w:pPr>
        <w:jc w:val="both"/>
        <w:rPr>
          <w:rFonts w:cs="David"/>
          <w:sz w:val="24"/>
          <w:szCs w:val="24"/>
          <w:rtl/>
        </w:rPr>
      </w:pPr>
    </w:p>
    <w:p w:rsidR="00000000" w:rsidRDefault="00E32FB9">
      <w:pPr>
        <w:jc w:val="both"/>
        <w:rPr>
          <w:rFonts w:cs="David"/>
          <w:sz w:val="24"/>
          <w:szCs w:val="24"/>
          <w:rtl/>
        </w:rPr>
      </w:pPr>
    </w:p>
    <w:p w:rsidR="00000000" w:rsidRDefault="00E32FB9">
      <w:pPr>
        <w:jc w:val="both"/>
        <w:rPr>
          <w:rFonts w:cs="David"/>
          <w:sz w:val="24"/>
          <w:szCs w:val="24"/>
          <w:rtl/>
        </w:rPr>
      </w:pPr>
    </w:p>
    <w:p w:rsidR="00000000" w:rsidRDefault="00E32FB9">
      <w:pPr>
        <w:jc w:val="both"/>
        <w:rPr>
          <w:rFonts w:cs="David"/>
          <w:sz w:val="24"/>
          <w:szCs w:val="24"/>
          <w:rtl/>
        </w:rPr>
      </w:pPr>
    </w:p>
    <w:p w:rsidR="00000000" w:rsidRDefault="00E32FB9">
      <w:pPr>
        <w:jc w:val="both"/>
        <w:rPr>
          <w:rFonts w:cs="David"/>
          <w:sz w:val="24"/>
          <w:szCs w:val="24"/>
          <w:rtl/>
        </w:rPr>
      </w:pPr>
    </w:p>
    <w:p w:rsidR="00000000" w:rsidRDefault="00E32FB9">
      <w:pPr>
        <w:jc w:val="both"/>
        <w:rPr>
          <w:rFonts w:cs="David"/>
          <w:sz w:val="24"/>
          <w:szCs w:val="24"/>
          <w:rtl/>
        </w:rPr>
      </w:pPr>
    </w:p>
    <w:p w:rsidR="00000000" w:rsidRDefault="00E32FB9">
      <w:pPr>
        <w:jc w:val="both"/>
        <w:rPr>
          <w:rFonts w:cs="David"/>
          <w:sz w:val="24"/>
          <w:szCs w:val="24"/>
          <w:rtl/>
        </w:rPr>
      </w:pPr>
    </w:p>
    <w:p w:rsidR="00000000" w:rsidRDefault="00E32FB9">
      <w:pPr>
        <w:jc w:val="both"/>
        <w:rPr>
          <w:rFonts w:cs="David"/>
          <w:sz w:val="24"/>
          <w:szCs w:val="24"/>
          <w:rtl/>
        </w:rPr>
      </w:pPr>
    </w:p>
    <w:p w:rsidR="00000000" w:rsidRDefault="00E32FB9">
      <w:pPr>
        <w:jc w:val="both"/>
        <w:rPr>
          <w:rFonts w:cs="David"/>
          <w:sz w:val="24"/>
          <w:szCs w:val="24"/>
          <w:rtl/>
        </w:rPr>
      </w:pPr>
    </w:p>
    <w:p w:rsidR="00000000" w:rsidRDefault="00E32FB9">
      <w:pPr>
        <w:jc w:val="both"/>
        <w:rPr>
          <w:rFonts w:cs="David"/>
          <w:sz w:val="24"/>
          <w:szCs w:val="24"/>
          <w:rtl/>
        </w:rPr>
      </w:pPr>
    </w:p>
    <w:p w:rsidR="00000000" w:rsidRDefault="00E32FB9">
      <w:pPr>
        <w:jc w:val="both"/>
        <w:rPr>
          <w:rFonts w:cs="David"/>
          <w:sz w:val="24"/>
          <w:szCs w:val="24"/>
          <w:rtl/>
        </w:rPr>
      </w:pPr>
    </w:p>
    <w:p w:rsidR="00000000" w:rsidRDefault="00E32FB9">
      <w:pPr>
        <w:jc w:val="both"/>
        <w:rPr>
          <w:rFonts w:cs="David"/>
          <w:sz w:val="24"/>
          <w:szCs w:val="24"/>
          <w:rtl/>
        </w:rPr>
      </w:pPr>
    </w:p>
    <w:p w:rsidR="00000000" w:rsidRDefault="00E32FB9">
      <w:pPr>
        <w:jc w:val="both"/>
        <w:rPr>
          <w:rFonts w:cs="David"/>
          <w:sz w:val="24"/>
          <w:szCs w:val="24"/>
          <w:rtl/>
        </w:rPr>
      </w:pPr>
    </w:p>
    <w:p w:rsidR="00000000" w:rsidRDefault="00E32FB9">
      <w:pPr>
        <w:jc w:val="both"/>
        <w:rPr>
          <w:rFonts w:cs="David"/>
          <w:sz w:val="24"/>
          <w:szCs w:val="24"/>
          <w:rtl/>
        </w:rPr>
      </w:pPr>
    </w:p>
    <w:p w:rsidR="00000000" w:rsidRDefault="00E32FB9">
      <w:pPr>
        <w:jc w:val="both"/>
        <w:rPr>
          <w:rFonts w:cs="David"/>
          <w:sz w:val="24"/>
          <w:szCs w:val="24"/>
          <w:rtl/>
        </w:rPr>
      </w:pPr>
    </w:p>
    <w:p w:rsidR="00000000" w:rsidRDefault="00E32FB9">
      <w:pPr>
        <w:jc w:val="both"/>
        <w:rPr>
          <w:rFonts w:cs="David"/>
          <w:sz w:val="24"/>
          <w:szCs w:val="24"/>
          <w:rtl/>
        </w:rPr>
      </w:pPr>
    </w:p>
    <w:p w:rsidR="00000000" w:rsidRDefault="00E32FB9">
      <w:pPr>
        <w:jc w:val="both"/>
        <w:rPr>
          <w:rFonts w:cs="David"/>
          <w:sz w:val="24"/>
          <w:szCs w:val="24"/>
          <w:rtl/>
        </w:rPr>
      </w:pPr>
      <w:r>
        <w:rPr>
          <w:rFonts w:cs="David"/>
          <w:b/>
          <w:bCs/>
          <w:sz w:val="24"/>
          <w:szCs w:val="24"/>
          <w:u w:val="single"/>
          <w:rtl/>
        </w:rPr>
        <w:t>יועצת משפטית</w:t>
      </w:r>
      <w:r>
        <w:rPr>
          <w:rFonts w:cs="David"/>
          <w:sz w:val="24"/>
          <w:szCs w:val="24"/>
          <w:rtl/>
        </w:rPr>
        <w:t>: אתי בנדלר</w:t>
      </w:r>
    </w:p>
    <w:p w:rsidR="00000000" w:rsidRDefault="00E32FB9">
      <w:pPr>
        <w:jc w:val="both"/>
        <w:rPr>
          <w:rFonts w:cs="David"/>
          <w:sz w:val="24"/>
          <w:szCs w:val="24"/>
          <w:rtl/>
        </w:rPr>
      </w:pPr>
    </w:p>
    <w:p w:rsidR="00000000" w:rsidRDefault="00E32FB9">
      <w:pPr>
        <w:jc w:val="both"/>
        <w:rPr>
          <w:rFonts w:cs="David"/>
          <w:sz w:val="24"/>
          <w:szCs w:val="24"/>
          <w:rtl/>
        </w:rPr>
      </w:pPr>
      <w:r>
        <w:rPr>
          <w:rFonts w:cs="David"/>
          <w:b/>
          <w:bCs/>
          <w:sz w:val="24"/>
          <w:szCs w:val="24"/>
          <w:u w:val="single"/>
          <w:rtl/>
        </w:rPr>
        <w:lastRenderedPageBreak/>
        <w:t>מנהלת הוועדה</w:t>
      </w:r>
      <w:r>
        <w:rPr>
          <w:rFonts w:cs="David"/>
          <w:sz w:val="24"/>
          <w:szCs w:val="24"/>
          <w:rtl/>
        </w:rPr>
        <w:t>:</w:t>
      </w:r>
      <w:r>
        <w:rPr>
          <w:rFonts w:cs="David"/>
          <w:sz w:val="24"/>
          <w:szCs w:val="24"/>
          <w:rtl/>
        </w:rPr>
        <w:tab/>
        <w:t xml:space="preserve"> לאה ורון</w:t>
      </w:r>
    </w:p>
    <w:p w:rsidR="00000000" w:rsidRDefault="00E32FB9">
      <w:pPr>
        <w:jc w:val="both"/>
        <w:rPr>
          <w:rFonts w:cs="David"/>
          <w:sz w:val="24"/>
          <w:szCs w:val="24"/>
          <w:rtl/>
        </w:rPr>
      </w:pPr>
    </w:p>
    <w:p w:rsidR="00000000" w:rsidRDefault="00E32FB9">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 xml:space="preserve"> חבר המתרגמים בע"מ</w:t>
      </w:r>
    </w:p>
    <w:p w:rsidR="00000000" w:rsidRDefault="00E32FB9">
      <w:pPr>
        <w:jc w:val="both"/>
        <w:rPr>
          <w:rFonts w:cs="David"/>
          <w:sz w:val="24"/>
          <w:szCs w:val="24"/>
          <w:rtl/>
        </w:rPr>
      </w:pPr>
    </w:p>
    <w:p w:rsidR="00000000" w:rsidRDefault="00E32FB9">
      <w:pPr>
        <w:jc w:val="both"/>
        <w:rPr>
          <w:rFonts w:cs="David"/>
          <w:sz w:val="24"/>
          <w:szCs w:val="24"/>
          <w:rtl/>
        </w:rPr>
      </w:pPr>
    </w:p>
    <w:p w:rsidR="00000000" w:rsidRDefault="00E32FB9">
      <w:pPr>
        <w:pStyle w:val="aa"/>
        <w:rPr>
          <w:rFonts w:cs="David"/>
          <w:sz w:val="24"/>
          <w:rtl/>
        </w:rPr>
      </w:pPr>
      <w:r>
        <w:rPr>
          <w:rFonts w:cs="David"/>
          <w:sz w:val="24"/>
          <w:rtl/>
        </w:rPr>
        <w:t>צו הגנת הצרכן (סימון טובין) (תיקון), התשס"ב2002- בדבר החובה</w:t>
      </w:r>
      <w:r>
        <w:rPr>
          <w:rFonts w:cs="David"/>
          <w:sz w:val="24"/>
          <w:rtl/>
        </w:rPr>
        <w:t xml:space="preserve"> לצרף הוראות שימוש בעברית לחמישה מוצרים חדשים</w:t>
      </w:r>
    </w:p>
    <w:p w:rsidR="00000000" w:rsidRDefault="00E32FB9">
      <w:pPr>
        <w:jc w:val="both"/>
        <w:rPr>
          <w:rFonts w:cs="David"/>
          <w:sz w:val="24"/>
          <w:szCs w:val="24"/>
          <w:rtl/>
        </w:rPr>
      </w:pPr>
    </w:p>
    <w:p w:rsidR="00000000" w:rsidRDefault="00E32FB9">
      <w:pPr>
        <w:jc w:val="both"/>
        <w:rPr>
          <w:rFonts w:cs="David"/>
          <w:sz w:val="24"/>
          <w:szCs w:val="24"/>
          <w:rtl/>
        </w:rPr>
      </w:pPr>
    </w:p>
    <w:p w:rsidR="00000000" w:rsidRDefault="00E32FB9">
      <w:pPr>
        <w:jc w:val="both"/>
        <w:rPr>
          <w:rFonts w:cs="David"/>
          <w:sz w:val="24"/>
          <w:szCs w:val="24"/>
          <w:rtl/>
        </w:rPr>
      </w:pPr>
    </w:p>
    <w:p w:rsidR="00000000" w:rsidRDefault="00E32FB9">
      <w:pPr>
        <w:jc w:val="both"/>
        <w:rPr>
          <w:rFonts w:cs="David"/>
          <w:sz w:val="24"/>
          <w:szCs w:val="24"/>
          <w:rtl/>
        </w:rPr>
      </w:pPr>
    </w:p>
    <w:p w:rsidR="00000000" w:rsidRDefault="00E32FB9">
      <w:pPr>
        <w:jc w:val="both"/>
        <w:rPr>
          <w:rFonts w:cs="David"/>
          <w:sz w:val="24"/>
          <w:szCs w:val="24"/>
          <w:rtl/>
        </w:rPr>
      </w:pPr>
      <w:r>
        <w:rPr>
          <w:rFonts w:cs="David"/>
          <w:b/>
          <w:bCs/>
          <w:sz w:val="24"/>
          <w:szCs w:val="24"/>
          <w:u w:val="single"/>
          <w:rtl/>
        </w:rPr>
        <w:t>מ"מ היו"ר מיכאל קליינר:</w:t>
      </w:r>
      <w:r>
        <w:rPr>
          <w:rFonts w:cs="David"/>
          <w:sz w:val="24"/>
          <w:szCs w:val="24"/>
          <w:rtl/>
        </w:rPr>
        <w:tab/>
        <w:t xml:space="preserve">אני מתכבד לפתוח את ישיבת ועדת הכלכלה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בנושא צו הגנת הצרכן (סימון טובין) (תיקון), התשס"ב2002- בדבר החובה לצרף הוראות שימוש בעברית לחמישה מוצרים חדשים.</w:t>
      </w:r>
    </w:p>
    <w:p w:rsidR="00000000" w:rsidRDefault="00E32FB9">
      <w:pPr>
        <w:jc w:val="both"/>
        <w:rPr>
          <w:rFonts w:cs="David"/>
          <w:sz w:val="24"/>
          <w:szCs w:val="24"/>
          <w:rtl/>
        </w:rPr>
      </w:pPr>
    </w:p>
    <w:p w:rsidR="00000000" w:rsidRDefault="00E32FB9">
      <w:pPr>
        <w:jc w:val="both"/>
        <w:rPr>
          <w:rFonts w:cs="David"/>
          <w:sz w:val="24"/>
          <w:szCs w:val="24"/>
          <w:rtl/>
        </w:rPr>
      </w:pPr>
      <w:r>
        <w:rPr>
          <w:rFonts w:cs="David"/>
          <w:sz w:val="24"/>
          <w:szCs w:val="24"/>
          <w:rtl/>
        </w:rPr>
        <w:t>אני מבין שהצו הוא של שרת ה</w:t>
      </w:r>
      <w:r>
        <w:rPr>
          <w:rFonts w:cs="David"/>
          <w:sz w:val="24"/>
          <w:szCs w:val="24"/>
          <w:rtl/>
        </w:rPr>
        <w:t>תעשייה והמסחר והוא בתוקף סמכותה לפי סעיף 17 לחוק הגנת הצרכן ובאישור ועדת הכלכלה.</w:t>
      </w:r>
    </w:p>
    <w:p w:rsidR="00000000" w:rsidRDefault="00E32FB9">
      <w:pPr>
        <w:jc w:val="both"/>
        <w:rPr>
          <w:rFonts w:cs="David"/>
          <w:sz w:val="24"/>
          <w:szCs w:val="24"/>
          <w:rtl/>
        </w:rPr>
      </w:pPr>
    </w:p>
    <w:p w:rsidR="00000000" w:rsidRDefault="00E32FB9">
      <w:pPr>
        <w:jc w:val="both"/>
        <w:rPr>
          <w:rFonts w:cs="David"/>
          <w:sz w:val="24"/>
          <w:szCs w:val="24"/>
          <w:rtl/>
        </w:rPr>
      </w:pPr>
      <w:r>
        <w:rPr>
          <w:rFonts w:cs="David"/>
          <w:sz w:val="24"/>
          <w:szCs w:val="24"/>
          <w:rtl/>
        </w:rPr>
        <w:t>התקנה אומרת:</w:t>
      </w:r>
    </w:p>
    <w:p w:rsidR="00000000" w:rsidRDefault="00E32FB9">
      <w:pPr>
        <w:jc w:val="both"/>
        <w:rPr>
          <w:rFonts w:cs="David"/>
          <w:sz w:val="24"/>
          <w:szCs w:val="24"/>
          <w:rtl/>
        </w:rPr>
      </w:pPr>
    </w:p>
    <w:p w:rsidR="00000000" w:rsidRDefault="00E32FB9">
      <w:pPr>
        <w:jc w:val="both"/>
        <w:rPr>
          <w:rFonts w:cs="David"/>
          <w:b/>
          <w:bCs/>
          <w:sz w:val="24"/>
          <w:szCs w:val="24"/>
          <w:rtl/>
        </w:rPr>
      </w:pPr>
      <w:r>
        <w:rPr>
          <w:rFonts w:cs="David"/>
          <w:b/>
          <w:bCs/>
          <w:sz w:val="24"/>
          <w:szCs w:val="24"/>
          <w:rtl/>
        </w:rPr>
        <w:t>1.</w:t>
      </w:r>
      <w:r>
        <w:rPr>
          <w:rFonts w:cs="David"/>
          <w:b/>
          <w:bCs/>
          <w:sz w:val="24"/>
          <w:szCs w:val="24"/>
          <w:rtl/>
        </w:rPr>
        <w:tab/>
        <w:t>תיקון התוספת השלישית.</w:t>
      </w:r>
    </w:p>
    <w:p w:rsidR="00000000" w:rsidRDefault="00E32FB9">
      <w:pPr>
        <w:jc w:val="both"/>
        <w:rPr>
          <w:rFonts w:cs="David"/>
          <w:b/>
          <w:bCs/>
          <w:sz w:val="24"/>
          <w:szCs w:val="24"/>
          <w:rtl/>
        </w:rPr>
      </w:pPr>
    </w:p>
    <w:p w:rsidR="00000000" w:rsidRDefault="00E32FB9">
      <w:pPr>
        <w:ind w:left="720"/>
        <w:jc w:val="both"/>
        <w:rPr>
          <w:rFonts w:cs="David"/>
          <w:b/>
          <w:bCs/>
          <w:sz w:val="24"/>
          <w:szCs w:val="24"/>
          <w:rtl/>
        </w:rPr>
      </w:pPr>
      <w:r>
        <w:rPr>
          <w:rFonts w:cs="David"/>
          <w:b/>
          <w:bCs/>
          <w:sz w:val="24"/>
          <w:szCs w:val="24"/>
          <w:rtl/>
        </w:rPr>
        <w:t>בתוספת השלישית לצו הגנת הצרכן (סימון טובין), התשמ"ג1983, אחרי פרט 46 יבוא:</w:t>
      </w:r>
    </w:p>
    <w:p w:rsidR="00000000" w:rsidRDefault="00E32FB9">
      <w:pPr>
        <w:jc w:val="both"/>
        <w:rPr>
          <w:rFonts w:cs="David"/>
          <w:b/>
          <w:bCs/>
          <w:sz w:val="24"/>
          <w:szCs w:val="24"/>
          <w:rtl/>
        </w:rPr>
      </w:pPr>
    </w:p>
    <w:p w:rsidR="00000000" w:rsidRDefault="00E32FB9">
      <w:pPr>
        <w:ind w:firstLine="720"/>
        <w:jc w:val="both"/>
        <w:rPr>
          <w:rFonts w:cs="David"/>
          <w:b/>
          <w:bCs/>
          <w:sz w:val="24"/>
          <w:szCs w:val="24"/>
          <w:rtl/>
        </w:rPr>
      </w:pPr>
      <w:r>
        <w:rPr>
          <w:rFonts w:cs="David"/>
          <w:b/>
          <w:bCs/>
          <w:sz w:val="24"/>
          <w:szCs w:val="24"/>
          <w:rtl/>
        </w:rPr>
        <w:t>47. מערכות קולנוע ביתי.</w:t>
      </w:r>
    </w:p>
    <w:p w:rsidR="00000000" w:rsidRDefault="00E32FB9">
      <w:pPr>
        <w:ind w:firstLine="720"/>
        <w:jc w:val="both"/>
        <w:rPr>
          <w:rFonts w:cs="David"/>
          <w:b/>
          <w:bCs/>
          <w:sz w:val="24"/>
          <w:szCs w:val="24"/>
          <w:rtl/>
        </w:rPr>
      </w:pPr>
    </w:p>
    <w:p w:rsidR="00000000" w:rsidRDefault="00E32FB9">
      <w:pPr>
        <w:ind w:firstLine="720"/>
        <w:jc w:val="both"/>
        <w:rPr>
          <w:rFonts w:cs="David"/>
          <w:b/>
          <w:bCs/>
          <w:sz w:val="24"/>
          <w:szCs w:val="24"/>
          <w:rtl/>
        </w:rPr>
      </w:pPr>
      <w:r>
        <w:rPr>
          <w:rFonts w:cs="David"/>
          <w:b/>
          <w:bCs/>
          <w:sz w:val="24"/>
          <w:szCs w:val="24"/>
          <w:rtl/>
        </w:rPr>
        <w:t>48. מערכות שמע וסראונד.</w:t>
      </w:r>
    </w:p>
    <w:p w:rsidR="00000000" w:rsidRDefault="00E32FB9">
      <w:pPr>
        <w:jc w:val="both"/>
        <w:rPr>
          <w:rFonts w:cs="David"/>
          <w:b/>
          <w:bCs/>
          <w:sz w:val="24"/>
          <w:szCs w:val="24"/>
          <w:rtl/>
        </w:rPr>
      </w:pPr>
    </w:p>
    <w:p w:rsidR="00000000" w:rsidRDefault="00E32FB9">
      <w:pPr>
        <w:ind w:firstLine="720"/>
        <w:jc w:val="both"/>
        <w:rPr>
          <w:rFonts w:cs="David"/>
          <w:b/>
          <w:bCs/>
          <w:sz w:val="24"/>
          <w:szCs w:val="24"/>
          <w:rtl/>
        </w:rPr>
      </w:pPr>
      <w:r>
        <w:rPr>
          <w:rFonts w:cs="David"/>
          <w:b/>
          <w:bCs/>
          <w:sz w:val="24"/>
          <w:szCs w:val="24"/>
          <w:rtl/>
        </w:rPr>
        <w:t>49. מכשי</w:t>
      </w:r>
      <w:r>
        <w:rPr>
          <w:rFonts w:cs="David"/>
          <w:b/>
          <w:bCs/>
          <w:sz w:val="24"/>
          <w:szCs w:val="24"/>
          <w:rtl/>
        </w:rPr>
        <w:t xml:space="preserve">רי </w:t>
      </w:r>
      <w:r>
        <w:rPr>
          <w:rFonts w:cs="David"/>
          <w:b/>
          <w:bCs/>
          <w:szCs w:val="24"/>
        </w:rPr>
        <w:t>DVD</w:t>
      </w:r>
      <w:r>
        <w:rPr>
          <w:rFonts w:cs="David"/>
          <w:b/>
          <w:bCs/>
          <w:sz w:val="24"/>
          <w:szCs w:val="24"/>
          <w:rtl/>
        </w:rPr>
        <w:t>.</w:t>
      </w:r>
    </w:p>
    <w:p w:rsidR="00000000" w:rsidRDefault="00E32FB9">
      <w:pPr>
        <w:jc w:val="both"/>
        <w:rPr>
          <w:rFonts w:cs="David"/>
          <w:b/>
          <w:bCs/>
          <w:sz w:val="24"/>
          <w:szCs w:val="24"/>
          <w:rtl/>
        </w:rPr>
      </w:pPr>
    </w:p>
    <w:p w:rsidR="00000000" w:rsidRDefault="00E32FB9">
      <w:pPr>
        <w:ind w:firstLine="720"/>
        <w:jc w:val="both"/>
        <w:rPr>
          <w:rFonts w:cs="David"/>
          <w:b/>
          <w:bCs/>
          <w:sz w:val="24"/>
          <w:szCs w:val="24"/>
          <w:rtl/>
        </w:rPr>
      </w:pPr>
      <w:r>
        <w:rPr>
          <w:rFonts w:cs="David"/>
          <w:b/>
          <w:bCs/>
          <w:sz w:val="24"/>
          <w:szCs w:val="24"/>
          <w:rtl/>
        </w:rPr>
        <w:t>50. מחשבי כף היד.</w:t>
      </w:r>
    </w:p>
    <w:p w:rsidR="00000000" w:rsidRDefault="00E32FB9">
      <w:pPr>
        <w:jc w:val="both"/>
        <w:rPr>
          <w:rFonts w:cs="David"/>
          <w:b/>
          <w:bCs/>
          <w:sz w:val="24"/>
          <w:szCs w:val="24"/>
          <w:rtl/>
        </w:rPr>
      </w:pPr>
    </w:p>
    <w:p w:rsidR="00000000" w:rsidRDefault="00E32FB9">
      <w:pPr>
        <w:ind w:firstLine="720"/>
        <w:jc w:val="both"/>
        <w:rPr>
          <w:rFonts w:cs="David"/>
          <w:b/>
          <w:bCs/>
          <w:sz w:val="24"/>
          <w:szCs w:val="24"/>
          <w:rtl/>
        </w:rPr>
      </w:pPr>
      <w:r>
        <w:rPr>
          <w:rFonts w:cs="David"/>
          <w:b/>
          <w:bCs/>
          <w:sz w:val="24"/>
          <w:szCs w:val="24"/>
          <w:rtl/>
        </w:rPr>
        <w:t>51. מברגות חשמליות.</w:t>
      </w:r>
    </w:p>
    <w:p w:rsidR="00000000" w:rsidRDefault="00E32FB9">
      <w:pPr>
        <w:jc w:val="both"/>
        <w:rPr>
          <w:rFonts w:cs="David"/>
          <w:b/>
          <w:bCs/>
          <w:sz w:val="24"/>
          <w:szCs w:val="24"/>
          <w:rtl/>
        </w:rPr>
      </w:pPr>
    </w:p>
    <w:p w:rsidR="00000000" w:rsidRDefault="00E32FB9">
      <w:pPr>
        <w:jc w:val="both"/>
        <w:rPr>
          <w:rFonts w:cs="David"/>
          <w:b/>
          <w:bCs/>
          <w:sz w:val="24"/>
          <w:szCs w:val="24"/>
          <w:rtl/>
        </w:rPr>
      </w:pPr>
      <w:r>
        <w:rPr>
          <w:rFonts w:cs="David"/>
          <w:b/>
          <w:bCs/>
          <w:sz w:val="24"/>
          <w:szCs w:val="24"/>
          <w:rtl/>
        </w:rPr>
        <w:t>2.</w:t>
      </w:r>
      <w:r>
        <w:rPr>
          <w:rFonts w:cs="David"/>
          <w:b/>
          <w:bCs/>
          <w:sz w:val="24"/>
          <w:szCs w:val="24"/>
          <w:rtl/>
        </w:rPr>
        <w:tab/>
        <w:t>תחילתו של צו זה שלושים ימים מיום פרסומו.</w:t>
      </w:r>
    </w:p>
    <w:p w:rsidR="00000000" w:rsidRDefault="00E32FB9">
      <w:pPr>
        <w:jc w:val="both"/>
        <w:rPr>
          <w:rFonts w:cs="David"/>
          <w:sz w:val="24"/>
          <w:szCs w:val="24"/>
          <w:rtl/>
        </w:rPr>
      </w:pPr>
    </w:p>
    <w:p w:rsidR="00000000" w:rsidRDefault="00E32FB9">
      <w:pPr>
        <w:jc w:val="both"/>
        <w:rPr>
          <w:rFonts w:cs="David"/>
          <w:sz w:val="24"/>
          <w:szCs w:val="24"/>
          <w:rtl/>
        </w:rPr>
      </w:pPr>
      <w:r>
        <w:rPr>
          <w:rFonts w:cs="David"/>
          <w:sz w:val="24"/>
          <w:szCs w:val="24"/>
          <w:rtl/>
        </w:rPr>
        <w:t xml:space="preserve">השאלה שאנחנו שואלים כי הדברים מאוד ברורים היא </w:t>
      </w:r>
      <w:r>
        <w:rPr>
          <w:rFonts w:cs="David"/>
          <w:szCs w:val="24"/>
        </w:rPr>
        <w:t>–</w:t>
      </w:r>
      <w:r>
        <w:rPr>
          <w:rFonts w:cs="David"/>
          <w:sz w:val="24"/>
          <w:szCs w:val="24"/>
          <w:rtl/>
        </w:rPr>
        <w:t xml:space="preserve"> כאשר אלה מכשירים שנכנסו לשימוש ואנחנו בהחלט רוצים שגם דוברי עברית יוכלו להבין את ההוראות </w:t>
      </w:r>
      <w:r>
        <w:rPr>
          <w:rFonts w:cs="David"/>
          <w:szCs w:val="24"/>
        </w:rPr>
        <w:t>–</w:t>
      </w:r>
      <w:r>
        <w:rPr>
          <w:rFonts w:cs="David"/>
          <w:sz w:val="24"/>
          <w:szCs w:val="24"/>
          <w:rtl/>
        </w:rPr>
        <w:t xml:space="preserve"> היא למה צריך כל פעם להו</w:t>
      </w:r>
      <w:r>
        <w:rPr>
          <w:rFonts w:cs="David"/>
          <w:sz w:val="24"/>
          <w:szCs w:val="24"/>
          <w:rtl/>
        </w:rPr>
        <w:t>סיף מוצרים כי המוצרים האלה היו כאן זמן רב קודם ואני מכיר אותם. למה שלא תהיה איזו תקנה כללית שתחייב שהוראות השימוש ודברי ההסבר יהיו בעברית ויצורפו לכל מכשיר.</w:t>
      </w:r>
    </w:p>
    <w:p w:rsidR="00000000" w:rsidRDefault="00E32FB9">
      <w:pPr>
        <w:jc w:val="both"/>
        <w:rPr>
          <w:rFonts w:cs="David"/>
          <w:sz w:val="24"/>
          <w:szCs w:val="24"/>
          <w:rtl/>
        </w:rPr>
      </w:pPr>
    </w:p>
    <w:p w:rsidR="00000000" w:rsidRDefault="00E32FB9">
      <w:pPr>
        <w:jc w:val="both"/>
        <w:rPr>
          <w:rFonts w:cs="David"/>
          <w:sz w:val="24"/>
          <w:szCs w:val="24"/>
          <w:rtl/>
        </w:rPr>
      </w:pPr>
      <w:r>
        <w:rPr>
          <w:rFonts w:cs="David"/>
          <w:b/>
          <w:bCs/>
          <w:sz w:val="24"/>
          <w:szCs w:val="24"/>
          <w:u w:val="single"/>
          <w:rtl/>
        </w:rPr>
        <w:t>לאה ורון:</w:t>
      </w:r>
      <w:r>
        <w:rPr>
          <w:rFonts w:cs="David"/>
          <w:sz w:val="24"/>
          <w:szCs w:val="24"/>
          <w:rtl/>
        </w:rPr>
        <w:tab/>
      </w:r>
      <w:r>
        <w:rPr>
          <w:rFonts w:cs="David"/>
          <w:sz w:val="24"/>
          <w:szCs w:val="24"/>
          <w:rtl/>
        </w:rPr>
        <w:tab/>
      </w:r>
      <w:r>
        <w:rPr>
          <w:rFonts w:cs="David"/>
          <w:sz w:val="24"/>
          <w:szCs w:val="24"/>
          <w:rtl/>
        </w:rPr>
        <w:tab/>
        <w:t xml:space="preserve">הציע עוזר מחקר ומידע אולי לעשות להפך,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להחריג במקרים מסוימים מוצרים שלהם לא יהיו </w:t>
      </w:r>
      <w:r>
        <w:rPr>
          <w:rFonts w:cs="David"/>
          <w:sz w:val="24"/>
          <w:szCs w:val="24"/>
          <w:rtl/>
        </w:rPr>
        <w:t>דברי הסבר בעברית.</w:t>
      </w:r>
    </w:p>
    <w:p w:rsidR="00000000" w:rsidRDefault="00E32FB9">
      <w:pPr>
        <w:jc w:val="both"/>
        <w:rPr>
          <w:rFonts w:cs="David"/>
          <w:sz w:val="24"/>
          <w:szCs w:val="24"/>
          <w:rtl/>
        </w:rPr>
      </w:pPr>
    </w:p>
    <w:p w:rsidR="00000000" w:rsidRDefault="00E32FB9">
      <w:pPr>
        <w:jc w:val="both"/>
        <w:rPr>
          <w:rFonts w:cs="David"/>
          <w:sz w:val="24"/>
          <w:szCs w:val="24"/>
          <w:rtl/>
        </w:rPr>
      </w:pPr>
      <w:r>
        <w:rPr>
          <w:rFonts w:cs="David"/>
          <w:b/>
          <w:bCs/>
          <w:sz w:val="24"/>
          <w:szCs w:val="24"/>
          <w:u w:val="single"/>
          <w:rtl/>
        </w:rPr>
        <w:lastRenderedPageBreak/>
        <w:t>יצחק קמחי:</w:t>
      </w:r>
      <w:r>
        <w:rPr>
          <w:rFonts w:cs="David"/>
          <w:sz w:val="24"/>
          <w:szCs w:val="24"/>
          <w:rtl/>
        </w:rPr>
        <w:tab/>
      </w:r>
      <w:r>
        <w:rPr>
          <w:rFonts w:cs="David"/>
          <w:sz w:val="24"/>
          <w:szCs w:val="24"/>
          <w:rtl/>
        </w:rPr>
        <w:tab/>
      </w:r>
      <w:r>
        <w:rPr>
          <w:rFonts w:cs="David"/>
          <w:sz w:val="24"/>
          <w:szCs w:val="24"/>
          <w:rtl/>
        </w:rPr>
        <w:tab/>
        <w:t xml:space="preserve">זו בדיוק השאלה, אם מסתכלים מהחצי המלא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מהחצי הריק ואני לא יודע מה עדיף. מבחינתי שלכל יצטרכו לתת הוראות שימוש.</w:t>
      </w:r>
    </w:p>
    <w:p w:rsidR="00000000" w:rsidRDefault="00E32FB9">
      <w:pPr>
        <w:jc w:val="both"/>
        <w:rPr>
          <w:rFonts w:cs="David"/>
          <w:sz w:val="24"/>
          <w:szCs w:val="24"/>
          <w:rtl/>
        </w:rPr>
      </w:pPr>
    </w:p>
    <w:p w:rsidR="00000000" w:rsidRDefault="00E32FB9">
      <w:pPr>
        <w:jc w:val="both"/>
        <w:rPr>
          <w:rFonts w:cs="David"/>
          <w:sz w:val="24"/>
          <w:szCs w:val="24"/>
          <w:rtl/>
        </w:rPr>
      </w:pPr>
      <w:r>
        <w:rPr>
          <w:rFonts w:cs="David"/>
          <w:b/>
          <w:bCs/>
          <w:sz w:val="24"/>
          <w:szCs w:val="24"/>
          <w:u w:val="single"/>
          <w:rtl/>
        </w:rPr>
        <w:t>מ"מ היו"ר מיכאל קליינר:</w:t>
      </w:r>
      <w:r>
        <w:rPr>
          <w:rFonts w:cs="David"/>
          <w:sz w:val="24"/>
          <w:szCs w:val="24"/>
          <w:rtl/>
        </w:rPr>
        <w:tab/>
        <w:t>מה הנימוקים נגד?</w:t>
      </w:r>
    </w:p>
    <w:p w:rsidR="00000000" w:rsidRDefault="00E32FB9">
      <w:pPr>
        <w:jc w:val="both"/>
        <w:rPr>
          <w:rFonts w:cs="David"/>
          <w:sz w:val="24"/>
          <w:szCs w:val="24"/>
          <w:rtl/>
        </w:rPr>
      </w:pPr>
    </w:p>
    <w:p w:rsidR="00000000" w:rsidRDefault="00E32FB9">
      <w:pPr>
        <w:jc w:val="both"/>
        <w:rPr>
          <w:rFonts w:cs="David"/>
          <w:sz w:val="24"/>
          <w:szCs w:val="24"/>
          <w:rtl/>
        </w:rPr>
      </w:pPr>
      <w:r>
        <w:rPr>
          <w:rFonts w:cs="David"/>
          <w:b/>
          <w:bCs/>
          <w:sz w:val="24"/>
          <w:szCs w:val="24"/>
          <w:u w:val="single"/>
          <w:rtl/>
        </w:rPr>
        <w:t>יצחק קמחי:</w:t>
      </w:r>
      <w:r>
        <w:rPr>
          <w:rFonts w:cs="David"/>
          <w:sz w:val="24"/>
          <w:szCs w:val="24"/>
          <w:rtl/>
        </w:rPr>
        <w:tab/>
      </w:r>
      <w:r>
        <w:rPr>
          <w:rFonts w:cs="David"/>
          <w:sz w:val="24"/>
          <w:szCs w:val="24"/>
          <w:rtl/>
        </w:rPr>
        <w:tab/>
      </w:r>
      <w:r>
        <w:rPr>
          <w:rFonts w:cs="David"/>
          <w:sz w:val="24"/>
          <w:szCs w:val="24"/>
          <w:rtl/>
        </w:rPr>
        <w:tab/>
        <w:t xml:space="preserve">אני לא יודע. אם היו נמצאים כאן נציגי התאחדות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התעשיינים, אולי היו להם נימוקים נגד, או אולי לאיגוד הסוחרים היו נימוקים נגד. בעיקרון הנימוקים הם נגד מאחר שלתרגום יש עלויות. לי מבחינה צרכנית חשוב שלכל מכשיר שמגיע לארץ יהיו הוראות שימוש בעברית לפחות. אם רוצים גם הוראות באנגלית, אין בעיה, אבל שקודם כל יהי</w:t>
      </w:r>
      <w:r>
        <w:rPr>
          <w:rFonts w:cs="David"/>
          <w:sz w:val="24"/>
          <w:szCs w:val="24"/>
          <w:rtl/>
        </w:rPr>
        <w:t>ו הוראות בעברית.</w:t>
      </w:r>
    </w:p>
    <w:p w:rsidR="00000000" w:rsidRDefault="00E32FB9">
      <w:pPr>
        <w:jc w:val="both"/>
        <w:rPr>
          <w:rFonts w:cs="David"/>
          <w:sz w:val="24"/>
          <w:szCs w:val="24"/>
          <w:rtl/>
        </w:rPr>
      </w:pPr>
    </w:p>
    <w:p w:rsidR="00000000" w:rsidRDefault="00E32FB9">
      <w:pPr>
        <w:jc w:val="both"/>
        <w:rPr>
          <w:rFonts w:cs="David"/>
          <w:sz w:val="24"/>
          <w:szCs w:val="24"/>
          <w:rtl/>
        </w:rPr>
      </w:pPr>
      <w:r>
        <w:rPr>
          <w:rFonts w:cs="David"/>
          <w:b/>
          <w:bCs/>
          <w:sz w:val="24"/>
          <w:szCs w:val="24"/>
          <w:u w:val="single"/>
          <w:rtl/>
        </w:rPr>
        <w:t>מ"מ היו"ר מיכאל קליינר:</w:t>
      </w:r>
      <w:r>
        <w:rPr>
          <w:rFonts w:cs="David"/>
          <w:sz w:val="24"/>
          <w:szCs w:val="24"/>
          <w:rtl/>
        </w:rPr>
        <w:tab/>
        <w:t xml:space="preserve">אני מבין שאתם מחכים שתהיה מסה קריטית וכל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עוד מדובר בבודדים, זה לא כדאי.</w:t>
      </w:r>
    </w:p>
    <w:p w:rsidR="00000000" w:rsidRDefault="00E32FB9">
      <w:pPr>
        <w:jc w:val="both"/>
        <w:rPr>
          <w:rFonts w:cs="David"/>
          <w:sz w:val="24"/>
          <w:szCs w:val="24"/>
          <w:rtl/>
        </w:rPr>
      </w:pPr>
    </w:p>
    <w:p w:rsidR="00000000" w:rsidRDefault="00E32FB9">
      <w:pPr>
        <w:jc w:val="both"/>
        <w:rPr>
          <w:rFonts w:cs="David"/>
          <w:sz w:val="24"/>
          <w:szCs w:val="24"/>
          <w:rtl/>
        </w:rPr>
      </w:pPr>
      <w:r>
        <w:rPr>
          <w:rFonts w:cs="David"/>
          <w:b/>
          <w:bCs/>
          <w:sz w:val="24"/>
          <w:szCs w:val="24"/>
          <w:u w:val="single"/>
          <w:rtl/>
        </w:rPr>
        <w:t>יצחק קמחי:</w:t>
      </w:r>
      <w:r>
        <w:rPr>
          <w:rFonts w:cs="David"/>
          <w:sz w:val="24"/>
          <w:szCs w:val="24"/>
          <w:rtl/>
        </w:rPr>
        <w:tab/>
      </w:r>
      <w:r>
        <w:rPr>
          <w:rFonts w:cs="David"/>
          <w:sz w:val="24"/>
          <w:szCs w:val="24"/>
          <w:rtl/>
        </w:rPr>
        <w:tab/>
      </w:r>
      <w:r>
        <w:rPr>
          <w:rFonts w:cs="David"/>
          <w:sz w:val="24"/>
          <w:szCs w:val="24"/>
          <w:rtl/>
        </w:rPr>
        <w:tab/>
        <w:t xml:space="preserve">מגיעות אלי תלונות ויש אין סוף מוצרים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חשמליים. לי מאוד חשוב שיהיו הוראות בעברית לגבי מוצרים ביתיים מסובכים. מיקסר יד </w:t>
      </w:r>
      <w:r>
        <w:rPr>
          <w:rFonts w:cs="David"/>
          <w:sz w:val="24"/>
          <w:szCs w:val="24"/>
          <w:rtl/>
        </w:rPr>
        <w:t>של בראון, למרות שזה לא כתוב, גם הסוחרים עצמם ביוזמתם נותנים הוראות שימוש בעברית וההוראות הן לא מסובכות. שוב, החשש שלי הוא קודם כל מהנושא הבטיחותי שהוא הגורם הראשון, ואחר-כך הנושא של המידע. את המידע אנחנו צריכים למוצרים יותר מסובכים. יכול להיות שלכפתור האחד</w:t>
      </w:r>
      <w:r>
        <w:rPr>
          <w:rFonts w:cs="David"/>
          <w:sz w:val="24"/>
          <w:szCs w:val="24"/>
          <w:rtl/>
        </w:rPr>
        <w:t xml:space="preserve"> שיש לאותו מכשיר בראון אתה לא צריך הוראות שימוש בעברית בגודל של ספר וזה לא בהכרח יימצא, אבל יש מוצרים ביתיים שרצוי שיהיו. אני יכול להפנות את תשומת לבך לתוספת השלישית, לרשימת המוצרים שישנם, ותוכל לראות שישנם הרבה מוצרים ביתיים. אם צריך להוסיף אחרים, נוסיף א</w:t>
      </w:r>
      <w:r>
        <w:rPr>
          <w:rFonts w:cs="David"/>
          <w:sz w:val="24"/>
          <w:szCs w:val="24"/>
          <w:rtl/>
        </w:rPr>
        <w:t>חרים. מבחינתי אפשר לתת הוראה גורפת ולשנות את הצו עצמו ולקבוע לגבי כל המוצרים שצריכות להינתן הוראות בעברית.</w:t>
      </w:r>
    </w:p>
    <w:p w:rsidR="00000000" w:rsidRDefault="00E32FB9">
      <w:pPr>
        <w:jc w:val="both"/>
        <w:rPr>
          <w:rFonts w:cs="David"/>
          <w:sz w:val="24"/>
          <w:szCs w:val="24"/>
          <w:rtl/>
        </w:rPr>
      </w:pPr>
    </w:p>
    <w:p w:rsidR="00000000" w:rsidRDefault="00E32FB9">
      <w:pPr>
        <w:jc w:val="both"/>
        <w:rPr>
          <w:rFonts w:cs="David"/>
          <w:sz w:val="24"/>
          <w:szCs w:val="24"/>
          <w:rtl/>
        </w:rPr>
      </w:pPr>
      <w:r>
        <w:rPr>
          <w:rFonts w:cs="David"/>
          <w:sz w:val="24"/>
          <w:szCs w:val="24"/>
          <w:rtl/>
        </w:rPr>
        <w:t>מישהו ייבא חמישה אורגנים חשמליים מסוג מאוד מסוים שהוא סוג נדיר והובא לכאן לפי הזמנות מיוחדות והוא שואל אותי אם הוא צריך לצרף הוראות בעברית. נכון שהא</w:t>
      </w:r>
      <w:r>
        <w:rPr>
          <w:rFonts w:cs="David"/>
          <w:sz w:val="24"/>
          <w:szCs w:val="24"/>
          <w:rtl/>
        </w:rPr>
        <w:t>ורגנים מיועדים לאוכלוסייה קטנה, למישהו שהזמין אותם באופן אישי ומן הסתם גם יודע לקרוא אנגלית או לא יודע לקרוא אנגלית אבל זה לא משנה. לתרגם את ספר ההפעלה של האורגן ולהביא את אותם חמישה אורגנים, הוא מאבד חצי מהרווח בנושא הזה. לכל דבר כזה ישנה עלות כלכלית ולצע</w:t>
      </w:r>
      <w:r>
        <w:rPr>
          <w:rFonts w:cs="David"/>
          <w:sz w:val="24"/>
          <w:szCs w:val="24"/>
          <w:rtl/>
        </w:rPr>
        <w:t>רי הרב כשישנן עלויות כלכליות, מי שסופג אותן בסוף זה אנחנו הצרכנים כי תמיד באיזושהי צורה זה מגולגל עלינו. צריך לעשות את האיזון בין המידע שאנחנו רוצים לתת לבין העלויות בהן זה כרוך.</w:t>
      </w:r>
    </w:p>
    <w:p w:rsidR="00000000" w:rsidRDefault="00E32FB9">
      <w:pPr>
        <w:jc w:val="both"/>
        <w:rPr>
          <w:rFonts w:cs="David"/>
          <w:sz w:val="24"/>
          <w:szCs w:val="24"/>
          <w:rtl/>
        </w:rPr>
      </w:pPr>
    </w:p>
    <w:p w:rsidR="00000000" w:rsidRDefault="00E32FB9">
      <w:pPr>
        <w:jc w:val="both"/>
        <w:rPr>
          <w:rFonts w:cs="David"/>
          <w:sz w:val="24"/>
          <w:szCs w:val="24"/>
          <w:rtl/>
        </w:rPr>
      </w:pPr>
      <w:r>
        <w:rPr>
          <w:rFonts w:cs="David"/>
          <w:sz w:val="24"/>
          <w:szCs w:val="24"/>
          <w:rtl/>
        </w:rPr>
        <w:t xml:space="preserve">המכשירים שהבאתי לכאן הם מכשירים לשימושים ביתיים נפוצים, נמצאים בידי ציבורים </w:t>
      </w:r>
      <w:r>
        <w:rPr>
          <w:rFonts w:cs="David"/>
          <w:sz w:val="24"/>
          <w:szCs w:val="24"/>
          <w:rtl/>
        </w:rPr>
        <w:t>רחבים, ואני לא חושב שזוהי רשימה ממצה. לדעתי הרשימה הזו צריכה להיפתח כל פעם מחדש ואני צריך להטריד את הכנסת בנושא הזה כל פעם מחדש למרות שזה צו של השרה. הואיל ומדובר בצו שיש לו גם סנקציות פליליות, אנחנו מטרידים את ועדת הכלכלה של הכנסת בנושא.</w:t>
      </w:r>
    </w:p>
    <w:p w:rsidR="00000000" w:rsidRDefault="00E32FB9">
      <w:pPr>
        <w:jc w:val="both"/>
        <w:rPr>
          <w:rFonts w:cs="David"/>
          <w:sz w:val="24"/>
          <w:szCs w:val="24"/>
          <w:rtl/>
        </w:rPr>
      </w:pPr>
    </w:p>
    <w:p w:rsidR="00000000" w:rsidRDefault="00E32FB9">
      <w:pPr>
        <w:jc w:val="both"/>
        <w:rPr>
          <w:rFonts w:cs="David"/>
          <w:sz w:val="24"/>
          <w:szCs w:val="24"/>
          <w:rtl/>
        </w:rPr>
      </w:pPr>
      <w:r>
        <w:rPr>
          <w:rFonts w:cs="David"/>
          <w:sz w:val="24"/>
          <w:szCs w:val="24"/>
          <w:rtl/>
        </w:rPr>
        <w:t>אני פתוח לכל הצע</w:t>
      </w:r>
      <w:r>
        <w:rPr>
          <w:rFonts w:cs="David"/>
          <w:sz w:val="24"/>
          <w:szCs w:val="24"/>
          <w:rtl/>
        </w:rPr>
        <w:t>ה. זאת אומרת, אין אנטי מצד משרד התעשייה והמסחר שאומר שמוצר מסוים לא יוכנס. אנחנו חייבים לשקול גם את הנושא של העלויות מסביב שיושתו עלינו.</w:t>
      </w:r>
    </w:p>
    <w:p w:rsidR="00000000" w:rsidRDefault="00E32FB9">
      <w:pPr>
        <w:jc w:val="both"/>
        <w:rPr>
          <w:rFonts w:cs="David"/>
          <w:sz w:val="24"/>
          <w:szCs w:val="24"/>
          <w:rtl/>
        </w:rPr>
      </w:pPr>
    </w:p>
    <w:p w:rsidR="00000000" w:rsidRDefault="00E32FB9">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אני מחזיקה את צו הגנת הצרכן סימון טובין.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בתקנה 2(ו) נאמר כדלקמן: "בלי לגרוע מהאמור בסעיפים קטנים (א</w:t>
      </w:r>
      <w:r>
        <w:rPr>
          <w:rFonts w:cs="David"/>
          <w:sz w:val="24"/>
          <w:szCs w:val="24"/>
          <w:rtl/>
        </w:rPr>
        <w:t>) עד (ה) על טובין מיובאים עם הוראות שימוש או אזהרה בלועזית יופיע גם תרגום מלא ומדויק בעברית של הוראות השימוש או האזהרה וכולי".</w:t>
      </w:r>
    </w:p>
    <w:p w:rsidR="00000000" w:rsidRDefault="00E32FB9">
      <w:pPr>
        <w:jc w:val="both"/>
        <w:rPr>
          <w:rFonts w:cs="David"/>
          <w:sz w:val="24"/>
          <w:szCs w:val="24"/>
          <w:rtl/>
        </w:rPr>
      </w:pPr>
    </w:p>
    <w:p w:rsidR="00000000" w:rsidRDefault="00E32FB9">
      <w:pPr>
        <w:jc w:val="both"/>
        <w:rPr>
          <w:rFonts w:cs="David"/>
          <w:sz w:val="24"/>
          <w:szCs w:val="24"/>
          <w:rtl/>
        </w:rPr>
      </w:pPr>
      <w:r>
        <w:rPr>
          <w:rFonts w:cs="David"/>
          <w:sz w:val="24"/>
          <w:szCs w:val="24"/>
          <w:rtl/>
        </w:rPr>
        <w:t>לכן לכאורה זה חל על הכל כי היום לא מגיע לארץ שום טובין ללא הוראות הפעלה בלועזית ולאו דווקא באנגלית. לכן חובה לצרף תרגום לעברית ש</w:t>
      </w:r>
      <w:r>
        <w:rPr>
          <w:rFonts w:cs="David"/>
          <w:sz w:val="24"/>
          <w:szCs w:val="24"/>
          <w:rtl/>
        </w:rPr>
        <w:t>ל הוראות השימוש גם אם הוא לא מנוי בתוספת. לדעתי רוב התוספת השלישית מיותרת משום שרוב הדברים אינם מיוצרים בארץ ובעצם התוספת השלישית הייתה צריכה להיות ככל שהם לא מיובאים מחו"ל עם הוראות שימוש או הוראות הפעלה, כי אחרת ממילא חלה החובה הזאת. נדמה לי שהייתה כאן א</w:t>
      </w:r>
      <w:r>
        <w:rPr>
          <w:rFonts w:cs="David"/>
          <w:sz w:val="24"/>
          <w:szCs w:val="24"/>
          <w:rtl/>
        </w:rPr>
        <w:t>יזושהי פרשנות שמאוד צמצמה את התחולה של תקנה 2(ו).</w:t>
      </w:r>
    </w:p>
    <w:p w:rsidR="00000000" w:rsidRDefault="00E32FB9">
      <w:pPr>
        <w:jc w:val="both"/>
        <w:rPr>
          <w:rFonts w:cs="David"/>
          <w:sz w:val="24"/>
          <w:szCs w:val="24"/>
          <w:rtl/>
        </w:rPr>
      </w:pPr>
    </w:p>
    <w:p w:rsidR="00000000" w:rsidRDefault="00E32FB9">
      <w:pPr>
        <w:jc w:val="both"/>
        <w:rPr>
          <w:rFonts w:cs="David"/>
          <w:sz w:val="24"/>
          <w:szCs w:val="24"/>
          <w:rtl/>
        </w:rPr>
      </w:pPr>
      <w:r>
        <w:rPr>
          <w:rFonts w:cs="David"/>
          <w:b/>
          <w:bCs/>
          <w:sz w:val="24"/>
          <w:szCs w:val="24"/>
          <w:u w:val="single"/>
          <w:rtl/>
        </w:rPr>
        <w:t>יצחק קמחי:</w:t>
      </w:r>
      <w:r>
        <w:rPr>
          <w:rFonts w:cs="David"/>
          <w:sz w:val="24"/>
          <w:szCs w:val="24"/>
          <w:rtl/>
        </w:rPr>
        <w:tab/>
      </w:r>
      <w:r>
        <w:rPr>
          <w:rFonts w:cs="David"/>
          <w:sz w:val="24"/>
          <w:szCs w:val="24"/>
          <w:rtl/>
        </w:rPr>
        <w:tab/>
      </w:r>
      <w:r>
        <w:rPr>
          <w:rFonts w:cs="David"/>
          <w:sz w:val="24"/>
          <w:szCs w:val="24"/>
          <w:rtl/>
        </w:rPr>
        <w:tab/>
        <w:t xml:space="preserve">אני מאוד אשמח לחוות דעת משפטית בעניין כי זו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בדיוק שאלה משפטית.</w:t>
      </w:r>
    </w:p>
    <w:p w:rsidR="00000000" w:rsidRDefault="00E32FB9">
      <w:pPr>
        <w:jc w:val="both"/>
        <w:rPr>
          <w:rFonts w:cs="David"/>
          <w:sz w:val="24"/>
          <w:szCs w:val="24"/>
          <w:rtl/>
        </w:rPr>
      </w:pPr>
      <w:r>
        <w:rPr>
          <w:rFonts w:cs="David"/>
          <w:sz w:val="24"/>
          <w:szCs w:val="24"/>
          <w:rtl/>
        </w:rPr>
        <w:t>סעיף 2(ו) מופיע במסגרת סעיף 2. סעיף 2 מתייחס לאופן סימון הטובין, מה אני מסמן על המוצר ואיך אני מסמן.</w:t>
      </w:r>
    </w:p>
    <w:p w:rsidR="00000000" w:rsidRDefault="00E32FB9">
      <w:pPr>
        <w:jc w:val="both"/>
        <w:rPr>
          <w:rFonts w:cs="David"/>
          <w:sz w:val="24"/>
          <w:szCs w:val="24"/>
          <w:rtl/>
        </w:rPr>
      </w:pPr>
    </w:p>
    <w:p w:rsidR="00000000" w:rsidRDefault="00E32FB9">
      <w:pPr>
        <w:jc w:val="both"/>
        <w:rPr>
          <w:rFonts w:cs="David"/>
          <w:sz w:val="24"/>
          <w:szCs w:val="24"/>
          <w:rtl/>
        </w:rPr>
      </w:pPr>
      <w:r>
        <w:rPr>
          <w:rFonts w:cs="David"/>
          <w:sz w:val="24"/>
          <w:szCs w:val="24"/>
          <w:rtl/>
        </w:rPr>
        <w:t xml:space="preserve">ישנן שתי שאלות. קודם </w:t>
      </w:r>
      <w:r>
        <w:rPr>
          <w:rFonts w:cs="David"/>
          <w:sz w:val="24"/>
          <w:szCs w:val="24"/>
          <w:rtl/>
        </w:rPr>
        <w:t xml:space="preserve">כל, המיקום של סעיף 2(ו) במסגרת סעיף 2 עוסק באופן סימון הטובין ואיך אני מסמן אותם. לא איזה הוראות שימוש אני נותן להם. תראי שבסעיף יש דקויות מאוד מעניינות. בסעיף (ו) נאמר שהתרגום של כל אותן הוראות שימוש ואזהרה, התרגום יהיה מדויק בעברית לעומת סעיף 7 שמדבר על </w:t>
      </w:r>
      <w:r>
        <w:rPr>
          <w:rFonts w:cs="David"/>
          <w:sz w:val="24"/>
          <w:szCs w:val="24"/>
          <w:rtl/>
        </w:rPr>
        <w:t>הוראות שימוש ואומר שהוא רוצה את התרגום רק כמהימן. הוראות אזהרה שנמצאות על האריזה או הוראות שימוש שנמצאות על האריזה, שאתה צריך לראות אותן עוד לפני שאתה פותח את האריזה, אני רוצה אותן בתרגום מדויק כי אחרת סעיף 7 מיותר כי סעיף 7 לא מתייחס רק למוצרים מיובאים אל</w:t>
      </w:r>
      <w:r>
        <w:rPr>
          <w:rFonts w:cs="David"/>
          <w:sz w:val="24"/>
          <w:szCs w:val="24"/>
          <w:rtl/>
        </w:rPr>
        <w:t>א הוא מתייחס למוצרים בכלל ולמוצרים המיובאים גם בעברית.</w:t>
      </w:r>
    </w:p>
    <w:p w:rsidR="00000000" w:rsidRDefault="00E32FB9">
      <w:pPr>
        <w:jc w:val="both"/>
        <w:rPr>
          <w:rFonts w:cs="David"/>
          <w:sz w:val="24"/>
          <w:szCs w:val="24"/>
          <w:rtl/>
        </w:rPr>
      </w:pPr>
    </w:p>
    <w:p w:rsidR="00000000" w:rsidRDefault="00E32FB9">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מוצרים מיובאים שהוראות סעיף 2(ו) לא חלות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עליהם.</w:t>
      </w:r>
    </w:p>
    <w:p w:rsidR="00000000" w:rsidRDefault="00E32FB9">
      <w:pPr>
        <w:jc w:val="both"/>
        <w:rPr>
          <w:rFonts w:cs="David"/>
          <w:sz w:val="24"/>
          <w:szCs w:val="24"/>
          <w:rtl/>
        </w:rPr>
      </w:pPr>
    </w:p>
    <w:p w:rsidR="00000000" w:rsidRDefault="00E32FB9">
      <w:pPr>
        <w:jc w:val="both"/>
        <w:rPr>
          <w:rFonts w:cs="David"/>
          <w:sz w:val="24"/>
          <w:szCs w:val="24"/>
          <w:rtl/>
        </w:rPr>
      </w:pPr>
      <w:r>
        <w:rPr>
          <w:rFonts w:cs="David"/>
          <w:b/>
          <w:bCs/>
          <w:sz w:val="24"/>
          <w:szCs w:val="24"/>
          <w:u w:val="single"/>
          <w:rtl/>
        </w:rPr>
        <w:t>יצחק קמחי:</w:t>
      </w:r>
      <w:r>
        <w:rPr>
          <w:rFonts w:cs="David"/>
          <w:sz w:val="24"/>
          <w:szCs w:val="24"/>
          <w:rtl/>
        </w:rPr>
        <w:tab/>
      </w:r>
      <w:r>
        <w:rPr>
          <w:rFonts w:cs="David"/>
          <w:sz w:val="24"/>
          <w:szCs w:val="24"/>
          <w:rtl/>
        </w:rPr>
        <w:tab/>
      </w:r>
      <w:r>
        <w:rPr>
          <w:rFonts w:cs="David"/>
          <w:sz w:val="24"/>
          <w:szCs w:val="24"/>
          <w:rtl/>
        </w:rPr>
        <w:tab/>
        <w:t xml:space="preserve">לא הייתי בזמן התקנת  התקנות האלה. סעיף 7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היה מיותר.</w:t>
      </w:r>
    </w:p>
    <w:p w:rsidR="00000000" w:rsidRDefault="00E32FB9">
      <w:pPr>
        <w:jc w:val="both"/>
        <w:rPr>
          <w:rFonts w:cs="David"/>
          <w:sz w:val="24"/>
          <w:szCs w:val="24"/>
          <w:rtl/>
        </w:rPr>
      </w:pPr>
      <w:r>
        <w:rPr>
          <w:rFonts w:cs="David"/>
          <w:sz w:val="24"/>
          <w:szCs w:val="24"/>
          <w:rtl/>
        </w:rPr>
        <w:t>יש לי ויכוח בנושא וגם במשרד יש לי חילוקי דעות בנושא הזה. כשרו</w:t>
      </w:r>
      <w:r>
        <w:rPr>
          <w:rFonts w:cs="David"/>
          <w:sz w:val="24"/>
          <w:szCs w:val="24"/>
          <w:rtl/>
        </w:rPr>
        <w:t>אים את סעיף (ו), צריך על הכל. אם צריך על הכל, באמת סעיף 7 מיותר וכל התוספת מיותרת. אם זה כך, אני לא צריך את הסעיף הזה.</w:t>
      </w:r>
    </w:p>
    <w:p w:rsidR="00000000" w:rsidRDefault="00E32FB9">
      <w:pPr>
        <w:jc w:val="both"/>
        <w:rPr>
          <w:rFonts w:cs="David"/>
          <w:sz w:val="24"/>
          <w:szCs w:val="24"/>
          <w:rtl/>
        </w:rPr>
      </w:pPr>
    </w:p>
    <w:p w:rsidR="00000000" w:rsidRDefault="00E32FB9">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לא. אתה צריך אותו לגבי טובין שאינם מיובאים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מחו"ל או שמיובאים ללא הוראות הפעלה.</w:t>
      </w:r>
    </w:p>
    <w:p w:rsidR="00000000" w:rsidRDefault="00E32FB9">
      <w:pPr>
        <w:jc w:val="both"/>
        <w:rPr>
          <w:rFonts w:cs="David"/>
          <w:sz w:val="24"/>
          <w:szCs w:val="24"/>
          <w:rtl/>
        </w:rPr>
      </w:pPr>
    </w:p>
    <w:p w:rsidR="00000000" w:rsidRDefault="00E32FB9">
      <w:pPr>
        <w:jc w:val="both"/>
        <w:rPr>
          <w:rFonts w:cs="David"/>
          <w:sz w:val="24"/>
          <w:szCs w:val="24"/>
          <w:rtl/>
        </w:rPr>
      </w:pPr>
      <w:r>
        <w:rPr>
          <w:rFonts w:cs="David"/>
          <w:b/>
          <w:bCs/>
          <w:sz w:val="24"/>
          <w:szCs w:val="24"/>
          <w:u w:val="single"/>
          <w:rtl/>
        </w:rPr>
        <w:t>מ"מ היו"ר מיכאל קליינר:</w:t>
      </w:r>
      <w:r>
        <w:rPr>
          <w:rFonts w:cs="David"/>
          <w:sz w:val="24"/>
          <w:szCs w:val="24"/>
          <w:rtl/>
        </w:rPr>
        <w:tab/>
        <w:t>אם סעיף (ו) ה</w:t>
      </w:r>
      <w:r>
        <w:rPr>
          <w:rFonts w:cs="David"/>
          <w:sz w:val="24"/>
          <w:szCs w:val="24"/>
          <w:rtl/>
        </w:rPr>
        <w:t xml:space="preserve">וא סעיף גורף, לא היה צריך לכתוב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אחרי הפסיק וזה אומר שסעיף 7(ב) אחרי הפסיק מיותר. אם בלאו הכי בסעיף 2(ו) יש הוראה שעל כולם יהיה תרגום מלא ומדויק, לשם מה צריך לומר את ההמשך?</w:t>
      </w:r>
    </w:p>
    <w:p w:rsidR="00000000" w:rsidRDefault="00E32FB9">
      <w:pPr>
        <w:jc w:val="both"/>
        <w:rPr>
          <w:rFonts w:cs="David"/>
          <w:sz w:val="24"/>
          <w:szCs w:val="24"/>
          <w:rtl/>
        </w:rPr>
      </w:pPr>
    </w:p>
    <w:p w:rsidR="00000000" w:rsidRDefault="00E32FB9">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למשל על טובין שאינם מיובאים.</w:t>
      </w:r>
    </w:p>
    <w:p w:rsidR="00000000" w:rsidRDefault="00E32FB9">
      <w:pPr>
        <w:jc w:val="both"/>
        <w:rPr>
          <w:rFonts w:cs="David"/>
          <w:sz w:val="24"/>
          <w:szCs w:val="24"/>
          <w:rtl/>
        </w:rPr>
      </w:pPr>
    </w:p>
    <w:p w:rsidR="00000000" w:rsidRDefault="00E32FB9">
      <w:pPr>
        <w:jc w:val="both"/>
        <w:rPr>
          <w:rFonts w:cs="David"/>
          <w:sz w:val="24"/>
          <w:szCs w:val="24"/>
          <w:rtl/>
        </w:rPr>
      </w:pPr>
      <w:r>
        <w:rPr>
          <w:rFonts w:cs="David"/>
          <w:b/>
          <w:bCs/>
          <w:sz w:val="24"/>
          <w:szCs w:val="24"/>
          <w:u w:val="single"/>
          <w:rtl/>
        </w:rPr>
        <w:t>מ"מ היו"ר מיכאל קליינר:</w:t>
      </w:r>
      <w:r>
        <w:rPr>
          <w:rFonts w:cs="David"/>
          <w:sz w:val="24"/>
          <w:szCs w:val="24"/>
          <w:rtl/>
        </w:rPr>
        <w:tab/>
        <w:t>תקראי את ה</w:t>
      </w:r>
      <w:r>
        <w:rPr>
          <w:rFonts w:cs="David"/>
          <w:sz w:val="24"/>
          <w:szCs w:val="24"/>
          <w:rtl/>
        </w:rPr>
        <w:t xml:space="preserve">פסיק. אני מדבר על סעיף 7(ב)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שאומר שהוראות השימוש יהיו בשפה העברית, וזה בסדר, אבל אחרי כן כתוב שבמצרך מיובא יהיו הוראות השימוש תרגום נאמן של הוראות השימוש.</w:t>
      </w:r>
    </w:p>
    <w:p w:rsidR="00000000" w:rsidRDefault="00E32FB9">
      <w:pPr>
        <w:jc w:val="both"/>
        <w:rPr>
          <w:rFonts w:cs="David"/>
          <w:sz w:val="24"/>
          <w:szCs w:val="24"/>
          <w:rtl/>
        </w:rPr>
      </w:pPr>
    </w:p>
    <w:p w:rsidR="00000000" w:rsidRDefault="00E32FB9">
      <w:pPr>
        <w:jc w:val="both"/>
        <w:rPr>
          <w:rFonts w:cs="David"/>
          <w:sz w:val="24"/>
          <w:szCs w:val="24"/>
          <w:rtl/>
        </w:rPr>
      </w:pPr>
      <w:r>
        <w:rPr>
          <w:rFonts w:cs="David"/>
          <w:b/>
          <w:bCs/>
          <w:sz w:val="24"/>
          <w:szCs w:val="24"/>
          <w:u w:val="single"/>
          <w:rtl/>
        </w:rPr>
        <w:t>יצחק קמחי:</w:t>
      </w:r>
      <w:r>
        <w:rPr>
          <w:rFonts w:cs="David"/>
          <w:sz w:val="24"/>
          <w:szCs w:val="24"/>
          <w:rtl/>
        </w:rPr>
        <w:tab/>
      </w:r>
      <w:r>
        <w:rPr>
          <w:rFonts w:cs="David"/>
          <w:sz w:val="24"/>
          <w:szCs w:val="24"/>
          <w:rtl/>
        </w:rPr>
        <w:tab/>
      </w:r>
      <w:r>
        <w:rPr>
          <w:rFonts w:cs="David"/>
          <w:sz w:val="24"/>
          <w:szCs w:val="24"/>
          <w:rtl/>
        </w:rPr>
        <w:tab/>
        <w:t xml:space="preserve">זהו סעיף ספציפי שמתייחס להוראות שימוש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לסימון.</w:t>
      </w:r>
    </w:p>
    <w:p w:rsidR="00000000" w:rsidRDefault="00E32FB9">
      <w:pPr>
        <w:jc w:val="both"/>
        <w:rPr>
          <w:rFonts w:cs="David"/>
          <w:sz w:val="24"/>
          <w:szCs w:val="24"/>
          <w:rtl/>
        </w:rPr>
      </w:pPr>
    </w:p>
    <w:p w:rsidR="00000000" w:rsidRDefault="00E32FB9">
      <w:pPr>
        <w:jc w:val="both"/>
        <w:rPr>
          <w:rFonts w:cs="David"/>
          <w:sz w:val="24"/>
          <w:szCs w:val="24"/>
          <w:rtl/>
        </w:rPr>
      </w:pPr>
      <w:r>
        <w:rPr>
          <w:rFonts w:cs="David"/>
          <w:b/>
          <w:bCs/>
          <w:sz w:val="24"/>
          <w:szCs w:val="24"/>
          <w:u w:val="single"/>
          <w:rtl/>
        </w:rPr>
        <w:t>מ"מ היו"ר מיכאל קליינר:</w:t>
      </w:r>
      <w:r>
        <w:rPr>
          <w:rFonts w:cs="David"/>
          <w:sz w:val="24"/>
          <w:szCs w:val="24"/>
          <w:rtl/>
        </w:rPr>
        <w:tab/>
      </w:r>
      <w:r>
        <w:rPr>
          <w:rFonts w:cs="David"/>
          <w:sz w:val="24"/>
          <w:szCs w:val="24"/>
          <w:rtl/>
        </w:rPr>
        <w:t xml:space="preserve">אתה אומר שאם כוונת המחוקק הייתה כזו וכזו,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כאן זה אחרת ולכן אתה עושה את ההבחנה על האריזה. זה מתוך הנחה שהמחוקק באמת בחן לפרטי פרטים את כל העניין הזה.</w:t>
      </w:r>
    </w:p>
    <w:p w:rsidR="00000000" w:rsidRDefault="00E32FB9">
      <w:pPr>
        <w:jc w:val="both"/>
        <w:rPr>
          <w:rFonts w:cs="David"/>
          <w:sz w:val="24"/>
          <w:szCs w:val="24"/>
          <w:rtl/>
        </w:rPr>
      </w:pPr>
    </w:p>
    <w:p w:rsidR="00000000" w:rsidRDefault="00E32FB9">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תקנה 2 תוקנה אחרי תקנה 6. אינני יודעת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כאשר תיקנו את תקנה 2 היו ערים לזה. ברור </w:t>
      </w:r>
      <w:r>
        <w:rPr>
          <w:rFonts w:cs="David"/>
          <w:sz w:val="24"/>
          <w:szCs w:val="24"/>
          <w:rtl/>
        </w:rPr>
        <w:t>שאין כאן הרמוניה חקיקתית.</w:t>
      </w:r>
    </w:p>
    <w:p w:rsidR="00000000" w:rsidRDefault="00E32FB9">
      <w:pPr>
        <w:jc w:val="both"/>
        <w:rPr>
          <w:rFonts w:cs="David"/>
          <w:sz w:val="24"/>
          <w:szCs w:val="24"/>
          <w:rtl/>
        </w:rPr>
      </w:pPr>
    </w:p>
    <w:p w:rsidR="00000000" w:rsidRDefault="00E32FB9">
      <w:pPr>
        <w:jc w:val="both"/>
        <w:rPr>
          <w:rFonts w:cs="David"/>
          <w:sz w:val="24"/>
          <w:szCs w:val="24"/>
          <w:rtl/>
        </w:rPr>
      </w:pPr>
      <w:r>
        <w:rPr>
          <w:rFonts w:cs="David"/>
          <w:b/>
          <w:bCs/>
          <w:sz w:val="24"/>
          <w:szCs w:val="24"/>
          <w:u w:val="single"/>
          <w:rtl/>
        </w:rPr>
        <w:t>יצחק קמחי:</w:t>
      </w:r>
      <w:r>
        <w:rPr>
          <w:rFonts w:cs="David"/>
          <w:sz w:val="24"/>
          <w:szCs w:val="24"/>
          <w:rtl/>
        </w:rPr>
        <w:tab/>
      </w:r>
      <w:r>
        <w:rPr>
          <w:rFonts w:cs="David"/>
          <w:sz w:val="24"/>
          <w:szCs w:val="24"/>
          <w:rtl/>
        </w:rPr>
        <w:tab/>
      </w:r>
      <w:r>
        <w:rPr>
          <w:rFonts w:cs="David"/>
          <w:sz w:val="24"/>
          <w:szCs w:val="24"/>
          <w:rtl/>
        </w:rPr>
        <w:tab/>
        <w:t xml:space="preserve">אני מסביר עוד הפעם את הפרשנות שלי שיוצרת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הגיון. ישנם מקומות שיש הוראות אזהרה מצויות במסגרת הסימון של המוצר עצמו. לא הוראות השימוש אלא הסימון של המוצר וחשוב שהתרגום יהיה מדויק, אמין ומלא. נושא של הוראות שימוש, ב</w:t>
      </w:r>
      <w:r>
        <w:rPr>
          <w:rFonts w:cs="David"/>
          <w:sz w:val="24"/>
          <w:szCs w:val="24"/>
          <w:rtl/>
        </w:rPr>
        <w:t>וא נניח זה היה מוצר שחשוב לי כאן הוראות שימוש, איך פותחים את החבילה הזאת, זה חשוב וזה מופיע כאן אבל אני צריך את זה בחוק או במסגרת של עבירות פליליות. לא לכל דבר אני צריך הוראות שימוש.</w:t>
      </w:r>
    </w:p>
    <w:p w:rsidR="00000000" w:rsidRDefault="00E32FB9">
      <w:pPr>
        <w:jc w:val="both"/>
        <w:rPr>
          <w:rFonts w:cs="David"/>
          <w:sz w:val="24"/>
          <w:szCs w:val="24"/>
          <w:rtl/>
        </w:rPr>
      </w:pPr>
    </w:p>
    <w:p w:rsidR="00000000" w:rsidRDefault="00E32FB9">
      <w:pPr>
        <w:jc w:val="both"/>
        <w:rPr>
          <w:rFonts w:cs="David"/>
          <w:sz w:val="24"/>
          <w:szCs w:val="24"/>
          <w:rtl/>
        </w:rPr>
      </w:pPr>
      <w:r>
        <w:rPr>
          <w:rFonts w:cs="David"/>
          <w:b/>
          <w:bCs/>
          <w:sz w:val="24"/>
          <w:szCs w:val="24"/>
          <w:u w:val="single"/>
          <w:rtl/>
        </w:rPr>
        <w:t>מ"מ היו"ר מיכאל קליינר:</w:t>
      </w:r>
      <w:r>
        <w:rPr>
          <w:rFonts w:cs="David"/>
          <w:sz w:val="24"/>
          <w:szCs w:val="24"/>
          <w:rtl/>
        </w:rPr>
        <w:tab/>
        <w:t xml:space="preserve">היות שאתה אומר שיש לזה השלכה פלילית,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w:t>
      </w:r>
      <w:r>
        <w:rPr>
          <w:rFonts w:cs="David"/>
          <w:sz w:val="24"/>
          <w:szCs w:val="24"/>
          <w:rtl/>
        </w:rPr>
        <w:t>ציע שתבדקו את עצמכם.</w:t>
      </w:r>
    </w:p>
    <w:p w:rsidR="00000000" w:rsidRDefault="00E32FB9">
      <w:pPr>
        <w:jc w:val="both"/>
        <w:rPr>
          <w:rFonts w:cs="David"/>
          <w:sz w:val="24"/>
          <w:szCs w:val="24"/>
          <w:rtl/>
        </w:rPr>
      </w:pPr>
    </w:p>
    <w:p w:rsidR="00000000" w:rsidRDefault="00E32FB9">
      <w:pPr>
        <w:jc w:val="both"/>
        <w:rPr>
          <w:rFonts w:cs="David"/>
          <w:sz w:val="24"/>
          <w:szCs w:val="24"/>
          <w:rtl/>
        </w:rPr>
      </w:pPr>
      <w:r>
        <w:rPr>
          <w:rFonts w:cs="David"/>
          <w:b/>
          <w:bCs/>
          <w:sz w:val="24"/>
          <w:szCs w:val="24"/>
          <w:u w:val="single"/>
          <w:rtl/>
        </w:rPr>
        <w:t>יצחק קמחי:</w:t>
      </w:r>
      <w:r>
        <w:rPr>
          <w:rFonts w:cs="David"/>
          <w:sz w:val="24"/>
          <w:szCs w:val="24"/>
          <w:rtl/>
        </w:rPr>
        <w:tab/>
      </w:r>
      <w:r>
        <w:rPr>
          <w:rFonts w:cs="David"/>
          <w:sz w:val="24"/>
          <w:szCs w:val="24"/>
          <w:rtl/>
        </w:rPr>
        <w:tab/>
      </w:r>
      <w:r>
        <w:rPr>
          <w:rFonts w:cs="David"/>
          <w:sz w:val="24"/>
          <w:szCs w:val="24"/>
          <w:rtl/>
        </w:rPr>
        <w:tab/>
        <w:t>אני מוכן לשקול את הדברים.</w:t>
      </w:r>
    </w:p>
    <w:p w:rsidR="00000000" w:rsidRDefault="00E32FB9">
      <w:pPr>
        <w:jc w:val="both"/>
        <w:rPr>
          <w:rFonts w:cs="David"/>
          <w:sz w:val="24"/>
          <w:szCs w:val="24"/>
          <w:rtl/>
        </w:rPr>
      </w:pPr>
    </w:p>
    <w:p w:rsidR="00000000" w:rsidRDefault="00E32FB9">
      <w:pPr>
        <w:jc w:val="both"/>
        <w:rPr>
          <w:rFonts w:cs="David"/>
          <w:sz w:val="24"/>
          <w:szCs w:val="24"/>
          <w:rtl/>
        </w:rPr>
      </w:pPr>
      <w:r>
        <w:rPr>
          <w:rFonts w:cs="David"/>
          <w:b/>
          <w:bCs/>
          <w:sz w:val="24"/>
          <w:szCs w:val="24"/>
          <w:u w:val="single"/>
          <w:rtl/>
        </w:rPr>
        <w:t>מ"מ היו"ר מיכאל קליינר:</w:t>
      </w:r>
      <w:r>
        <w:rPr>
          <w:rFonts w:cs="David"/>
          <w:sz w:val="24"/>
          <w:szCs w:val="24"/>
          <w:rtl/>
        </w:rPr>
        <w:tab/>
        <w:t xml:space="preserve">אולי תבהירו ותציעו הבהרה. אם לא היה מדובר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בסנקציה פלילית, הייתי אומר בסדר, אבל היות שמדובר בסנקציה פלילית אני מציע שנאשר ובאמת תבדקו את העניין כי הוא יוצר אי-בהירות</w:t>
      </w:r>
      <w:r>
        <w:rPr>
          <w:rFonts w:cs="David"/>
          <w:sz w:val="24"/>
          <w:szCs w:val="24"/>
          <w:rtl/>
        </w:rPr>
        <w:t>.</w:t>
      </w:r>
    </w:p>
    <w:p w:rsidR="00000000" w:rsidRDefault="00E32FB9">
      <w:pPr>
        <w:jc w:val="both"/>
        <w:rPr>
          <w:rFonts w:cs="David"/>
          <w:sz w:val="24"/>
          <w:szCs w:val="24"/>
          <w:rtl/>
        </w:rPr>
      </w:pPr>
    </w:p>
    <w:p w:rsidR="00000000" w:rsidRDefault="00E32FB9">
      <w:pPr>
        <w:jc w:val="both"/>
        <w:rPr>
          <w:rFonts w:cs="David"/>
          <w:sz w:val="24"/>
          <w:szCs w:val="24"/>
          <w:rtl/>
        </w:rPr>
      </w:pPr>
      <w:r>
        <w:rPr>
          <w:rFonts w:cs="David"/>
          <w:sz w:val="24"/>
          <w:szCs w:val="24"/>
          <w:rtl/>
        </w:rPr>
        <w:t>אגב, אם אני הייתי עורך-דין של תעשיין, ההערה של אתי הייתה גורמת לי כאבי בטן כי הייתי אומר שאני בהחלט רואה שופט שאומר שזה חל על כולם.</w:t>
      </w:r>
    </w:p>
    <w:p w:rsidR="00000000" w:rsidRDefault="00E32FB9">
      <w:pPr>
        <w:jc w:val="both"/>
        <w:rPr>
          <w:rFonts w:cs="David"/>
          <w:sz w:val="24"/>
          <w:szCs w:val="24"/>
          <w:rtl/>
        </w:rPr>
      </w:pPr>
    </w:p>
    <w:p w:rsidR="00000000" w:rsidRDefault="00E32FB9">
      <w:pPr>
        <w:jc w:val="both"/>
        <w:rPr>
          <w:rFonts w:cs="David"/>
          <w:sz w:val="24"/>
          <w:szCs w:val="24"/>
          <w:rtl/>
        </w:rPr>
      </w:pPr>
      <w:r>
        <w:rPr>
          <w:rFonts w:cs="David"/>
          <w:b/>
          <w:bCs/>
          <w:sz w:val="24"/>
          <w:szCs w:val="24"/>
          <w:u w:val="single"/>
          <w:rtl/>
        </w:rPr>
        <w:t>יצחק קמחי:</w:t>
      </w:r>
      <w:r>
        <w:rPr>
          <w:rFonts w:cs="David"/>
          <w:sz w:val="24"/>
          <w:szCs w:val="24"/>
          <w:rtl/>
        </w:rPr>
        <w:tab/>
      </w:r>
      <w:r>
        <w:rPr>
          <w:rFonts w:cs="David"/>
          <w:sz w:val="24"/>
          <w:szCs w:val="24"/>
          <w:rtl/>
        </w:rPr>
        <w:tab/>
      </w:r>
      <w:r>
        <w:rPr>
          <w:rFonts w:cs="David"/>
          <w:sz w:val="24"/>
          <w:szCs w:val="24"/>
          <w:rtl/>
        </w:rPr>
        <w:tab/>
        <w:t xml:space="preserve">ישנו כעת תיק בנושא ואני הולך להעמיד אותו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במבחן שיפוטי.</w:t>
      </w:r>
    </w:p>
    <w:p w:rsidR="00000000" w:rsidRDefault="00E32FB9">
      <w:pPr>
        <w:jc w:val="both"/>
        <w:rPr>
          <w:rFonts w:cs="David"/>
          <w:sz w:val="24"/>
          <w:szCs w:val="24"/>
          <w:rtl/>
        </w:rPr>
      </w:pPr>
    </w:p>
    <w:p w:rsidR="00000000" w:rsidRDefault="00E32FB9">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אם אתם נותנים לסעיף קטן (ו) פרשנ</w:t>
      </w:r>
      <w:r>
        <w:rPr>
          <w:rFonts w:cs="David"/>
          <w:sz w:val="24"/>
          <w:szCs w:val="24"/>
          <w:rtl/>
        </w:rPr>
        <w:t xml:space="preserve">ות כל 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מצומצמת או אינני יודעת בכלל אם אתם עושים בו בכלל שימוש, אז תמחקו אותו מהצו.</w:t>
      </w:r>
    </w:p>
    <w:p w:rsidR="00000000" w:rsidRDefault="00E32FB9">
      <w:pPr>
        <w:jc w:val="both"/>
        <w:rPr>
          <w:rFonts w:cs="David"/>
          <w:sz w:val="24"/>
          <w:szCs w:val="24"/>
          <w:rtl/>
        </w:rPr>
      </w:pPr>
    </w:p>
    <w:p w:rsidR="00000000" w:rsidRDefault="00E32FB9">
      <w:pPr>
        <w:jc w:val="both"/>
        <w:rPr>
          <w:rFonts w:cs="David"/>
          <w:sz w:val="24"/>
          <w:szCs w:val="24"/>
          <w:rtl/>
        </w:rPr>
      </w:pPr>
      <w:r>
        <w:rPr>
          <w:rFonts w:cs="David"/>
          <w:b/>
          <w:bCs/>
          <w:sz w:val="24"/>
          <w:szCs w:val="24"/>
          <w:u w:val="single"/>
          <w:rtl/>
        </w:rPr>
        <w:t>מ"מ היו"ר מיכאל קליינר:</w:t>
      </w:r>
      <w:r>
        <w:rPr>
          <w:rFonts w:cs="David"/>
          <w:sz w:val="24"/>
          <w:szCs w:val="24"/>
          <w:rtl/>
        </w:rPr>
        <w:tab/>
        <w:t>בדיוק.</w:t>
      </w:r>
    </w:p>
    <w:p w:rsidR="00000000" w:rsidRDefault="00E32FB9">
      <w:pPr>
        <w:jc w:val="both"/>
        <w:rPr>
          <w:rFonts w:cs="David"/>
          <w:sz w:val="24"/>
          <w:szCs w:val="24"/>
          <w:rtl/>
        </w:rPr>
      </w:pPr>
    </w:p>
    <w:p w:rsidR="00000000" w:rsidRDefault="00E32FB9">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אבל בצורה כזאת בוודאי לא ראוי להשאיר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w:t>
      </w:r>
    </w:p>
    <w:p w:rsidR="00000000" w:rsidRDefault="00E32FB9">
      <w:pPr>
        <w:jc w:val="both"/>
        <w:rPr>
          <w:rFonts w:cs="David"/>
          <w:sz w:val="24"/>
          <w:szCs w:val="24"/>
          <w:rtl/>
        </w:rPr>
      </w:pPr>
    </w:p>
    <w:p w:rsidR="00000000" w:rsidRDefault="00E32FB9">
      <w:pPr>
        <w:jc w:val="both"/>
        <w:rPr>
          <w:rFonts w:cs="David"/>
          <w:sz w:val="24"/>
          <w:szCs w:val="24"/>
          <w:rtl/>
        </w:rPr>
      </w:pPr>
      <w:r>
        <w:rPr>
          <w:rFonts w:cs="David"/>
          <w:b/>
          <w:bCs/>
          <w:sz w:val="24"/>
          <w:szCs w:val="24"/>
          <w:u w:val="single"/>
          <w:rtl/>
        </w:rPr>
        <w:t>מ"מ היו"ר מיכאל קליינר:</w:t>
      </w:r>
      <w:r>
        <w:rPr>
          <w:rFonts w:cs="David"/>
          <w:sz w:val="24"/>
          <w:szCs w:val="24"/>
          <w:rtl/>
        </w:rPr>
        <w:tab/>
        <w:t xml:space="preserve">דווקא משום שמדובר בסנקציה שאתה אומר שיש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 השלכות פליליות, בהחלט אין מקום שיהיה חוסר בהירות כזה. או שאנשים נכנסים לדברים מיותרים או שאנשים מסתכנים. שופט שיחליט, זה תמיד יהיה על הגב של מישהו אם זה יסתיים בהרשעה.</w:t>
      </w:r>
    </w:p>
    <w:p w:rsidR="00000000" w:rsidRDefault="00E32FB9">
      <w:pPr>
        <w:jc w:val="both"/>
        <w:rPr>
          <w:rFonts w:cs="David"/>
          <w:sz w:val="24"/>
          <w:szCs w:val="24"/>
          <w:rtl/>
        </w:rPr>
      </w:pPr>
    </w:p>
    <w:p w:rsidR="00000000" w:rsidRDefault="00E32FB9">
      <w:pPr>
        <w:jc w:val="both"/>
        <w:rPr>
          <w:rFonts w:cs="David"/>
          <w:sz w:val="24"/>
          <w:szCs w:val="24"/>
          <w:rtl/>
        </w:rPr>
      </w:pPr>
      <w:r>
        <w:rPr>
          <w:rFonts w:cs="David"/>
          <w:b/>
          <w:bCs/>
          <w:sz w:val="24"/>
          <w:szCs w:val="24"/>
          <w:u w:val="single"/>
          <w:rtl/>
        </w:rPr>
        <w:t>יצחק קמחי:</w:t>
      </w:r>
      <w:r>
        <w:rPr>
          <w:rFonts w:cs="David"/>
          <w:sz w:val="24"/>
          <w:szCs w:val="24"/>
          <w:rtl/>
        </w:rPr>
        <w:tab/>
      </w:r>
      <w:r>
        <w:rPr>
          <w:rFonts w:cs="David"/>
          <w:sz w:val="24"/>
          <w:szCs w:val="24"/>
          <w:rtl/>
        </w:rPr>
        <w:tab/>
      </w:r>
      <w:r>
        <w:rPr>
          <w:rFonts w:cs="David"/>
          <w:sz w:val="24"/>
          <w:szCs w:val="24"/>
          <w:rtl/>
        </w:rPr>
        <w:tab/>
        <w:t xml:space="preserve">הכוונה היא לא ליצור אי-בהירות וצריך אולי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להבהיר את אי-הבהירות. </w:t>
      </w:r>
      <w:r>
        <w:rPr>
          <w:rFonts w:cs="David"/>
          <w:sz w:val="24"/>
          <w:szCs w:val="24"/>
          <w:rtl/>
        </w:rPr>
        <w:t>השאלה אם ללכת לאיזשהו כיוון גורף.</w:t>
      </w:r>
    </w:p>
    <w:p w:rsidR="00000000" w:rsidRDefault="00E32FB9">
      <w:pPr>
        <w:jc w:val="both"/>
        <w:rPr>
          <w:rFonts w:cs="David"/>
          <w:sz w:val="24"/>
          <w:szCs w:val="24"/>
          <w:rtl/>
        </w:rPr>
      </w:pPr>
    </w:p>
    <w:p w:rsidR="00000000" w:rsidRDefault="00E32FB9">
      <w:pPr>
        <w:jc w:val="both"/>
        <w:rPr>
          <w:rFonts w:cs="David"/>
          <w:sz w:val="24"/>
          <w:szCs w:val="24"/>
          <w:rtl/>
        </w:rPr>
      </w:pPr>
      <w:r>
        <w:rPr>
          <w:rFonts w:cs="David"/>
          <w:b/>
          <w:bCs/>
          <w:sz w:val="24"/>
          <w:szCs w:val="24"/>
          <w:u w:val="single"/>
          <w:rtl/>
        </w:rPr>
        <w:t>מ"מ היו"ר מיכאל קליינר:</w:t>
      </w:r>
      <w:r>
        <w:rPr>
          <w:rFonts w:cs="David"/>
          <w:sz w:val="24"/>
          <w:szCs w:val="24"/>
          <w:rtl/>
        </w:rPr>
        <w:tab/>
        <w:t xml:space="preserve">ההחלטה היא שלכם. זאת אומרת, ההחלטה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הכנסת אבל אתם צריכים לגבש את עמדתכם. אני מבין את ההגיון שלך. אתה לא רוצה שיהיה מצב שמישהו מביא שניים-שלושה מוצרים והוא יצטרך לשאת בנטל של תרגום.</w:t>
      </w:r>
    </w:p>
    <w:p w:rsidR="00000000" w:rsidRDefault="00E32FB9">
      <w:pPr>
        <w:jc w:val="both"/>
        <w:rPr>
          <w:rFonts w:cs="David"/>
          <w:sz w:val="24"/>
          <w:szCs w:val="24"/>
          <w:rtl/>
        </w:rPr>
      </w:pPr>
    </w:p>
    <w:p w:rsidR="00000000" w:rsidRDefault="00E32FB9">
      <w:pPr>
        <w:jc w:val="both"/>
        <w:rPr>
          <w:rFonts w:cs="David"/>
          <w:sz w:val="24"/>
          <w:szCs w:val="24"/>
          <w:rtl/>
        </w:rPr>
      </w:pPr>
      <w:r>
        <w:rPr>
          <w:rFonts w:cs="David"/>
          <w:b/>
          <w:bCs/>
          <w:sz w:val="24"/>
          <w:szCs w:val="24"/>
          <w:u w:val="single"/>
          <w:rtl/>
        </w:rPr>
        <w:t>אתי</w:t>
      </w:r>
      <w:r>
        <w:rPr>
          <w:rFonts w:cs="David"/>
          <w:b/>
          <w:bCs/>
          <w:sz w:val="24"/>
          <w:szCs w:val="24"/>
          <w:u w:val="single"/>
          <w:rtl/>
        </w:rPr>
        <w:t xml:space="preserve"> בנדלר:</w:t>
      </w:r>
      <w:r>
        <w:rPr>
          <w:rFonts w:cs="David"/>
          <w:sz w:val="24"/>
          <w:szCs w:val="24"/>
          <w:rtl/>
        </w:rPr>
        <w:tab/>
      </w:r>
      <w:r>
        <w:rPr>
          <w:rFonts w:cs="David"/>
          <w:sz w:val="24"/>
          <w:szCs w:val="24"/>
          <w:rtl/>
        </w:rPr>
        <w:tab/>
      </w:r>
      <w:r>
        <w:rPr>
          <w:rFonts w:cs="David"/>
          <w:sz w:val="24"/>
          <w:szCs w:val="24"/>
          <w:rtl/>
        </w:rPr>
        <w:tab/>
        <w:t xml:space="preserve">מכל מקום נראה לי שנוסח הצו כפי שהוא איננו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 להישאר כפי שהוא וראוי שיתוקן.</w:t>
      </w:r>
    </w:p>
    <w:p w:rsidR="00000000" w:rsidRDefault="00E32FB9">
      <w:pPr>
        <w:jc w:val="both"/>
        <w:rPr>
          <w:rFonts w:cs="David"/>
          <w:sz w:val="24"/>
          <w:szCs w:val="24"/>
          <w:rtl/>
        </w:rPr>
      </w:pPr>
    </w:p>
    <w:p w:rsidR="00000000" w:rsidRDefault="00E32FB9">
      <w:pPr>
        <w:jc w:val="both"/>
        <w:rPr>
          <w:rFonts w:cs="David"/>
          <w:sz w:val="24"/>
          <w:szCs w:val="24"/>
          <w:rtl/>
        </w:rPr>
      </w:pPr>
      <w:r>
        <w:rPr>
          <w:rFonts w:cs="David"/>
          <w:b/>
          <w:bCs/>
          <w:sz w:val="24"/>
          <w:szCs w:val="24"/>
          <w:u w:val="single"/>
          <w:rtl/>
        </w:rPr>
        <w:t>יצחק קמחי:</w:t>
      </w:r>
      <w:r>
        <w:rPr>
          <w:rFonts w:cs="David"/>
          <w:sz w:val="24"/>
          <w:szCs w:val="24"/>
          <w:rtl/>
        </w:rPr>
        <w:tab/>
      </w:r>
      <w:r>
        <w:rPr>
          <w:rFonts w:cs="David"/>
          <w:sz w:val="24"/>
          <w:szCs w:val="24"/>
          <w:rtl/>
        </w:rPr>
        <w:tab/>
      </w:r>
      <w:r>
        <w:rPr>
          <w:rFonts w:cs="David"/>
          <w:sz w:val="24"/>
          <w:szCs w:val="24"/>
          <w:rtl/>
        </w:rPr>
        <w:tab/>
        <w:t>אני מקבל את ההערה ואני אפעל בכיוון.</w:t>
      </w:r>
    </w:p>
    <w:p w:rsidR="00000000" w:rsidRDefault="00E32FB9">
      <w:pPr>
        <w:jc w:val="both"/>
        <w:rPr>
          <w:rFonts w:cs="David"/>
          <w:sz w:val="24"/>
          <w:szCs w:val="24"/>
          <w:rtl/>
        </w:rPr>
      </w:pPr>
    </w:p>
    <w:p w:rsidR="00000000" w:rsidRDefault="00E32FB9">
      <w:pPr>
        <w:jc w:val="both"/>
        <w:rPr>
          <w:rFonts w:cs="David"/>
          <w:sz w:val="24"/>
          <w:szCs w:val="24"/>
          <w:rtl/>
        </w:rPr>
      </w:pPr>
      <w:r>
        <w:rPr>
          <w:rFonts w:cs="David"/>
          <w:b/>
          <w:bCs/>
          <w:sz w:val="24"/>
          <w:szCs w:val="24"/>
          <w:u w:val="single"/>
          <w:rtl/>
        </w:rPr>
        <w:t>מ"מ היו"ר מיכאל קליינר:</w:t>
      </w:r>
      <w:r>
        <w:rPr>
          <w:rFonts w:cs="David"/>
          <w:sz w:val="24"/>
          <w:szCs w:val="24"/>
          <w:rtl/>
        </w:rPr>
        <w:tab/>
        <w:t>גם על זה יש קונצנזוס.</w:t>
      </w:r>
    </w:p>
    <w:p w:rsidR="00000000" w:rsidRDefault="00E32FB9">
      <w:pPr>
        <w:jc w:val="both"/>
        <w:rPr>
          <w:rFonts w:cs="David"/>
          <w:sz w:val="24"/>
          <w:szCs w:val="24"/>
          <w:rtl/>
        </w:rPr>
      </w:pPr>
    </w:p>
    <w:p w:rsidR="00000000" w:rsidRDefault="00E32FB9">
      <w:pPr>
        <w:jc w:val="both"/>
        <w:rPr>
          <w:rFonts w:cs="David"/>
          <w:sz w:val="24"/>
          <w:szCs w:val="24"/>
          <w:rtl/>
        </w:rPr>
      </w:pPr>
      <w:r>
        <w:rPr>
          <w:rFonts w:cs="David"/>
          <w:b/>
          <w:bCs/>
          <w:sz w:val="24"/>
          <w:szCs w:val="24"/>
          <w:u w:val="single"/>
          <w:rtl/>
        </w:rPr>
        <w:t>יצחק קמחי:</w:t>
      </w:r>
      <w:r>
        <w:rPr>
          <w:rFonts w:cs="David"/>
          <w:sz w:val="24"/>
          <w:szCs w:val="24"/>
          <w:rtl/>
        </w:rPr>
        <w:tab/>
      </w:r>
      <w:r>
        <w:rPr>
          <w:rFonts w:cs="David"/>
          <w:sz w:val="24"/>
          <w:szCs w:val="24"/>
          <w:rtl/>
        </w:rPr>
        <w:tab/>
      </w:r>
      <w:r>
        <w:rPr>
          <w:rFonts w:cs="David"/>
          <w:sz w:val="24"/>
          <w:szCs w:val="24"/>
          <w:rtl/>
        </w:rPr>
        <w:tab/>
        <w:t xml:space="preserve">פעם הצו היה יותר דרקוני, אבל לאט לאט כל מיני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w:t>
      </w:r>
      <w:r>
        <w:rPr>
          <w:rFonts w:cs="David"/>
          <w:sz w:val="24"/>
          <w:szCs w:val="24"/>
          <w:rtl/>
        </w:rPr>
        <w:t>ברים נגרעו ממנו ויש עוד כמה שצריך לעשות וזה במסגרת הסרת חסמים וכולי.</w:t>
      </w:r>
    </w:p>
    <w:p w:rsidR="00000000" w:rsidRDefault="00E32FB9">
      <w:pPr>
        <w:jc w:val="both"/>
        <w:rPr>
          <w:rFonts w:cs="David"/>
          <w:sz w:val="24"/>
          <w:szCs w:val="24"/>
          <w:rtl/>
        </w:rPr>
      </w:pPr>
    </w:p>
    <w:p w:rsidR="00000000" w:rsidRDefault="00E32FB9">
      <w:pPr>
        <w:jc w:val="both"/>
        <w:rPr>
          <w:rFonts w:cs="David"/>
          <w:sz w:val="24"/>
          <w:szCs w:val="24"/>
          <w:rtl/>
        </w:rPr>
      </w:pPr>
      <w:r>
        <w:rPr>
          <w:rFonts w:cs="David"/>
          <w:sz w:val="24"/>
          <w:szCs w:val="24"/>
          <w:rtl/>
        </w:rPr>
        <w:t>קיבלתי את ההערה ונדון בה.</w:t>
      </w:r>
    </w:p>
    <w:p w:rsidR="00000000" w:rsidRDefault="00E32FB9">
      <w:pPr>
        <w:jc w:val="both"/>
        <w:rPr>
          <w:rFonts w:cs="David"/>
          <w:sz w:val="24"/>
          <w:szCs w:val="24"/>
          <w:rtl/>
        </w:rPr>
      </w:pPr>
    </w:p>
    <w:p w:rsidR="00000000" w:rsidRDefault="00E32FB9">
      <w:pPr>
        <w:jc w:val="both"/>
        <w:rPr>
          <w:rFonts w:cs="David"/>
          <w:sz w:val="24"/>
          <w:szCs w:val="24"/>
          <w:rtl/>
        </w:rPr>
      </w:pPr>
      <w:r>
        <w:rPr>
          <w:rFonts w:cs="David"/>
          <w:b/>
          <w:bCs/>
          <w:sz w:val="24"/>
          <w:szCs w:val="24"/>
          <w:u w:val="single"/>
          <w:rtl/>
        </w:rPr>
        <w:t>מ"מ היו"ר מיכאל קליינר:</w:t>
      </w:r>
      <w:r>
        <w:rPr>
          <w:rFonts w:cs="David"/>
          <w:sz w:val="24"/>
          <w:szCs w:val="24"/>
          <w:rtl/>
        </w:rPr>
        <w:tab/>
        <w:t>אישרנו.</w:t>
      </w:r>
    </w:p>
    <w:p w:rsidR="00000000" w:rsidRDefault="00E32FB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תודה רבה.</w:t>
      </w:r>
    </w:p>
    <w:p w:rsidR="00000000" w:rsidRDefault="00E32FB9">
      <w:pPr>
        <w:jc w:val="both"/>
        <w:rPr>
          <w:rFonts w:cs="David"/>
          <w:sz w:val="24"/>
          <w:szCs w:val="24"/>
          <w:rtl/>
        </w:rPr>
      </w:pPr>
    </w:p>
    <w:p w:rsidR="00000000" w:rsidRDefault="00E32FB9">
      <w:pPr>
        <w:jc w:val="both"/>
        <w:rPr>
          <w:rFonts w:cs="David"/>
          <w:sz w:val="24"/>
          <w:szCs w:val="24"/>
          <w:rtl/>
        </w:rPr>
      </w:pPr>
    </w:p>
    <w:p w:rsidR="00000000" w:rsidRDefault="00E32FB9">
      <w:pPr>
        <w:jc w:val="both"/>
        <w:rPr>
          <w:rFonts w:cs="David"/>
          <w:sz w:val="24"/>
          <w:szCs w:val="24"/>
          <w:rtl/>
        </w:rPr>
      </w:pPr>
    </w:p>
    <w:p w:rsidR="00000000" w:rsidRDefault="00E32FB9">
      <w:pPr>
        <w:jc w:val="both"/>
        <w:rPr>
          <w:rFonts w:cs="David"/>
          <w:sz w:val="24"/>
          <w:szCs w:val="24"/>
          <w:rtl/>
        </w:rPr>
      </w:pPr>
    </w:p>
    <w:p w:rsidR="00000000" w:rsidRDefault="00E32FB9">
      <w:pPr>
        <w:jc w:val="both"/>
        <w:rPr>
          <w:rFonts w:cs="David"/>
          <w:sz w:val="24"/>
          <w:szCs w:val="24"/>
          <w:rtl/>
        </w:rPr>
      </w:pPr>
    </w:p>
    <w:p w:rsidR="00000000" w:rsidRDefault="00E32FB9">
      <w:pPr>
        <w:jc w:val="both"/>
        <w:rPr>
          <w:rFonts w:cs="David"/>
          <w:sz w:val="24"/>
          <w:szCs w:val="24"/>
          <w:rtl/>
        </w:rPr>
      </w:pPr>
    </w:p>
    <w:p w:rsidR="00000000" w:rsidRDefault="00E32FB9">
      <w:pPr>
        <w:pStyle w:val="10"/>
        <w:rPr>
          <w:rFonts w:cs="David"/>
          <w:sz w:val="24"/>
          <w:rtl/>
        </w:rPr>
      </w:pPr>
      <w:r>
        <w:rPr>
          <w:rFonts w:cs="David"/>
          <w:sz w:val="24"/>
          <w:rtl/>
        </w:rPr>
        <w:t>הישיבה ננעלה בשעה 10:30</w:t>
      </w:r>
    </w:p>
    <w:p w:rsidR="00000000" w:rsidRDefault="00E32FB9">
      <w:pPr>
        <w:jc w:val="both"/>
        <w:rPr>
          <w:rFonts w:cs="David"/>
          <w:sz w:val="24"/>
          <w:szCs w:val="24"/>
          <w:rtl/>
        </w:rPr>
      </w:pPr>
    </w:p>
    <w:p w:rsidR="00000000" w:rsidRDefault="00E32FB9">
      <w:pPr>
        <w:jc w:val="both"/>
        <w:rPr>
          <w:rFonts w:cs="David"/>
          <w:sz w:val="24"/>
          <w:szCs w:val="24"/>
          <w:rtl/>
        </w:rPr>
      </w:pPr>
    </w:p>
    <w:p w:rsidR="00000000" w:rsidRDefault="00E32FB9">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32FB9">
      <w:r>
        <w:separator/>
      </w:r>
    </w:p>
  </w:endnote>
  <w:endnote w:type="continuationSeparator" w:id="0">
    <w:p w:rsidR="00000000" w:rsidRDefault="00E32F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2FB9">
    <w:pPr>
      <w:pStyle w:val="a7"/>
      <w:rPr>
        <w:rFonts w:cs="Miriam"/>
        <w:rtl/>
      </w:rPr>
    </w:pPr>
  </w:p>
  <w:p w:rsidR="00000000" w:rsidRDefault="00E32FB9">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2FB9">
    <w:pPr>
      <w:pStyle w:val="a7"/>
      <w:rPr>
        <w:rFonts w:cs="Miriam"/>
        <w:rtl/>
      </w:rPr>
    </w:pPr>
  </w:p>
  <w:p w:rsidR="00000000" w:rsidRDefault="00E32FB9">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32FB9">
      <w:r>
        <w:separator/>
      </w:r>
    </w:p>
  </w:footnote>
  <w:footnote w:type="continuationSeparator" w:id="0">
    <w:p w:rsidR="00000000" w:rsidRDefault="00E32F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2FB9">
    <w:pPr>
      <w:pStyle w:val="a5"/>
      <w:framePr w:wrap="auto" w:vAnchor="text" w:hAnchor="page" w:x="6049" w:y="582"/>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E32FB9">
    <w:pPr>
      <w:pStyle w:val="a5"/>
      <w:rPr>
        <w:rFonts w:cs="Miriam"/>
        <w:b/>
        <w:bCs/>
        <w:u w:val="single"/>
        <w:rtl/>
      </w:rPr>
    </w:pPr>
    <w:r>
      <w:rPr>
        <w:rFonts w:cs="Miriam"/>
        <w:b/>
        <w:bCs/>
        <w:u w:val="single"/>
        <w:rtl/>
      </w:rPr>
      <w:t>ועדת הכלכלה – 13.3.2002</w:t>
    </w:r>
  </w:p>
  <w:p w:rsidR="00000000" w:rsidRDefault="00E32FB9">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2FB9">
    <w:pPr>
      <w:pStyle w:val="a5"/>
      <w:rPr>
        <w:rFonts w:cs="Miriam"/>
        <w:rtl/>
      </w:rPr>
    </w:pPr>
  </w:p>
  <w:p w:rsidR="00000000" w:rsidRDefault="00E32FB9">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0572925B6D2FD511BECD001083FCCD060000000DBF45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E32FB9"/>
    <w:rsid w:val="00E32F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6D00324-1084-4B02-993B-6D01AA53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styleId="aa">
    <w:name w:val="Body Text"/>
    <w:basedOn w:val="a"/>
    <w:link w:val="ab"/>
    <w:uiPriority w:val="99"/>
    <w:pPr>
      <w:jc w:val="center"/>
    </w:pPr>
    <w:rPr>
      <w:b/>
      <w:bCs/>
      <w:szCs w:val="24"/>
      <w:u w:val="single"/>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1497</Words>
  <Characters>7485</Characters>
  <Application>Microsoft Office Word</Application>
  <DocSecurity>0</DocSecurity>
  <Lines>62</Lines>
  <Paragraphs>17</Paragraphs>
  <ScaleCrop>false</ScaleCrop>
  <Company>knesset</Company>
  <LinksUpToDate>false</LinksUpToDate>
  <CharactersWithSpaces>8965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פרוטוקולים/כלכלה/4876</dc:title>
  <dc:subject>כלכלה 13.3.2002ב</dc:subject>
  <dc:creator>חבר</dc:creator>
  <cp:keywords/>
  <dc:description/>
  <cp:lastModifiedBy>רינה דבורה קדרון</cp:lastModifiedBy>
  <cp:revision>2</cp:revision>
  <dcterms:created xsi:type="dcterms:W3CDTF">2017-04-20T07:37:00Z</dcterms:created>
  <dcterms:modified xsi:type="dcterms:W3CDTF">2017-04-20T07:37:00Z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