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62A9">
      <w:pPr>
        <w:jc w:val="right"/>
        <w:rPr>
          <w:rFonts w:cs="David"/>
          <w:sz w:val="24"/>
          <w:rtl/>
        </w:rPr>
      </w:pPr>
      <w:bookmarkStart w:id="0" w:name="_GoBack"/>
      <w:bookmarkEnd w:id="0"/>
      <w:r>
        <w:rPr>
          <w:rFonts w:cs="David"/>
          <w:sz w:val="24"/>
          <w:rtl/>
        </w:rPr>
        <w:t>פרוטוקולים/ועדת הפנים/6049</w:t>
      </w:r>
    </w:p>
    <w:p w:rsidR="00000000" w:rsidRDefault="000462A9">
      <w:pPr>
        <w:jc w:val="right"/>
        <w:rPr>
          <w:rFonts w:cs="David"/>
          <w:sz w:val="24"/>
          <w:rtl/>
        </w:rPr>
      </w:pPr>
      <w:r>
        <w:rPr>
          <w:rFonts w:cs="David"/>
          <w:sz w:val="24"/>
          <w:rtl/>
        </w:rPr>
        <w:tab/>
        <w:t>ירושלים, ט' בכסלו, תשס"ג</w:t>
      </w:r>
    </w:p>
    <w:p w:rsidR="00000000" w:rsidRDefault="000462A9">
      <w:pPr>
        <w:jc w:val="right"/>
        <w:rPr>
          <w:rFonts w:cs="David"/>
          <w:sz w:val="24"/>
          <w:rtl/>
          <w:lang w:val="es"/>
        </w:rPr>
      </w:pPr>
      <w:r>
        <w:rPr>
          <w:rFonts w:cs="David"/>
          <w:sz w:val="24"/>
          <w:rtl/>
          <w:lang w:val="es"/>
        </w:rPr>
        <w:t>14 בנובמבר, 2002</w:t>
      </w:r>
    </w:p>
    <w:p w:rsidR="00000000" w:rsidRDefault="000462A9">
      <w:pPr>
        <w:jc w:val="right"/>
        <w:rPr>
          <w:rFonts w:cs="David"/>
          <w:sz w:val="24"/>
          <w:rtl/>
        </w:rPr>
      </w:pPr>
    </w:p>
    <w:p w:rsidR="00000000" w:rsidRDefault="000462A9">
      <w:pPr>
        <w:jc w:val="both"/>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462A9">
      <w:pPr>
        <w:jc w:val="both"/>
        <w:rPr>
          <w:rFonts w:cs="David"/>
          <w:b/>
          <w:bCs/>
          <w:sz w:val="24"/>
          <w:rtl/>
        </w:rPr>
      </w:pPr>
      <w:r>
        <w:rPr>
          <w:rFonts w:cs="David"/>
          <w:b/>
          <w:bCs/>
          <w:sz w:val="24"/>
          <w:rtl/>
        </w:rPr>
        <w:t>מושב חמישי</w:t>
      </w:r>
    </w:p>
    <w:p w:rsidR="00000000" w:rsidRDefault="000462A9">
      <w:pPr>
        <w:jc w:val="both"/>
        <w:rPr>
          <w:rFonts w:cs="David"/>
          <w:b/>
          <w:bCs/>
          <w:sz w:val="24"/>
          <w:rtl/>
        </w:rPr>
      </w:pPr>
    </w:p>
    <w:p w:rsidR="00000000" w:rsidRDefault="000462A9">
      <w:pPr>
        <w:jc w:val="both"/>
        <w:rPr>
          <w:rFonts w:cs="David"/>
          <w:b/>
          <w:bCs/>
          <w:sz w:val="24"/>
          <w:rtl/>
        </w:rPr>
      </w:pPr>
    </w:p>
    <w:p w:rsidR="00000000" w:rsidRDefault="000462A9">
      <w:pPr>
        <w:jc w:val="both"/>
        <w:rPr>
          <w:rFonts w:cs="David"/>
          <w:b/>
          <w:bCs/>
          <w:sz w:val="24"/>
          <w:rtl/>
        </w:rPr>
      </w:pPr>
    </w:p>
    <w:p w:rsidR="00000000" w:rsidRDefault="000462A9">
      <w:pPr>
        <w:jc w:val="both"/>
        <w:rPr>
          <w:rFonts w:cs="David"/>
          <w:b/>
          <w:bCs/>
          <w:sz w:val="24"/>
          <w:rtl/>
        </w:rPr>
      </w:pPr>
    </w:p>
    <w:p w:rsidR="00000000" w:rsidRDefault="000462A9">
      <w:pPr>
        <w:jc w:val="center"/>
        <w:rPr>
          <w:rFonts w:cs="David"/>
          <w:b/>
          <w:bCs/>
          <w:sz w:val="24"/>
          <w:rtl/>
        </w:rPr>
      </w:pPr>
      <w:r>
        <w:rPr>
          <w:rFonts w:cs="David"/>
          <w:b/>
          <w:bCs/>
          <w:sz w:val="24"/>
          <w:rtl/>
        </w:rPr>
        <w:t>פרוטוקול מס' 481</w:t>
      </w:r>
    </w:p>
    <w:p w:rsidR="00000000" w:rsidRDefault="000462A9">
      <w:pPr>
        <w:jc w:val="center"/>
        <w:rPr>
          <w:rFonts w:cs="David"/>
          <w:b/>
          <w:bCs/>
          <w:sz w:val="24"/>
          <w:rtl/>
        </w:rPr>
      </w:pPr>
      <w:r>
        <w:rPr>
          <w:rFonts w:cs="David"/>
          <w:b/>
          <w:bCs/>
          <w:sz w:val="24"/>
          <w:rtl/>
        </w:rPr>
        <w:t>מישיבת ועדת הפנים ואיכות הסביבה</w:t>
      </w:r>
    </w:p>
    <w:p w:rsidR="00000000" w:rsidRDefault="000462A9">
      <w:pPr>
        <w:pStyle w:val="10"/>
        <w:rPr>
          <w:rFonts w:cs="David"/>
          <w:sz w:val="24"/>
          <w:rtl/>
        </w:rPr>
      </w:pPr>
      <w:r>
        <w:rPr>
          <w:rFonts w:cs="David"/>
          <w:sz w:val="24"/>
          <w:rtl/>
        </w:rPr>
        <w:t>יום רביעי, א' בכסלו התשס"ג (6 בנובמבר 2002), שעה 09:45</w:t>
      </w:r>
    </w:p>
    <w:p w:rsidR="00000000" w:rsidRDefault="000462A9">
      <w:pPr>
        <w:jc w:val="center"/>
        <w:rPr>
          <w:rFonts w:cs="David"/>
          <w:sz w:val="24"/>
          <w:rtl/>
        </w:rPr>
      </w:pPr>
    </w:p>
    <w:p w:rsidR="00000000" w:rsidRDefault="000462A9">
      <w:pPr>
        <w:jc w:val="center"/>
        <w:rPr>
          <w:rFonts w:cs="David"/>
          <w:sz w:val="24"/>
          <w:rtl/>
        </w:rPr>
      </w:pPr>
    </w:p>
    <w:p w:rsidR="00000000" w:rsidRDefault="000462A9">
      <w:pPr>
        <w:jc w:val="both"/>
        <w:rPr>
          <w:rFonts w:cs="David"/>
          <w:sz w:val="24"/>
          <w:rtl/>
        </w:rPr>
      </w:pPr>
      <w:r>
        <w:rPr>
          <w:rFonts w:cs="David"/>
          <w:b/>
          <w:bCs/>
          <w:sz w:val="24"/>
          <w:u w:val="single"/>
          <w:rtl/>
        </w:rPr>
        <w:t>סדר-היום:</w:t>
      </w:r>
      <w:r>
        <w:rPr>
          <w:rFonts w:cs="David"/>
          <w:sz w:val="24"/>
          <w:rtl/>
        </w:rPr>
        <w:t xml:space="preserve">  הצעת החלטת הרשויות המקומיות (גמלאות לראש רשות וסגניו)</w:t>
      </w:r>
    </w:p>
    <w:p w:rsidR="00000000" w:rsidRDefault="000462A9">
      <w:pPr>
        <w:jc w:val="both"/>
        <w:rPr>
          <w:rFonts w:cs="David"/>
          <w:sz w:val="24"/>
          <w:rtl/>
        </w:rPr>
      </w:pPr>
      <w:r>
        <w:rPr>
          <w:rFonts w:cs="David"/>
          <w:sz w:val="24"/>
          <w:rtl/>
        </w:rPr>
        <w:t xml:space="preserve">                     (תיקון), התשס"ג</w:t>
      </w:r>
      <w:r>
        <w:rPr>
          <w:rFonts w:cs="David"/>
          <w:sz w:val="24"/>
          <w:rtl/>
        </w:rPr>
        <w:t xml:space="preserve">-2002. </w:t>
      </w:r>
    </w:p>
    <w:p w:rsidR="00000000" w:rsidRDefault="000462A9">
      <w:pPr>
        <w:jc w:val="both"/>
        <w:rPr>
          <w:rFonts w:cs="David"/>
          <w:b/>
          <w:bCs/>
          <w:sz w:val="24"/>
          <w:u w:val="single"/>
          <w:rtl/>
        </w:rPr>
      </w:pPr>
    </w:p>
    <w:p w:rsidR="00000000" w:rsidRDefault="000462A9">
      <w:pPr>
        <w:jc w:val="both"/>
        <w:rPr>
          <w:rFonts w:cs="David"/>
          <w:b/>
          <w:bCs/>
          <w:sz w:val="24"/>
          <w:u w:val="single"/>
          <w:rtl/>
        </w:rPr>
      </w:pPr>
    </w:p>
    <w:p w:rsidR="00000000" w:rsidRDefault="000462A9">
      <w:pPr>
        <w:jc w:val="both"/>
        <w:rPr>
          <w:rFonts w:cs="David"/>
          <w:b/>
          <w:bCs/>
          <w:sz w:val="24"/>
          <w:u w:val="single"/>
          <w:rtl/>
        </w:rPr>
      </w:pPr>
      <w:r>
        <w:rPr>
          <w:rFonts w:cs="David"/>
          <w:b/>
          <w:bCs/>
          <w:sz w:val="24"/>
          <w:u w:val="single"/>
          <w:rtl/>
        </w:rPr>
        <w:t>נכחו:</w:t>
      </w:r>
    </w:p>
    <w:p w:rsidR="00000000" w:rsidRDefault="000462A9">
      <w:pPr>
        <w:jc w:val="both"/>
        <w:rPr>
          <w:rFonts w:cs="David"/>
          <w:b/>
          <w:bCs/>
          <w:sz w:val="24"/>
          <w:u w:val="single"/>
          <w:rtl/>
        </w:rPr>
      </w:pPr>
    </w:p>
    <w:p w:rsidR="00000000" w:rsidRDefault="000462A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0462A9">
      <w:pPr>
        <w:tabs>
          <w:tab w:val="left" w:pos="1505"/>
        </w:tabs>
        <w:jc w:val="both"/>
        <w:rPr>
          <w:rFonts w:cs="David"/>
          <w:sz w:val="24"/>
          <w:rtl/>
        </w:rPr>
      </w:pPr>
      <w:r>
        <w:rPr>
          <w:rFonts w:cs="David"/>
          <w:sz w:val="24"/>
          <w:rtl/>
        </w:rPr>
        <w:tab/>
        <w:t>אמנון כהן</w:t>
      </w:r>
    </w:p>
    <w:p w:rsidR="00000000" w:rsidRDefault="000462A9">
      <w:pPr>
        <w:tabs>
          <w:tab w:val="left" w:pos="1505"/>
        </w:tabs>
        <w:jc w:val="both"/>
        <w:rPr>
          <w:rFonts w:cs="David"/>
          <w:sz w:val="24"/>
          <w:rtl/>
        </w:rPr>
      </w:pPr>
      <w:r>
        <w:rPr>
          <w:rFonts w:cs="David"/>
          <w:sz w:val="24"/>
          <w:rtl/>
        </w:rPr>
        <w:tab/>
        <w:t>יצחק סבן</w:t>
      </w:r>
    </w:p>
    <w:p w:rsidR="00000000" w:rsidRDefault="000462A9">
      <w:pPr>
        <w:tabs>
          <w:tab w:val="left" w:pos="1505"/>
        </w:tabs>
        <w:jc w:val="both"/>
        <w:rPr>
          <w:rFonts w:cs="David"/>
          <w:sz w:val="24"/>
          <w:rtl/>
        </w:rPr>
      </w:pPr>
      <w:r>
        <w:rPr>
          <w:rFonts w:cs="David"/>
          <w:sz w:val="24"/>
          <w:rtl/>
        </w:rPr>
        <w:tab/>
        <w:t>מוסי רז</w:t>
      </w:r>
    </w:p>
    <w:p w:rsidR="00000000" w:rsidRDefault="000462A9">
      <w:pPr>
        <w:tabs>
          <w:tab w:val="left" w:pos="1505"/>
        </w:tabs>
        <w:jc w:val="both"/>
        <w:rPr>
          <w:rFonts w:cs="David"/>
          <w:sz w:val="24"/>
          <w:rtl/>
        </w:rPr>
      </w:pPr>
    </w:p>
    <w:p w:rsidR="00000000" w:rsidRDefault="000462A9">
      <w:pPr>
        <w:tabs>
          <w:tab w:val="left" w:pos="1505"/>
        </w:tabs>
        <w:jc w:val="both"/>
        <w:rPr>
          <w:rFonts w:cs="David"/>
          <w:sz w:val="24"/>
          <w:rtl/>
        </w:rPr>
      </w:pPr>
    </w:p>
    <w:p w:rsidR="00000000" w:rsidRDefault="000462A9">
      <w:pPr>
        <w:jc w:val="both"/>
        <w:rPr>
          <w:rFonts w:cs="David"/>
          <w:sz w:val="24"/>
          <w:rtl/>
        </w:rPr>
      </w:pPr>
    </w:p>
    <w:p w:rsidR="00000000" w:rsidRDefault="000462A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אברהם אמונה </w:t>
      </w:r>
      <w:r>
        <w:rPr>
          <w:rFonts w:cs="David"/>
          <w:sz w:val="24"/>
          <w:rtl/>
        </w:rPr>
        <w:tab/>
      </w:r>
      <w:r>
        <w:rPr>
          <w:rFonts w:cs="David"/>
          <w:sz w:val="24"/>
          <w:rtl/>
        </w:rPr>
        <w:tab/>
        <w:t>- משרד הפנים</w:t>
      </w:r>
    </w:p>
    <w:p w:rsidR="00000000" w:rsidRDefault="000462A9">
      <w:pPr>
        <w:tabs>
          <w:tab w:val="left" w:pos="1505"/>
          <w:tab w:val="left" w:pos="3969"/>
        </w:tabs>
        <w:jc w:val="both"/>
        <w:rPr>
          <w:rFonts w:cs="David"/>
          <w:sz w:val="24"/>
          <w:rtl/>
        </w:rPr>
      </w:pPr>
      <w:r>
        <w:rPr>
          <w:rFonts w:cs="David"/>
          <w:sz w:val="24"/>
          <w:rtl/>
        </w:rPr>
        <w:tab/>
        <w:t>עו"ד אביטל שטרנברג</w:t>
      </w:r>
      <w:r>
        <w:rPr>
          <w:rFonts w:cs="David"/>
          <w:sz w:val="24"/>
          <w:rtl/>
        </w:rPr>
        <w:tab/>
        <w:t>- משרד המשפטים</w:t>
      </w:r>
    </w:p>
    <w:p w:rsidR="00000000" w:rsidRDefault="000462A9">
      <w:pPr>
        <w:tabs>
          <w:tab w:val="left" w:pos="1505"/>
          <w:tab w:val="left" w:pos="3969"/>
        </w:tabs>
        <w:jc w:val="both"/>
        <w:rPr>
          <w:rFonts w:cs="David"/>
          <w:sz w:val="24"/>
          <w:rtl/>
        </w:rPr>
      </w:pPr>
      <w:r>
        <w:rPr>
          <w:rFonts w:cs="David"/>
          <w:sz w:val="24"/>
          <w:rtl/>
        </w:rPr>
        <w:tab/>
        <w:t>אחמד סרסור</w:t>
      </w:r>
      <w:r>
        <w:rPr>
          <w:rFonts w:cs="David"/>
          <w:sz w:val="24"/>
          <w:rtl/>
        </w:rPr>
        <w:tab/>
        <w:t>- מתמחה – משרד המשפטים</w:t>
      </w:r>
    </w:p>
    <w:p w:rsidR="00000000" w:rsidRDefault="000462A9">
      <w:pPr>
        <w:tabs>
          <w:tab w:val="left" w:pos="1505"/>
          <w:tab w:val="left" w:pos="3969"/>
        </w:tabs>
        <w:jc w:val="both"/>
        <w:rPr>
          <w:rFonts w:cs="David"/>
          <w:sz w:val="24"/>
          <w:rtl/>
        </w:rPr>
      </w:pPr>
      <w:r>
        <w:rPr>
          <w:rFonts w:cs="David"/>
          <w:sz w:val="24"/>
          <w:rtl/>
        </w:rPr>
        <w:tab/>
        <w:t>עו"ד נועה בן אריה</w:t>
      </w:r>
      <w:r>
        <w:rPr>
          <w:rFonts w:cs="David"/>
          <w:sz w:val="24"/>
          <w:rtl/>
        </w:rPr>
        <w:tab/>
        <w:t>- מרכז השלטון המקומי</w:t>
      </w:r>
    </w:p>
    <w:p w:rsidR="00000000" w:rsidRDefault="000462A9">
      <w:pPr>
        <w:tabs>
          <w:tab w:val="left" w:pos="1505"/>
          <w:tab w:val="left" w:pos="3969"/>
        </w:tabs>
        <w:jc w:val="both"/>
        <w:rPr>
          <w:rFonts w:cs="David"/>
          <w:sz w:val="24"/>
          <w:rtl/>
        </w:rPr>
      </w:pPr>
      <w:r>
        <w:rPr>
          <w:rFonts w:cs="David"/>
          <w:sz w:val="24"/>
          <w:rtl/>
        </w:rPr>
        <w:tab/>
        <w:t>עדנה הירשמן-פרי</w:t>
      </w:r>
      <w:r>
        <w:rPr>
          <w:rFonts w:cs="David"/>
          <w:sz w:val="24"/>
          <w:rtl/>
        </w:rPr>
        <w:tab/>
        <w:t>- מתאמת קשרים</w:t>
      </w:r>
      <w:r>
        <w:rPr>
          <w:rFonts w:cs="David"/>
          <w:sz w:val="24"/>
          <w:rtl/>
        </w:rPr>
        <w:t xml:space="preserve"> בכנסת – מרכז השלטון המקומי</w:t>
      </w:r>
    </w:p>
    <w:p w:rsidR="00000000" w:rsidRDefault="000462A9">
      <w:pPr>
        <w:tabs>
          <w:tab w:val="left" w:pos="1505"/>
          <w:tab w:val="left" w:pos="3969"/>
        </w:tabs>
        <w:jc w:val="both"/>
        <w:rPr>
          <w:rFonts w:cs="David"/>
          <w:sz w:val="24"/>
          <w:rtl/>
        </w:rPr>
      </w:pPr>
      <w:r>
        <w:rPr>
          <w:rFonts w:cs="David"/>
          <w:sz w:val="24"/>
          <w:rtl/>
        </w:rPr>
        <w:t xml:space="preserve"> </w:t>
      </w:r>
    </w:p>
    <w:p w:rsidR="00000000" w:rsidRDefault="000462A9">
      <w:pPr>
        <w:jc w:val="both"/>
        <w:rPr>
          <w:rFonts w:cs="David"/>
          <w:sz w:val="24"/>
          <w:rtl/>
        </w:rPr>
      </w:pPr>
    </w:p>
    <w:p w:rsidR="00000000" w:rsidRDefault="000462A9">
      <w:pPr>
        <w:jc w:val="both"/>
        <w:rPr>
          <w:rFonts w:cs="David"/>
          <w:sz w:val="24"/>
          <w:rtl/>
        </w:rPr>
      </w:pPr>
    </w:p>
    <w:p w:rsidR="00000000" w:rsidRDefault="000462A9">
      <w:pPr>
        <w:jc w:val="both"/>
        <w:rPr>
          <w:rFonts w:cs="David"/>
          <w:sz w:val="24"/>
          <w:rtl/>
        </w:rPr>
      </w:pPr>
    </w:p>
    <w:p w:rsidR="00000000" w:rsidRDefault="000462A9">
      <w:pPr>
        <w:tabs>
          <w:tab w:val="left" w:pos="2835"/>
        </w:tabs>
        <w:jc w:val="both"/>
        <w:rPr>
          <w:rFonts w:cs="David"/>
          <w:sz w:val="24"/>
          <w:rtl/>
        </w:rPr>
      </w:pPr>
      <w:r>
        <w:rPr>
          <w:rFonts w:cs="David"/>
          <w:b/>
          <w:bCs/>
          <w:sz w:val="24"/>
          <w:u w:val="single"/>
          <w:rtl/>
        </w:rPr>
        <w:t>יועצות משפטיות</w:t>
      </w:r>
      <w:r>
        <w:rPr>
          <w:rFonts w:cs="David"/>
          <w:sz w:val="24"/>
          <w:rtl/>
        </w:rPr>
        <w:t>:  מרים פרנקל-שור</w:t>
      </w:r>
    </w:p>
    <w:p w:rsidR="00000000" w:rsidRDefault="000462A9">
      <w:pPr>
        <w:tabs>
          <w:tab w:val="left" w:pos="2835"/>
        </w:tabs>
        <w:jc w:val="both"/>
        <w:rPr>
          <w:rFonts w:cs="David"/>
          <w:sz w:val="24"/>
          <w:rtl/>
        </w:rPr>
      </w:pPr>
      <w:r>
        <w:rPr>
          <w:rFonts w:cs="David"/>
          <w:sz w:val="24"/>
          <w:rtl/>
        </w:rPr>
        <w:t xml:space="preserve">                                ליאת בלום </w:t>
      </w:r>
      <w:r>
        <w:rPr>
          <w:rFonts w:cs="David"/>
          <w:sz w:val="24"/>
          <w:rtl/>
        </w:rPr>
        <w:tab/>
      </w:r>
      <w:r>
        <w:rPr>
          <w:rFonts w:cs="David"/>
          <w:sz w:val="24"/>
          <w:rtl/>
        </w:rPr>
        <w:tab/>
      </w:r>
    </w:p>
    <w:p w:rsidR="00000000" w:rsidRDefault="000462A9">
      <w:pPr>
        <w:tabs>
          <w:tab w:val="left" w:pos="2835"/>
        </w:tabs>
        <w:jc w:val="both"/>
        <w:rPr>
          <w:rFonts w:cs="David"/>
          <w:sz w:val="24"/>
          <w:rtl/>
        </w:rPr>
      </w:pPr>
    </w:p>
    <w:p w:rsidR="00000000" w:rsidRDefault="000462A9">
      <w:pPr>
        <w:tabs>
          <w:tab w:val="left" w:pos="2835"/>
        </w:tabs>
        <w:jc w:val="both"/>
        <w:rPr>
          <w:rFonts w:cs="David"/>
          <w:sz w:val="24"/>
          <w:rtl/>
        </w:rPr>
      </w:pPr>
    </w:p>
    <w:p w:rsidR="00000000" w:rsidRDefault="000462A9">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0462A9">
      <w:pPr>
        <w:tabs>
          <w:tab w:val="left" w:pos="2835"/>
        </w:tabs>
        <w:jc w:val="both"/>
        <w:rPr>
          <w:rFonts w:cs="David"/>
          <w:b/>
          <w:bCs/>
          <w:sz w:val="24"/>
          <w:u w:val="single"/>
          <w:rtl/>
        </w:rPr>
      </w:pPr>
    </w:p>
    <w:p w:rsidR="00000000" w:rsidRDefault="000462A9">
      <w:pPr>
        <w:tabs>
          <w:tab w:val="left" w:pos="2835"/>
        </w:tabs>
        <w:jc w:val="both"/>
        <w:rPr>
          <w:rFonts w:cs="David"/>
          <w:b/>
          <w:bCs/>
          <w:sz w:val="24"/>
          <w:u w:val="single"/>
          <w:rtl/>
        </w:rPr>
      </w:pPr>
    </w:p>
    <w:p w:rsidR="00000000" w:rsidRDefault="000462A9">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0462A9">
      <w:pPr>
        <w:jc w:val="both"/>
        <w:rPr>
          <w:rFonts w:cs="David"/>
          <w:sz w:val="24"/>
          <w:rtl/>
        </w:rPr>
      </w:pPr>
    </w:p>
    <w:p w:rsidR="00000000" w:rsidRDefault="000462A9">
      <w:pPr>
        <w:jc w:val="both"/>
        <w:rPr>
          <w:rFonts w:cs="David"/>
          <w:sz w:val="24"/>
          <w:rtl/>
        </w:rPr>
      </w:pPr>
    </w:p>
    <w:p w:rsidR="00000000" w:rsidRDefault="000462A9">
      <w:pPr>
        <w:jc w:val="both"/>
        <w:rPr>
          <w:rFonts w:cs="David"/>
          <w:sz w:val="24"/>
          <w:rtl/>
        </w:rPr>
      </w:pPr>
    </w:p>
    <w:p w:rsidR="00000000" w:rsidRDefault="000462A9">
      <w:pPr>
        <w:jc w:val="both"/>
        <w:rPr>
          <w:rFonts w:cs="David"/>
          <w:sz w:val="24"/>
          <w:rtl/>
        </w:rPr>
      </w:pPr>
    </w:p>
    <w:p w:rsidR="00000000" w:rsidRDefault="000462A9">
      <w:pPr>
        <w:jc w:val="both"/>
        <w:rPr>
          <w:rFonts w:cs="David"/>
          <w:sz w:val="24"/>
          <w:rtl/>
        </w:rPr>
      </w:pPr>
    </w:p>
    <w:p w:rsidR="00000000" w:rsidRDefault="000462A9">
      <w:pPr>
        <w:jc w:val="both"/>
        <w:rPr>
          <w:rFonts w:cs="David"/>
          <w:sz w:val="24"/>
          <w:rtl/>
        </w:rPr>
      </w:pPr>
    </w:p>
    <w:p w:rsidR="00000000" w:rsidRDefault="000462A9">
      <w:pPr>
        <w:jc w:val="center"/>
        <w:rPr>
          <w:rFonts w:cs="David"/>
          <w:sz w:val="24"/>
          <w:rtl/>
        </w:rPr>
      </w:pPr>
      <w:r>
        <w:rPr>
          <w:rFonts w:cs="David"/>
          <w:sz w:val="24"/>
          <w:rtl/>
        </w:rPr>
        <w:br w:type="page"/>
      </w:r>
    </w:p>
    <w:p w:rsidR="00000000" w:rsidRDefault="000462A9">
      <w:pPr>
        <w:jc w:val="center"/>
        <w:rPr>
          <w:rFonts w:cs="David"/>
          <w:sz w:val="24"/>
          <w:u w:val="single"/>
          <w:rtl/>
        </w:rPr>
      </w:pPr>
      <w:r>
        <w:rPr>
          <w:rFonts w:cs="David"/>
          <w:sz w:val="24"/>
          <w:u w:val="single"/>
          <w:rtl/>
        </w:rPr>
        <w:t>הצעת החלטת הרשויות המקומיות (גמלאות לראש רשות וסגניו) (תיקון), התשס"ג-2002</w:t>
      </w:r>
    </w:p>
    <w:p w:rsidR="00000000" w:rsidRDefault="000462A9">
      <w:pPr>
        <w:rPr>
          <w:rFonts w:cs="David"/>
          <w:sz w:val="24"/>
          <w:rtl/>
        </w:rPr>
      </w:pPr>
    </w:p>
    <w:p w:rsidR="00000000" w:rsidRDefault="000462A9">
      <w:pPr>
        <w:rPr>
          <w:rFonts w:cs="David"/>
          <w:sz w:val="24"/>
          <w:rtl/>
        </w:rPr>
      </w:pPr>
      <w:r>
        <w:rPr>
          <w:rFonts w:cs="David"/>
          <w:sz w:val="24"/>
          <w:u w:val="single"/>
          <w:rtl/>
        </w:rPr>
        <w:t>ה</w:t>
      </w:r>
      <w:r>
        <w:rPr>
          <w:rFonts w:cs="David"/>
          <w:sz w:val="24"/>
          <w:u w:val="single"/>
          <w:rtl/>
        </w:rPr>
        <w:t>יו"ר משה גפני:</w:t>
      </w:r>
    </w:p>
    <w:p w:rsidR="00000000" w:rsidRDefault="000462A9">
      <w:pPr>
        <w:rPr>
          <w:rFonts w:cs="David"/>
          <w:sz w:val="24"/>
          <w:rtl/>
        </w:rPr>
      </w:pPr>
    </w:p>
    <w:p w:rsidR="00000000" w:rsidRDefault="000462A9">
      <w:pPr>
        <w:pStyle w:val="aa"/>
        <w:rPr>
          <w:rFonts w:cs="David"/>
          <w:sz w:val="24"/>
          <w:rtl/>
        </w:rPr>
      </w:pPr>
      <w:r>
        <w:rPr>
          <w:rFonts w:cs="David"/>
          <w:sz w:val="24"/>
          <w:rtl/>
        </w:rPr>
        <w:tab/>
        <w:t xml:space="preserve">אני מתכבד לפתוח את הישיבה. על סדר-היום: הצעת החלטת הרשויות המקומיות (גמלאות לראש רשות וסגניו) (תיקון), התשס"ג-2002. </w:t>
      </w:r>
    </w:p>
    <w:p w:rsidR="00000000" w:rsidRDefault="000462A9">
      <w:pPr>
        <w:jc w:val="both"/>
        <w:rPr>
          <w:rFonts w:cs="David"/>
          <w:sz w:val="24"/>
          <w:rtl/>
        </w:rPr>
      </w:pPr>
    </w:p>
    <w:p w:rsidR="00000000" w:rsidRDefault="000462A9">
      <w:pPr>
        <w:jc w:val="both"/>
        <w:rPr>
          <w:rFonts w:cs="David"/>
          <w:sz w:val="24"/>
          <w:rtl/>
        </w:rPr>
      </w:pPr>
      <w:r>
        <w:rPr>
          <w:rFonts w:cs="David"/>
          <w:sz w:val="24"/>
          <w:rtl/>
        </w:rPr>
        <w:tab/>
        <w:t>בשעתו התקבל חוק שאיפשר לצרף את מרכז החינוך העצמאי לנושא של גמלאות ראש רשות וסגניו. היתה צריכה להתקבל כאן החלטה, היא נמשכ</w:t>
      </w:r>
      <w:r>
        <w:rPr>
          <w:rFonts w:cs="David"/>
          <w:sz w:val="24"/>
          <w:rtl/>
        </w:rPr>
        <w:t>ה הרבה מאוד זמן, ואנחנו נדרשים לאשר את הצעת ההחלטה שהעביר אלינו משרד הפנים.</w:t>
      </w:r>
    </w:p>
    <w:p w:rsidR="00000000" w:rsidRDefault="000462A9">
      <w:pPr>
        <w:jc w:val="both"/>
        <w:rPr>
          <w:rFonts w:cs="David"/>
          <w:sz w:val="24"/>
          <w:rtl/>
        </w:rPr>
      </w:pPr>
    </w:p>
    <w:p w:rsidR="00000000" w:rsidRDefault="000462A9">
      <w:pPr>
        <w:jc w:val="both"/>
        <w:rPr>
          <w:rFonts w:cs="David"/>
          <w:sz w:val="24"/>
          <w:rtl/>
        </w:rPr>
      </w:pPr>
      <w:r>
        <w:rPr>
          <w:rFonts w:cs="David"/>
          <w:sz w:val="24"/>
          <w:rtl/>
        </w:rPr>
        <w:tab/>
        <w:t>יש הערות לעניין הזה?</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נועה בן-אריה:</w:t>
      </w:r>
    </w:p>
    <w:p w:rsidR="00000000" w:rsidRDefault="000462A9">
      <w:pPr>
        <w:jc w:val="both"/>
        <w:rPr>
          <w:rFonts w:cs="David"/>
          <w:sz w:val="24"/>
          <w:rtl/>
        </w:rPr>
      </w:pPr>
    </w:p>
    <w:p w:rsidR="00000000" w:rsidRDefault="000462A9">
      <w:pPr>
        <w:jc w:val="both"/>
        <w:rPr>
          <w:rFonts w:cs="David"/>
          <w:sz w:val="24"/>
          <w:rtl/>
        </w:rPr>
      </w:pPr>
      <w:r>
        <w:rPr>
          <w:rFonts w:cs="David"/>
          <w:sz w:val="24"/>
          <w:rtl/>
        </w:rPr>
        <w:tab/>
        <w:t>יש לי הערה אחת. אנחנו כמובן הסכמנו להוספה הזאת, אבל אנחנו סיכמנו גם עם משרד הפנים וגם עם משרד החינוך, ויש לנו על כך מסמכים כתובים, שכמו כל מ</w:t>
      </w:r>
      <w:r>
        <w:rPr>
          <w:rFonts w:cs="David"/>
          <w:sz w:val="24"/>
          <w:rtl/>
        </w:rPr>
        <w:t xml:space="preserve">וסד נוסף, חוץ מעבודה ברשויות, יהיה שיפוי עבור התקופה. השיפוי הזה ייעשה דרך החינוך העצמאי למדינה והמדינה תעביר במסגרת התקציבים. </w:t>
      </w:r>
    </w:p>
    <w:p w:rsidR="00000000" w:rsidRDefault="000462A9">
      <w:pPr>
        <w:jc w:val="both"/>
        <w:rPr>
          <w:rFonts w:cs="David"/>
          <w:sz w:val="24"/>
          <w:rtl/>
        </w:rPr>
      </w:pPr>
    </w:p>
    <w:p w:rsidR="00000000" w:rsidRDefault="000462A9">
      <w:pPr>
        <w:jc w:val="both"/>
        <w:rPr>
          <w:rFonts w:cs="David"/>
          <w:sz w:val="24"/>
          <w:rtl/>
        </w:rPr>
      </w:pPr>
      <w:r>
        <w:rPr>
          <w:rFonts w:cs="David"/>
          <w:sz w:val="24"/>
          <w:rtl/>
        </w:rPr>
        <w:tab/>
        <w:t xml:space="preserve">אני לא רואה שההסדר של נושא השיפוי בא לידי ביטוי כאן במסגרת ההחלטה. אני גם לא רואה אותו בא לידי ביטוי במסגרת מכתב שר הפנים, מה </w:t>
      </w:r>
      <w:r>
        <w:rPr>
          <w:rFonts w:cs="David"/>
          <w:sz w:val="24"/>
          <w:rtl/>
        </w:rPr>
        <w:t xml:space="preserve">שלמעשה יעגן אותו, אם לא במסגרת ההחלטה אז כאיזושהי הבטחה.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אברהם אמונה:</w:t>
      </w:r>
    </w:p>
    <w:p w:rsidR="00000000" w:rsidRDefault="000462A9">
      <w:pPr>
        <w:jc w:val="both"/>
        <w:rPr>
          <w:rFonts w:cs="David"/>
          <w:sz w:val="24"/>
          <w:rtl/>
        </w:rPr>
      </w:pPr>
    </w:p>
    <w:p w:rsidR="00000000" w:rsidRDefault="000462A9">
      <w:pPr>
        <w:jc w:val="both"/>
        <w:rPr>
          <w:rFonts w:cs="David"/>
          <w:sz w:val="24"/>
          <w:rtl/>
        </w:rPr>
      </w:pPr>
      <w:r>
        <w:rPr>
          <w:rFonts w:cs="David"/>
          <w:sz w:val="24"/>
          <w:rtl/>
        </w:rPr>
        <w:tab/>
        <w:t>אנחנו קיבלנו התחייבות של מר מוטי מרוז מטעם משרד החינוך שהוא מכיר בחינוך העצמאי לצורך גימלה מקופת אוצר המדינה. המימון לא ייעשה דרך החינוך העצמאי. מבחינה טכנית זה לא יתכן היות וכל תקצ</w:t>
      </w:r>
      <w:r>
        <w:rPr>
          <w:rFonts w:cs="David"/>
          <w:sz w:val="24"/>
          <w:rtl/>
        </w:rPr>
        <w:t>יב החינוך העצמאי ממומן על ידי המדינה. מוטי מרוז, שהיום הוא חשב כללי במשרד החינוך, הסכים לנושא הזה, משרד האוצר מסכים לזה, ולדעתי זה חלק כמו רשות השידור, שכל התקציב בא ממשרד האוצר ולא דרך החינוך העצמאי. העיכוב באישור ההחלטה נבע בגלל מקורות המימון, מי יממן את</w:t>
      </w:r>
      <w:r>
        <w:rPr>
          <w:rFonts w:cs="David"/>
          <w:sz w:val="24"/>
          <w:rtl/>
        </w:rPr>
        <w:t xml:space="preserve"> זה, והנושא הזה הוסדר. </w:t>
      </w:r>
    </w:p>
    <w:p w:rsidR="00000000" w:rsidRDefault="000462A9">
      <w:pPr>
        <w:jc w:val="both"/>
        <w:rPr>
          <w:rFonts w:cs="David"/>
          <w:sz w:val="24"/>
          <w:rtl/>
        </w:rPr>
      </w:pPr>
    </w:p>
    <w:p w:rsidR="00000000" w:rsidRDefault="000462A9">
      <w:pPr>
        <w:rPr>
          <w:rFonts w:cs="David"/>
          <w:sz w:val="24"/>
          <w:u w:val="single"/>
          <w:rtl/>
        </w:rPr>
      </w:pPr>
      <w:r>
        <w:rPr>
          <w:rFonts w:cs="David"/>
          <w:sz w:val="24"/>
          <w:u w:val="single"/>
          <w:rtl/>
        </w:rPr>
        <w:t>יצחק סבן:</w:t>
      </w:r>
    </w:p>
    <w:p w:rsidR="00000000" w:rsidRDefault="000462A9">
      <w:pPr>
        <w:rPr>
          <w:rFonts w:cs="David"/>
          <w:sz w:val="24"/>
          <w:u w:val="single"/>
          <w:rtl/>
        </w:rPr>
      </w:pPr>
    </w:p>
    <w:p w:rsidR="00000000" w:rsidRDefault="000462A9">
      <w:pPr>
        <w:jc w:val="both"/>
        <w:rPr>
          <w:rFonts w:cs="David"/>
          <w:sz w:val="24"/>
          <w:rtl/>
        </w:rPr>
      </w:pPr>
      <w:r>
        <w:rPr>
          <w:rFonts w:cs="David"/>
          <w:sz w:val="24"/>
          <w:rtl/>
        </w:rPr>
        <w:tab/>
        <w:t xml:space="preserve"> עדיין לא קיבלתי תשובה למה זה בא כהחלטה.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מרים פרנקל-שור:</w:t>
      </w:r>
    </w:p>
    <w:p w:rsidR="00000000" w:rsidRDefault="000462A9">
      <w:pPr>
        <w:jc w:val="both"/>
        <w:rPr>
          <w:rFonts w:cs="David"/>
          <w:sz w:val="24"/>
          <w:rtl/>
        </w:rPr>
      </w:pPr>
    </w:p>
    <w:p w:rsidR="00000000" w:rsidRDefault="000462A9">
      <w:pPr>
        <w:jc w:val="both"/>
        <w:rPr>
          <w:rFonts w:cs="David"/>
          <w:sz w:val="24"/>
          <w:rtl/>
        </w:rPr>
      </w:pPr>
      <w:r>
        <w:rPr>
          <w:rFonts w:cs="David"/>
          <w:sz w:val="24"/>
          <w:rtl/>
        </w:rPr>
        <w:tab/>
        <w:t xml:space="preserve">התקבל חוק. על מנת לבצע את החוק צריך כמו תקנות. </w:t>
      </w:r>
    </w:p>
    <w:p w:rsidR="00000000" w:rsidRDefault="000462A9">
      <w:pPr>
        <w:jc w:val="both"/>
        <w:rPr>
          <w:rFonts w:cs="David"/>
          <w:sz w:val="24"/>
          <w:rtl/>
        </w:rPr>
      </w:pPr>
    </w:p>
    <w:p w:rsidR="00000000" w:rsidRDefault="000462A9">
      <w:pPr>
        <w:jc w:val="both"/>
        <w:rPr>
          <w:rFonts w:cs="David"/>
          <w:sz w:val="24"/>
          <w:rtl/>
        </w:rPr>
      </w:pPr>
      <w:r>
        <w:rPr>
          <w:rFonts w:cs="David"/>
          <w:sz w:val="24"/>
          <w:rtl/>
        </w:rPr>
        <w:tab/>
        <w:t>לעניין חוק הרשויות המקומיות (גמלאות לראש רשות וסגניו) יש צורך בהחלטה, כמו שאומר סעיף 2 לחוק הרשויות: לראש רש</w:t>
      </w:r>
      <w:r>
        <w:rPr>
          <w:rFonts w:cs="David"/>
          <w:sz w:val="24"/>
          <w:rtl/>
        </w:rPr>
        <w:t>ות ולשאיריו ישלמו מקופת רשות מקומית (גמלאות) וכו' וכו', כפי שייקבע בהחלטות כנסת, והיא רשאית להסמיך לכך אחת מוועדותיה. פעם זה היה בוועדת העבודה והרווחה, וכעבור כמה שנים שינו את זה והנושא עבר לוועדת הפנים.</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היו"ר משה גפני:</w:t>
      </w:r>
    </w:p>
    <w:p w:rsidR="00000000" w:rsidRDefault="000462A9">
      <w:pPr>
        <w:jc w:val="both"/>
        <w:rPr>
          <w:rFonts w:cs="David"/>
          <w:sz w:val="24"/>
          <w:rtl/>
        </w:rPr>
      </w:pPr>
    </w:p>
    <w:p w:rsidR="00000000" w:rsidRDefault="000462A9">
      <w:pPr>
        <w:jc w:val="both"/>
        <w:rPr>
          <w:rFonts w:cs="David"/>
          <w:sz w:val="24"/>
          <w:rtl/>
        </w:rPr>
      </w:pPr>
      <w:r>
        <w:rPr>
          <w:rFonts w:cs="David"/>
          <w:sz w:val="24"/>
          <w:rtl/>
        </w:rPr>
        <w:tab/>
        <w:t>אני רק רוצה לציין בהקשר הזה, שמרכ</w:t>
      </w:r>
      <w:r>
        <w:rPr>
          <w:rFonts w:cs="David"/>
          <w:sz w:val="24"/>
          <w:rtl/>
        </w:rPr>
        <w:t>ז השלטון המקומי ושלוש הערים הגדולות חתמו על הסכם של רצף זכויות עם מרכז החינוך העצמאי, עם משרד האוצר ומשרד החינוך. אני הייתי שותף לעניין הזה. אני משבח את מרכז השלטון המקומי מפני שהוא היה די קטליזטור בעניין. שם לא מדובר על נבחרים אלא על מורים ומורות עם משכור</w:t>
      </w:r>
      <w:r>
        <w:rPr>
          <w:rFonts w:cs="David"/>
          <w:sz w:val="24"/>
          <w:rtl/>
        </w:rPr>
        <w:t xml:space="preserve">ות לא גבוהות, ורצף הזכויות מבחינתם היה דבר חיוני. היתה אפליה לרעה של מורי החינוך העצמאי. מרכז השלטון המקומי ושלוש הערים הגדולות נתנו לזה יד.  </w:t>
      </w:r>
    </w:p>
    <w:p w:rsidR="00000000" w:rsidRDefault="000462A9">
      <w:pPr>
        <w:jc w:val="both"/>
        <w:rPr>
          <w:rFonts w:cs="David"/>
          <w:sz w:val="24"/>
          <w:rtl/>
        </w:rPr>
      </w:pPr>
      <w:r>
        <w:rPr>
          <w:rFonts w:cs="David"/>
          <w:sz w:val="24"/>
          <w:u w:val="single"/>
          <w:rtl/>
        </w:rPr>
        <w:t>נועה בן-אריה:</w:t>
      </w:r>
    </w:p>
    <w:p w:rsidR="00000000" w:rsidRDefault="000462A9">
      <w:pPr>
        <w:jc w:val="both"/>
        <w:rPr>
          <w:rFonts w:cs="David"/>
          <w:sz w:val="24"/>
          <w:rtl/>
        </w:rPr>
      </w:pPr>
    </w:p>
    <w:p w:rsidR="00000000" w:rsidRDefault="000462A9">
      <w:pPr>
        <w:jc w:val="both"/>
        <w:rPr>
          <w:rFonts w:cs="David"/>
          <w:sz w:val="24"/>
          <w:rtl/>
        </w:rPr>
      </w:pPr>
      <w:r>
        <w:rPr>
          <w:rFonts w:cs="David"/>
          <w:sz w:val="24"/>
          <w:rtl/>
        </w:rPr>
        <w:tab/>
        <w:t xml:space="preserve">כל הכבוד גם למסמך וגם לדברים של מר אמונה שהם בהחלט מרגיעים במידה מסויימת, אני לא כל כך רואה כיצד </w:t>
      </w:r>
      <w:r>
        <w:rPr>
          <w:rFonts w:cs="David"/>
          <w:sz w:val="24"/>
          <w:rtl/>
        </w:rPr>
        <w:t>בלי מסמך רשמי ממשרד האוצר או בעיגון כאן במסגרת ההחלטה אנחנו נוכל - -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היו"ר משה גפני:</w:t>
      </w:r>
    </w:p>
    <w:p w:rsidR="00000000" w:rsidRDefault="000462A9">
      <w:pPr>
        <w:jc w:val="both"/>
        <w:rPr>
          <w:rFonts w:cs="David"/>
          <w:sz w:val="24"/>
          <w:rtl/>
        </w:rPr>
      </w:pPr>
    </w:p>
    <w:p w:rsidR="00000000" w:rsidRDefault="000462A9">
      <w:pPr>
        <w:jc w:val="both"/>
        <w:rPr>
          <w:rFonts w:cs="David"/>
          <w:sz w:val="24"/>
          <w:rtl/>
        </w:rPr>
      </w:pPr>
      <w:r>
        <w:rPr>
          <w:rFonts w:cs="David"/>
          <w:sz w:val="24"/>
          <w:rtl/>
        </w:rPr>
        <w:tab/>
        <w:t>אני מבקש שתהיה החלטה של הוועדה שהוועדה פונה למשרדי הממשלה הרלוונטיים, משרד האוצר ומשרד החינוך, גם בהתאם למכתבו של חשב המשרד, לשפות את העניין הזה, ושמרכז השלטון המקומי</w:t>
      </w:r>
      <w:r>
        <w:rPr>
          <w:rFonts w:cs="David"/>
          <w:sz w:val="24"/>
          <w:rtl/>
        </w:rPr>
        <w:t xml:space="preserve"> יקבל את מה שנדרש.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יצחק סבן:</w:t>
      </w:r>
    </w:p>
    <w:p w:rsidR="00000000" w:rsidRDefault="000462A9">
      <w:pPr>
        <w:jc w:val="both"/>
        <w:rPr>
          <w:rFonts w:cs="David"/>
          <w:sz w:val="24"/>
          <w:rtl/>
        </w:rPr>
      </w:pPr>
    </w:p>
    <w:p w:rsidR="00000000" w:rsidRDefault="000462A9">
      <w:pPr>
        <w:jc w:val="both"/>
        <w:rPr>
          <w:rFonts w:cs="David"/>
          <w:sz w:val="24"/>
          <w:rtl/>
        </w:rPr>
      </w:pPr>
      <w:r>
        <w:rPr>
          <w:rFonts w:cs="David"/>
          <w:sz w:val="24"/>
          <w:rtl/>
        </w:rPr>
        <w:tab/>
        <w:t>יש לי שאלה אחת קטנה, נושא של תוקף ההחלטה.</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היו"ר משה גפני:</w:t>
      </w:r>
    </w:p>
    <w:p w:rsidR="00000000" w:rsidRDefault="000462A9">
      <w:pPr>
        <w:jc w:val="both"/>
        <w:rPr>
          <w:rFonts w:cs="David"/>
          <w:sz w:val="24"/>
          <w:rtl/>
        </w:rPr>
      </w:pPr>
    </w:p>
    <w:p w:rsidR="00000000" w:rsidRDefault="000462A9">
      <w:pPr>
        <w:jc w:val="both"/>
        <w:rPr>
          <w:rFonts w:cs="David"/>
          <w:sz w:val="24"/>
          <w:rtl/>
        </w:rPr>
      </w:pPr>
      <w:r>
        <w:rPr>
          <w:rFonts w:cs="David"/>
          <w:sz w:val="24"/>
          <w:rtl/>
        </w:rPr>
        <w:tab/>
        <w:t xml:space="preserve">אני מציע שתוקף ההחלטה יהיה מיום קבלת החוק.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מרים פרנקל-שור:</w:t>
      </w:r>
    </w:p>
    <w:p w:rsidR="00000000" w:rsidRDefault="000462A9">
      <w:pPr>
        <w:jc w:val="both"/>
        <w:rPr>
          <w:rFonts w:cs="David"/>
          <w:sz w:val="24"/>
          <w:rtl/>
        </w:rPr>
      </w:pPr>
    </w:p>
    <w:p w:rsidR="00000000" w:rsidRDefault="000462A9">
      <w:pPr>
        <w:jc w:val="both"/>
        <w:rPr>
          <w:rFonts w:cs="David"/>
          <w:sz w:val="24"/>
          <w:rtl/>
        </w:rPr>
      </w:pPr>
      <w:r>
        <w:rPr>
          <w:rFonts w:cs="David"/>
          <w:sz w:val="24"/>
          <w:rtl/>
        </w:rPr>
        <w:tab/>
        <w:t xml:space="preserve">ההחלטה חלה מעכשיו, היא לא חלה מיום קבלת החוק.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יצחק סבן:</w:t>
      </w:r>
    </w:p>
    <w:p w:rsidR="00000000" w:rsidRDefault="000462A9">
      <w:pPr>
        <w:jc w:val="both"/>
        <w:rPr>
          <w:rFonts w:cs="David"/>
          <w:sz w:val="24"/>
          <w:rtl/>
        </w:rPr>
      </w:pPr>
      <w:r>
        <w:rPr>
          <w:rFonts w:cs="David"/>
          <w:sz w:val="24"/>
          <w:rtl/>
        </w:rPr>
        <w:tab/>
      </w:r>
    </w:p>
    <w:p w:rsidR="00000000" w:rsidRDefault="000462A9">
      <w:pPr>
        <w:jc w:val="both"/>
        <w:rPr>
          <w:rFonts w:cs="David"/>
          <w:sz w:val="24"/>
          <w:rtl/>
        </w:rPr>
      </w:pPr>
      <w:r>
        <w:rPr>
          <w:rFonts w:cs="David"/>
          <w:sz w:val="24"/>
          <w:rtl/>
        </w:rPr>
        <w:tab/>
        <w:t>ואם בעוד עשר שנים היתה מתקבלת ההחלטה ה</w:t>
      </w:r>
      <w:r>
        <w:rPr>
          <w:rFonts w:cs="David"/>
          <w:sz w:val="24"/>
          <w:rtl/>
        </w:rPr>
        <w:t xml:space="preserve">זאת? זה שנתיים מאז החוק.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היו"ר משה גפני:</w:t>
      </w:r>
    </w:p>
    <w:p w:rsidR="00000000" w:rsidRDefault="000462A9">
      <w:pPr>
        <w:jc w:val="both"/>
        <w:rPr>
          <w:rFonts w:cs="David"/>
          <w:sz w:val="24"/>
          <w:rtl/>
        </w:rPr>
      </w:pPr>
    </w:p>
    <w:p w:rsidR="00000000" w:rsidRDefault="000462A9">
      <w:pPr>
        <w:jc w:val="both"/>
        <w:rPr>
          <w:rFonts w:cs="David"/>
          <w:sz w:val="24"/>
          <w:rtl/>
        </w:rPr>
      </w:pPr>
      <w:r>
        <w:rPr>
          <w:rFonts w:cs="David"/>
          <w:sz w:val="24"/>
          <w:rtl/>
        </w:rPr>
        <w:tab/>
        <w:t>למה יש בעיה בעניין הזה?</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מרים פרנקל-שור:</w:t>
      </w:r>
    </w:p>
    <w:p w:rsidR="00000000" w:rsidRDefault="000462A9">
      <w:pPr>
        <w:jc w:val="both"/>
        <w:rPr>
          <w:rFonts w:cs="David"/>
          <w:sz w:val="24"/>
          <w:rtl/>
        </w:rPr>
      </w:pPr>
    </w:p>
    <w:p w:rsidR="00000000" w:rsidRDefault="000462A9">
      <w:pPr>
        <w:jc w:val="both"/>
        <w:rPr>
          <w:rFonts w:cs="David"/>
          <w:sz w:val="24"/>
          <w:rtl/>
        </w:rPr>
      </w:pPr>
      <w:r>
        <w:rPr>
          <w:rFonts w:cs="David"/>
          <w:sz w:val="24"/>
          <w:rtl/>
        </w:rPr>
        <w:tab/>
        <w:t>מכיוון שאנחנו לא עושים חקיקה רטרואקטיבית.</w:t>
      </w:r>
    </w:p>
    <w:p w:rsidR="00000000" w:rsidRDefault="000462A9">
      <w:pPr>
        <w:jc w:val="both"/>
        <w:rPr>
          <w:rFonts w:cs="David"/>
          <w:sz w:val="24"/>
          <w:rtl/>
        </w:rPr>
      </w:pPr>
    </w:p>
    <w:p w:rsidR="00000000" w:rsidRDefault="000462A9">
      <w:pPr>
        <w:rPr>
          <w:rFonts w:cs="David"/>
          <w:sz w:val="24"/>
          <w:u w:val="single"/>
          <w:rtl/>
        </w:rPr>
      </w:pPr>
      <w:r>
        <w:rPr>
          <w:rFonts w:cs="David"/>
          <w:sz w:val="24"/>
          <w:u w:val="single"/>
          <w:rtl/>
        </w:rPr>
        <w:t>יצחק סבן:</w:t>
      </w:r>
    </w:p>
    <w:p w:rsidR="00000000" w:rsidRDefault="000462A9">
      <w:pPr>
        <w:rPr>
          <w:rFonts w:cs="David"/>
          <w:sz w:val="24"/>
          <w:u w:val="single"/>
          <w:rtl/>
        </w:rPr>
      </w:pPr>
    </w:p>
    <w:p w:rsidR="00000000" w:rsidRDefault="000462A9">
      <w:pPr>
        <w:jc w:val="both"/>
        <w:rPr>
          <w:rFonts w:cs="David"/>
          <w:sz w:val="24"/>
          <w:rtl/>
        </w:rPr>
      </w:pPr>
      <w:r>
        <w:rPr>
          <w:rFonts w:cs="David"/>
          <w:sz w:val="24"/>
          <w:rtl/>
        </w:rPr>
        <w:tab/>
        <w:t xml:space="preserve"> חקיקה קיימת.</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מרים פרנקל-שור:</w:t>
      </w:r>
    </w:p>
    <w:p w:rsidR="00000000" w:rsidRDefault="000462A9">
      <w:pPr>
        <w:jc w:val="both"/>
        <w:rPr>
          <w:rFonts w:cs="David"/>
          <w:sz w:val="24"/>
          <w:rtl/>
        </w:rPr>
      </w:pPr>
    </w:p>
    <w:p w:rsidR="00000000" w:rsidRDefault="000462A9">
      <w:pPr>
        <w:jc w:val="both"/>
        <w:rPr>
          <w:rFonts w:cs="David"/>
          <w:sz w:val="24"/>
          <w:rtl/>
        </w:rPr>
      </w:pPr>
      <w:r>
        <w:rPr>
          <w:rFonts w:cs="David"/>
          <w:sz w:val="24"/>
          <w:rtl/>
        </w:rPr>
        <w:tab/>
        <w:t>גם החלטה, גם תקנות. אני לא רואה שום סיבה שההחלטה תהיה רטרואקטיבית. יכול להיות שה</w:t>
      </w:r>
      <w:r>
        <w:rPr>
          <w:rFonts w:cs="David"/>
          <w:sz w:val="24"/>
          <w:rtl/>
        </w:rPr>
        <w:t xml:space="preserve">סיבה היא עקרונית, שלא תהיה עילה למשרד הפנים או לממשלה לדחות תוקף החלטה, לא לבצע חוק שקיבלה הכנסת.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היו"ר משה גפני:</w:t>
      </w:r>
    </w:p>
    <w:p w:rsidR="00000000" w:rsidRDefault="000462A9">
      <w:pPr>
        <w:jc w:val="both"/>
        <w:rPr>
          <w:rFonts w:cs="David"/>
          <w:sz w:val="24"/>
          <w:rtl/>
        </w:rPr>
      </w:pPr>
    </w:p>
    <w:p w:rsidR="00000000" w:rsidRDefault="000462A9">
      <w:pPr>
        <w:jc w:val="both"/>
        <w:rPr>
          <w:rFonts w:cs="David"/>
          <w:sz w:val="24"/>
          <w:rtl/>
        </w:rPr>
      </w:pPr>
      <w:r>
        <w:rPr>
          <w:rFonts w:cs="David"/>
          <w:sz w:val="24"/>
          <w:rtl/>
        </w:rPr>
        <w:tab/>
        <w:t xml:space="preserve">יכול להיות שאף אחד לא ייפגע. אבל אם יהיה איש אחד שייפגע, זה הגון לעשות את זה?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br w:type="page"/>
        <w:t>אברהם אמונה:</w:t>
      </w:r>
    </w:p>
    <w:p w:rsidR="00000000" w:rsidRDefault="000462A9">
      <w:pPr>
        <w:jc w:val="both"/>
        <w:rPr>
          <w:rFonts w:cs="David"/>
          <w:sz w:val="24"/>
          <w:rtl/>
        </w:rPr>
      </w:pPr>
    </w:p>
    <w:p w:rsidR="00000000" w:rsidRDefault="000462A9">
      <w:pPr>
        <w:jc w:val="both"/>
        <w:rPr>
          <w:rFonts w:cs="David"/>
          <w:sz w:val="24"/>
          <w:rtl/>
        </w:rPr>
      </w:pPr>
      <w:r>
        <w:rPr>
          <w:rFonts w:cs="David"/>
          <w:sz w:val="24"/>
          <w:rtl/>
        </w:rPr>
        <w:tab/>
        <w:t xml:space="preserve">כל הנושא של צירוף החינוך העצמאי למעשה </w:t>
      </w:r>
      <w:r>
        <w:rPr>
          <w:rFonts w:cs="David"/>
          <w:sz w:val="24"/>
          <w:rtl/>
        </w:rPr>
        <w:t>נדון בכל מיני ישיבות בוועדת הפנים של הכנסת מאז 1995-1996. אחת הסיבות שהחוק התקבל היא בגלל שכל ההצעות נדחו בוועדה מכיוון שלא היתה הסכמה. אמרו: חינוך עצמאי זה לא מוסד ציבורי וכו' עד שהעניינים במשך הזמן התבשלו גם מבחינת משרד החינוך, גם מבחינת משרד האוצר, גם מ</w:t>
      </w:r>
      <w:r>
        <w:rPr>
          <w:rFonts w:cs="David"/>
          <w:sz w:val="24"/>
          <w:rtl/>
        </w:rPr>
        <w:t>בחינת החוק וגם מבחינת החלטה.</w:t>
      </w:r>
    </w:p>
    <w:p w:rsidR="00000000" w:rsidRDefault="000462A9">
      <w:pPr>
        <w:jc w:val="both"/>
        <w:rPr>
          <w:rFonts w:cs="David"/>
          <w:sz w:val="24"/>
          <w:rtl/>
        </w:rPr>
      </w:pPr>
    </w:p>
    <w:p w:rsidR="00000000" w:rsidRDefault="000462A9">
      <w:pPr>
        <w:jc w:val="both"/>
        <w:rPr>
          <w:rFonts w:cs="David"/>
          <w:sz w:val="24"/>
          <w:rtl/>
        </w:rPr>
      </w:pPr>
      <w:r>
        <w:rPr>
          <w:rFonts w:cs="David"/>
          <w:sz w:val="24"/>
          <w:rtl/>
        </w:rPr>
        <w:tab/>
        <w:t xml:space="preserve">אני שמטפל אישית בנושא תנאי פרישה, אין לנו הרבה כאלה. לכן אני מציע: כל מי שכיהן בחינוך העצמאי ואחר-כך הלך לכהן ברשות מקומית, החוק הזה יחול עליו.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אביטל שטרנברג:</w:t>
      </w:r>
    </w:p>
    <w:p w:rsidR="00000000" w:rsidRDefault="000462A9">
      <w:pPr>
        <w:jc w:val="both"/>
        <w:rPr>
          <w:rFonts w:cs="David"/>
          <w:sz w:val="24"/>
          <w:rtl/>
        </w:rPr>
      </w:pPr>
    </w:p>
    <w:p w:rsidR="00000000" w:rsidRDefault="000462A9">
      <w:pPr>
        <w:jc w:val="both"/>
        <w:rPr>
          <w:rFonts w:cs="David"/>
          <w:sz w:val="24"/>
          <w:rtl/>
        </w:rPr>
      </w:pPr>
      <w:r>
        <w:rPr>
          <w:rFonts w:cs="David"/>
          <w:sz w:val="24"/>
          <w:rtl/>
        </w:rPr>
        <w:tab/>
        <w:t xml:space="preserve">החוק חל מ-20 בדצמבר 2000.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היו"ר משה גפני:</w:t>
      </w:r>
    </w:p>
    <w:p w:rsidR="00000000" w:rsidRDefault="000462A9">
      <w:pPr>
        <w:jc w:val="both"/>
        <w:rPr>
          <w:rFonts w:cs="David"/>
          <w:sz w:val="24"/>
          <w:rtl/>
        </w:rPr>
      </w:pPr>
    </w:p>
    <w:p w:rsidR="00000000" w:rsidRDefault="000462A9">
      <w:pPr>
        <w:jc w:val="both"/>
        <w:rPr>
          <w:rFonts w:cs="David"/>
          <w:sz w:val="24"/>
          <w:rtl/>
        </w:rPr>
      </w:pPr>
      <w:r>
        <w:rPr>
          <w:rFonts w:cs="David"/>
          <w:sz w:val="24"/>
          <w:rtl/>
        </w:rPr>
        <w:tab/>
        <w:t>אני מציע לקבל את</w:t>
      </w:r>
      <w:r>
        <w:rPr>
          <w:rFonts w:cs="David"/>
          <w:sz w:val="24"/>
          <w:rtl/>
        </w:rPr>
        <w:t xml:space="preserve"> ההחלטה כמות שהיא. להגיד שתוקף ההחלטה מיום קבלת החוק.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מוסי רז:</w:t>
      </w:r>
    </w:p>
    <w:p w:rsidR="00000000" w:rsidRDefault="000462A9">
      <w:pPr>
        <w:jc w:val="both"/>
        <w:rPr>
          <w:rFonts w:cs="David"/>
          <w:sz w:val="24"/>
          <w:rtl/>
        </w:rPr>
      </w:pPr>
    </w:p>
    <w:p w:rsidR="00000000" w:rsidRDefault="000462A9">
      <w:pPr>
        <w:jc w:val="both"/>
        <w:rPr>
          <w:rFonts w:cs="David"/>
          <w:sz w:val="24"/>
          <w:rtl/>
        </w:rPr>
      </w:pPr>
      <w:r>
        <w:rPr>
          <w:rFonts w:cs="David"/>
          <w:sz w:val="24"/>
          <w:rtl/>
        </w:rPr>
        <w:tab/>
        <w:t>החינוך העצמאי כאן מקבל הכרה שווה לזה של החינוך הממלכתי והממלכתי דתי?</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היו"ר משה גפני:</w:t>
      </w:r>
    </w:p>
    <w:p w:rsidR="00000000" w:rsidRDefault="000462A9">
      <w:pPr>
        <w:jc w:val="both"/>
        <w:rPr>
          <w:rFonts w:cs="David"/>
          <w:sz w:val="24"/>
          <w:rtl/>
        </w:rPr>
      </w:pPr>
    </w:p>
    <w:p w:rsidR="00000000" w:rsidRDefault="000462A9">
      <w:pPr>
        <w:jc w:val="both"/>
        <w:rPr>
          <w:rFonts w:cs="David"/>
          <w:sz w:val="24"/>
          <w:rtl/>
        </w:rPr>
      </w:pPr>
      <w:r>
        <w:rPr>
          <w:rFonts w:cs="David"/>
          <w:sz w:val="24"/>
          <w:rtl/>
        </w:rPr>
        <w:tab/>
        <w:t>אני הייתי שותף לדיונים ארוכים מאוד בעניין רצף זכויות של החינוך העצמאי-מרכז השלטון המקומי. אני חשבתי ש</w:t>
      </w:r>
      <w:r>
        <w:rPr>
          <w:rFonts w:cs="David"/>
          <w:sz w:val="24"/>
          <w:rtl/>
        </w:rPr>
        <w:t>יש אפליה לרעה של מורי ומורות החינוך העצמאי כאשר הם עוברים לעבוד ברשות מקומית, בעיקר לגבי אלה שעברו לעבוד בעיריית בני-ברק או ביישובים חרדים, אבל גם במקומות אחרים. מורי החינוך הממלכתי והממלכתי-דתי צוברים את זכויותיהם ויש רצף זכויות. בחינוך העצמאי לא, כאשר המ</w:t>
      </w:r>
      <w:r>
        <w:rPr>
          <w:rFonts w:cs="David"/>
          <w:sz w:val="24"/>
          <w:rtl/>
        </w:rPr>
        <w:t>שכורות בחינוך העצמאי הן לפי משרד החינוך. אתה לא יכול לשנות במשכורות של החינוך העצמאי כלום, ובכל אופן היתה אפליה לרעה. מרכז השלטון המקומי ושלוש הערים הגדולות נלחמו שהעניין הזה יתבצע. היו לי תקלות ביורוקרטיות דווקא בחינוך העצמאי. גיורא רוזנטל ויעקב אגמון היו</w:t>
      </w:r>
      <w:r>
        <w:rPr>
          <w:rFonts w:cs="David"/>
          <w:sz w:val="24"/>
          <w:rtl/>
        </w:rPr>
        <w:t xml:space="preserve"> הדוחפים הגדולים של העניין.</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מוסי רז:</w:t>
      </w:r>
    </w:p>
    <w:p w:rsidR="00000000" w:rsidRDefault="000462A9">
      <w:pPr>
        <w:jc w:val="both"/>
        <w:rPr>
          <w:rFonts w:cs="David"/>
          <w:sz w:val="24"/>
          <w:rtl/>
        </w:rPr>
      </w:pPr>
    </w:p>
    <w:p w:rsidR="00000000" w:rsidRDefault="000462A9">
      <w:pPr>
        <w:jc w:val="both"/>
        <w:rPr>
          <w:rFonts w:cs="David"/>
          <w:sz w:val="24"/>
          <w:rtl/>
        </w:rPr>
      </w:pPr>
      <w:r>
        <w:rPr>
          <w:rFonts w:cs="David"/>
          <w:sz w:val="24"/>
          <w:rtl/>
        </w:rPr>
        <w:tab/>
        <w:t xml:space="preserve">מה זה היו? עדיין הם תומכים בזה?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נועה בן-אריה:</w:t>
      </w:r>
    </w:p>
    <w:p w:rsidR="00000000" w:rsidRDefault="000462A9">
      <w:pPr>
        <w:jc w:val="both"/>
        <w:rPr>
          <w:rFonts w:cs="David"/>
          <w:sz w:val="24"/>
          <w:rtl/>
        </w:rPr>
      </w:pPr>
      <w:r>
        <w:rPr>
          <w:rFonts w:cs="David"/>
          <w:sz w:val="24"/>
          <w:rtl/>
        </w:rPr>
        <w:tab/>
      </w:r>
    </w:p>
    <w:p w:rsidR="00000000" w:rsidRDefault="000462A9">
      <w:pPr>
        <w:jc w:val="both"/>
        <w:rPr>
          <w:rFonts w:cs="David"/>
          <w:sz w:val="24"/>
          <w:rtl/>
        </w:rPr>
      </w:pPr>
      <w:r>
        <w:rPr>
          <w:rFonts w:cs="David"/>
          <w:sz w:val="24"/>
          <w:rtl/>
        </w:rPr>
        <w:tab/>
        <w:t>כן, כן.</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היו"ר משה גפני:</w:t>
      </w:r>
    </w:p>
    <w:p w:rsidR="00000000" w:rsidRDefault="000462A9">
      <w:pPr>
        <w:jc w:val="both"/>
        <w:rPr>
          <w:rFonts w:cs="David"/>
          <w:sz w:val="24"/>
          <w:rtl/>
        </w:rPr>
      </w:pPr>
    </w:p>
    <w:p w:rsidR="00000000" w:rsidRDefault="000462A9">
      <w:pPr>
        <w:jc w:val="both"/>
        <w:rPr>
          <w:rFonts w:cs="David"/>
          <w:sz w:val="24"/>
          <w:rtl/>
        </w:rPr>
      </w:pPr>
      <w:r>
        <w:rPr>
          <w:rFonts w:cs="David"/>
          <w:sz w:val="24"/>
          <w:rtl/>
        </w:rPr>
        <w:tab/>
        <w:t>נחתם הסכם שחתומים עליו מרכז השלטון המקומי, שלוש הערים הגדולות, יובל רכלבסקי הממונה על השכר במשרד האוצר ומשרד החינוך. עם החינוך העצמאי דווק</w:t>
      </w:r>
      <w:r>
        <w:rPr>
          <w:rFonts w:cs="David"/>
          <w:sz w:val="24"/>
          <w:rtl/>
        </w:rPr>
        <w:t>א היה לי קושי. מדובר על מורים חרדים שלא נמצאים בחינוך הממלכתי בגלל העצמאות הפדגוגית בחינוך, אבל הם לא שונים מכל מורה אחר. למשל, בחינוך העצמאי יושבת חשבת של משרד האוצר. אי-אפשר להוציא שם שקל אם החשבת לא חותמת, כמו יחידת סמך במשרד ממשלתי.</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אביטל שטרנברג:</w:t>
      </w:r>
    </w:p>
    <w:p w:rsidR="00000000" w:rsidRDefault="000462A9">
      <w:pPr>
        <w:jc w:val="both"/>
        <w:rPr>
          <w:rFonts w:cs="David"/>
          <w:sz w:val="24"/>
          <w:rtl/>
        </w:rPr>
      </w:pPr>
    </w:p>
    <w:p w:rsidR="00000000" w:rsidRDefault="000462A9">
      <w:pPr>
        <w:jc w:val="both"/>
        <w:rPr>
          <w:rFonts w:cs="David"/>
          <w:sz w:val="24"/>
          <w:rtl/>
        </w:rPr>
      </w:pPr>
      <w:r>
        <w:rPr>
          <w:rFonts w:cs="David"/>
          <w:sz w:val="24"/>
          <w:rtl/>
        </w:rPr>
        <w:tab/>
        <w:t>ה</w:t>
      </w:r>
      <w:r>
        <w:rPr>
          <w:rFonts w:cs="David"/>
          <w:sz w:val="24"/>
          <w:rtl/>
        </w:rPr>
        <w:t>טענה של הממשלה היתה שהם לא דומים אלא שהחוק כבר התקבל, ומה שאנחנו עושים פה כרגע זה רק צעד טכני של התאמת ההחלטה.</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היו"ר משה גפני:</w:t>
      </w:r>
    </w:p>
    <w:p w:rsidR="00000000" w:rsidRDefault="000462A9">
      <w:pPr>
        <w:jc w:val="both"/>
        <w:rPr>
          <w:rFonts w:cs="David"/>
          <w:sz w:val="24"/>
          <w:rtl/>
        </w:rPr>
      </w:pPr>
    </w:p>
    <w:p w:rsidR="00000000" w:rsidRDefault="000462A9">
      <w:pPr>
        <w:jc w:val="both"/>
        <w:rPr>
          <w:rFonts w:cs="David"/>
          <w:sz w:val="24"/>
          <w:rtl/>
        </w:rPr>
      </w:pPr>
      <w:r>
        <w:rPr>
          <w:rFonts w:cs="David"/>
          <w:sz w:val="24"/>
          <w:rtl/>
        </w:rPr>
        <w:tab/>
        <w:t>אני מסכים עם המסקנה, אני חולק על העיקרון מכיוון שאני חושב שאין הבדל בין מורה בחינוך העצמאי לבין מורה בחינוך הממלכתי.</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אביטל שט</w:t>
      </w:r>
      <w:r>
        <w:rPr>
          <w:rFonts w:cs="David"/>
          <w:sz w:val="24"/>
          <w:u w:val="single"/>
          <w:rtl/>
        </w:rPr>
        <w:t>רנברג:</w:t>
      </w:r>
    </w:p>
    <w:p w:rsidR="00000000" w:rsidRDefault="000462A9">
      <w:pPr>
        <w:jc w:val="both"/>
        <w:rPr>
          <w:rFonts w:cs="David"/>
          <w:sz w:val="24"/>
          <w:rtl/>
        </w:rPr>
      </w:pPr>
    </w:p>
    <w:p w:rsidR="00000000" w:rsidRDefault="000462A9">
      <w:pPr>
        <w:jc w:val="both"/>
        <w:rPr>
          <w:rFonts w:cs="David"/>
          <w:sz w:val="24"/>
          <w:rtl/>
        </w:rPr>
      </w:pPr>
      <w:r>
        <w:rPr>
          <w:rFonts w:cs="David"/>
          <w:sz w:val="24"/>
          <w:rtl/>
        </w:rPr>
        <w:tab/>
        <w:t xml:space="preserve">את הוויכוח הזה עברנו כבר לפני שנתיים. אין טעם להיכנס אליו. </w:t>
      </w:r>
    </w:p>
    <w:p w:rsidR="00000000" w:rsidRDefault="000462A9">
      <w:pPr>
        <w:jc w:val="both"/>
        <w:rPr>
          <w:rFonts w:cs="David"/>
          <w:sz w:val="24"/>
          <w:rtl/>
        </w:rPr>
      </w:pPr>
    </w:p>
    <w:p w:rsidR="00000000" w:rsidRDefault="000462A9">
      <w:pPr>
        <w:jc w:val="both"/>
        <w:rPr>
          <w:rFonts w:cs="David"/>
          <w:sz w:val="24"/>
          <w:rtl/>
        </w:rPr>
      </w:pPr>
      <w:r>
        <w:rPr>
          <w:rFonts w:cs="David"/>
          <w:sz w:val="24"/>
          <w:u w:val="single"/>
          <w:rtl/>
        </w:rPr>
        <w:t>היו"ר משה גפני:</w:t>
      </w:r>
    </w:p>
    <w:p w:rsidR="00000000" w:rsidRDefault="000462A9">
      <w:pPr>
        <w:jc w:val="both"/>
        <w:rPr>
          <w:rFonts w:cs="David"/>
          <w:sz w:val="24"/>
          <w:rtl/>
        </w:rPr>
      </w:pPr>
    </w:p>
    <w:p w:rsidR="00000000" w:rsidRDefault="000462A9">
      <w:pPr>
        <w:jc w:val="both"/>
        <w:rPr>
          <w:rFonts w:cs="David"/>
          <w:sz w:val="24"/>
          <w:rtl/>
        </w:rPr>
      </w:pPr>
      <w:r>
        <w:rPr>
          <w:rFonts w:cs="David"/>
          <w:sz w:val="24"/>
          <w:rtl/>
        </w:rPr>
        <w:tab/>
        <w:t>אני מעמיד להצבעה את הצעת החלטת הרשויות המקומיות (גמלאות לראש רשות וסגניו) (תיקון), התשס"ג-2002. אני מבקש שתוקף ההחלטה יהיה מיום קבלת החוק. מי בעד? מי נגד?</w:t>
      </w:r>
    </w:p>
    <w:p w:rsidR="00000000" w:rsidRDefault="000462A9">
      <w:pPr>
        <w:jc w:val="both"/>
        <w:rPr>
          <w:rFonts w:cs="David"/>
          <w:sz w:val="24"/>
          <w:rtl/>
        </w:rPr>
      </w:pPr>
    </w:p>
    <w:p w:rsidR="00000000" w:rsidRDefault="000462A9">
      <w:pPr>
        <w:jc w:val="center"/>
        <w:rPr>
          <w:rFonts w:cs="David"/>
          <w:sz w:val="24"/>
          <w:rtl/>
        </w:rPr>
      </w:pPr>
      <w:r>
        <w:rPr>
          <w:rFonts w:cs="David"/>
          <w:sz w:val="24"/>
          <w:rtl/>
        </w:rPr>
        <w:t>ה צ ב ע ה</w:t>
      </w:r>
    </w:p>
    <w:p w:rsidR="00000000" w:rsidRDefault="000462A9">
      <w:pPr>
        <w:jc w:val="center"/>
        <w:rPr>
          <w:rFonts w:cs="David"/>
          <w:sz w:val="24"/>
          <w:rtl/>
        </w:rPr>
      </w:pPr>
      <w:r>
        <w:rPr>
          <w:rFonts w:cs="David"/>
          <w:sz w:val="24"/>
          <w:rtl/>
        </w:rPr>
        <w:t>בע</w:t>
      </w:r>
      <w:r>
        <w:rPr>
          <w:rFonts w:cs="David"/>
          <w:sz w:val="24"/>
          <w:rtl/>
        </w:rPr>
        <w:t>ד ההצעה – 3</w:t>
      </w:r>
    </w:p>
    <w:p w:rsidR="00000000" w:rsidRDefault="000462A9">
      <w:pPr>
        <w:jc w:val="center"/>
        <w:rPr>
          <w:rFonts w:cs="David"/>
          <w:sz w:val="24"/>
          <w:rtl/>
        </w:rPr>
      </w:pPr>
      <w:r>
        <w:rPr>
          <w:rFonts w:cs="David"/>
          <w:sz w:val="24"/>
          <w:rtl/>
        </w:rPr>
        <w:t>נגד – אין</w:t>
      </w:r>
    </w:p>
    <w:p w:rsidR="00000000" w:rsidRDefault="000462A9">
      <w:pPr>
        <w:jc w:val="center"/>
        <w:rPr>
          <w:rFonts w:cs="David"/>
          <w:sz w:val="24"/>
          <w:rtl/>
        </w:rPr>
      </w:pPr>
      <w:r>
        <w:rPr>
          <w:rFonts w:cs="David"/>
          <w:sz w:val="24"/>
          <w:rtl/>
        </w:rPr>
        <w:t xml:space="preserve">הצעת החלטת הרשויות המקומיות (גמלאות לראש רשות וסגניו) </w:t>
      </w:r>
    </w:p>
    <w:p w:rsidR="00000000" w:rsidRDefault="000462A9">
      <w:pPr>
        <w:jc w:val="center"/>
        <w:rPr>
          <w:rFonts w:cs="David"/>
          <w:sz w:val="24"/>
          <w:rtl/>
        </w:rPr>
      </w:pPr>
      <w:r>
        <w:rPr>
          <w:rFonts w:cs="David"/>
          <w:sz w:val="24"/>
          <w:rtl/>
        </w:rPr>
        <w:t>(תיקון), התשס"ג-2002, נתקבלה.</w:t>
      </w:r>
    </w:p>
    <w:p w:rsidR="00000000" w:rsidRDefault="000462A9">
      <w:pPr>
        <w:rPr>
          <w:rFonts w:cs="David"/>
          <w:sz w:val="24"/>
          <w:rtl/>
        </w:rPr>
      </w:pPr>
    </w:p>
    <w:p w:rsidR="00000000" w:rsidRDefault="000462A9">
      <w:pPr>
        <w:rPr>
          <w:rFonts w:cs="David"/>
          <w:sz w:val="24"/>
          <w:rtl/>
        </w:rPr>
      </w:pPr>
      <w:r>
        <w:rPr>
          <w:rFonts w:cs="David"/>
          <w:sz w:val="24"/>
          <w:u w:val="single"/>
          <w:rtl/>
        </w:rPr>
        <w:t>היו"ר משה גפני:</w:t>
      </w:r>
    </w:p>
    <w:p w:rsidR="00000000" w:rsidRDefault="000462A9">
      <w:pPr>
        <w:rPr>
          <w:rFonts w:cs="David"/>
          <w:sz w:val="24"/>
          <w:rtl/>
        </w:rPr>
      </w:pPr>
    </w:p>
    <w:p w:rsidR="00000000" w:rsidRDefault="000462A9">
      <w:pPr>
        <w:rPr>
          <w:rFonts w:cs="David"/>
          <w:sz w:val="24"/>
          <w:rtl/>
        </w:rPr>
      </w:pPr>
      <w:r>
        <w:rPr>
          <w:rFonts w:cs="David"/>
          <w:sz w:val="24"/>
          <w:rtl/>
        </w:rPr>
        <w:tab/>
        <w:t xml:space="preserve">ההצעה התקבלה. תודה רבה. הישיבה נעולה. </w:t>
      </w:r>
    </w:p>
    <w:p w:rsidR="00000000" w:rsidRDefault="000462A9">
      <w:pPr>
        <w:rPr>
          <w:rFonts w:cs="David"/>
          <w:sz w:val="24"/>
          <w:rtl/>
        </w:rPr>
      </w:pPr>
    </w:p>
    <w:p w:rsidR="00000000" w:rsidRDefault="000462A9">
      <w:pPr>
        <w:rPr>
          <w:rFonts w:cs="David"/>
          <w:sz w:val="24"/>
          <w:rtl/>
        </w:rPr>
      </w:pPr>
      <w:r>
        <w:rPr>
          <w:rFonts w:cs="David"/>
          <w:sz w:val="24"/>
          <w:rtl/>
        </w:rPr>
        <w:tab/>
        <w:t>הישיבה ננעלה בשעה 10:10</w:t>
      </w:r>
      <w:r>
        <w:rPr>
          <w:rFonts w:cs="David"/>
          <w:sz w:val="24"/>
          <w:rtl/>
        </w:rPr>
        <w:tab/>
      </w:r>
    </w:p>
    <w:p w:rsidR="00000000" w:rsidRDefault="000462A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62A9">
      <w:r>
        <w:separator/>
      </w:r>
    </w:p>
  </w:endnote>
  <w:endnote w:type="continuationSeparator" w:id="0">
    <w:p w:rsidR="00000000" w:rsidRDefault="00046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2A9">
    <w:pPr>
      <w:pStyle w:val="a7"/>
      <w:rPr>
        <w:rFonts w:cs="David"/>
        <w:sz w:val="24"/>
        <w:rtl/>
      </w:rPr>
    </w:pPr>
  </w:p>
  <w:p w:rsidR="00000000" w:rsidRDefault="000462A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2A9">
    <w:pPr>
      <w:pStyle w:val="a7"/>
      <w:rPr>
        <w:rFonts w:cs="David"/>
        <w:sz w:val="24"/>
        <w:rtl/>
      </w:rPr>
    </w:pPr>
  </w:p>
  <w:p w:rsidR="00000000" w:rsidRDefault="000462A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62A9">
      <w:r>
        <w:separator/>
      </w:r>
    </w:p>
  </w:footnote>
  <w:footnote w:type="continuationSeparator" w:id="0">
    <w:p w:rsidR="00000000" w:rsidRDefault="000462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2A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w:t>
    </w:r>
    <w:r>
      <w:rPr>
        <w:rStyle w:val="a9"/>
        <w:rFonts w:cs="David"/>
      </w:rPr>
      <w:fldChar w:fldCharType="end"/>
    </w:r>
  </w:p>
  <w:p w:rsidR="00000000" w:rsidRDefault="000462A9">
    <w:pPr>
      <w:pStyle w:val="a5"/>
      <w:ind w:right="360"/>
      <w:rPr>
        <w:rFonts w:cs="David"/>
        <w:sz w:val="24"/>
        <w:rtl/>
      </w:rPr>
    </w:pPr>
    <w:r>
      <w:rPr>
        <w:rFonts w:cs="David"/>
        <w:sz w:val="24"/>
        <w:rtl/>
      </w:rPr>
      <w:t>ועדת הפנים ואיכות הסביבה</w:t>
    </w:r>
  </w:p>
  <w:p w:rsidR="00000000" w:rsidRDefault="000462A9">
    <w:pPr>
      <w:pStyle w:val="a5"/>
      <w:ind w:right="360"/>
      <w:rPr>
        <w:rStyle w:val="a9"/>
        <w:rFonts w:cs="David"/>
        <w:sz w:val="24"/>
        <w:rtl/>
      </w:rPr>
    </w:pPr>
    <w:r>
      <w:rPr>
        <w:rFonts w:cs="David"/>
        <w:sz w:val="24"/>
        <w:rtl/>
      </w:rPr>
      <w:t>06/11/02</w:t>
    </w:r>
  </w:p>
  <w:p w:rsidR="00000000" w:rsidRDefault="000462A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62A9">
    <w:pPr>
      <w:pStyle w:val="a5"/>
      <w:rPr>
        <w:rFonts w:cs="David"/>
        <w:sz w:val="24"/>
        <w:rtl/>
      </w:rPr>
    </w:pPr>
  </w:p>
  <w:p w:rsidR="00000000" w:rsidRDefault="000462A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462A9"/>
    <w:rsid w:val="00046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F8AEED-87BE-48CA-9C96-517398751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1111</Words>
  <Characters>5557</Characters>
  <Application>Microsoft Office Word</Application>
  <DocSecurity>0</DocSecurity>
  <Lines>46</Lines>
  <Paragraphs>13</Paragraphs>
  <ScaleCrop>false</ScaleCrop>
  <Company>knesset</Company>
  <LinksUpToDate>false</LinksUpToDate>
  <CharactersWithSpaces>6655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הפנים/6049</dc:title>
  <dc:subject>פנים 6.11.2002א</dc:subject>
  <dc:creator>מזל כהן</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