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102F">
      <w:pPr>
        <w:jc w:val="right"/>
        <w:rPr>
          <w:rFonts w:cs="Miriam"/>
          <w:rtl/>
        </w:rPr>
      </w:pPr>
      <w:bookmarkStart w:id="0" w:name="_GoBack"/>
      <w:bookmarkEnd w:id="0"/>
      <w:r>
        <w:rPr>
          <w:rFonts w:cs="Miriam"/>
          <w:rtl/>
        </w:rPr>
        <w:t>פרוטוקולים/ועדת חוקה/456</w:t>
      </w:r>
    </w:p>
    <w:p w:rsidR="00000000" w:rsidRDefault="0098102F">
      <w:pPr>
        <w:jc w:val="right"/>
        <w:rPr>
          <w:rFonts w:cs="Miriam"/>
          <w:rtl/>
        </w:rPr>
      </w:pPr>
      <w:r>
        <w:rPr>
          <w:rFonts w:cs="Miriam"/>
          <w:rtl/>
        </w:rPr>
        <w:tab/>
        <w:t>ירושלים, י"ז באייר, תש"ס</w:t>
      </w:r>
    </w:p>
    <w:p w:rsidR="00000000" w:rsidRDefault="0098102F">
      <w:pPr>
        <w:jc w:val="right"/>
        <w:rPr>
          <w:rFonts w:cs="Miriam"/>
          <w:rtl/>
          <w:lang w:val="es"/>
        </w:rPr>
      </w:pPr>
      <w:r>
        <w:rPr>
          <w:rFonts w:cs="Miriam"/>
          <w:rtl/>
          <w:lang w:val="es"/>
        </w:rPr>
        <w:t>22 במאי, 2000</w:t>
      </w:r>
    </w:p>
    <w:p w:rsidR="00000000" w:rsidRDefault="0098102F">
      <w:pPr>
        <w:jc w:val="right"/>
        <w:rPr>
          <w:rFonts w:cs="Miriam"/>
          <w:rtl/>
        </w:rPr>
      </w:pPr>
    </w:p>
    <w:p w:rsidR="00000000" w:rsidRDefault="0098102F">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102F">
      <w:pPr>
        <w:jc w:val="both"/>
        <w:rPr>
          <w:rFonts w:cs="David"/>
          <w:b/>
          <w:bCs/>
          <w:sz w:val="24"/>
          <w:szCs w:val="24"/>
          <w:rtl/>
        </w:rPr>
      </w:pPr>
      <w:r>
        <w:rPr>
          <w:rFonts w:cs="David"/>
          <w:b/>
          <w:bCs/>
          <w:sz w:val="24"/>
          <w:szCs w:val="24"/>
          <w:rtl/>
        </w:rPr>
        <w:t>מושב שני</w:t>
      </w:r>
    </w:p>
    <w:p w:rsidR="00000000" w:rsidRDefault="0098102F">
      <w:pPr>
        <w:jc w:val="both"/>
        <w:rPr>
          <w:rFonts w:cs="David"/>
          <w:b/>
          <w:bCs/>
          <w:sz w:val="24"/>
          <w:szCs w:val="24"/>
          <w:rtl/>
        </w:rPr>
      </w:pPr>
    </w:p>
    <w:p w:rsidR="00000000" w:rsidRDefault="0098102F">
      <w:pPr>
        <w:jc w:val="center"/>
        <w:rPr>
          <w:rFonts w:cs="David"/>
          <w:b/>
          <w:bCs/>
          <w:sz w:val="24"/>
          <w:szCs w:val="24"/>
          <w:rtl/>
        </w:rPr>
      </w:pPr>
      <w:r>
        <w:rPr>
          <w:rFonts w:cs="David"/>
          <w:b/>
          <w:bCs/>
          <w:sz w:val="24"/>
          <w:szCs w:val="24"/>
          <w:rtl/>
        </w:rPr>
        <w:t>פרוטוקול מס'</w:t>
      </w:r>
    </w:p>
    <w:p w:rsidR="00000000" w:rsidRDefault="0098102F">
      <w:pPr>
        <w:jc w:val="center"/>
        <w:rPr>
          <w:rFonts w:cs="David"/>
          <w:b/>
          <w:bCs/>
          <w:sz w:val="24"/>
          <w:szCs w:val="24"/>
          <w:rtl/>
        </w:rPr>
      </w:pPr>
      <w:r>
        <w:rPr>
          <w:rFonts w:cs="David"/>
          <w:b/>
          <w:bCs/>
          <w:sz w:val="24"/>
          <w:szCs w:val="24"/>
          <w:rtl/>
        </w:rPr>
        <w:t>מישיבת ועדת החוקה חוק ומשפט</w:t>
      </w:r>
    </w:p>
    <w:p w:rsidR="00000000" w:rsidRDefault="0098102F">
      <w:pPr>
        <w:jc w:val="center"/>
        <w:rPr>
          <w:rFonts w:cs="David"/>
          <w:b/>
          <w:bCs/>
          <w:sz w:val="24"/>
          <w:szCs w:val="24"/>
          <w:u w:val="single"/>
          <w:rtl/>
        </w:rPr>
      </w:pPr>
      <w:r>
        <w:rPr>
          <w:rFonts w:cs="David"/>
          <w:b/>
          <w:bCs/>
          <w:sz w:val="24"/>
          <w:szCs w:val="24"/>
          <w:u w:val="single"/>
          <w:rtl/>
        </w:rPr>
        <w:t>שהתקיימה ביום  ג', כ"א באדר ב' התש"ס, 28 במרץ 2000, בשעה 09:30</w:t>
      </w:r>
    </w:p>
    <w:p w:rsidR="00000000" w:rsidRDefault="0098102F">
      <w:pPr>
        <w:jc w:val="both"/>
        <w:rPr>
          <w:rFonts w:cs="David"/>
          <w:b/>
          <w:bCs/>
          <w:sz w:val="24"/>
          <w:szCs w:val="24"/>
          <w:u w:val="single"/>
          <w:rtl/>
        </w:rPr>
      </w:pPr>
    </w:p>
    <w:p w:rsidR="00000000" w:rsidRDefault="0098102F">
      <w:pPr>
        <w:jc w:val="both"/>
        <w:rPr>
          <w:rFonts w:cs="David"/>
          <w:b/>
          <w:bCs/>
          <w:sz w:val="24"/>
          <w:szCs w:val="24"/>
          <w:u w:val="single"/>
          <w:rtl/>
        </w:rPr>
      </w:pPr>
    </w:p>
    <w:p w:rsidR="00000000" w:rsidRDefault="0098102F">
      <w:pPr>
        <w:jc w:val="both"/>
        <w:rPr>
          <w:rFonts w:cs="David"/>
          <w:b/>
          <w:bCs/>
          <w:sz w:val="24"/>
          <w:szCs w:val="24"/>
          <w:u w:val="single"/>
          <w:rtl/>
        </w:rPr>
      </w:pPr>
      <w:r>
        <w:rPr>
          <w:rFonts w:cs="David"/>
          <w:b/>
          <w:bCs/>
          <w:sz w:val="24"/>
          <w:szCs w:val="24"/>
          <w:u w:val="single"/>
          <w:rtl/>
        </w:rPr>
        <w:t>נכחו:</w:t>
      </w:r>
    </w:p>
    <w:p w:rsidR="00000000" w:rsidRDefault="0098102F">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אמנון רובינשטיין</w:t>
      </w: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מוזמנים:</w:t>
      </w:r>
      <w:r>
        <w:rPr>
          <w:rFonts w:cs="David"/>
          <w:sz w:val="24"/>
          <w:szCs w:val="24"/>
          <w:rtl/>
        </w:rPr>
        <w:tab/>
        <w:t>עו"ד עדנה ארבל, פרקליטת המדינה, משר</w:t>
      </w:r>
      <w:r>
        <w:rPr>
          <w:rFonts w:cs="David"/>
          <w:sz w:val="24"/>
          <w:szCs w:val="24"/>
          <w:rtl/>
        </w:rPr>
        <w:t>ד המשפטים</w:t>
      </w:r>
    </w:p>
    <w:p w:rsidR="00000000" w:rsidRDefault="0098102F">
      <w:pPr>
        <w:ind w:left="1440"/>
        <w:jc w:val="both"/>
        <w:rPr>
          <w:rFonts w:cs="David"/>
          <w:sz w:val="24"/>
          <w:szCs w:val="24"/>
          <w:rtl/>
        </w:rPr>
      </w:pPr>
      <w:r>
        <w:rPr>
          <w:rFonts w:cs="David"/>
          <w:sz w:val="24"/>
          <w:szCs w:val="24"/>
          <w:rtl/>
        </w:rPr>
        <w:t>עו"ד יהודית קרפ, המשנה ליועץ המשפטי לממשלה, משרד המשפטים</w:t>
      </w:r>
    </w:p>
    <w:p w:rsidR="00000000" w:rsidRDefault="0098102F">
      <w:pPr>
        <w:ind w:left="1440"/>
        <w:jc w:val="both"/>
        <w:rPr>
          <w:rFonts w:cs="David"/>
          <w:sz w:val="24"/>
          <w:szCs w:val="24"/>
          <w:rtl/>
        </w:rPr>
      </w:pPr>
      <w:r>
        <w:rPr>
          <w:rFonts w:cs="David"/>
          <w:sz w:val="24"/>
          <w:szCs w:val="24"/>
          <w:rtl/>
        </w:rPr>
        <w:t>עו"ד משה לדור, פרקליט מחוז ירושלים, משרד המשפטים</w:t>
      </w:r>
    </w:p>
    <w:p w:rsidR="00000000" w:rsidRDefault="0098102F">
      <w:pPr>
        <w:ind w:left="1440"/>
        <w:jc w:val="both"/>
        <w:rPr>
          <w:rFonts w:cs="David"/>
          <w:sz w:val="24"/>
          <w:szCs w:val="24"/>
          <w:rtl/>
        </w:rPr>
      </w:pPr>
      <w:r>
        <w:rPr>
          <w:rFonts w:cs="David"/>
          <w:sz w:val="24"/>
          <w:szCs w:val="24"/>
          <w:rtl/>
        </w:rPr>
        <w:t>עו"ד לבנת משיח, משרד המשפטים</w:t>
      </w:r>
    </w:p>
    <w:p w:rsidR="00000000" w:rsidRDefault="0098102F">
      <w:pPr>
        <w:ind w:left="1440"/>
        <w:jc w:val="both"/>
        <w:rPr>
          <w:rFonts w:cs="David"/>
          <w:sz w:val="24"/>
          <w:szCs w:val="24"/>
          <w:rtl/>
        </w:rPr>
      </w:pPr>
      <w:r>
        <w:rPr>
          <w:rFonts w:cs="David"/>
          <w:sz w:val="24"/>
          <w:szCs w:val="24"/>
          <w:rtl/>
        </w:rPr>
        <w:t>רז ולטר, משרד המשפטים</w:t>
      </w:r>
    </w:p>
    <w:p w:rsidR="00000000" w:rsidRDefault="0098102F">
      <w:pPr>
        <w:ind w:left="1440"/>
        <w:jc w:val="both"/>
        <w:rPr>
          <w:rFonts w:cs="David"/>
          <w:sz w:val="24"/>
          <w:szCs w:val="24"/>
          <w:rtl/>
        </w:rPr>
      </w:pPr>
      <w:r>
        <w:rPr>
          <w:rFonts w:cs="David"/>
          <w:sz w:val="24"/>
          <w:szCs w:val="24"/>
          <w:rtl/>
        </w:rPr>
        <w:t>הגר רובין, משרד המשפטים</w:t>
      </w:r>
    </w:p>
    <w:p w:rsidR="00000000" w:rsidRDefault="0098102F">
      <w:pPr>
        <w:ind w:left="1440"/>
        <w:jc w:val="both"/>
        <w:rPr>
          <w:rFonts w:cs="David"/>
          <w:sz w:val="24"/>
          <w:szCs w:val="24"/>
          <w:rtl/>
        </w:rPr>
      </w:pPr>
      <w:r>
        <w:rPr>
          <w:rFonts w:cs="David"/>
          <w:sz w:val="24"/>
          <w:szCs w:val="24"/>
          <w:rtl/>
        </w:rPr>
        <w:t>עו"ד דוד וינר, סנגוריה ציבורית</w:t>
      </w:r>
    </w:p>
    <w:p w:rsidR="00000000" w:rsidRDefault="0098102F">
      <w:pPr>
        <w:ind w:left="1440"/>
        <w:jc w:val="both"/>
        <w:rPr>
          <w:rFonts w:cs="David"/>
          <w:sz w:val="24"/>
          <w:szCs w:val="24"/>
          <w:rtl/>
        </w:rPr>
      </w:pPr>
      <w:r>
        <w:rPr>
          <w:rFonts w:cs="David"/>
          <w:sz w:val="24"/>
          <w:szCs w:val="24"/>
          <w:rtl/>
        </w:rPr>
        <w:t>רפ"ק חיים גמליאל, קצין מדור הנחיה,</w:t>
      </w:r>
      <w:r>
        <w:rPr>
          <w:rFonts w:cs="David"/>
          <w:sz w:val="24"/>
          <w:szCs w:val="24"/>
          <w:rtl/>
        </w:rPr>
        <w:t xml:space="preserve"> המשרד לביטחון פנים</w:t>
      </w:r>
    </w:p>
    <w:p w:rsidR="00000000" w:rsidRDefault="0098102F">
      <w:pPr>
        <w:ind w:left="1440"/>
        <w:jc w:val="both"/>
        <w:rPr>
          <w:rFonts w:cs="David"/>
          <w:sz w:val="24"/>
          <w:szCs w:val="24"/>
          <w:rtl/>
        </w:rPr>
      </w:pPr>
      <w:r>
        <w:rPr>
          <w:rFonts w:cs="David"/>
          <w:sz w:val="24"/>
          <w:szCs w:val="24"/>
          <w:rtl/>
        </w:rPr>
        <w:t>עו"ד נתן קנת, לשכת עורכי-הדין</w:t>
      </w:r>
    </w:p>
    <w:p w:rsidR="00000000" w:rsidRDefault="0098102F">
      <w:pPr>
        <w:ind w:left="1440"/>
        <w:jc w:val="both"/>
        <w:rPr>
          <w:rFonts w:cs="David"/>
          <w:sz w:val="24"/>
          <w:szCs w:val="24"/>
          <w:rtl/>
        </w:rPr>
      </w:pPr>
      <w:r>
        <w:rPr>
          <w:rFonts w:cs="David"/>
          <w:sz w:val="24"/>
          <w:szCs w:val="24"/>
          <w:rtl/>
        </w:rPr>
        <w:t>עו"ד רינת קיטאי, האגודה לזכויות האזרח</w:t>
      </w: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יועץ משפטי</w:t>
      </w:r>
      <w:r>
        <w:rPr>
          <w:rFonts w:cs="David"/>
          <w:sz w:val="24"/>
          <w:szCs w:val="24"/>
          <w:rtl/>
        </w:rPr>
        <w:t>:</w:t>
      </w:r>
      <w:r>
        <w:rPr>
          <w:rFonts w:cs="David"/>
          <w:sz w:val="24"/>
          <w:szCs w:val="24"/>
          <w:rtl/>
        </w:rPr>
        <w:tab/>
        <w:t>שלמה שהם</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מנהלת הוועדה</w:t>
      </w:r>
      <w:r>
        <w:rPr>
          <w:rFonts w:cs="David"/>
          <w:sz w:val="24"/>
          <w:szCs w:val="24"/>
          <w:rtl/>
        </w:rPr>
        <w:t>: דורית ואג</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center"/>
        <w:rPr>
          <w:rFonts w:cs="David"/>
          <w:b/>
          <w:bCs/>
          <w:sz w:val="24"/>
          <w:szCs w:val="24"/>
          <w:u w:val="single"/>
          <w:rtl/>
        </w:rPr>
      </w:pPr>
      <w:r>
        <w:rPr>
          <w:rFonts w:cs="David"/>
          <w:b/>
          <w:bCs/>
          <w:sz w:val="24"/>
          <w:szCs w:val="24"/>
          <w:u w:val="single"/>
          <w:rtl/>
        </w:rPr>
        <w:t>ס ד ר    ה י ו ם</w:t>
      </w:r>
    </w:p>
    <w:p w:rsidR="00000000" w:rsidRDefault="0098102F">
      <w:pPr>
        <w:jc w:val="center"/>
        <w:rPr>
          <w:rFonts w:cs="David"/>
          <w:b/>
          <w:bCs/>
          <w:sz w:val="24"/>
          <w:szCs w:val="24"/>
          <w:u w:val="single"/>
          <w:rtl/>
        </w:rPr>
      </w:pPr>
    </w:p>
    <w:p w:rsidR="00000000" w:rsidRDefault="0098102F">
      <w:pPr>
        <w:jc w:val="center"/>
        <w:rPr>
          <w:rFonts w:cs="David"/>
          <w:b/>
          <w:bCs/>
          <w:sz w:val="24"/>
          <w:szCs w:val="24"/>
          <w:u w:val="single"/>
          <w:rtl/>
        </w:rPr>
      </w:pPr>
      <w:r>
        <w:rPr>
          <w:rFonts w:cs="David"/>
          <w:b/>
          <w:bCs/>
          <w:sz w:val="24"/>
          <w:szCs w:val="24"/>
          <w:u w:val="single"/>
          <w:rtl/>
        </w:rPr>
        <w:t>דיון בהצעות להחיל רציפות על הצעות חוק מהכנסת ה - 14-</w:t>
      </w:r>
    </w:p>
    <w:p w:rsidR="00000000" w:rsidRDefault="0098102F">
      <w:pPr>
        <w:jc w:val="center"/>
        <w:rPr>
          <w:rFonts w:cs="David"/>
          <w:b/>
          <w:bCs/>
          <w:sz w:val="24"/>
          <w:szCs w:val="24"/>
          <w:u w:val="single"/>
          <w:rtl/>
        </w:rPr>
      </w:pPr>
      <w:r>
        <w:rPr>
          <w:rFonts w:cs="David"/>
          <w:b/>
          <w:bCs/>
          <w:sz w:val="24"/>
          <w:szCs w:val="24"/>
          <w:u w:val="single"/>
          <w:rtl/>
        </w:rPr>
        <w:lastRenderedPageBreak/>
        <w:t xml:space="preserve">הצעת </w:t>
      </w:r>
      <w:r>
        <w:rPr>
          <w:rFonts w:cs="David"/>
          <w:b/>
          <w:bCs/>
          <w:sz w:val="24"/>
          <w:szCs w:val="24"/>
          <w:u w:val="single"/>
          <w:rtl/>
        </w:rPr>
        <w:t>חוק סדר הדין הפלילי (תיקון מס' 26) (זכות השימוע), התשנ"ט- 1999</w:t>
      </w:r>
    </w:p>
    <w:p w:rsidR="00000000" w:rsidRDefault="0098102F">
      <w:pPr>
        <w:jc w:val="center"/>
        <w:rPr>
          <w:rFonts w:cs="David"/>
          <w:b/>
          <w:bCs/>
          <w:sz w:val="24"/>
          <w:szCs w:val="24"/>
          <w:u w:val="single"/>
          <w:rtl/>
        </w:rPr>
      </w:pPr>
      <w:r>
        <w:rPr>
          <w:rFonts w:cs="David"/>
          <w:b/>
          <w:bCs/>
          <w:sz w:val="24"/>
          <w:szCs w:val="24"/>
          <w:u w:val="single"/>
          <w:rtl/>
        </w:rPr>
        <w:t>של חבר הכנסת אמנון רובינשטיין</w:t>
      </w:r>
    </w:p>
    <w:p w:rsidR="00000000" w:rsidRDefault="0098102F">
      <w:pPr>
        <w:jc w:val="both"/>
        <w:rPr>
          <w:rFonts w:cs="David"/>
          <w:sz w:val="24"/>
          <w:szCs w:val="24"/>
          <w:rtl/>
        </w:rPr>
      </w:pPr>
      <w:r>
        <w:rPr>
          <w:rFonts w:cs="David"/>
          <w:sz w:val="24"/>
          <w:szCs w:val="24"/>
          <w:rtl/>
        </w:rPr>
        <w:br w:type="page"/>
      </w:r>
    </w:p>
    <w:p w:rsidR="00000000" w:rsidRDefault="0098102F">
      <w:pPr>
        <w:jc w:val="center"/>
        <w:rPr>
          <w:rFonts w:cs="David"/>
          <w:b/>
          <w:bCs/>
          <w:sz w:val="24"/>
          <w:szCs w:val="24"/>
          <w:u w:val="single"/>
          <w:rtl/>
        </w:rPr>
      </w:pPr>
      <w:r>
        <w:rPr>
          <w:rFonts w:cs="David"/>
          <w:b/>
          <w:bCs/>
          <w:sz w:val="24"/>
          <w:szCs w:val="24"/>
          <w:u w:val="single"/>
          <w:rtl/>
        </w:rPr>
        <w:t>דיון בהצעות להחיל רציפות על הצעות חוק מהכנסת ה14- -</w:t>
      </w:r>
    </w:p>
    <w:p w:rsidR="00000000" w:rsidRDefault="0098102F">
      <w:pPr>
        <w:jc w:val="center"/>
        <w:rPr>
          <w:rFonts w:cs="David"/>
          <w:b/>
          <w:bCs/>
          <w:sz w:val="24"/>
          <w:szCs w:val="24"/>
          <w:u w:val="single"/>
          <w:rtl/>
        </w:rPr>
      </w:pPr>
      <w:r>
        <w:rPr>
          <w:rFonts w:cs="David"/>
          <w:b/>
          <w:bCs/>
          <w:sz w:val="24"/>
          <w:szCs w:val="24"/>
          <w:u w:val="single"/>
          <w:rtl/>
        </w:rPr>
        <w:t>הצעת חוק סדר הדין הפלילי (תיקון מס' 26) (זכות השימוע), התשנ"ט1999-</w:t>
      </w:r>
    </w:p>
    <w:p w:rsidR="00000000" w:rsidRDefault="0098102F">
      <w:pPr>
        <w:jc w:val="center"/>
        <w:rPr>
          <w:rFonts w:cs="David"/>
          <w:b/>
          <w:bCs/>
          <w:sz w:val="24"/>
          <w:szCs w:val="24"/>
          <w:u w:val="single"/>
          <w:rtl/>
        </w:rPr>
      </w:pPr>
      <w:r>
        <w:rPr>
          <w:rFonts w:cs="David"/>
          <w:b/>
          <w:bCs/>
          <w:sz w:val="24"/>
          <w:szCs w:val="24"/>
          <w:u w:val="single"/>
          <w:rtl/>
        </w:rPr>
        <w:t>של חבר הכנסת אמנון רובינשטיין וחברי כנסת</w:t>
      </w: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w:t>
      </w:r>
    </w:p>
    <w:p w:rsidR="00000000" w:rsidRDefault="0098102F">
      <w:pPr>
        <w:jc w:val="both"/>
        <w:rPr>
          <w:rFonts w:cs="David"/>
          <w:sz w:val="24"/>
          <w:szCs w:val="24"/>
          <w:rtl/>
        </w:rPr>
      </w:pPr>
      <w:r>
        <w:rPr>
          <w:rFonts w:cs="David"/>
          <w:sz w:val="24"/>
          <w:szCs w:val="24"/>
          <w:rtl/>
        </w:rPr>
        <w:t>הנושא שלנו הוא הצעה להחיל רציפות על הצעות חוק מהכנסת ה14-, הצעת חוק סדר הדין הפלילי (תיקון מס' 26) (זכות השימוע),  התשנ"ט1999- שלי ושל חברי כנסת נוספים.</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בכנסת הקודמת הוחלט שמעבי</w:t>
      </w:r>
      <w:r>
        <w:rPr>
          <w:rFonts w:cs="David"/>
          <w:sz w:val="24"/>
          <w:szCs w:val="24"/>
          <w:rtl/>
        </w:rPr>
        <w:t>רים את החוק לקריאה ראשונה, אבל אם זה לא יעבור בקריאה שנייה ושלישית בכנסת הקודמת, לפני החלת הרציפות בכנסת הבאה, דהיינו בכנסת הזו, יתקיים דיון נוסף.</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התקיים דיון נוסף עם פרקליטת המדינה עם היועץ המשפטי לממשלה ונציגיו כאן – שגם יושבים לידי עכשיו – ובישיבה האחר</w:t>
      </w:r>
      <w:r>
        <w:rPr>
          <w:rFonts w:cs="David"/>
          <w:sz w:val="24"/>
          <w:szCs w:val="24"/>
          <w:rtl/>
        </w:rPr>
        <w:t>ונה שהתקיימה בעניין זה הוסכם על שני דברים: ראשית, שיהיה נוסח חדש לצורך החלת הרציפות והוא נוסח שמתייחס לחובת היידוע כפי שהציעה גב' יהודית קרפ, שאני רואה בזה נושא חשוב ביותר, ולעניין השימוע הוצע על ידי – ואני חושב שזה גם יתקבל – שההנחיות של היועץ המשפטי לממש</w:t>
      </w:r>
      <w:r>
        <w:rPr>
          <w:rFonts w:cs="David"/>
          <w:sz w:val="24"/>
          <w:szCs w:val="24"/>
          <w:rtl/>
        </w:rPr>
        <w:t>לה בעניין השימוע יבואו לאישור ועדת החוקה. אני מוכן שאישור ועדת החוקה יהיה בפרוצדורה של הסכמה כאן, אבל נדמה לי שזה יהיה טוב אם זה יהיה גם בחוק. אני לא רוצה להכריע בעניין הזה בהיעדרה של פרקליטת המדינה.</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אני מציע שנאשר להחלת הרציפות את ההצעה כנוסחה כפי שהובאה</w:t>
      </w:r>
      <w:r>
        <w:rPr>
          <w:rFonts w:cs="David"/>
          <w:sz w:val="24"/>
          <w:szCs w:val="24"/>
          <w:rtl/>
        </w:rPr>
        <w:t xml:space="preserve"> לנו על-ידי גברת לבנת משיח בשם פרקליטת המדינה.</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אני מבקש להעביר את זה לפרוטוקול.</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היא שונה מהצעת החוק הבסיסית שלכם.</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היו"ר אמנון רובינשטיין:</w:t>
      </w:r>
      <w:r>
        <w:rPr>
          <w:rFonts w:cs="David"/>
          <w:sz w:val="24"/>
          <w:szCs w:val="24"/>
          <w:rtl/>
        </w:rPr>
        <w:tab/>
        <w:t>שונה לחלוטין.</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ואתה תחיל דין רציפות על זה?</w:t>
      </w:r>
    </w:p>
    <w:p w:rsidR="00000000" w:rsidRDefault="0098102F">
      <w:pPr>
        <w:jc w:val="both"/>
        <w:rPr>
          <w:rFonts w:cs="David"/>
          <w:sz w:val="24"/>
          <w:szCs w:val="24"/>
          <w:rtl/>
        </w:rPr>
      </w:pPr>
    </w:p>
    <w:p w:rsidR="00000000" w:rsidRDefault="0098102F">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מחיל דין רציפות על </w:t>
      </w:r>
      <w:r>
        <w:rPr>
          <w:rFonts w:cs="David"/>
          <w:sz w:val="24"/>
          <w:szCs w:val="24"/>
          <w:rtl/>
        </w:rPr>
        <w:t xml:space="preserve">שלי, אבל מתחייב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ועשינו את זה מספר פעמים כבר – שהדיון לקריאה השנייה והשלישית יהיה על הנוסח שהוצע על-ידי משרד המשפטים ושאלת ההנחיות תידון ביחד עם הפרקליטות כאן בוועדת החוקה. התוצאה היא ברורה. אנחנו רוצים שועדת החוקה תראה את ההנחיות האלה, אבל הש</w:t>
      </w:r>
      <w:r>
        <w:rPr>
          <w:rFonts w:cs="David"/>
          <w:sz w:val="24"/>
          <w:szCs w:val="24"/>
          <w:rtl/>
        </w:rPr>
        <w:t>אלה אם זה יהיה בחוק או לא, אנחנו נדון ביחד עם פרקליטת המדינה ועם משרד המשפטים.</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אני מעביר את ההצעה פה אחד להחלת הרציפות בכפוף לכל מה שאמרתי כאן והכתבתי לפרוטוקול בעניין זה שהדיון יהיה כאן לא על-פי הנוסח שפורסם בכחול אלא על-פי הנוסח שהציע משרד המשפטים.</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אני</w:t>
      </w:r>
      <w:r>
        <w:rPr>
          <w:rFonts w:cs="David"/>
          <w:sz w:val="24"/>
          <w:szCs w:val="24"/>
          <w:rtl/>
        </w:rPr>
        <w:t xml:space="preserve"> רוצה לחזור ולומר שהנוסח בכחול יש בו טעות גדולה מאוד בדברי ההסבר בקשר לעלות החוק. הייתה כאן טעות שנבעה כנראה מאי-הבנה כשנאמר שעלות החוק היא 2,4 מיליארד ש"ח. אני לא הייתי מציע הצעה שזו עלותה.</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תודה רבה. הישיבה נעולה.</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אני שוב פותח את הישיבה. לאחר התייעצות ע</w:t>
      </w:r>
      <w:r>
        <w:rPr>
          <w:rFonts w:cs="David"/>
          <w:sz w:val="24"/>
          <w:szCs w:val="24"/>
          <w:rtl/>
        </w:rPr>
        <w:t>ם מבקר המדינה ועם המשנה ליועץ המשפטי לממשלה ועם גברת לבנת משיח, אנחנו ננקוט בפרוצדורה הזאת: לאחר אישור הרציפות, אנחנו נביא את הצעת החוק בנוסחה כפי שהוצגה על-ידי פרקליטת המדינה להכנה לקריאה שנייה ושלישית וכמו כן נביא באותה ישיבה את ההנחיות החדשות כפי שהועבר</w:t>
      </w:r>
      <w:r>
        <w:rPr>
          <w:rFonts w:cs="David"/>
          <w:sz w:val="24"/>
          <w:szCs w:val="24"/>
          <w:rtl/>
        </w:rPr>
        <w:t>ו אלינו על-ידי פרקליטת המדינה. נדון בנושא ההנחיות ביחד עם הנושא של הצעת החוק וגם נדון בשאלה איך ועדת החוקה תיתן את האישור שלה כפי שהוצע בזמנו.</w:t>
      </w:r>
    </w:p>
    <w:p w:rsidR="00000000" w:rsidRDefault="0098102F">
      <w:pPr>
        <w:jc w:val="both"/>
        <w:rPr>
          <w:rFonts w:cs="David"/>
          <w:sz w:val="24"/>
          <w:szCs w:val="24"/>
          <w:rtl/>
        </w:rPr>
      </w:pPr>
    </w:p>
    <w:p w:rsidR="00000000" w:rsidRDefault="0098102F">
      <w:pPr>
        <w:jc w:val="both"/>
        <w:rPr>
          <w:rFonts w:cs="David"/>
          <w:sz w:val="24"/>
          <w:szCs w:val="24"/>
          <w:rtl/>
        </w:rPr>
      </w:pPr>
      <w:r>
        <w:rPr>
          <w:rFonts w:cs="David"/>
          <w:sz w:val="24"/>
          <w:szCs w:val="24"/>
          <w:rtl/>
        </w:rPr>
        <w:t>הישיבה נעולה.</w:t>
      </w:r>
    </w:p>
    <w:p w:rsidR="00000000" w:rsidRDefault="0098102F">
      <w:pPr>
        <w:jc w:val="both"/>
        <w:rPr>
          <w:rFonts w:cs="David"/>
          <w:sz w:val="24"/>
          <w:szCs w:val="24"/>
          <w:rtl/>
        </w:rPr>
      </w:pPr>
    </w:p>
    <w:p w:rsidR="00000000" w:rsidRDefault="0098102F">
      <w:pPr>
        <w:jc w:val="both"/>
        <w:rPr>
          <w:rFonts w:cs="David"/>
          <w:sz w:val="24"/>
          <w:szCs w:val="24"/>
          <w:rtl/>
        </w:rPr>
      </w:pPr>
    </w:p>
    <w:p w:rsidR="00000000" w:rsidRDefault="0098102F">
      <w:pPr>
        <w:pStyle w:val="2"/>
        <w:rPr>
          <w:rFonts w:cs="David"/>
          <w:sz w:val="24"/>
          <w:rtl/>
        </w:rPr>
      </w:pPr>
      <w:r>
        <w:rPr>
          <w:rFonts w:cs="David"/>
          <w:sz w:val="24"/>
          <w:rtl/>
        </w:rPr>
        <w:t>הישיבה ננעלה בשעה 09:40</w:t>
      </w: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rPr>
          <w:rFonts w:cs="Miriam"/>
          <w:rtl/>
        </w:rPr>
      </w:pPr>
    </w:p>
    <w:p w:rsidR="00000000" w:rsidRDefault="0098102F">
      <w:pPr>
        <w:jc w:val="center"/>
        <w:rPr>
          <w:rFonts w:cs="David"/>
          <w:b/>
          <w:bCs/>
          <w:sz w:val="24"/>
          <w:szCs w:val="24"/>
          <w:u w:val="single"/>
          <w:rtl/>
        </w:rPr>
      </w:pPr>
    </w:p>
    <w:p w:rsidR="00000000" w:rsidRDefault="0098102F">
      <w:pPr>
        <w:jc w:val="center"/>
        <w:rPr>
          <w:rFonts w:cs="David"/>
          <w:b/>
          <w:bCs/>
          <w:sz w:val="24"/>
          <w:szCs w:val="24"/>
          <w:u w:val="single"/>
          <w:rtl/>
        </w:rPr>
      </w:pPr>
    </w:p>
    <w:p w:rsidR="00000000" w:rsidRDefault="0098102F">
      <w:pPr>
        <w:jc w:val="center"/>
        <w:rPr>
          <w:rFonts w:cs="David"/>
          <w:b/>
          <w:bCs/>
          <w:sz w:val="24"/>
          <w:szCs w:val="24"/>
          <w:u w:val="single"/>
          <w:rtl/>
        </w:rPr>
      </w:pPr>
    </w:p>
    <w:p w:rsidR="00000000" w:rsidRDefault="0098102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102F">
      <w:r>
        <w:separator/>
      </w:r>
    </w:p>
  </w:endnote>
  <w:endnote w:type="continuationSeparator" w:id="0">
    <w:p w:rsidR="00000000" w:rsidRDefault="00981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02F">
    <w:pPr>
      <w:pStyle w:val="a7"/>
      <w:rPr>
        <w:rFonts w:cs="Miriam"/>
        <w:rtl/>
      </w:rPr>
    </w:pPr>
  </w:p>
  <w:p w:rsidR="00000000" w:rsidRDefault="009810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102F">
      <w:r>
        <w:separator/>
      </w:r>
    </w:p>
  </w:footnote>
  <w:footnote w:type="continuationSeparator" w:id="0">
    <w:p w:rsidR="00000000" w:rsidRDefault="00981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102F">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98102F">
    <w:pPr>
      <w:pStyle w:val="a5"/>
      <w:rPr>
        <w:rFonts w:cs="Miriam"/>
        <w:b/>
        <w:bCs/>
        <w:u w:val="single"/>
        <w:rtl/>
      </w:rPr>
    </w:pPr>
    <w:r>
      <w:rPr>
        <w:rFonts w:cs="Miriam"/>
        <w:b/>
        <w:bCs/>
        <w:u w:val="single"/>
        <w:rtl/>
      </w:rPr>
      <w:t>ועדת החוקה חוק ומשפט – 28.3.2000</w:t>
    </w:r>
  </w:p>
  <w:p w:rsidR="00000000" w:rsidRDefault="0098102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102F"/>
    <w:rsid w:val="00981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F600DB-729F-4C9D-8ACB-31CBCF6D3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596</Words>
  <Characters>2985</Characters>
  <Application>Microsoft Office Word</Application>
  <DocSecurity>0</DocSecurity>
  <Lines>24</Lines>
  <Paragraphs>7</Paragraphs>
  <ScaleCrop>false</ScaleCrop>
  <Company>ComputerLand -DORCOM Ltd</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חוקה/456</dc:title>
  <dc:subject>חוקה 28.3.2000</dc:subject>
  <dc:creator>חבר</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