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DE71A4">
      <w:pPr>
        <w:jc w:val="right"/>
        <w:rPr>
          <w:rFonts w:cs="David"/>
          <w:rtl/>
        </w:rPr>
      </w:pPr>
      <w:bookmarkStart w:id="0" w:name="_GoBack"/>
      <w:bookmarkEnd w:id="0"/>
      <w:r>
        <w:rPr>
          <w:rFonts w:cs="David"/>
          <w:rtl/>
        </w:rPr>
        <w:t>פרוטוקולים/ועדת חוקה/5363</w:t>
      </w:r>
    </w:p>
    <w:p w:rsidR="00000000" w:rsidRDefault="00DE71A4">
      <w:pPr>
        <w:jc w:val="right"/>
        <w:rPr>
          <w:rFonts w:cs="David"/>
          <w:rtl/>
        </w:rPr>
      </w:pPr>
      <w:r>
        <w:rPr>
          <w:rFonts w:cs="David"/>
          <w:rtl/>
        </w:rPr>
        <w:tab/>
        <w:t>ירושלים, כ' בתמוז, תשס"ב</w:t>
      </w:r>
    </w:p>
    <w:p w:rsidR="00000000" w:rsidRDefault="00DE71A4">
      <w:pPr>
        <w:jc w:val="right"/>
        <w:rPr>
          <w:rFonts w:cs="David"/>
          <w:rtl/>
          <w:lang w:val="es"/>
        </w:rPr>
      </w:pPr>
      <w:r>
        <w:rPr>
          <w:rFonts w:cs="David"/>
          <w:rtl/>
          <w:lang w:val="es"/>
        </w:rPr>
        <w:t>30 ביוני, 2002</w:t>
      </w:r>
    </w:p>
    <w:p w:rsidR="00000000" w:rsidRDefault="00DE71A4">
      <w:pPr>
        <w:jc w:val="right"/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b/>
          <w:bCs/>
          <w:rtl/>
        </w:rPr>
        <w:t>הכנסת החמש-עשרה</w:t>
      </w:r>
      <w:r>
        <w:rPr>
          <w:rFonts w:cs="David"/>
          <w:b/>
          <w:bCs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נוסח לא מתוקן</w:t>
      </w:r>
    </w:p>
    <w:p w:rsidR="00000000" w:rsidRDefault="00DE71A4">
      <w:pPr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מושב רביעי</w:t>
      </w:r>
    </w:p>
    <w:p w:rsidR="00000000" w:rsidRDefault="00DE71A4">
      <w:pPr>
        <w:rPr>
          <w:rFonts w:cs="David"/>
          <w:b/>
          <w:bCs/>
          <w:rtl/>
        </w:rPr>
      </w:pPr>
    </w:p>
    <w:p w:rsidR="00000000" w:rsidRDefault="00DE71A4">
      <w:pPr>
        <w:rPr>
          <w:rFonts w:cs="David"/>
          <w:b/>
          <w:bCs/>
          <w:rtl/>
        </w:rPr>
      </w:pPr>
    </w:p>
    <w:p w:rsidR="00000000" w:rsidRDefault="00DE71A4">
      <w:pPr>
        <w:rPr>
          <w:rFonts w:cs="David"/>
          <w:b/>
          <w:bCs/>
          <w:rtl/>
        </w:rPr>
      </w:pPr>
    </w:p>
    <w:p w:rsidR="00000000" w:rsidRDefault="00DE71A4">
      <w:pPr>
        <w:rPr>
          <w:rFonts w:cs="David"/>
          <w:b/>
          <w:bCs/>
          <w:rtl/>
        </w:rPr>
      </w:pPr>
    </w:p>
    <w:p w:rsidR="00000000" w:rsidRDefault="00DE71A4">
      <w:pPr>
        <w:pStyle w:val="10"/>
        <w:rPr>
          <w:rFonts w:cs="David"/>
          <w:rtl/>
        </w:rPr>
      </w:pPr>
      <w:r>
        <w:rPr>
          <w:rFonts w:cs="David"/>
          <w:rtl/>
        </w:rPr>
        <w:t>פרוטוקול מס' 495</w:t>
      </w:r>
    </w:p>
    <w:p w:rsidR="00000000" w:rsidRDefault="00DE71A4">
      <w:pPr>
        <w:pStyle w:val="40"/>
        <w:jc w:val="center"/>
        <w:rPr>
          <w:rFonts w:cs="David"/>
          <w:rtl/>
        </w:rPr>
      </w:pPr>
      <w:r>
        <w:rPr>
          <w:rFonts w:cs="David"/>
          <w:rtl/>
        </w:rPr>
        <w:t>מישיבת ועדת החוקה חוק ומשפט</w:t>
      </w:r>
    </w:p>
    <w:p w:rsidR="00000000" w:rsidRDefault="00DE71A4">
      <w:pPr>
        <w:pStyle w:val="5"/>
        <w:jc w:val="center"/>
        <w:rPr>
          <w:rFonts w:cs="David"/>
          <w:rtl/>
        </w:rPr>
      </w:pPr>
      <w:r>
        <w:rPr>
          <w:rFonts w:cs="David"/>
          <w:rtl/>
        </w:rPr>
        <w:t>יום שלישי, ט"ו בתמוז התשס"ב (25 ביוני 2002), שעה 11:45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DE71A4">
      <w:pPr>
        <w:rPr>
          <w:rFonts w:cs="David"/>
          <w:b/>
          <w:bCs/>
          <w:u w:val="single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סדר היום:</w:t>
      </w:r>
      <w:r>
        <w:rPr>
          <w:rFonts w:cs="David"/>
          <w:rtl/>
        </w:rPr>
        <w:t xml:space="preserve">    הצעת חוק להארכת תוקפן של תקנות שעת חירום (יהודה והשומרון</w:t>
      </w:r>
    </w:p>
    <w:p w:rsidR="00000000" w:rsidRDefault="00DE71A4">
      <w:pPr>
        <w:rPr>
          <w:rFonts w:cs="David"/>
          <w:rtl/>
        </w:rPr>
      </w:pPr>
      <w:r>
        <w:rPr>
          <w:rFonts w:cs="David"/>
          <w:rtl/>
        </w:rPr>
        <w:t xml:space="preserve">                      וחבל עזה – שיפוט בעבירות</w:t>
      </w:r>
      <w:r>
        <w:rPr>
          <w:rFonts w:cs="David"/>
          <w:rtl/>
        </w:rPr>
        <w:t xml:space="preserve"> ועזרה משפטית), התשס"ב-2002 – אישור</w:t>
      </w:r>
    </w:p>
    <w:p w:rsidR="00000000" w:rsidRDefault="00DE71A4">
      <w:pPr>
        <w:rPr>
          <w:rFonts w:cs="David"/>
          <w:rtl/>
        </w:rPr>
      </w:pPr>
      <w:r>
        <w:rPr>
          <w:rFonts w:cs="David"/>
          <w:rtl/>
        </w:rPr>
        <w:t xml:space="preserve">                      לקריאה שניה ושלישית – הצבעה.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נכחו:</w:t>
      </w:r>
    </w:p>
    <w:p w:rsidR="00000000" w:rsidRDefault="00DE71A4">
      <w:pPr>
        <w:rPr>
          <w:rFonts w:cs="David"/>
          <w:b/>
          <w:bCs/>
          <w:u w:val="single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חברי הוועדה</w:t>
      </w:r>
      <w:r>
        <w:rPr>
          <w:rFonts w:cs="David"/>
          <w:rtl/>
        </w:rPr>
        <w:t>:</w:t>
      </w:r>
      <w:r>
        <w:rPr>
          <w:rFonts w:cs="David"/>
          <w:rtl/>
        </w:rPr>
        <w:tab/>
        <w:t>אופיר פינס-פז – היו"ר</w:t>
      </w:r>
    </w:p>
    <w:p w:rsidR="00000000" w:rsidRDefault="00DE71A4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עזמי בשארה</w:t>
      </w:r>
    </w:p>
    <w:p w:rsidR="00000000" w:rsidRDefault="00DE71A4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שאול יהלום</w:t>
      </w:r>
    </w:p>
    <w:p w:rsidR="00000000" w:rsidRDefault="00DE71A4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נסים זאב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מוזמנים</w:t>
      </w:r>
      <w:r>
        <w:rPr>
          <w:rFonts w:cs="David"/>
          <w:rtl/>
        </w:rPr>
        <w:t>:</w:t>
      </w:r>
      <w:r>
        <w:rPr>
          <w:rFonts w:cs="David"/>
          <w:rtl/>
        </w:rPr>
        <w:tab/>
        <w:t>שר המשפטים מאיר שטרית</w:t>
      </w:r>
    </w:p>
    <w:p w:rsidR="00000000" w:rsidRDefault="00DE71A4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ז'אן קלוד נידם</w:t>
      </w:r>
      <w:r>
        <w:rPr>
          <w:rFonts w:cs="David"/>
          <w:rtl/>
        </w:rPr>
        <w:tab/>
      </w:r>
      <w:r>
        <w:rPr>
          <w:rFonts w:cs="David"/>
          <w:rtl/>
        </w:rPr>
        <w:tab/>
        <w:t xml:space="preserve">- ממונה על העזרה המשפטית, משרד </w:t>
      </w:r>
      <w:r>
        <w:rPr>
          <w:rFonts w:cs="David"/>
          <w:rtl/>
        </w:rPr>
        <w:t>המשפטים</w:t>
      </w:r>
    </w:p>
    <w:p w:rsidR="00000000" w:rsidRDefault="00DE71A4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סרן רואי דיק</w:t>
      </w:r>
      <w:r>
        <w:rPr>
          <w:rFonts w:cs="David"/>
          <w:rtl/>
        </w:rPr>
        <w:tab/>
      </w:r>
      <w:r>
        <w:rPr>
          <w:rFonts w:cs="David"/>
          <w:rtl/>
        </w:rPr>
        <w:tab/>
        <w:t>- רמ"ד אזרחי ומשפטי בענף דין בינלאומי, משרד הבטחון</w:t>
      </w:r>
      <w:r>
        <w:rPr>
          <w:rFonts w:cs="David"/>
          <w:rtl/>
        </w:rPr>
        <w:tab/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יועצת משפטית</w:t>
      </w:r>
      <w:r>
        <w:rPr>
          <w:rFonts w:cs="David"/>
          <w:rtl/>
        </w:rPr>
        <w:t>:</w:t>
      </w:r>
      <w:r>
        <w:rPr>
          <w:rFonts w:cs="David"/>
          <w:rtl/>
        </w:rPr>
        <w:tab/>
        <w:t>סיגל קוגוט</w:t>
      </w:r>
      <w:r>
        <w:rPr>
          <w:rFonts w:cs="David"/>
          <w:rtl/>
        </w:rPr>
        <w:tab/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מנהלת הוועדה</w:t>
      </w:r>
      <w:r>
        <w:rPr>
          <w:rFonts w:cs="David"/>
          <w:rtl/>
        </w:rPr>
        <w:t>:</w:t>
      </w:r>
      <w:r>
        <w:rPr>
          <w:rFonts w:cs="David"/>
          <w:rtl/>
        </w:rPr>
        <w:tab/>
        <w:t>דורית ואג</w:t>
      </w:r>
    </w:p>
    <w:p w:rsidR="00000000" w:rsidRDefault="00DE71A4">
      <w:pPr>
        <w:rPr>
          <w:rFonts w:cs="David"/>
          <w:b/>
          <w:bCs/>
          <w:u w:val="single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קצרנית</w:t>
      </w:r>
      <w:r>
        <w:rPr>
          <w:rFonts w:cs="David"/>
          <w:rtl/>
        </w:rPr>
        <w:t>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אביגיל זכאי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</w:p>
    <w:p w:rsidR="00000000" w:rsidRDefault="00DE71A4">
      <w:pPr>
        <w:jc w:val="center"/>
        <w:rPr>
          <w:rFonts w:cs="David"/>
          <w:b/>
          <w:bCs/>
          <w:rtl/>
        </w:rPr>
      </w:pPr>
      <w:r>
        <w:rPr>
          <w:rFonts w:cs="David"/>
          <w:rtl/>
        </w:rPr>
        <w:br w:type="page"/>
      </w:r>
      <w:r>
        <w:rPr>
          <w:rFonts w:cs="David"/>
          <w:b/>
          <w:bCs/>
          <w:rtl/>
        </w:rPr>
        <w:lastRenderedPageBreak/>
        <w:t>הצעת חוק להארכת תוקפן של תקנות שעת חירום (יהודה והשומרון</w:t>
      </w:r>
    </w:p>
    <w:p w:rsidR="00000000" w:rsidRDefault="00DE71A4">
      <w:pPr>
        <w:jc w:val="center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וחבל עזה – שיפוט בעבירות ועזרה משפטית),</w:t>
      </w:r>
      <w:r>
        <w:rPr>
          <w:rFonts w:cs="David"/>
          <w:b/>
          <w:bCs/>
          <w:u w:val="single"/>
          <w:rtl/>
        </w:rPr>
        <w:t xml:space="preserve"> התשס"ב-2002</w:t>
      </w:r>
    </w:p>
    <w:p w:rsidR="00000000" w:rsidRDefault="00DE71A4">
      <w:pPr>
        <w:rPr>
          <w:rFonts w:cs="David"/>
          <w:b/>
          <w:bCs/>
          <w:u w:val="single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u w:val="single"/>
          <w:rtl/>
        </w:rPr>
        <w:t>היו"ר אופיר פינס-פז: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rtl/>
        </w:rPr>
        <w:tab/>
        <w:t>אני פותח את הישיבה.  על סדר יומנו הצעת חוק להארכת תוקפן של תקנות שעת חירום (יהודה והשומרון וחבל עזה – שיפוט בעבירות ועזרה משפטית), התשס"ב-2002.  אני רוצה להזכיר שלפני שבוע הבאתי את הצעת החוק לדיון ראשוני, קיבלנו אז סקיר</w:t>
      </w:r>
      <w:r>
        <w:rPr>
          <w:rFonts w:cs="David"/>
          <w:rtl/>
        </w:rPr>
        <w:t>ה לא מספקת וביקשתי שהשר יגיע.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עזמי בשארה:</w:t>
      </w:r>
    </w:p>
    <w:p w:rsidR="00000000" w:rsidRDefault="00DE71A4">
      <w:pPr>
        <w:rPr>
          <w:rFonts w:cs="David"/>
          <w:u w:val="single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rtl/>
        </w:rPr>
        <w:tab/>
        <w:t xml:space="preserve"> הם הסבירו למה זה לחמש שנים?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u w:val="single"/>
          <w:rtl/>
        </w:rPr>
        <w:t>שר המשפטים מאיר שטרית: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rtl/>
        </w:rPr>
        <w:tab/>
        <w:t xml:space="preserve"> אנחנו מקווים שעד אז יהיה שלום.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עזמי בשארה:</w:t>
      </w:r>
    </w:p>
    <w:p w:rsidR="00000000" w:rsidRDefault="00DE71A4">
      <w:pPr>
        <w:rPr>
          <w:rFonts w:cs="David"/>
          <w:u w:val="single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rtl/>
        </w:rPr>
        <w:tab/>
        <w:t xml:space="preserve"> החוק הזה לא מצביע על כוונה כזאת, הוא מצביע על כך שאתה הולך להישאר שם חמש שנים.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u w:val="single"/>
          <w:rtl/>
        </w:rPr>
        <w:t>שר המשפטים מאיר שטרית: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rtl/>
        </w:rPr>
        <w:tab/>
        <w:t xml:space="preserve"> נכ</w:t>
      </w:r>
      <w:r>
        <w:rPr>
          <w:rFonts w:cs="David"/>
          <w:rtl/>
        </w:rPr>
        <w:t>ון.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עזמי בשארה:</w:t>
      </w:r>
    </w:p>
    <w:p w:rsidR="00000000" w:rsidRDefault="00DE71A4">
      <w:pPr>
        <w:rPr>
          <w:rFonts w:cs="David"/>
          <w:u w:val="single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rtl/>
        </w:rPr>
        <w:tab/>
        <w:t xml:space="preserve"> מין לבנון כזאת?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u w:val="single"/>
          <w:rtl/>
        </w:rPr>
        <w:t>שר המשפטים מאיר שטרית: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rtl/>
        </w:rPr>
        <w:tab/>
        <w:t xml:space="preserve"> לא.  זה תלוי בערפאת.  הוא יכול להתפטר עכשיו, לעשות בחירות חדשות ולהיבחר כדי שיהיה שלום.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עזמי בשארה:</w:t>
      </w:r>
    </w:p>
    <w:p w:rsidR="00000000" w:rsidRDefault="00DE71A4">
      <w:pPr>
        <w:rPr>
          <w:rFonts w:cs="David"/>
          <w:u w:val="single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rtl/>
        </w:rPr>
        <w:tab/>
        <w:t xml:space="preserve"> תחזרו ל-28 בספטמבר.  אני אומר לכם שיהיו גם בחירות נשיאותיות וגם בחירות לפרלמנט.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u w:val="single"/>
          <w:rtl/>
        </w:rPr>
        <w:t>שר המשפט</w:t>
      </w:r>
      <w:r>
        <w:rPr>
          <w:rFonts w:cs="David"/>
          <w:u w:val="single"/>
          <w:rtl/>
        </w:rPr>
        <w:t>ים מאיר שטרית: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rtl/>
        </w:rPr>
        <w:tab/>
        <w:t xml:space="preserve"> מישהו אחר ייבחר?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עזמי בשארה:</w:t>
      </w:r>
    </w:p>
    <w:p w:rsidR="00000000" w:rsidRDefault="00DE71A4">
      <w:pPr>
        <w:rPr>
          <w:rFonts w:cs="David"/>
          <w:u w:val="single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rtl/>
        </w:rPr>
        <w:tab/>
        <w:t xml:space="preserve"> מה איכפת לך את מי יבחרו?  תאפשר בחירות.  תיסוג לקווים של ה-28 בספטמבר ויום אחרי זה יהיו בחירות.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שאול יהלום:</w:t>
      </w:r>
    </w:p>
    <w:p w:rsidR="00000000" w:rsidRDefault="00DE71A4">
      <w:pPr>
        <w:rPr>
          <w:rFonts w:cs="David"/>
          <w:u w:val="single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rtl/>
        </w:rPr>
        <w:tab/>
        <w:t xml:space="preserve"> בחירות של בלוף, בחירות של שחיתות.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u w:val="single"/>
          <w:rtl/>
        </w:rPr>
        <w:t>היו"ר אופיר פינס-פז: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rtl/>
        </w:rPr>
        <w:tab/>
        <w:t>בבקשה, אדוני השר, תציג את החוק.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u w:val="single"/>
          <w:rtl/>
        </w:rPr>
        <w:lastRenderedPageBreak/>
        <w:t>שר</w:t>
      </w:r>
      <w:r>
        <w:rPr>
          <w:rFonts w:cs="David"/>
          <w:u w:val="single"/>
          <w:rtl/>
        </w:rPr>
        <w:t xml:space="preserve"> המשפטים מאיר שטרית: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rtl/>
        </w:rPr>
        <w:tab/>
        <w:t xml:space="preserve"> הצעת החוק שמונחת בפנינו קיימת מ-1967, מאז שחרור יהודה ושומרון ורצועת עזה.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עזמי בשארה:</w:t>
      </w:r>
    </w:p>
    <w:p w:rsidR="00000000" w:rsidRDefault="00DE71A4">
      <w:pPr>
        <w:rPr>
          <w:rFonts w:cs="David"/>
          <w:u w:val="single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rtl/>
        </w:rPr>
        <w:tab/>
        <w:t xml:space="preserve"> הרצחתם וגם ירשתם?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שאול יהלום:</w:t>
      </w:r>
    </w:p>
    <w:p w:rsidR="00000000" w:rsidRDefault="00DE71A4">
      <w:pPr>
        <w:rPr>
          <w:rFonts w:cs="David"/>
          <w:u w:val="single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rtl/>
        </w:rPr>
        <w:tab/>
        <w:t xml:space="preserve"> אני לא רצחתי, רצחו אותי.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נסים זאב:</w:t>
      </w:r>
    </w:p>
    <w:p w:rsidR="00000000" w:rsidRDefault="00DE71A4">
      <w:pPr>
        <w:rPr>
          <w:rFonts w:cs="David"/>
          <w:u w:val="single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rtl/>
        </w:rPr>
        <w:tab/>
        <w:t xml:space="preserve"> בינתיים אתם רוצחים אותנו.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u w:val="single"/>
          <w:rtl/>
        </w:rPr>
        <w:t>היו"ר אופיר פינס-פז: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rtl/>
        </w:rPr>
        <w:tab/>
        <w:t xml:space="preserve">אני קורא אותך לסדר </w:t>
      </w:r>
      <w:r>
        <w:rPr>
          <w:rFonts w:cs="David"/>
          <w:rtl/>
        </w:rPr>
        <w:t>פעם ראשונה חבר-הכנסת שאול יהלום, אני קורא אותך לסדר פעם ראשונה חבר הכנסת עזמי בשארה.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u w:val="single"/>
          <w:rtl/>
        </w:rPr>
        <w:t>שר המשפטים מאיר שטרית: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rtl/>
        </w:rPr>
        <w:tab/>
        <w:t xml:space="preserve"> הצעת החוק הוארכה מפעם לפעם על-ידי כל ממשלות ישראל לדורותיהן והיא מסדירה את כל הטיפול בצד המשפטי לישראלים תושבי יהודה ושומרון שחיים שם, גם לגבי ע</w:t>
      </w:r>
      <w:r>
        <w:rPr>
          <w:rFonts w:cs="David"/>
          <w:rtl/>
        </w:rPr>
        <w:t>בירות וגם לגבי הנושא של הפלשתינים.  באמצעות הצעת החוק הזאת ישראל יכולה לפעול ביהודה ושומרון ורצועת עזה על בסיס החוק והמשפט הישראלי.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rtl/>
        </w:rPr>
        <w:tab/>
        <w:t xml:space="preserve">מאחר שתוקפה של הצעת החוק יפוג ב-30 ביוני, צריך לאשר אותה עד אז בכנסת כדי שלא ייווצר חלל משפטי אפילו יום אחד.  ההצעה אמורה </w:t>
      </w:r>
      <w:r>
        <w:rPr>
          <w:rFonts w:cs="David"/>
          <w:rtl/>
        </w:rPr>
        <w:t>לבוא לדיון מחר במליאה ולכן צריך לפטור אותה מחובת הנחה. אופיר פינס הבטיח לי שהוא ילך לוועדת הכנסת לבקש פטור מחובת הנחה.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  <w:lang w:eastAsia="en-US"/>
        </w:rPr>
      </w:pPr>
      <w:r>
        <w:rPr>
          <w:rFonts w:cs="David"/>
          <w:u w:val="single"/>
          <w:rtl/>
          <w:lang w:eastAsia="en-US"/>
        </w:rPr>
        <w:t>דורית ואג: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rtl/>
        </w:rPr>
        <w:tab/>
        <w:t>אם יניחו אותה היום – לא צריך פטור.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u w:val="single"/>
          <w:rtl/>
        </w:rPr>
        <w:t>שר המשפטים מאיר שטרית: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rtl/>
        </w:rPr>
        <w:tab/>
        <w:t xml:space="preserve"> אני מבקש לאשר את ההארכה של התקנות הללו כדי שנוכל להמשיך את חי</w:t>
      </w:r>
      <w:r>
        <w:rPr>
          <w:rFonts w:cs="David"/>
          <w:rtl/>
        </w:rPr>
        <w:t>ינו עד אשר יהיה שלום.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u w:val="single"/>
          <w:rtl/>
        </w:rPr>
        <w:t>היו"ר אופיר פינס-פז: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rtl/>
        </w:rPr>
        <w:tab/>
        <w:t>אפשר לקצר את ההארכה לשלוש שנים במקום לחמש שנים?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u w:val="single"/>
          <w:rtl/>
        </w:rPr>
        <w:t>שר המשפטים מאיר שטרית: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rtl/>
        </w:rPr>
        <w:tab/>
        <w:t xml:space="preserve"> למה?  אני לא מציע לעשות זאת.</w:t>
      </w:r>
    </w:p>
    <w:p w:rsidR="00000000" w:rsidRDefault="00DE71A4">
      <w:pPr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DE71A4">
      <w:pPr>
        <w:rPr>
          <w:rFonts w:cs="David"/>
          <w:rtl/>
        </w:rPr>
      </w:pPr>
      <w:r>
        <w:rPr>
          <w:rFonts w:cs="David"/>
          <w:u w:val="single"/>
          <w:rtl/>
        </w:rPr>
        <w:t>היו"ר אופיר פינס-פז: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rtl/>
        </w:rPr>
        <w:tab/>
      </w:r>
    </w:p>
    <w:p w:rsidR="00000000" w:rsidRDefault="00DE71A4">
      <w:pPr>
        <w:rPr>
          <w:rFonts w:cs="David"/>
          <w:rtl/>
        </w:rPr>
      </w:pPr>
      <w:r>
        <w:rPr>
          <w:rFonts w:cs="David"/>
          <w:rtl/>
        </w:rPr>
        <w:tab/>
        <w:t>אפשר לאשר את ההצעה?  מי בעד?  מי נגד?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jc w:val="center"/>
        <w:rPr>
          <w:rFonts w:cs="David"/>
          <w:rtl/>
        </w:rPr>
      </w:pPr>
      <w:r>
        <w:rPr>
          <w:rFonts w:cs="David"/>
          <w:rtl/>
        </w:rPr>
        <w:t>הצבעה</w:t>
      </w:r>
    </w:p>
    <w:p w:rsidR="00000000" w:rsidRDefault="00DE71A4">
      <w:pPr>
        <w:jc w:val="center"/>
        <w:rPr>
          <w:rFonts w:cs="David"/>
          <w:rtl/>
        </w:rPr>
      </w:pPr>
      <w:r>
        <w:rPr>
          <w:rFonts w:cs="David"/>
          <w:rtl/>
        </w:rPr>
        <w:t>בעד – רוב;  נגד – 1</w:t>
      </w:r>
    </w:p>
    <w:p w:rsidR="00000000" w:rsidRDefault="00DE71A4">
      <w:pPr>
        <w:jc w:val="center"/>
        <w:rPr>
          <w:rFonts w:cs="David"/>
          <w:rtl/>
        </w:rPr>
      </w:pPr>
      <w:r>
        <w:rPr>
          <w:rFonts w:cs="David"/>
          <w:rtl/>
        </w:rPr>
        <w:t>הצעת החוק אושר</w:t>
      </w:r>
      <w:r>
        <w:rPr>
          <w:rFonts w:cs="David"/>
          <w:rtl/>
        </w:rPr>
        <w:t>ה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u w:val="single"/>
          <w:rtl/>
        </w:rPr>
        <w:t>היו"ר אופיר פינס-פז: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  <w:r>
        <w:rPr>
          <w:rFonts w:cs="David"/>
          <w:rtl/>
        </w:rPr>
        <w:tab/>
        <w:t>הצעת חוק להארכת תוקפן של תקנות שעת חירום (יהודה והשומרון וחבל עזה – שיפוט בעבירות ועזרה משפטית), התשס"ב-2002 אושרה בקריאה שניה ושלישית.  תודה.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rPr>
          <w:rFonts w:cs="David"/>
          <w:rtl/>
        </w:rPr>
      </w:pPr>
    </w:p>
    <w:p w:rsidR="00000000" w:rsidRDefault="00DE71A4">
      <w:pPr>
        <w:pStyle w:val="30"/>
        <w:rPr>
          <w:rFonts w:cs="David"/>
          <w:rtl/>
        </w:rPr>
      </w:pPr>
      <w:r>
        <w:rPr>
          <w:rFonts w:cs="David"/>
          <w:rtl/>
        </w:rPr>
        <w:t>הישיבה ננעלה בשעה 11:50</w:t>
      </w:r>
    </w:p>
    <w:p w:rsidR="00000000" w:rsidRDefault="00DE71A4">
      <w:pPr>
        <w:rPr>
          <w:rFonts w:cs="David"/>
          <w:rtl/>
        </w:rPr>
      </w:pPr>
    </w:p>
    <w:p w:rsidR="00000000" w:rsidRDefault="00DE71A4">
      <w:pPr>
        <w:jc w:val="right"/>
        <w:rPr>
          <w:rFonts w:cs="David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E71A4">
      <w:r>
        <w:separator/>
      </w:r>
    </w:p>
  </w:endnote>
  <w:endnote w:type="continuationSeparator" w:id="0">
    <w:p w:rsidR="00000000" w:rsidRDefault="00DE7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E71A4">
    <w:pPr>
      <w:pStyle w:val="a7"/>
      <w:rPr>
        <w:rFonts w:cs="David"/>
        <w:rtl/>
      </w:rPr>
    </w:pPr>
  </w:p>
  <w:p w:rsidR="00000000" w:rsidRDefault="00DE71A4">
    <w:pPr>
      <w:pStyle w:val="a7"/>
      <w:rPr>
        <w:rFonts w:cs="David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E71A4">
    <w:pPr>
      <w:pStyle w:val="a7"/>
      <w:rPr>
        <w:rFonts w:cs="David"/>
        <w:rtl/>
      </w:rPr>
    </w:pPr>
  </w:p>
  <w:p w:rsidR="00000000" w:rsidRDefault="00DE71A4">
    <w:pPr>
      <w:pStyle w:val="a7"/>
      <w:rPr>
        <w:rFonts w:cs="David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E71A4">
      <w:r>
        <w:separator/>
      </w:r>
    </w:p>
  </w:footnote>
  <w:footnote w:type="continuationSeparator" w:id="0">
    <w:p w:rsidR="00000000" w:rsidRDefault="00DE71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E71A4">
    <w:pPr>
      <w:pStyle w:val="a5"/>
      <w:framePr w:wrap="auto" w:vAnchor="text" w:hAnchor="margin" w:y="1"/>
      <w:rPr>
        <w:rStyle w:val="a9"/>
        <w:rFonts w:cs="David"/>
        <w:rtl/>
      </w:rPr>
    </w:pPr>
    <w:r>
      <w:rPr>
        <w:rStyle w:val="a9"/>
        <w:rFonts w:cs="David"/>
      </w:rPr>
      <w:fldChar w:fldCharType="begin"/>
    </w:r>
    <w:r>
      <w:rPr>
        <w:rStyle w:val="a9"/>
        <w:rFonts w:cs="David"/>
      </w:rPr>
      <w:instrText xml:space="preserve">PAGE  </w:instrText>
    </w:r>
    <w:r>
      <w:rPr>
        <w:rStyle w:val="a9"/>
        <w:rFonts w:cs="David"/>
      </w:rPr>
      <w:fldChar w:fldCharType="separate"/>
    </w:r>
    <w:r>
      <w:rPr>
        <w:rStyle w:val="a9"/>
        <w:rFonts w:cs="David"/>
        <w:noProof/>
        <w:rtl/>
      </w:rPr>
      <w:t>4</w:t>
    </w:r>
    <w:r>
      <w:rPr>
        <w:rStyle w:val="a9"/>
        <w:rFonts w:cs="David"/>
      </w:rPr>
      <w:fldChar w:fldCharType="end"/>
    </w:r>
  </w:p>
  <w:p w:rsidR="00000000" w:rsidRDefault="00DE71A4">
    <w:pPr>
      <w:pStyle w:val="a5"/>
      <w:ind w:right="360"/>
      <w:rPr>
        <w:rFonts w:cs="David"/>
        <w:rtl/>
      </w:rPr>
    </w:pPr>
    <w:r>
      <w:rPr>
        <w:rFonts w:cs="David"/>
        <w:rtl/>
      </w:rPr>
      <w:t>ועדת החוקה חוק ומשפט</w:t>
    </w:r>
  </w:p>
  <w:p w:rsidR="00000000" w:rsidRDefault="00DE71A4">
    <w:pPr>
      <w:pStyle w:val="a5"/>
      <w:ind w:right="360"/>
      <w:rPr>
        <w:rStyle w:val="a9"/>
        <w:rFonts w:cs="David"/>
        <w:rtl/>
      </w:rPr>
    </w:pPr>
    <w:r>
      <w:rPr>
        <w:rFonts w:cs="David"/>
        <w:rtl/>
      </w:rPr>
      <w:t>25.6.2002</w:t>
    </w:r>
  </w:p>
  <w:p w:rsidR="00000000" w:rsidRDefault="00DE71A4">
    <w:pPr>
      <w:pStyle w:val="a5"/>
      <w:rPr>
        <w:rFonts w:cs="David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E71A4">
    <w:pPr>
      <w:pStyle w:val="a5"/>
      <w:rPr>
        <w:rFonts w:cs="David"/>
        <w:rtl/>
      </w:rPr>
    </w:pPr>
  </w:p>
  <w:p w:rsidR="00000000" w:rsidRDefault="00DE71A4">
    <w:pPr>
      <w:pStyle w:val="a5"/>
      <w:rPr>
        <w:rFonts w:cs="David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73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3600000572925B6D2FD511BECD001083FCCD060000000D8016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7414C494C002F6F3D4B4E45535345542D49535241454C2F6F753D4B4E45535345542F636E3D526563697069656E74732F636E3D70726F746F636F6C696D2F636E3D74616D61727300"/>
  </w:docVars>
  <w:rsids>
    <w:rsidRoot w:val="00DE71A4"/>
    <w:rsid w:val="00DE7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1A5A6F09-D7F1-4F52-BE2A-D857D7787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 w:val="24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558</Words>
  <Characters>2795</Characters>
  <Application>Microsoft Office Word</Application>
  <DocSecurity>0</DocSecurity>
  <Lines>23</Lines>
  <Paragraphs>6</Paragraphs>
  <ScaleCrop>false</ScaleCrop>
  <Company>knesset</Company>
  <LinksUpToDate>false</LinksUpToDate>
  <CharactersWithSpaces>3347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חוקה/5363</dc:title>
  <dc:subject>חוקה 25.6.2002ב</dc:subject>
  <dc:creator>אביגיל זכאי</dc:creator>
  <cp:keywords/>
  <dc:description/>
  <cp:lastModifiedBy>רינה דבורה קדרון</cp:lastModifiedBy>
  <cp:revision>2</cp:revision>
  <dcterms:created xsi:type="dcterms:W3CDTF">2017-04-19T10:23:00Z</dcterms:created>
  <dcterms:modified xsi:type="dcterms:W3CDTF">2017-04-19T10:23:00Z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