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387">
      <w:pPr>
        <w:jc w:val="right"/>
        <w:rPr>
          <w:rtl/>
        </w:rPr>
      </w:pPr>
      <w:bookmarkStart w:id="0" w:name="_GoBack"/>
      <w:bookmarkEnd w:id="0"/>
      <w:r>
        <w:rPr>
          <w:rtl/>
        </w:rPr>
        <w:t>פרוטוקולים/עבודה/2971</w:t>
      </w:r>
    </w:p>
    <w:p w:rsidR="00000000" w:rsidRDefault="00FD5387">
      <w:pPr>
        <w:jc w:val="right"/>
        <w:rPr>
          <w:rtl/>
        </w:rPr>
      </w:pPr>
      <w:r>
        <w:rPr>
          <w:rtl/>
        </w:rPr>
        <w:tab/>
        <w:t>ירושלים, כ"ד בניסן, תשס"א</w:t>
      </w:r>
    </w:p>
    <w:p w:rsidR="00000000" w:rsidRDefault="00FD5387">
      <w:pPr>
        <w:jc w:val="right"/>
        <w:rPr>
          <w:rtl/>
          <w:lang w:val="es"/>
        </w:rPr>
      </w:pPr>
      <w:r>
        <w:rPr>
          <w:rtl/>
          <w:lang w:val="es"/>
        </w:rPr>
        <w:t>17 באפריל, 2001</w:t>
      </w:r>
    </w:p>
    <w:p w:rsidR="00000000" w:rsidRDefault="00FD5387">
      <w:pPr>
        <w:jc w:val="right"/>
        <w:rPr>
          <w:rtl/>
        </w:rPr>
      </w:pPr>
    </w:p>
    <w:p w:rsidR="00000000" w:rsidRDefault="00FD5387">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FD5387">
      <w:pPr>
        <w:jc w:val="both"/>
        <w:rPr>
          <w:rFonts w:cs="David"/>
          <w:b/>
          <w:bCs/>
          <w:szCs w:val="24"/>
          <w:rtl/>
        </w:rPr>
      </w:pPr>
      <w:r>
        <w:rPr>
          <w:rFonts w:cs="David"/>
          <w:b/>
          <w:bCs/>
          <w:szCs w:val="24"/>
          <w:rtl/>
        </w:rPr>
        <w:t>מ</w:t>
      </w:r>
      <w:r>
        <w:rPr>
          <w:rFonts w:cs="David" w:hint="cs"/>
          <w:b/>
          <w:bCs/>
          <w:szCs w:val="24"/>
          <w:rtl/>
        </w:rPr>
        <w:t>ושב שלישי</w:t>
      </w:r>
    </w:p>
    <w:p w:rsidR="00000000" w:rsidRDefault="00FD5387">
      <w:pPr>
        <w:jc w:val="both"/>
        <w:rPr>
          <w:rFonts w:cs="David"/>
          <w:b/>
          <w:bCs/>
          <w:szCs w:val="24"/>
          <w:rtl/>
        </w:rPr>
      </w:pPr>
    </w:p>
    <w:p w:rsidR="00000000" w:rsidRDefault="00FD5387">
      <w:pPr>
        <w:jc w:val="both"/>
        <w:rPr>
          <w:rFonts w:cs="David"/>
          <w:b/>
          <w:bCs/>
          <w:szCs w:val="24"/>
          <w:rtl/>
        </w:rPr>
      </w:pPr>
    </w:p>
    <w:p w:rsidR="00000000" w:rsidRDefault="00FD5387">
      <w:pPr>
        <w:jc w:val="center"/>
        <w:rPr>
          <w:rFonts w:cs="David"/>
          <w:b/>
          <w:bCs/>
          <w:szCs w:val="24"/>
          <w:rtl/>
        </w:rPr>
      </w:pPr>
      <w:r>
        <w:rPr>
          <w:rFonts w:cs="David"/>
          <w:b/>
          <w:bCs/>
          <w:szCs w:val="24"/>
          <w:rtl/>
        </w:rPr>
        <w:t>פ</w:t>
      </w:r>
      <w:r>
        <w:rPr>
          <w:rFonts w:cs="David" w:hint="cs"/>
          <w:b/>
          <w:bCs/>
          <w:szCs w:val="24"/>
          <w:rtl/>
        </w:rPr>
        <w:t>רוטוקול מס' 290</w:t>
      </w:r>
    </w:p>
    <w:p w:rsidR="00000000" w:rsidRDefault="00FD5387">
      <w:pPr>
        <w:jc w:val="center"/>
        <w:rPr>
          <w:rFonts w:cs="David"/>
          <w:b/>
          <w:bCs/>
          <w:szCs w:val="24"/>
          <w:rtl/>
        </w:rPr>
      </w:pPr>
      <w:r>
        <w:rPr>
          <w:rFonts w:cs="David"/>
          <w:b/>
          <w:bCs/>
          <w:szCs w:val="24"/>
          <w:rtl/>
        </w:rPr>
        <w:t>מ</w:t>
      </w:r>
      <w:r>
        <w:rPr>
          <w:rFonts w:cs="David" w:hint="cs"/>
          <w:b/>
          <w:bCs/>
          <w:szCs w:val="24"/>
          <w:rtl/>
        </w:rPr>
        <w:t>ישיבת ועדת העבודה, הרווחה והבריאות</w:t>
      </w:r>
    </w:p>
    <w:p w:rsidR="00000000" w:rsidRDefault="00FD5387">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ב' בניסן התשס"א, 26.3.2001, בשעה 11:00</w:t>
      </w:r>
    </w:p>
    <w:p w:rsidR="00000000" w:rsidRDefault="00FD5387">
      <w:pPr>
        <w:jc w:val="both"/>
        <w:rPr>
          <w:rFonts w:cs="David"/>
          <w:b/>
          <w:bCs/>
          <w:szCs w:val="24"/>
          <w:u w:val="single"/>
          <w:rtl/>
        </w:rPr>
      </w:pPr>
    </w:p>
    <w:p w:rsidR="00000000" w:rsidRDefault="00FD5387">
      <w:pPr>
        <w:jc w:val="both"/>
        <w:rPr>
          <w:rFonts w:cs="David"/>
          <w:b/>
          <w:bCs/>
          <w:szCs w:val="24"/>
          <w:u w:val="single"/>
          <w:rtl/>
        </w:rPr>
      </w:pPr>
    </w:p>
    <w:p w:rsidR="00000000" w:rsidRDefault="00FD5387">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FD5387">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ט</w:t>
      </w:r>
      <w:r>
        <w:rPr>
          <w:rFonts w:cs="David" w:hint="cs"/>
          <w:szCs w:val="24"/>
          <w:rtl/>
        </w:rPr>
        <w:t>ל</w:t>
      </w: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דב קינן, מפקח עבודה ראשי לענף תנאים סוציאלים, עובדים</w:t>
      </w:r>
      <w:r>
        <w:rPr>
          <w:rFonts w:cs="David"/>
          <w:szCs w:val="24"/>
          <w:rtl/>
        </w:rPr>
        <w:t xml:space="preserve"> </w:t>
      </w:r>
      <w:r>
        <w:rPr>
          <w:rFonts w:cs="David" w:hint="cs"/>
          <w:szCs w:val="24"/>
          <w:rtl/>
        </w:rPr>
        <w:t xml:space="preserve">זרים,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משרד העבודה והרווחה</w:t>
      </w:r>
    </w:p>
    <w:p w:rsidR="00000000" w:rsidRDefault="00FD5387">
      <w:pPr>
        <w:ind w:left="1440"/>
        <w:jc w:val="both"/>
        <w:rPr>
          <w:rFonts w:cs="David"/>
          <w:szCs w:val="24"/>
          <w:rtl/>
        </w:rPr>
      </w:pPr>
      <w:r>
        <w:rPr>
          <w:rFonts w:cs="David"/>
          <w:szCs w:val="24"/>
          <w:rtl/>
        </w:rPr>
        <w:t>ע</w:t>
      </w:r>
      <w:r>
        <w:rPr>
          <w:rFonts w:cs="David" w:hint="cs"/>
          <w:szCs w:val="24"/>
          <w:rtl/>
        </w:rPr>
        <w:t>ו"ד סיגל אברג'יל, משרד העבודה והרווחה</w:t>
      </w:r>
    </w:p>
    <w:p w:rsidR="00000000" w:rsidRDefault="00FD5387">
      <w:pPr>
        <w:ind w:left="1440"/>
        <w:jc w:val="both"/>
        <w:rPr>
          <w:rFonts w:cs="David"/>
          <w:szCs w:val="24"/>
          <w:rtl/>
        </w:rPr>
      </w:pPr>
      <w:r>
        <w:rPr>
          <w:rFonts w:cs="David"/>
          <w:szCs w:val="24"/>
          <w:rtl/>
        </w:rPr>
        <w:t>ש</w:t>
      </w:r>
      <w:r>
        <w:rPr>
          <w:rFonts w:cs="David" w:hint="cs"/>
          <w:szCs w:val="24"/>
          <w:rtl/>
        </w:rPr>
        <w:t>ושנה שטראוס, משרד העבודה והרווחה</w:t>
      </w:r>
    </w:p>
    <w:p w:rsidR="00000000" w:rsidRDefault="00FD5387">
      <w:pPr>
        <w:ind w:left="1440"/>
        <w:jc w:val="both"/>
        <w:rPr>
          <w:rFonts w:cs="David"/>
          <w:szCs w:val="24"/>
          <w:rtl/>
        </w:rPr>
      </w:pPr>
      <w:r>
        <w:rPr>
          <w:rFonts w:cs="David"/>
          <w:szCs w:val="24"/>
          <w:rtl/>
        </w:rPr>
        <w:t>י</w:t>
      </w:r>
      <w:r>
        <w:rPr>
          <w:rFonts w:cs="David" w:hint="cs"/>
          <w:szCs w:val="24"/>
          <w:rtl/>
        </w:rPr>
        <w:t>הודה רג'ין, אגף המכס ומע"מ, משרד האוצר</w:t>
      </w:r>
    </w:p>
    <w:p w:rsidR="00000000" w:rsidRDefault="00FD5387">
      <w:pPr>
        <w:ind w:left="1440"/>
        <w:jc w:val="both"/>
        <w:rPr>
          <w:rFonts w:cs="David"/>
          <w:szCs w:val="24"/>
          <w:rtl/>
        </w:rPr>
      </w:pPr>
      <w:r>
        <w:rPr>
          <w:rFonts w:cs="David"/>
          <w:szCs w:val="24"/>
          <w:rtl/>
        </w:rPr>
        <w:t>ש</w:t>
      </w:r>
      <w:r>
        <w:rPr>
          <w:rFonts w:cs="David" w:hint="cs"/>
          <w:szCs w:val="24"/>
          <w:rtl/>
        </w:rPr>
        <w:t>רון דונסקי, אגף שוק ההון, משרד האוצר</w:t>
      </w:r>
    </w:p>
    <w:p w:rsidR="00000000" w:rsidRDefault="00FD5387">
      <w:pPr>
        <w:ind w:left="1440"/>
        <w:jc w:val="both"/>
        <w:rPr>
          <w:rFonts w:cs="David"/>
          <w:szCs w:val="24"/>
          <w:rtl/>
        </w:rPr>
      </w:pPr>
      <w:r>
        <w:rPr>
          <w:rFonts w:cs="David"/>
          <w:szCs w:val="24"/>
          <w:rtl/>
        </w:rPr>
        <w:t>ע</w:t>
      </w:r>
      <w:r>
        <w:rPr>
          <w:rFonts w:cs="David" w:hint="cs"/>
          <w:szCs w:val="24"/>
          <w:rtl/>
        </w:rPr>
        <w:t>ו"ד נתן</w:t>
      </w:r>
      <w:r>
        <w:rPr>
          <w:rFonts w:cs="David" w:hint="cs"/>
          <w:szCs w:val="24"/>
          <w:rtl/>
        </w:rPr>
        <w:t xml:space="preserve"> סמוך, משרד הבריאות</w:t>
      </w:r>
    </w:p>
    <w:p w:rsidR="00000000" w:rsidRDefault="00FD5387">
      <w:pPr>
        <w:ind w:left="1440"/>
        <w:jc w:val="both"/>
        <w:rPr>
          <w:rFonts w:cs="David"/>
          <w:szCs w:val="24"/>
          <w:rtl/>
        </w:rPr>
      </w:pPr>
      <w:r>
        <w:rPr>
          <w:rFonts w:cs="David"/>
          <w:szCs w:val="24"/>
          <w:rtl/>
        </w:rPr>
        <w:t>ד</w:t>
      </w:r>
      <w:r>
        <w:rPr>
          <w:rFonts w:cs="David" w:hint="cs"/>
          <w:szCs w:val="24"/>
          <w:rtl/>
        </w:rPr>
        <w:t>"ר מרון שמחוביץ, קופת-חולים לאומית</w:t>
      </w:r>
    </w:p>
    <w:p w:rsidR="00000000" w:rsidRDefault="00FD5387">
      <w:pPr>
        <w:ind w:left="1440"/>
        <w:jc w:val="both"/>
        <w:rPr>
          <w:rFonts w:cs="David"/>
          <w:szCs w:val="24"/>
          <w:rtl/>
        </w:rPr>
      </w:pPr>
      <w:r>
        <w:rPr>
          <w:rFonts w:cs="David"/>
          <w:szCs w:val="24"/>
          <w:rtl/>
        </w:rPr>
        <w:t>י</w:t>
      </w:r>
      <w:r>
        <w:rPr>
          <w:rFonts w:cs="David" w:hint="cs"/>
          <w:szCs w:val="24"/>
          <w:rtl/>
        </w:rPr>
        <w:t xml:space="preserve">עקב נבו, </w:t>
      </w:r>
      <w:r>
        <w:rPr>
          <w:rFonts w:cs="David"/>
          <w:szCs w:val="24"/>
          <w:rtl/>
        </w:rPr>
        <w:t>ש</w:t>
      </w:r>
      <w:r>
        <w:rPr>
          <w:rFonts w:cs="David" w:hint="cs"/>
          <w:szCs w:val="24"/>
          <w:rtl/>
        </w:rPr>
        <w:t>ירותי בריאות כללית</w:t>
      </w:r>
    </w:p>
    <w:p w:rsidR="00000000" w:rsidRDefault="00FD5387">
      <w:pPr>
        <w:ind w:left="1440"/>
        <w:jc w:val="both"/>
        <w:rPr>
          <w:rFonts w:cs="David"/>
          <w:szCs w:val="24"/>
          <w:rtl/>
        </w:rPr>
      </w:pPr>
      <w:r>
        <w:rPr>
          <w:rFonts w:cs="David"/>
          <w:szCs w:val="24"/>
          <w:rtl/>
        </w:rPr>
        <w:t>ד</w:t>
      </w:r>
      <w:r>
        <w:rPr>
          <w:rFonts w:cs="David" w:hint="cs"/>
          <w:szCs w:val="24"/>
          <w:rtl/>
        </w:rPr>
        <w:t>ני פייגה, קופת-חולים מכבי</w:t>
      </w:r>
    </w:p>
    <w:p w:rsidR="00000000" w:rsidRDefault="00FD5387">
      <w:pPr>
        <w:ind w:left="1440"/>
        <w:jc w:val="both"/>
        <w:rPr>
          <w:rFonts w:cs="David"/>
          <w:szCs w:val="24"/>
          <w:rtl/>
        </w:rPr>
      </w:pPr>
      <w:r>
        <w:rPr>
          <w:rFonts w:cs="David"/>
          <w:szCs w:val="24"/>
          <w:rtl/>
        </w:rPr>
        <w:t>ח</w:t>
      </w:r>
      <w:r>
        <w:rPr>
          <w:rFonts w:cs="David" w:hint="cs"/>
          <w:szCs w:val="24"/>
          <w:rtl/>
        </w:rPr>
        <w:t>נה זוהר, קו לעובד</w:t>
      </w:r>
    </w:p>
    <w:p w:rsidR="00000000" w:rsidRDefault="00FD5387">
      <w:pPr>
        <w:ind w:left="1440"/>
        <w:jc w:val="both"/>
        <w:rPr>
          <w:rFonts w:cs="David"/>
          <w:szCs w:val="24"/>
          <w:rtl/>
        </w:rPr>
      </w:pPr>
      <w:r>
        <w:rPr>
          <w:rFonts w:cs="David"/>
          <w:szCs w:val="24"/>
          <w:rtl/>
        </w:rPr>
        <w:t>ע</w:t>
      </w:r>
      <w:r>
        <w:rPr>
          <w:rFonts w:cs="David" w:hint="cs"/>
          <w:szCs w:val="24"/>
          <w:rtl/>
        </w:rPr>
        <w:t>די לקסר, קו לעובד</w:t>
      </w:r>
    </w:p>
    <w:p w:rsidR="00000000" w:rsidRDefault="00FD5387">
      <w:pPr>
        <w:ind w:left="1440"/>
        <w:jc w:val="both"/>
        <w:rPr>
          <w:rFonts w:cs="David"/>
          <w:szCs w:val="24"/>
          <w:rtl/>
        </w:rPr>
      </w:pPr>
      <w:r>
        <w:rPr>
          <w:rFonts w:cs="David"/>
          <w:szCs w:val="24"/>
          <w:rtl/>
        </w:rPr>
        <w:t>ע</w:t>
      </w:r>
      <w:r>
        <w:rPr>
          <w:rFonts w:cs="David" w:hint="cs"/>
          <w:szCs w:val="24"/>
          <w:rtl/>
        </w:rPr>
        <w:t>ו"ד דנה אלכסנדר, האגודה לזכויות האזרח</w:t>
      </w:r>
    </w:p>
    <w:p w:rsidR="00000000" w:rsidRDefault="00FD5387">
      <w:pPr>
        <w:ind w:left="1440"/>
        <w:jc w:val="both"/>
        <w:rPr>
          <w:rFonts w:cs="David"/>
          <w:szCs w:val="24"/>
          <w:rtl/>
        </w:rPr>
      </w:pPr>
      <w:r>
        <w:rPr>
          <w:rFonts w:cs="David"/>
          <w:szCs w:val="24"/>
          <w:rtl/>
        </w:rPr>
        <w:t>ד</w:t>
      </w:r>
      <w:r>
        <w:rPr>
          <w:rFonts w:cs="David" w:hint="cs"/>
          <w:szCs w:val="24"/>
          <w:rtl/>
        </w:rPr>
        <w:t>ניאלה במברגר-אנוש, האגודה לזכויות האזרח</w:t>
      </w:r>
    </w:p>
    <w:p w:rsidR="00000000" w:rsidRDefault="00FD5387">
      <w:pPr>
        <w:pStyle w:val="10"/>
        <w:ind w:left="1440"/>
        <w:rPr>
          <w:rtl/>
        </w:rPr>
      </w:pPr>
      <w:r>
        <w:rPr>
          <w:rtl/>
        </w:rPr>
        <w:t>ע</w:t>
      </w:r>
      <w:r>
        <w:rPr>
          <w:rFonts w:hint="cs"/>
          <w:rtl/>
        </w:rPr>
        <w:t xml:space="preserve">ו"ד מלכה בורו, ההסתדרות </w:t>
      </w:r>
      <w:r>
        <w:rPr>
          <w:rFonts w:hint="cs"/>
          <w:rtl/>
        </w:rPr>
        <w:t>הרפואית בישראל</w:t>
      </w:r>
    </w:p>
    <w:p w:rsidR="00000000" w:rsidRDefault="00FD5387">
      <w:pPr>
        <w:ind w:left="1440"/>
        <w:jc w:val="both"/>
        <w:rPr>
          <w:rFonts w:cs="David"/>
          <w:szCs w:val="24"/>
          <w:rtl/>
        </w:rPr>
      </w:pPr>
      <w:r>
        <w:rPr>
          <w:rFonts w:cs="David"/>
          <w:szCs w:val="24"/>
          <w:rtl/>
        </w:rPr>
        <w:t>י</w:t>
      </w:r>
      <w:r>
        <w:rPr>
          <w:rFonts w:cs="David" w:hint="cs"/>
          <w:szCs w:val="24"/>
          <w:rtl/>
        </w:rPr>
        <w:t>וסף שניר, התאחדות הקבלנים והבונים בישראל</w:t>
      </w:r>
    </w:p>
    <w:p w:rsidR="00000000" w:rsidRDefault="00FD5387">
      <w:pPr>
        <w:ind w:left="1440"/>
        <w:jc w:val="both"/>
        <w:rPr>
          <w:rFonts w:cs="David"/>
          <w:szCs w:val="24"/>
          <w:rtl/>
        </w:rPr>
      </w:pPr>
      <w:r>
        <w:rPr>
          <w:rFonts w:cs="David"/>
          <w:szCs w:val="24"/>
          <w:rtl/>
        </w:rPr>
        <w:t>א</w:t>
      </w:r>
      <w:r>
        <w:rPr>
          <w:rFonts w:cs="David" w:hint="cs"/>
          <w:szCs w:val="24"/>
          <w:rtl/>
        </w:rPr>
        <w:t>פרים ארי</w:t>
      </w:r>
      <w:r>
        <w:rPr>
          <w:rFonts w:cs="David"/>
          <w:szCs w:val="24"/>
          <w:rtl/>
        </w:rPr>
        <w:t>א</w:t>
      </w:r>
      <w:r>
        <w:rPr>
          <w:rFonts w:cs="David" w:hint="cs"/>
          <w:szCs w:val="24"/>
          <w:rtl/>
        </w:rPr>
        <w:t>לי, התאחדות הקבלנים והבונים בישראל</w:t>
      </w: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ג'ודי וסרמן</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שירלי אברמי</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FD5387">
      <w:pPr>
        <w:jc w:val="center"/>
        <w:rPr>
          <w:rFonts w:cs="David"/>
          <w:b/>
          <w:bCs/>
          <w:szCs w:val="24"/>
          <w:u w:val="single"/>
          <w:rtl/>
        </w:rPr>
      </w:pPr>
    </w:p>
    <w:p w:rsidR="00000000" w:rsidRDefault="00FD5387">
      <w:pPr>
        <w:jc w:val="center"/>
        <w:rPr>
          <w:rFonts w:cs="David"/>
          <w:b/>
          <w:bCs/>
          <w:szCs w:val="24"/>
          <w:u w:val="single"/>
          <w:rtl/>
        </w:rPr>
      </w:pPr>
      <w:r>
        <w:rPr>
          <w:rFonts w:cs="David"/>
          <w:b/>
          <w:bCs/>
          <w:szCs w:val="24"/>
          <w:u w:val="single"/>
          <w:rtl/>
        </w:rPr>
        <w:t>צ</w:t>
      </w:r>
      <w:r>
        <w:rPr>
          <w:rFonts w:cs="David" w:hint="cs"/>
          <w:b/>
          <w:bCs/>
          <w:szCs w:val="24"/>
          <w:u w:val="single"/>
          <w:rtl/>
        </w:rPr>
        <w:t>ו עובדים זרים (איסור העסקה שלא כדין והבטח</w:t>
      </w:r>
      <w:r>
        <w:rPr>
          <w:rFonts w:cs="David" w:hint="cs"/>
          <w:b/>
          <w:bCs/>
          <w:szCs w:val="24"/>
          <w:u w:val="single"/>
          <w:rtl/>
        </w:rPr>
        <w:t>ת תנאים הוגנים)</w:t>
      </w:r>
    </w:p>
    <w:p w:rsidR="00000000" w:rsidRDefault="00FD5387">
      <w:pPr>
        <w:jc w:val="center"/>
        <w:rPr>
          <w:rFonts w:cs="David"/>
          <w:b/>
          <w:bCs/>
          <w:szCs w:val="24"/>
          <w:u w:val="single"/>
          <w:rtl/>
        </w:rPr>
      </w:pPr>
      <w:r>
        <w:rPr>
          <w:rFonts w:cs="David"/>
          <w:b/>
          <w:bCs/>
          <w:szCs w:val="24"/>
          <w:u w:val="single"/>
          <w:rtl/>
        </w:rPr>
        <w:t>ד</w:t>
      </w:r>
      <w:r>
        <w:rPr>
          <w:rFonts w:cs="David" w:hint="cs"/>
          <w:b/>
          <w:bCs/>
          <w:szCs w:val="24"/>
          <w:u w:val="single"/>
          <w:rtl/>
        </w:rPr>
        <w:t>יון בסעיף 9</w:t>
      </w:r>
    </w:p>
    <w:p w:rsidR="00000000" w:rsidRDefault="00FD5387">
      <w:pPr>
        <w:jc w:val="both"/>
        <w:rPr>
          <w:rFonts w:cs="David"/>
          <w:szCs w:val="24"/>
          <w:rtl/>
        </w:rPr>
      </w:pPr>
      <w:r>
        <w:rPr>
          <w:rFonts w:cs="David"/>
          <w:szCs w:val="24"/>
          <w:rtl/>
        </w:rPr>
        <w:br w:type="page"/>
      </w:r>
    </w:p>
    <w:p w:rsidR="00000000" w:rsidRDefault="00FD5387">
      <w:pPr>
        <w:jc w:val="both"/>
        <w:rPr>
          <w:rFonts w:cs="David"/>
          <w:szCs w:val="24"/>
          <w:rtl/>
        </w:rPr>
      </w:pPr>
    </w:p>
    <w:p w:rsidR="00000000" w:rsidRDefault="00FD5387">
      <w:pPr>
        <w:jc w:val="center"/>
        <w:rPr>
          <w:rFonts w:cs="David"/>
          <w:b/>
          <w:bCs/>
          <w:szCs w:val="24"/>
          <w:u w:val="single"/>
          <w:rtl/>
        </w:rPr>
      </w:pPr>
      <w:r>
        <w:rPr>
          <w:rFonts w:cs="David"/>
          <w:b/>
          <w:bCs/>
          <w:szCs w:val="24"/>
          <w:u w:val="single"/>
          <w:rtl/>
        </w:rPr>
        <w:t>צ</w:t>
      </w:r>
      <w:r>
        <w:rPr>
          <w:rFonts w:cs="David" w:hint="cs"/>
          <w:b/>
          <w:bCs/>
          <w:szCs w:val="24"/>
          <w:u w:val="single"/>
          <w:rtl/>
        </w:rPr>
        <w:t>ו עובדים זרים (איסור העסקה שלא כד</w:t>
      </w:r>
      <w:r>
        <w:rPr>
          <w:rFonts w:cs="David"/>
          <w:b/>
          <w:bCs/>
          <w:szCs w:val="24"/>
          <w:u w:val="single"/>
          <w:rtl/>
        </w:rPr>
        <w:t>י</w:t>
      </w:r>
      <w:r>
        <w:rPr>
          <w:rFonts w:cs="David" w:hint="cs"/>
          <w:b/>
          <w:bCs/>
          <w:szCs w:val="24"/>
          <w:u w:val="single"/>
          <w:rtl/>
        </w:rPr>
        <w:t>ן והבטחת תנאים הוגנים)</w:t>
      </w:r>
    </w:p>
    <w:p w:rsidR="00000000" w:rsidRDefault="00FD5387">
      <w:pPr>
        <w:jc w:val="center"/>
        <w:rPr>
          <w:rFonts w:cs="David"/>
          <w:b/>
          <w:bCs/>
          <w:szCs w:val="24"/>
          <w:u w:val="single"/>
          <w:rtl/>
        </w:rPr>
      </w:pPr>
      <w:r>
        <w:rPr>
          <w:rFonts w:cs="David"/>
          <w:b/>
          <w:bCs/>
          <w:szCs w:val="24"/>
          <w:u w:val="single"/>
          <w:rtl/>
        </w:rPr>
        <w:t>ד</w:t>
      </w:r>
      <w:r>
        <w:rPr>
          <w:rFonts w:cs="David" w:hint="cs"/>
          <w:b/>
          <w:bCs/>
          <w:szCs w:val="24"/>
          <w:u w:val="single"/>
          <w:rtl/>
        </w:rPr>
        <w:t>יון בסעיף 9</w:t>
      </w: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מתכבד לפתוח את ישיבת ועדת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הרווחה והבריאות כשעל סדר היום צו עובדים זרים (איסור העסקה שלא כדין והבטחת תנאים הוגנים), </w:t>
      </w:r>
      <w:r>
        <w:rPr>
          <w:rFonts w:cs="David" w:hint="cs"/>
          <w:szCs w:val="24"/>
          <w:rtl/>
        </w:rPr>
        <w:t>דיון בסעיף 9.</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תן סמוך:</w:t>
      </w:r>
      <w:r>
        <w:rPr>
          <w:rFonts w:cs="David"/>
          <w:szCs w:val="24"/>
          <w:rtl/>
        </w:rPr>
        <w:tab/>
      </w:r>
      <w:r>
        <w:rPr>
          <w:rFonts w:cs="David"/>
          <w:szCs w:val="24"/>
          <w:rtl/>
        </w:rPr>
        <w:tab/>
      </w:r>
      <w:r>
        <w:rPr>
          <w:rFonts w:cs="David"/>
          <w:szCs w:val="24"/>
          <w:rtl/>
        </w:rPr>
        <w:tab/>
      </w:r>
      <w:r>
        <w:rPr>
          <w:rFonts w:cs="David" w:hint="cs"/>
          <w:szCs w:val="24"/>
          <w:rtl/>
        </w:rPr>
        <w:t xml:space="preserve">בעקבות הישיבה הקודמת נדרשנו, היועצת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המשפטית יחד אתנו, לקבוע כללים לעניין מתן חוות דעת מומחה שיבטיחו שזו תהיה חוות דעת אובייקטיבית, שיתאפשר לבן-אדם לקבל חוות דעת מטעמו, שבהיעדר חוות דעת מוסכמת תינתן חוות דעת מגורם שלישי אובי</w:t>
      </w:r>
      <w:r>
        <w:rPr>
          <w:rFonts w:cs="David" w:hint="cs"/>
          <w:szCs w:val="24"/>
          <w:rtl/>
        </w:rPr>
        <w:t>יקטיבי.</w:t>
      </w:r>
    </w:p>
    <w:p w:rsidR="00000000" w:rsidRDefault="00FD5387">
      <w:pPr>
        <w:jc w:val="both"/>
        <w:rPr>
          <w:rFonts w:cs="David"/>
          <w:szCs w:val="24"/>
          <w:rtl/>
        </w:rPr>
      </w:pPr>
    </w:p>
    <w:p w:rsidR="00000000" w:rsidRDefault="00FD5387">
      <w:pPr>
        <w:jc w:val="both"/>
        <w:rPr>
          <w:rFonts w:cs="David"/>
          <w:szCs w:val="24"/>
          <w:rtl/>
        </w:rPr>
      </w:pPr>
      <w:r>
        <w:rPr>
          <w:rFonts w:cs="David"/>
          <w:szCs w:val="24"/>
          <w:rtl/>
        </w:rPr>
        <w:t>א</w:t>
      </w:r>
      <w:r>
        <w:rPr>
          <w:rFonts w:cs="David" w:hint="cs"/>
          <w:szCs w:val="24"/>
          <w:rtl/>
        </w:rPr>
        <w:t>נחנו ישבנו בנושא הזה ובסופו של דבר גיבשנו את הכללים שנמצ</w:t>
      </w:r>
      <w:r>
        <w:rPr>
          <w:rFonts w:cs="David"/>
          <w:szCs w:val="24"/>
          <w:rtl/>
        </w:rPr>
        <w:t>א</w:t>
      </w:r>
      <w:r>
        <w:rPr>
          <w:rFonts w:cs="David" w:hint="cs"/>
          <w:szCs w:val="24"/>
          <w:rtl/>
        </w:rPr>
        <w:t>ים בסעיף 9 שבפניכם כפוף לתיקוני נוסח לא משמעותיים של משרד המשפטים ואני אציג את העקרונות.</w:t>
      </w:r>
    </w:p>
    <w:p w:rsidR="00000000" w:rsidRDefault="00FD5387">
      <w:pPr>
        <w:jc w:val="both"/>
        <w:rPr>
          <w:rFonts w:cs="David"/>
          <w:szCs w:val="24"/>
          <w:rtl/>
        </w:rPr>
      </w:pPr>
    </w:p>
    <w:p w:rsidR="00000000" w:rsidRDefault="00FD5387">
      <w:pPr>
        <w:jc w:val="both"/>
        <w:rPr>
          <w:rFonts w:cs="David"/>
          <w:szCs w:val="24"/>
          <w:rtl/>
        </w:rPr>
      </w:pPr>
      <w:r>
        <w:rPr>
          <w:rFonts w:cs="David"/>
          <w:szCs w:val="24"/>
          <w:rtl/>
        </w:rPr>
        <w:t>ה</w:t>
      </w:r>
      <w:r>
        <w:rPr>
          <w:rFonts w:cs="David" w:hint="cs"/>
          <w:szCs w:val="24"/>
          <w:rtl/>
        </w:rPr>
        <w:t>עיקרון הוא שחברת הביטוח רשאית לדרוש מן האדם להתייצב בבדיקה רפואית, האדם עצמו בתוך 21 יום - לפי הער</w:t>
      </w:r>
      <w:r>
        <w:rPr>
          <w:rFonts w:cs="David" w:hint="cs"/>
          <w:szCs w:val="24"/>
          <w:rtl/>
        </w:rPr>
        <w:t xml:space="preserve">ות רופאים לזכויות אדם שביקשו להאריך את התקופה </w:t>
      </w:r>
      <w:r>
        <w:rPr>
          <w:rFonts w:cs="David"/>
          <w:szCs w:val="24"/>
        </w:rPr>
        <w:t>–</w:t>
      </w:r>
      <w:r>
        <w:rPr>
          <w:rFonts w:cs="David"/>
          <w:szCs w:val="24"/>
          <w:rtl/>
        </w:rPr>
        <w:t xml:space="preserve"> </w:t>
      </w:r>
      <w:r>
        <w:rPr>
          <w:rFonts w:cs="David" w:hint="cs"/>
          <w:szCs w:val="24"/>
          <w:rtl/>
        </w:rPr>
        <w:t>זכאי להביא חוות דע</w:t>
      </w:r>
      <w:r>
        <w:rPr>
          <w:rFonts w:cs="David"/>
          <w:szCs w:val="24"/>
          <w:rtl/>
        </w:rPr>
        <w:t>ת</w:t>
      </w:r>
      <w:r>
        <w:rPr>
          <w:rFonts w:cs="David" w:hint="cs"/>
          <w:szCs w:val="24"/>
          <w:rtl/>
        </w:rPr>
        <w:t xml:space="preserve"> נגדית. היה וחוות הדעת האלה חלוקות, יש אפשרות לגשת להסתדרות הרפואית, הר"י, כדי שכל איגוד מקצועי שנכלל בה ימנה את הרופא הבורר, ואם היא לא עשתה זאת, המנהל הכללי של משרד הבריאות או מי שהוא הסמ</w:t>
      </w:r>
      <w:r>
        <w:rPr>
          <w:rFonts w:cs="David" w:hint="cs"/>
          <w:szCs w:val="24"/>
          <w:rtl/>
        </w:rPr>
        <w:t>יכו לכך  יעשה זאת.</w:t>
      </w:r>
    </w:p>
    <w:p w:rsidR="00000000" w:rsidRDefault="00FD5387">
      <w:pPr>
        <w:jc w:val="both"/>
        <w:rPr>
          <w:rFonts w:cs="David"/>
          <w:szCs w:val="24"/>
          <w:rtl/>
        </w:rPr>
      </w:pPr>
    </w:p>
    <w:p w:rsidR="00000000" w:rsidRDefault="00FD5387">
      <w:pPr>
        <w:jc w:val="both"/>
        <w:rPr>
          <w:rFonts w:cs="David"/>
          <w:szCs w:val="24"/>
          <w:rtl/>
        </w:rPr>
      </w:pPr>
      <w:r>
        <w:rPr>
          <w:rFonts w:cs="David"/>
          <w:szCs w:val="24"/>
          <w:rtl/>
        </w:rPr>
        <w:t>ב</w:t>
      </w:r>
      <w:r>
        <w:rPr>
          <w:rFonts w:cs="David" w:hint="cs"/>
          <w:szCs w:val="24"/>
          <w:rtl/>
        </w:rPr>
        <w:t>סוף הדרך כשחולה מאושפז והשאלה נוגעת לייצובו ה</w:t>
      </w:r>
      <w:r>
        <w:rPr>
          <w:rFonts w:cs="David"/>
          <w:szCs w:val="24"/>
          <w:rtl/>
        </w:rPr>
        <w:t>ר</w:t>
      </w:r>
      <w:r>
        <w:rPr>
          <w:rFonts w:cs="David" w:hint="cs"/>
          <w:szCs w:val="24"/>
          <w:rtl/>
        </w:rPr>
        <w:t>פואי, עמדתו של סגן מנהל המחלקה או מנהל המחלקה בבית-החולים שם הוא מאושפז, היא שתקבע.</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אם הוא קובע שהמצב הוא לא מיוצב.</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תן סמוך:</w:t>
      </w:r>
      <w:r>
        <w:rPr>
          <w:rFonts w:cs="David"/>
          <w:szCs w:val="24"/>
          <w:rtl/>
        </w:rPr>
        <w:tab/>
      </w:r>
      <w:r>
        <w:rPr>
          <w:rFonts w:cs="David"/>
          <w:szCs w:val="24"/>
          <w:rtl/>
        </w:rPr>
        <w:tab/>
      </w:r>
      <w:r>
        <w:rPr>
          <w:rFonts w:cs="David"/>
          <w:szCs w:val="24"/>
          <w:rtl/>
        </w:rPr>
        <w:tab/>
      </w:r>
      <w:r>
        <w:rPr>
          <w:rFonts w:cs="David" w:hint="cs"/>
          <w:szCs w:val="24"/>
          <w:rtl/>
        </w:rPr>
        <w:t>נכון. אם הוא קובע שמצבו מיוצב, אין בעיה.</w:t>
      </w:r>
    </w:p>
    <w:p w:rsidR="00000000" w:rsidRDefault="00FD53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w:t>
      </w:r>
      <w:r>
        <w:rPr>
          <w:rFonts w:cs="David" w:hint="cs"/>
          <w:szCs w:val="24"/>
          <w:rtl/>
        </w:rPr>
        <w:t xml:space="preserve">עקבות הערות שנשמעו על-ידי רופא לזכויות אדם </w:t>
      </w:r>
      <w:r>
        <w:rPr>
          <w:rFonts w:cs="David"/>
          <w:szCs w:val="24"/>
        </w:rPr>
        <w:t>–</w:t>
      </w:r>
      <w:r>
        <w:rPr>
          <w:rFonts w:cs="David"/>
          <w:szCs w:val="24"/>
          <w:rtl/>
        </w:rPr>
        <w:t xml:space="preserve"> </w:t>
      </w:r>
      <w:r>
        <w:rPr>
          <w:rFonts w:cs="David" w:hint="cs"/>
          <w:szCs w:val="24"/>
          <w:rtl/>
        </w:rPr>
        <w:t>ואני מבין שהם ביטאו ב</w:t>
      </w:r>
      <w:r>
        <w:rPr>
          <w:rFonts w:cs="David"/>
          <w:szCs w:val="24"/>
          <w:rtl/>
        </w:rPr>
        <w:t>ע</w:t>
      </w:r>
      <w:r>
        <w:rPr>
          <w:rFonts w:cs="David" w:hint="cs"/>
          <w:szCs w:val="24"/>
          <w:rtl/>
        </w:rPr>
        <w:t xml:space="preserve">ניין הזה גם את עמדת האגודה לזכויות האזרח </w:t>
      </w:r>
      <w:r>
        <w:rPr>
          <w:rFonts w:cs="David"/>
          <w:szCs w:val="24"/>
        </w:rPr>
        <w:t>–</w:t>
      </w:r>
      <w:r>
        <w:rPr>
          <w:rFonts w:cs="David"/>
          <w:szCs w:val="24"/>
          <w:rtl/>
        </w:rPr>
        <w:t xml:space="preserve"> </w:t>
      </w:r>
      <w:r>
        <w:rPr>
          <w:rFonts w:cs="David" w:hint="cs"/>
          <w:szCs w:val="24"/>
          <w:rtl/>
        </w:rPr>
        <w:t xml:space="preserve">אנחנו הכנסנו לא רק תיקון לעניין הימים אלא תיקון גם לעניין זה שחברת הביטוח חייבת להודיע לאדם על זכותו להגיש חוות דעת נגדית. בעקבות השיחות אנחנו גם </w:t>
      </w:r>
      <w:r>
        <w:rPr>
          <w:rFonts w:cs="David" w:hint="cs"/>
          <w:szCs w:val="24"/>
          <w:rtl/>
        </w:rPr>
        <w:t>סיכמנו שחברת הביטוח תהיה חייבת להודיע לאדם על פרטיהם של ארגונים וג</w:t>
      </w:r>
      <w:r>
        <w:rPr>
          <w:rFonts w:cs="David"/>
          <w:szCs w:val="24"/>
          <w:rtl/>
        </w:rPr>
        <w:t>ו</w:t>
      </w:r>
      <w:r>
        <w:rPr>
          <w:rFonts w:cs="David" w:hint="cs"/>
          <w:szCs w:val="24"/>
          <w:rtl/>
        </w:rPr>
        <w:t>פים שיכולים לסייע לו במימוש הזכאות הזאת.</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ג</w:t>
      </w:r>
      <w:r>
        <w:rPr>
          <w:rFonts w:cs="David" w:hint="cs"/>
          <w:b/>
          <w:bCs/>
          <w:szCs w:val="24"/>
          <w:u w:val="single"/>
          <w:rtl/>
        </w:rPr>
        <w:t>'ודי וסרמן:</w:t>
      </w:r>
      <w:r>
        <w:rPr>
          <w:rFonts w:cs="David"/>
          <w:szCs w:val="24"/>
          <w:rtl/>
        </w:rPr>
        <w:tab/>
      </w:r>
      <w:r>
        <w:rPr>
          <w:rFonts w:cs="David"/>
          <w:szCs w:val="24"/>
          <w:rtl/>
        </w:rPr>
        <w:tab/>
      </w:r>
      <w:r>
        <w:rPr>
          <w:rFonts w:cs="David"/>
          <w:szCs w:val="24"/>
          <w:rtl/>
        </w:rPr>
        <w:tab/>
      </w:r>
      <w:r>
        <w:rPr>
          <w:rFonts w:cs="David" w:hint="cs"/>
          <w:szCs w:val="24"/>
          <w:rtl/>
        </w:rPr>
        <w:t xml:space="preserve">אתם מציעים לדחות את המועד להגשת חוות דעת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נגדית מעשרה ימים ל21- יום?</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תן סמוך:</w:t>
      </w:r>
      <w:r>
        <w:rPr>
          <w:rFonts w:cs="David"/>
          <w:szCs w:val="24"/>
          <w:rtl/>
        </w:rPr>
        <w:tab/>
      </w:r>
      <w:r>
        <w:rPr>
          <w:rFonts w:cs="David"/>
          <w:szCs w:val="24"/>
          <w:rtl/>
        </w:rPr>
        <w:tab/>
      </w:r>
      <w:r>
        <w:rPr>
          <w:rFonts w:cs="David"/>
          <w:szCs w:val="24"/>
          <w:rtl/>
        </w:rPr>
        <w:tab/>
      </w:r>
      <w:r>
        <w:rPr>
          <w:rFonts w:cs="David" w:hint="cs"/>
          <w:szCs w:val="24"/>
          <w:rtl/>
        </w:rPr>
        <w:t>כן.</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כשיש הבנה, זה יותר קל לי</w:t>
      </w:r>
      <w:r>
        <w:rPr>
          <w:rFonts w:cs="David" w:hint="cs"/>
          <w:szCs w:val="24"/>
          <w:rtl/>
        </w:rPr>
        <w:t xml:space="preserve">ושב-ראש הוועדה.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מבין שכולנו מסכימים לכך. היות והצבענו על</w:t>
      </w:r>
      <w:r>
        <w:rPr>
          <w:rFonts w:cs="David"/>
          <w:szCs w:val="24"/>
          <w:rtl/>
        </w:rPr>
        <w:t xml:space="preserve"> </w:t>
      </w:r>
      <w:r>
        <w:rPr>
          <w:rFonts w:cs="David" w:hint="cs"/>
          <w:szCs w:val="24"/>
          <w:rtl/>
        </w:rPr>
        <w:t>כל הסעיפים האחרים, אנחנו נצביע רק על סעיף 9.</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 xml:space="preserve">אני מאוד שמחה על השינויים שהוכנסו. בכל-זאת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שתי הערות קטנות יחסית אבל חשובות. לגבי הנושא הזה של היידוע אנחנו היינו מעדיפים </w:t>
      </w:r>
      <w:r>
        <w:rPr>
          <w:rFonts w:cs="David" w:hint="cs"/>
          <w:szCs w:val="24"/>
          <w:rtl/>
        </w:rPr>
        <w:t>שהיידוע יהיה ישירות לארגון שעוסק בזכויות עובדים זרים.</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תן סמוך:</w:t>
      </w:r>
      <w:r>
        <w:rPr>
          <w:rFonts w:cs="David"/>
          <w:szCs w:val="24"/>
          <w:rtl/>
        </w:rPr>
        <w:tab/>
      </w:r>
      <w:r>
        <w:rPr>
          <w:rFonts w:cs="David"/>
          <w:szCs w:val="24"/>
          <w:rtl/>
        </w:rPr>
        <w:tab/>
      </w:r>
      <w:r>
        <w:rPr>
          <w:rFonts w:cs="David"/>
          <w:szCs w:val="24"/>
          <w:rtl/>
        </w:rPr>
        <w:tab/>
      </w:r>
      <w:r>
        <w:rPr>
          <w:rFonts w:cs="David" w:hint="cs"/>
          <w:szCs w:val="24"/>
          <w:rtl/>
        </w:rPr>
        <w:t>אין אפשרות לעשות זאת.</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עם כל הכבוד לסיכומים שהגעתם וגם להתייחסות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שלכם שהתקבלה כאן על-ידי משרד הבריאות, אם את רוצה לבדוק את זה אפילו לפי אמת מידה של הישגים, אלה הישגים </w:t>
      </w:r>
      <w:r>
        <w:rPr>
          <w:rFonts w:cs="David" w:hint="cs"/>
          <w:szCs w:val="24"/>
          <w:rtl/>
        </w:rPr>
        <w:t>נאותים ויפים.</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מה שאנחנו ביקשנו הוא שבאמת תהיה איזו</w:t>
      </w:r>
      <w:r>
        <w:rPr>
          <w:rFonts w:cs="David"/>
          <w:szCs w:val="24"/>
          <w:rtl/>
        </w:rPr>
        <w:t>ש</w:t>
      </w:r>
      <w:r>
        <w:rPr>
          <w:rFonts w:cs="David" w:hint="cs"/>
          <w:szCs w:val="24"/>
          <w:rtl/>
        </w:rPr>
        <w:t xml:space="preserve">הי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אחריות ליידע ישירות גוף שעוסק בזכויות עובדים וזאת בגלל שלא ברור מה היכולת של העובד הזר להבין, ואם מישהו מחברת הביטוח יסביר לו, לא ברור עד כמה הוא יבין בגלל קשיי שפה וכולי ועד כמה ה</w:t>
      </w:r>
      <w:r>
        <w:rPr>
          <w:rFonts w:cs="David" w:hint="cs"/>
          <w:szCs w:val="24"/>
          <w:rtl/>
        </w:rPr>
        <w:t>וא ידע להגיע לארגון ולרופא מומחה וכולי. אגב, בחוקים מקובל לתת מעמ</w:t>
      </w:r>
      <w:r>
        <w:rPr>
          <w:rFonts w:cs="David"/>
          <w:szCs w:val="24"/>
          <w:rtl/>
        </w:rPr>
        <w:t xml:space="preserve">ד </w:t>
      </w:r>
      <w:r>
        <w:rPr>
          <w:rFonts w:cs="David" w:hint="cs"/>
          <w:szCs w:val="24"/>
          <w:rtl/>
        </w:rPr>
        <w:t>לגוף שמקדם זכויות.</w:t>
      </w:r>
    </w:p>
    <w:p w:rsidR="00000000" w:rsidRDefault="00FD5387">
      <w:pPr>
        <w:jc w:val="both"/>
        <w:rPr>
          <w:rFonts w:cs="David"/>
          <w:szCs w:val="24"/>
          <w:rtl/>
        </w:rPr>
      </w:pPr>
    </w:p>
    <w:p w:rsidR="00000000" w:rsidRDefault="00FD5387">
      <w:pPr>
        <w:jc w:val="both"/>
        <w:rPr>
          <w:rFonts w:cs="David"/>
          <w:szCs w:val="24"/>
          <w:rtl/>
        </w:rPr>
      </w:pPr>
      <w:r>
        <w:rPr>
          <w:rFonts w:cs="David"/>
          <w:szCs w:val="24"/>
          <w:rtl/>
        </w:rPr>
        <w:t>י</w:t>
      </w:r>
      <w:r>
        <w:rPr>
          <w:rFonts w:cs="David" w:hint="cs"/>
          <w:szCs w:val="24"/>
          <w:rtl/>
        </w:rPr>
        <w:t>ש איזו אי-בהירות שאני לא חושבת שהיא מהותית ואני לא חושבת שהיא בניגוד לעמדת הבריאות לגבי הסעיף שעוסק במתן חוות דעת.</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אם זה לא סעיף 9, אנחנו לא דנים בזה.</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ד</w:t>
      </w:r>
      <w:r>
        <w:rPr>
          <w:rFonts w:cs="David" w:hint="cs"/>
          <w:b/>
          <w:bCs/>
          <w:szCs w:val="24"/>
          <w:u w:val="single"/>
          <w:rtl/>
        </w:rPr>
        <w:t>נה אלכסנדר:</w:t>
      </w:r>
      <w:r>
        <w:rPr>
          <w:rFonts w:cs="David"/>
          <w:szCs w:val="24"/>
          <w:rtl/>
        </w:rPr>
        <w:tab/>
      </w:r>
      <w:r>
        <w:rPr>
          <w:rFonts w:cs="David"/>
          <w:szCs w:val="24"/>
          <w:rtl/>
        </w:rPr>
        <w:tab/>
      </w:r>
      <w:r>
        <w:rPr>
          <w:rFonts w:cs="David"/>
          <w:szCs w:val="24"/>
          <w:rtl/>
        </w:rPr>
        <w:tab/>
      </w:r>
      <w:r>
        <w:rPr>
          <w:rFonts w:cs="David" w:hint="cs"/>
          <w:szCs w:val="24"/>
          <w:rtl/>
        </w:rPr>
        <w:t xml:space="preserve">זה שינוי שהוכנס. סעיף 4(ב) אומר: "לעניין 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קטן (א)(2) ו-(3) הקביעה שבאמת הגיע למצב רפואי, תיעשה בהתאם לכללי סעיף 9". צריך להוסיף שגם הקביעה לעניין כושר לחזור לעבודה.</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נ</w:t>
      </w:r>
      <w:r>
        <w:rPr>
          <w:rFonts w:cs="David" w:hint="cs"/>
          <w:b/>
          <w:bCs/>
          <w:szCs w:val="24"/>
          <w:u w:val="single"/>
          <w:rtl/>
        </w:rPr>
        <w:t>תן סמוך:</w:t>
      </w:r>
      <w:r>
        <w:rPr>
          <w:rFonts w:cs="David"/>
          <w:szCs w:val="24"/>
          <w:rtl/>
        </w:rPr>
        <w:tab/>
      </w:r>
      <w:r>
        <w:rPr>
          <w:rFonts w:cs="David"/>
          <w:szCs w:val="24"/>
          <w:rtl/>
        </w:rPr>
        <w:tab/>
      </w:r>
      <w:r>
        <w:rPr>
          <w:rFonts w:cs="David"/>
          <w:szCs w:val="24"/>
          <w:rtl/>
        </w:rPr>
        <w:tab/>
      </w:r>
      <w:r>
        <w:rPr>
          <w:rFonts w:cs="David" w:hint="cs"/>
          <w:szCs w:val="24"/>
          <w:rtl/>
        </w:rPr>
        <w:t xml:space="preserve">טיפלנו בנושא של סופיות הקביעה כשרק הקביעה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הסופ</w:t>
      </w:r>
      <w:r>
        <w:rPr>
          <w:rFonts w:cs="David" w:hint="cs"/>
          <w:szCs w:val="24"/>
          <w:rtl/>
        </w:rPr>
        <w:t>ית, לפי סעיף 9(א), היא בעצם הקביעה הקובעת. זה הוכנס.</w:t>
      </w:r>
    </w:p>
    <w:p w:rsidR="00000000" w:rsidRDefault="00FD5387">
      <w:pPr>
        <w:jc w:val="both"/>
        <w:rPr>
          <w:rFonts w:cs="David"/>
          <w:szCs w:val="24"/>
          <w:rtl/>
        </w:rPr>
      </w:pPr>
    </w:p>
    <w:p w:rsidR="00000000" w:rsidRDefault="00FD5387">
      <w:pPr>
        <w:jc w:val="both"/>
        <w:rPr>
          <w:rFonts w:cs="David"/>
          <w:szCs w:val="24"/>
          <w:rtl/>
        </w:rPr>
      </w:pPr>
      <w:r>
        <w:rPr>
          <w:rFonts w:cs="David"/>
          <w:b/>
          <w:bCs/>
          <w:szCs w:val="24"/>
          <w:u w:val="single"/>
          <w:rtl/>
        </w:rPr>
        <w:t>ה</w:t>
      </w:r>
      <w:r>
        <w:rPr>
          <w:rFonts w:cs="David" w:hint="cs"/>
          <w:b/>
          <w:bCs/>
          <w:szCs w:val="24"/>
          <w:u w:val="single"/>
          <w:rtl/>
        </w:rPr>
        <w:t>יו"ר דוד טל</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תודה רבה.</w:t>
      </w:r>
    </w:p>
    <w:p w:rsidR="00000000" w:rsidRDefault="00FD5387">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מאשר את סעיף 9 וביחד עם זה את כל הסעיפים ואת כל צו עובדי זרים (איסור העסקה שלא כדין והבטחת תנאים הוגנים) (סל שירותי בריאות לעובד), התשס"א2001-.</w:t>
      </w: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jc w:val="both"/>
        <w:rPr>
          <w:rFonts w:cs="David"/>
          <w:szCs w:val="24"/>
          <w:rtl/>
        </w:rPr>
      </w:pPr>
    </w:p>
    <w:p w:rsidR="00000000" w:rsidRDefault="00FD5387">
      <w:pPr>
        <w:pStyle w:val="20"/>
        <w:rPr>
          <w:rtl/>
        </w:rPr>
      </w:pPr>
      <w:r>
        <w:rPr>
          <w:rtl/>
        </w:rPr>
        <w:t>ה</w:t>
      </w:r>
      <w:r>
        <w:rPr>
          <w:rFonts w:hint="cs"/>
          <w:rtl/>
        </w:rPr>
        <w:t xml:space="preserve">ישיבה ננעלה בשעה </w:t>
      </w:r>
      <w:r>
        <w:rPr>
          <w:rFonts w:hint="cs"/>
          <w:rtl/>
        </w:rPr>
        <w:t>11:15</w:t>
      </w:r>
    </w:p>
    <w:p w:rsidR="00000000" w:rsidRDefault="00FD5387">
      <w:pPr>
        <w:jc w:val="both"/>
        <w:rPr>
          <w:rFonts w:cs="David"/>
          <w:szCs w:val="24"/>
          <w:rtl/>
        </w:rPr>
      </w:pPr>
    </w:p>
    <w:p w:rsidR="00000000" w:rsidRDefault="00FD538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387">
      <w:r>
        <w:separator/>
      </w:r>
    </w:p>
  </w:endnote>
  <w:endnote w:type="continuationSeparator" w:id="0">
    <w:p w:rsidR="00000000" w:rsidRDefault="00FD5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5"/>
      <w:rPr>
        <w:rtl/>
      </w:rPr>
    </w:pPr>
  </w:p>
  <w:p w:rsidR="00000000" w:rsidRDefault="00FD538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5"/>
      <w:rPr>
        <w:rtl/>
      </w:rPr>
    </w:pPr>
  </w:p>
  <w:p w:rsidR="00000000" w:rsidRDefault="00FD538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387">
      <w:r>
        <w:separator/>
      </w:r>
    </w:p>
  </w:footnote>
  <w:footnote w:type="continuationSeparator" w:id="0">
    <w:p w:rsidR="00000000" w:rsidRDefault="00FD53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4"/>
      <w:framePr w:wrap="auto" w:vAnchor="text" w:hAnchor="page" w:x="5905" w:y="447"/>
      <w:rPr>
        <w:rStyle w:val="a6"/>
        <w:rtl/>
      </w:rPr>
    </w:pPr>
    <w:r>
      <w:rPr>
        <w:rStyle w:val="a6"/>
      </w:rPr>
      <w:fldChar w:fldCharType="begin"/>
    </w:r>
    <w:r>
      <w:rPr>
        <w:rStyle w:val="a6"/>
      </w:rPr>
      <w:instrText xml:space="preserve">PAGE  </w:instrText>
    </w:r>
    <w:r>
      <w:rPr>
        <w:rStyle w:val="a6"/>
      </w:rPr>
      <w:fldChar w:fldCharType="separate"/>
    </w:r>
    <w:r>
      <w:rPr>
        <w:rStyle w:val="a6"/>
      </w:rPr>
      <w:t>3</w:t>
    </w:r>
    <w:r>
      <w:rPr>
        <w:rStyle w:val="a6"/>
      </w:rPr>
      <w:fldChar w:fldCharType="end"/>
    </w:r>
  </w:p>
  <w:p w:rsidR="00000000" w:rsidRDefault="00FD5387">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26.3.2001</w:t>
    </w:r>
  </w:p>
  <w:p w:rsidR="00000000" w:rsidRDefault="00FD538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387">
    <w:pPr>
      <w:pStyle w:val="a4"/>
      <w:rPr>
        <w:rtl/>
      </w:rPr>
    </w:pPr>
  </w:p>
  <w:p w:rsidR="00000000" w:rsidRDefault="00FD538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5387"/>
    <w:rsid w:val="00FD53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B7C8806-3A4A-43E7-9EC2-AB8772693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726</Words>
  <Characters>3634</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פרוטוקולים/עבודה/2971</dc:title>
  <dc:subject>עבודה 26.3.2001ב</dc:subject>
  <dc:creator>חבר</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