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76D3">
      <w:pPr>
        <w:jc w:val="right"/>
        <w:rPr>
          <w:rFonts w:cs="David"/>
          <w:noProof w:val="0"/>
          <w:sz w:val="24"/>
          <w:rtl/>
        </w:rPr>
      </w:pPr>
      <w:bookmarkStart w:id="0" w:name="_GoBack"/>
      <w:bookmarkEnd w:id="0"/>
      <w:r>
        <w:rPr>
          <w:rFonts w:cs="David"/>
          <w:noProof w:val="0"/>
          <w:sz w:val="24"/>
          <w:rtl/>
        </w:rPr>
        <w:t>פרוטוקולים/עבודה/4769</w:t>
      </w:r>
    </w:p>
    <w:p w:rsidR="00000000" w:rsidRDefault="008476D3">
      <w:pPr>
        <w:jc w:val="right"/>
        <w:rPr>
          <w:rFonts w:cs="David"/>
          <w:noProof w:val="0"/>
          <w:sz w:val="24"/>
          <w:rtl/>
        </w:rPr>
      </w:pPr>
      <w:r>
        <w:rPr>
          <w:rFonts w:cs="David"/>
          <w:noProof w:val="0"/>
          <w:sz w:val="24"/>
          <w:rtl/>
        </w:rPr>
        <w:tab/>
        <w:t>ירושלים, כ"ח באדר, תשס"ב</w:t>
      </w:r>
    </w:p>
    <w:p w:rsidR="00000000" w:rsidRDefault="008476D3">
      <w:pPr>
        <w:jc w:val="right"/>
        <w:rPr>
          <w:rFonts w:cs="David"/>
          <w:noProof w:val="0"/>
          <w:sz w:val="24"/>
          <w:rtl/>
          <w:lang w:val="es"/>
        </w:rPr>
      </w:pPr>
      <w:r>
        <w:rPr>
          <w:rFonts w:cs="David"/>
          <w:noProof w:val="0"/>
          <w:sz w:val="24"/>
          <w:rtl/>
          <w:lang w:val="es"/>
        </w:rPr>
        <w:t>12 במרץ, 2002</w:t>
      </w:r>
    </w:p>
    <w:p w:rsidR="00000000" w:rsidRDefault="008476D3">
      <w:pPr>
        <w:jc w:val="right"/>
        <w:rPr>
          <w:rFonts w:cs="David"/>
          <w:noProof w:val="0"/>
          <w:sz w:val="24"/>
          <w:rtl/>
        </w:rPr>
      </w:pPr>
    </w:p>
    <w:p w:rsidR="00000000" w:rsidRDefault="008476D3">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8476D3">
      <w:pPr>
        <w:rPr>
          <w:rFonts w:cs="David"/>
          <w:b/>
          <w:bCs/>
          <w:sz w:val="24"/>
          <w:rtl/>
        </w:rPr>
      </w:pPr>
      <w:r>
        <w:rPr>
          <w:rFonts w:cs="David"/>
          <w:b/>
          <w:bCs/>
          <w:sz w:val="24"/>
          <w:rtl/>
        </w:rPr>
        <w:t xml:space="preserve">      מושב רביעי</w:t>
      </w:r>
    </w:p>
    <w:p w:rsidR="00000000" w:rsidRDefault="008476D3">
      <w:pPr>
        <w:rPr>
          <w:rFonts w:cs="David"/>
          <w:b/>
          <w:bCs/>
          <w:sz w:val="24"/>
          <w:rtl/>
        </w:rPr>
      </w:pPr>
    </w:p>
    <w:p w:rsidR="00000000" w:rsidRDefault="008476D3">
      <w:pPr>
        <w:pStyle w:val="20"/>
        <w:rPr>
          <w:rFonts w:cs="David"/>
          <w:sz w:val="28"/>
          <w:u w:val="none"/>
          <w:rtl/>
        </w:rPr>
      </w:pPr>
      <w:r>
        <w:rPr>
          <w:rFonts w:cs="David"/>
          <w:sz w:val="28"/>
          <w:u w:val="none"/>
          <w:rtl/>
        </w:rPr>
        <w:t>פרוטוקול מספר 477</w:t>
      </w:r>
    </w:p>
    <w:p w:rsidR="00000000" w:rsidRDefault="008476D3">
      <w:pPr>
        <w:pStyle w:val="5"/>
        <w:rPr>
          <w:rFonts w:cs="David"/>
          <w:sz w:val="28"/>
          <w:rtl/>
        </w:rPr>
      </w:pPr>
      <w:r>
        <w:rPr>
          <w:rFonts w:cs="David"/>
          <w:sz w:val="28"/>
          <w:rtl/>
        </w:rPr>
        <w:t>מישיבת ועדת העבודה, הבריאות והרווחה</w:t>
      </w:r>
    </w:p>
    <w:p w:rsidR="00000000" w:rsidRDefault="008476D3">
      <w:pPr>
        <w:jc w:val="center"/>
        <w:rPr>
          <w:rFonts w:cs="David"/>
          <w:b/>
          <w:bCs/>
          <w:sz w:val="28"/>
          <w:szCs w:val="28"/>
          <w:u w:val="single"/>
          <w:rtl/>
        </w:rPr>
      </w:pPr>
      <w:r>
        <w:rPr>
          <w:rFonts w:cs="David"/>
          <w:b/>
          <w:bCs/>
          <w:sz w:val="28"/>
          <w:szCs w:val="28"/>
          <w:u w:val="single"/>
          <w:rtl/>
        </w:rPr>
        <w:t>יום ב' כ' אדר התשס"ב, 04.03.02, בשעה 09:05</w:t>
      </w:r>
    </w:p>
    <w:p w:rsidR="00000000" w:rsidRDefault="008476D3">
      <w:pPr>
        <w:tabs>
          <w:tab w:val="left" w:pos="1841"/>
        </w:tabs>
        <w:jc w:val="both"/>
        <w:rPr>
          <w:rFonts w:cs="David"/>
          <w:b/>
          <w:bCs/>
          <w:sz w:val="24"/>
          <w:u w:val="single"/>
          <w:rtl/>
        </w:rPr>
      </w:pPr>
    </w:p>
    <w:p w:rsidR="00000000" w:rsidRDefault="008476D3">
      <w:pPr>
        <w:tabs>
          <w:tab w:val="left" w:pos="1841"/>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t>הצעת חוק מסירת מידע לעובד (עיקר תנאי העבו</w:t>
      </w:r>
      <w:r>
        <w:rPr>
          <w:rFonts w:cs="David"/>
          <w:b/>
          <w:bCs/>
          <w:sz w:val="28"/>
          <w:szCs w:val="28"/>
          <w:rtl/>
        </w:rPr>
        <w:t>דה), התשס"א2000-</w:t>
      </w:r>
    </w:p>
    <w:p w:rsidR="00000000" w:rsidRDefault="008476D3">
      <w:pPr>
        <w:pStyle w:val="6"/>
        <w:rPr>
          <w:rFonts w:cs="David"/>
          <w:sz w:val="28"/>
          <w:szCs w:val="28"/>
          <w:rtl/>
        </w:rPr>
      </w:pPr>
      <w:r>
        <w:rPr>
          <w:rFonts w:cs="David"/>
          <w:sz w:val="24"/>
          <w:rtl/>
        </w:rPr>
        <w:tab/>
        <w:t>חברי הכנסת יורי שטרן, מיכאל נודלמן</w:t>
      </w:r>
    </w:p>
    <w:p w:rsidR="00000000" w:rsidRDefault="008476D3">
      <w:pPr>
        <w:tabs>
          <w:tab w:val="left" w:pos="1841"/>
        </w:tabs>
        <w:jc w:val="both"/>
        <w:rPr>
          <w:rFonts w:cs="David"/>
          <w:b/>
          <w:bCs/>
          <w:sz w:val="24"/>
          <w:u w:val="single"/>
          <w:rtl/>
        </w:rPr>
      </w:pPr>
    </w:p>
    <w:p w:rsidR="00000000" w:rsidRDefault="008476D3">
      <w:pPr>
        <w:tabs>
          <w:tab w:val="left" w:pos="1841"/>
        </w:tabs>
        <w:jc w:val="both"/>
        <w:rPr>
          <w:rFonts w:cs="David"/>
          <w:b/>
          <w:bCs/>
          <w:sz w:val="24"/>
          <w:u w:val="single"/>
          <w:rtl/>
        </w:rPr>
      </w:pPr>
      <w:r>
        <w:rPr>
          <w:rFonts w:cs="David"/>
          <w:b/>
          <w:bCs/>
          <w:sz w:val="24"/>
          <w:u w:val="single"/>
          <w:rtl/>
        </w:rPr>
        <w:t>נכחו:</w:t>
      </w:r>
    </w:p>
    <w:p w:rsidR="00000000" w:rsidRDefault="008476D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מיכאל נודלמן - היו"ר</w:t>
      </w:r>
    </w:p>
    <w:p w:rsidR="00000000" w:rsidRDefault="008476D3">
      <w:pPr>
        <w:tabs>
          <w:tab w:val="left" w:pos="1841"/>
          <w:tab w:val="left" w:pos="2834"/>
        </w:tabs>
        <w:jc w:val="both"/>
        <w:rPr>
          <w:rFonts w:cs="David"/>
          <w:sz w:val="24"/>
          <w:rtl/>
        </w:rPr>
      </w:pPr>
      <w:r>
        <w:rPr>
          <w:rFonts w:cs="David"/>
          <w:sz w:val="24"/>
          <w:rtl/>
        </w:rPr>
        <w:tab/>
        <w:t>יורי שטרן</w:t>
      </w:r>
    </w:p>
    <w:p w:rsidR="00000000" w:rsidRDefault="008476D3">
      <w:pPr>
        <w:pStyle w:val="30"/>
        <w:tabs>
          <w:tab w:val="clear" w:pos="2834"/>
          <w:tab w:val="left" w:pos="1558"/>
          <w:tab w:val="left" w:pos="3826"/>
        </w:tabs>
        <w:ind w:left="3968" w:hanging="3968"/>
        <w:jc w:val="left"/>
        <w:rPr>
          <w:rFonts w:cs="David"/>
          <w:sz w:val="24"/>
          <w:u w:val="single"/>
          <w:rtl/>
        </w:rPr>
      </w:pPr>
    </w:p>
    <w:p w:rsidR="00000000" w:rsidRDefault="008476D3">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מיכאל אטלן</w:t>
      </w:r>
      <w:r>
        <w:rPr>
          <w:rFonts w:cs="David"/>
          <w:b w:val="0"/>
          <w:bCs w:val="0"/>
          <w:spacing w:val="0"/>
          <w:sz w:val="24"/>
          <w:rtl/>
        </w:rPr>
        <w:tab/>
        <w:t>- לשכה משפטית, משרד העבודה והרווחה</w:t>
      </w:r>
    </w:p>
    <w:p w:rsidR="00000000" w:rsidRDefault="008476D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 xml:space="preserve">שי סומך </w:t>
      </w:r>
      <w:r>
        <w:rPr>
          <w:rFonts w:cs="David"/>
          <w:b w:val="0"/>
          <w:bCs w:val="0"/>
          <w:spacing w:val="0"/>
          <w:sz w:val="24"/>
          <w:rtl/>
        </w:rPr>
        <w:tab/>
        <w:t>- משרד המשפטים</w:t>
      </w:r>
    </w:p>
    <w:p w:rsidR="00000000" w:rsidRDefault="008476D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טליה עדרי</w:t>
      </w:r>
      <w:r>
        <w:rPr>
          <w:rFonts w:cs="David"/>
          <w:b w:val="0"/>
          <w:bCs w:val="0"/>
          <w:spacing w:val="0"/>
          <w:sz w:val="24"/>
          <w:rtl/>
        </w:rPr>
        <w:tab/>
        <w:t>- משרד הבריאות</w:t>
      </w:r>
    </w:p>
    <w:p w:rsidR="00000000" w:rsidRDefault="008476D3">
      <w:pPr>
        <w:pStyle w:val="a9"/>
        <w:tabs>
          <w:tab w:val="clear" w:pos="2834"/>
          <w:tab w:val="left" w:pos="1841"/>
          <w:tab w:val="left" w:pos="3826"/>
        </w:tabs>
        <w:ind w:left="3968" w:hanging="3969"/>
        <w:rPr>
          <w:rFonts w:cs="David"/>
          <w:b w:val="0"/>
          <w:bCs w:val="0"/>
          <w:spacing w:val="0"/>
          <w:sz w:val="24"/>
          <w:rtl/>
        </w:rPr>
      </w:pPr>
      <w:r>
        <w:rPr>
          <w:rFonts w:cs="David"/>
          <w:spacing w:val="0"/>
          <w:sz w:val="24"/>
          <w:rtl/>
        </w:rPr>
        <w:tab/>
      </w:r>
    </w:p>
    <w:p w:rsidR="00000000" w:rsidRDefault="008476D3">
      <w:pPr>
        <w:pStyle w:val="a9"/>
        <w:tabs>
          <w:tab w:val="clear" w:pos="2834"/>
          <w:tab w:val="left" w:pos="1558"/>
          <w:tab w:val="left" w:pos="3826"/>
        </w:tabs>
        <w:ind w:left="3968" w:hanging="3969"/>
        <w:rPr>
          <w:rFonts w:cs="David"/>
          <w:sz w:val="24"/>
          <w:rtl/>
        </w:rPr>
      </w:pPr>
      <w:r>
        <w:rPr>
          <w:rFonts w:cs="David"/>
          <w:b w:val="0"/>
          <w:bCs w:val="0"/>
          <w:spacing w:val="0"/>
          <w:sz w:val="24"/>
          <w:rtl/>
        </w:rPr>
        <w:tab/>
      </w:r>
    </w:p>
    <w:p w:rsidR="00000000" w:rsidRDefault="008476D3">
      <w:pPr>
        <w:tabs>
          <w:tab w:val="left" w:pos="1841"/>
        </w:tabs>
        <w:jc w:val="both"/>
        <w:rPr>
          <w:rFonts w:cs="David"/>
          <w:b/>
          <w:bCs/>
          <w:sz w:val="24"/>
          <w:u w:val="single"/>
          <w:rtl/>
        </w:rPr>
      </w:pPr>
    </w:p>
    <w:p w:rsidR="00000000" w:rsidRDefault="008476D3">
      <w:pPr>
        <w:tabs>
          <w:tab w:val="left" w:pos="1841"/>
        </w:tabs>
        <w:jc w:val="both"/>
        <w:rPr>
          <w:rFonts w:cs="David"/>
          <w:sz w:val="24"/>
          <w:rtl/>
        </w:rPr>
      </w:pPr>
      <w:r>
        <w:rPr>
          <w:rFonts w:cs="David"/>
          <w:b/>
          <w:bCs/>
          <w:sz w:val="24"/>
          <w:u w:val="single"/>
          <w:rtl/>
        </w:rPr>
        <w:t>יועצת משפטית:</w:t>
      </w:r>
      <w:r>
        <w:rPr>
          <w:rFonts w:cs="David"/>
          <w:sz w:val="24"/>
          <w:rtl/>
        </w:rPr>
        <w:tab/>
        <w:t>ג'ודי וסרמן</w:t>
      </w:r>
    </w:p>
    <w:p w:rsidR="00000000" w:rsidRDefault="008476D3">
      <w:pPr>
        <w:tabs>
          <w:tab w:val="left" w:pos="1841"/>
        </w:tabs>
        <w:jc w:val="both"/>
        <w:rPr>
          <w:rFonts w:cs="David"/>
          <w:b/>
          <w:bCs/>
          <w:sz w:val="24"/>
          <w:u w:val="single"/>
          <w:rtl/>
        </w:rPr>
      </w:pPr>
    </w:p>
    <w:p w:rsidR="00000000" w:rsidRDefault="008476D3">
      <w:pPr>
        <w:tabs>
          <w:tab w:val="left" w:pos="1841"/>
        </w:tabs>
        <w:jc w:val="both"/>
        <w:rPr>
          <w:rFonts w:cs="David"/>
          <w:sz w:val="24"/>
          <w:rtl/>
        </w:rPr>
      </w:pPr>
      <w:r>
        <w:rPr>
          <w:rFonts w:cs="David"/>
          <w:b/>
          <w:bCs/>
          <w:sz w:val="24"/>
          <w:u w:val="single"/>
          <w:rtl/>
        </w:rPr>
        <w:t>מנהלת ה</w:t>
      </w:r>
      <w:r>
        <w:rPr>
          <w:rFonts w:cs="David"/>
          <w:b/>
          <w:bCs/>
          <w:sz w:val="24"/>
          <w:u w:val="single"/>
          <w:rtl/>
        </w:rPr>
        <w:t>וועדה:</w:t>
      </w:r>
      <w:r>
        <w:rPr>
          <w:rFonts w:cs="David"/>
          <w:b/>
          <w:bCs/>
          <w:sz w:val="24"/>
          <w:rtl/>
        </w:rPr>
        <w:tab/>
      </w:r>
      <w:r>
        <w:rPr>
          <w:rFonts w:cs="David"/>
          <w:sz w:val="24"/>
          <w:rtl/>
        </w:rPr>
        <w:t>שירלי אברמי</w:t>
      </w:r>
    </w:p>
    <w:p w:rsidR="00000000" w:rsidRDefault="008476D3">
      <w:pPr>
        <w:tabs>
          <w:tab w:val="left" w:pos="1841"/>
          <w:tab w:val="left" w:pos="3968"/>
        </w:tabs>
        <w:ind w:left="-1" w:firstLine="1"/>
        <w:rPr>
          <w:rFonts w:cs="David"/>
          <w:b/>
          <w:bCs/>
          <w:sz w:val="24"/>
          <w:rtl/>
        </w:rPr>
      </w:pPr>
    </w:p>
    <w:p w:rsidR="00000000" w:rsidRDefault="008476D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8476D3">
      <w:pPr>
        <w:tabs>
          <w:tab w:val="left" w:pos="1841"/>
          <w:tab w:val="left" w:pos="3968"/>
        </w:tabs>
        <w:ind w:left="1841" w:hanging="1841"/>
        <w:rPr>
          <w:rFonts w:cs="David"/>
          <w:b/>
          <w:bCs/>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both"/>
        <w:rPr>
          <w:rFonts w:cs="David"/>
          <w:sz w:val="24"/>
          <w:u w:val="single"/>
          <w:rtl/>
        </w:rPr>
      </w:pPr>
    </w:p>
    <w:p w:rsidR="00000000" w:rsidRDefault="008476D3">
      <w:pPr>
        <w:tabs>
          <w:tab w:val="left" w:pos="3968"/>
        </w:tabs>
        <w:ind w:left="-1"/>
        <w:jc w:val="center"/>
        <w:rPr>
          <w:rFonts w:cs="David"/>
          <w:b/>
          <w:bCs/>
          <w:sz w:val="24"/>
          <w:rtl/>
        </w:rPr>
      </w:pPr>
      <w:r>
        <w:rPr>
          <w:rFonts w:cs="David"/>
          <w:b/>
          <w:bCs/>
          <w:sz w:val="24"/>
          <w:rtl/>
        </w:rPr>
        <w:t>הצעת חוק מסירת מידע לעובד (עיקר תנאי העבודה)</w:t>
      </w:r>
    </w:p>
    <w:p w:rsidR="00000000" w:rsidRDefault="008476D3">
      <w:pPr>
        <w:tabs>
          <w:tab w:val="left" w:pos="3968"/>
        </w:tabs>
        <w:ind w:left="-1"/>
        <w:jc w:val="center"/>
        <w:rPr>
          <w:rFonts w:cs="David"/>
          <w:b/>
          <w:bCs/>
          <w:sz w:val="24"/>
          <w:rtl/>
        </w:rPr>
      </w:pPr>
    </w:p>
    <w:p w:rsidR="00000000" w:rsidRDefault="008476D3">
      <w:pPr>
        <w:tabs>
          <w:tab w:val="left" w:pos="3968"/>
        </w:tabs>
        <w:ind w:left="-1"/>
        <w:jc w:val="both"/>
        <w:rPr>
          <w:rFonts w:cs="David"/>
          <w:sz w:val="24"/>
          <w:u w:val="single"/>
          <w:rtl/>
        </w:rPr>
      </w:pPr>
      <w:r>
        <w:rPr>
          <w:rFonts w:cs="David"/>
          <w:sz w:val="24"/>
          <w:u w:val="single"/>
          <w:rtl/>
        </w:rPr>
        <w:t>היו"ר מיכאל נודלמן:</w:t>
      </w:r>
    </w:p>
    <w:p w:rsidR="00000000" w:rsidRDefault="008476D3">
      <w:pPr>
        <w:tabs>
          <w:tab w:val="left" w:pos="3968"/>
        </w:tabs>
        <w:jc w:val="both"/>
        <w:rPr>
          <w:rFonts w:cs="David"/>
          <w:sz w:val="24"/>
          <w:u w:val="single"/>
          <w:rtl/>
        </w:rPr>
      </w:pPr>
    </w:p>
    <w:p w:rsidR="00000000" w:rsidRDefault="008476D3">
      <w:pPr>
        <w:tabs>
          <w:tab w:val="left" w:pos="707"/>
          <w:tab w:val="left" w:pos="3968"/>
        </w:tabs>
        <w:ind w:left="-1"/>
        <w:jc w:val="both"/>
        <w:rPr>
          <w:rFonts w:cs="David"/>
          <w:sz w:val="24"/>
          <w:rtl/>
        </w:rPr>
      </w:pPr>
      <w:r>
        <w:rPr>
          <w:rFonts w:cs="David"/>
          <w:sz w:val="24"/>
          <w:rtl/>
        </w:rPr>
        <w:tab/>
        <w:t>בוקר טוב לכולם, אני פותח את ישיבת הוועדה. אנחנו עוסקים בהצעת חוק מסירת מידע לעובד, ויש לנו תיקונים מהפעם האחרונ</w:t>
      </w:r>
      <w:r>
        <w:rPr>
          <w:rFonts w:cs="David"/>
          <w:sz w:val="24"/>
          <w:rtl/>
        </w:rPr>
        <w:t xml:space="preserve">ה. יש פה תיקון בסעיף העונשים, סעיף 4, בבקשה.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ג'ודי וסרמן: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בדיון האחרון הצעת החוק אושרה בהכנה לקריאה שניה ושלישית, ולאחר מכן התעוררה בקשה מצד הממשלה לתקן את סעיף העונשין. מה שאושר בישיבה האחרונה זה שמעביד שהפר את חובתו לפי סעיפים 1, 3, ו10- לחוק דינו הק</w:t>
      </w:r>
      <w:r>
        <w:rPr>
          <w:rFonts w:cs="David"/>
          <w:sz w:val="24"/>
          <w:rtl/>
        </w:rPr>
        <w:t xml:space="preserve">נס האמור בסעיף 61(א)(1) לחוק העונשין, שזה קנס של כ10,000- שקל, ובנוסף לזה נקבע שתהיה עבירה מתמשכת לכל יום שבו ממשיך המעביד להפר את הצו כאמור, זאת אומרת, שהוא לא קיים את חובתו לפי החוק, וזה יהיה קנס לפי 61(ג), שזה כ1,000- שקל לכל יום.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בנוסח הקודם - לא בנ</w:t>
      </w:r>
      <w:r>
        <w:rPr>
          <w:rFonts w:cs="David"/>
          <w:sz w:val="24"/>
          <w:rtl/>
        </w:rPr>
        <w:t>וסח שאושר בישיבה האחרונה, אלא בנוסח שלפני כן - הייתה פה סמכות ובעצם חובה על המפקחים לתת צו למעביד, ורק אחרי שהוא נתן את הצו, סעיף העונשין הזה עמד. זאת אומרת, הוא קיבל התרעה ואז חלה אחריות פלילית. בדיון האחרון הורד הנושא של המפקחים, וגם ללא קבלת צו, ללא המפ</w:t>
      </w:r>
      <w:r>
        <w:rPr>
          <w:rFonts w:cs="David"/>
          <w:sz w:val="24"/>
          <w:rtl/>
        </w:rPr>
        <w:t xml:space="preserve">קחים, יש עבירה פלילית. ולכן משרד המשפטים, משרד העבודה והרווחה חושבים שלא נכון לעשות עבירה מתמשכת, שיש להשאיר רק את העבירה הראשונה של קנס לפי 61(א)(1) ולבטל את העבירה המתמשכת. לכן אנחנו רוצים לבטל את המילים שמודגשות כאן, בנוסח שלפניכם.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יורי שטרן: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אני לא</w:t>
      </w:r>
      <w:r>
        <w:rPr>
          <w:rFonts w:cs="David"/>
          <w:sz w:val="24"/>
          <w:rtl/>
        </w:rPr>
        <w:t xml:space="preserve"> הבנתי - הרי המטרה היא לחייב את המעבידים.</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מיכאל אטלן:</w:t>
      </w:r>
    </w:p>
    <w:p w:rsidR="00000000" w:rsidRDefault="008476D3">
      <w:pPr>
        <w:tabs>
          <w:tab w:val="left" w:pos="707"/>
          <w:tab w:val="left" w:pos="3968"/>
        </w:tabs>
        <w:ind w:left="-1"/>
        <w:jc w:val="both"/>
        <w:rPr>
          <w:rFonts w:cs="David"/>
          <w:sz w:val="24"/>
          <w:rtl/>
        </w:rPr>
      </w:pPr>
      <w:r>
        <w:rPr>
          <w:rFonts w:cs="David"/>
          <w:sz w:val="24"/>
          <w:rtl/>
        </w:rPr>
        <w:tab/>
      </w:r>
    </w:p>
    <w:p w:rsidR="00000000" w:rsidRDefault="008476D3">
      <w:pPr>
        <w:tabs>
          <w:tab w:val="left" w:pos="707"/>
          <w:tab w:val="left" w:pos="3968"/>
        </w:tabs>
        <w:ind w:left="-1"/>
        <w:jc w:val="both"/>
        <w:rPr>
          <w:rFonts w:cs="David"/>
          <w:sz w:val="24"/>
          <w:rtl/>
        </w:rPr>
      </w:pPr>
      <w:r>
        <w:rPr>
          <w:rFonts w:cs="David"/>
          <w:sz w:val="24"/>
          <w:rtl/>
        </w:rPr>
        <w:tab/>
        <w:t xml:space="preserve">אני אסביר עוד משהו - משרד המשפטים העיר לי שעבירה מתמשכת מחייבת שיהיה טריגר, שמישהו יגיד למעביד: אתה עושה משהו, ולכן מכאן ואילך אנחנו מתחילים לספור את המונה של כל יום, וכל יום השקלים יורדים. מה יכול </w:t>
      </w:r>
      <w:r>
        <w:rPr>
          <w:rFonts w:cs="David"/>
          <w:sz w:val="24"/>
          <w:rtl/>
        </w:rPr>
        <w:t xml:space="preserve">להיות טריגר? זה יכול להיות הודעה של העובד, זה יכול להיות הודעה של מפקח - זה מחזיר אותנו לדברים שהם מסובכים. ולכן אמרנו: בואו נוריד את זה מהחוק, ממילא הכוונה המוצהרת שלנו - ולכן גם ביקשנו את דחיית הכניסה לתוקף של הסעיף הזה - היא להפוך את זה לעבירה מינהלית, </w:t>
      </w:r>
      <w:r>
        <w:rPr>
          <w:rFonts w:cs="David"/>
          <w:sz w:val="24"/>
          <w:rtl/>
        </w:rPr>
        <w:t xml:space="preserve">ונאמר לי, ובדקנו שבעבירה מינהלית נוכל שם בתקנות שהופכות את זה לעבירה מינהלית, לקבוע גם עבירה מתמשכת - בדוק על ידי המחלקה הפלילית של משרד המשפטים.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יורי שטרן: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 xml:space="preserve">מה זאת אומרת, הכוונה להפוך את זה לעבירה מינהלית?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מיכאל אטלן: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זאת אומרת, שבנוסף לזה שזה עביר</w:t>
      </w:r>
      <w:r>
        <w:rPr>
          <w:rFonts w:cs="David"/>
          <w:sz w:val="24"/>
          <w:rtl/>
        </w:rPr>
        <w:t>ה ככה, אפשר יהיה, בסכום יותר קטן, לקבוע את זה כעבירה מינהלית גם. כלומר, שמי שלא מסר את ההודעה לפי החוק הזה - נוכל להטיל עליו קנס מינהלי, לא להגיש כתב אישום לבית משפט, שזה דבר מתאים לסוג העבירה הזה, ואז, במסגרת הזאת של קביעת - בעצם זה לא הפיכה, זו קביעה בנו</w:t>
      </w:r>
      <w:r>
        <w:rPr>
          <w:rFonts w:cs="David"/>
          <w:sz w:val="24"/>
          <w:rtl/>
        </w:rPr>
        <w:t xml:space="preserve">סף לזה - מנגנון של עבירה מינהלית, אפשר שם לקבוע את זה, עבירה מתמשכת, ואז אנחנו נקבע איזה שהוא מנגנון שנחשוב עליו. אבל להתחיל להתווכח פה על האם אפשר לצפות מזה שהעובד - העובד הרי לא יתריע, הוא לא ידבר.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יורי שטרן: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 xml:space="preserve">והחוק, חוק העונשין זה חוק פלילי?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 xml:space="preserve">מיכאל </w:t>
      </w:r>
      <w:r>
        <w:rPr>
          <w:rFonts w:cs="David"/>
          <w:sz w:val="24"/>
          <w:u w:val="single"/>
          <w:rtl/>
        </w:rPr>
        <w:t>אטלן: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 xml:space="preserve">חוק העונשין זה חוק פלילי.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יורי שטרן: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 xml:space="preserve">אז איך במסגרת החקיקה הזאת, אפשר להפוך את העבירה למינהלית?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מיכאל אטלן: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לפי חוק עבירות מינהליות, כל עבירה פלילית אפשר - זה צו שהולך לוועדת חוק, חוקה ומשפט.</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ג'ודי וסרמן: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 xml:space="preserve">זה אחר כך, זה בשלב שני. </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u w:val="single"/>
          <w:rtl/>
        </w:rPr>
      </w:pPr>
      <w:r>
        <w:rPr>
          <w:rFonts w:cs="David"/>
          <w:sz w:val="24"/>
          <w:u w:val="single"/>
          <w:rtl/>
        </w:rPr>
        <w:t>היו"ר מ</w:t>
      </w:r>
      <w:r>
        <w:rPr>
          <w:rFonts w:cs="David"/>
          <w:sz w:val="24"/>
          <w:u w:val="single"/>
          <w:rtl/>
        </w:rPr>
        <w:t>יכאל נודלמן:</w:t>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r>
        <w:rPr>
          <w:rFonts w:cs="David"/>
          <w:sz w:val="24"/>
          <w:rtl/>
        </w:rPr>
        <w:tab/>
        <w:t xml:space="preserve">אנחנו צריכים להצביע בלי המשפט שמופיע באותיות מודגשות - אני יחידי כאן, ואני היחיד שמצביע. התקבל פה אחד, תודה רבה. </w:t>
      </w:r>
      <w:r>
        <w:rPr>
          <w:rFonts w:cs="David"/>
          <w:sz w:val="24"/>
          <w:rtl/>
        </w:rPr>
        <w:tab/>
      </w: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p>
    <w:p w:rsidR="00000000" w:rsidRDefault="008476D3">
      <w:pPr>
        <w:tabs>
          <w:tab w:val="left" w:pos="707"/>
          <w:tab w:val="left" w:pos="3968"/>
        </w:tabs>
        <w:ind w:left="-1"/>
        <w:jc w:val="both"/>
        <w:rPr>
          <w:rFonts w:cs="David"/>
          <w:sz w:val="24"/>
          <w:rtl/>
        </w:rPr>
      </w:pPr>
    </w:p>
    <w:p w:rsidR="00000000" w:rsidRDefault="008476D3">
      <w:pPr>
        <w:pStyle w:val="40"/>
        <w:rPr>
          <w:rFonts w:cs="David"/>
          <w:sz w:val="24"/>
          <w:rtl/>
        </w:rPr>
      </w:pPr>
      <w:r>
        <w:rPr>
          <w:rFonts w:cs="David"/>
          <w:sz w:val="24"/>
          <w:rtl/>
        </w:rPr>
        <w:t xml:space="preserve">הישיבה ננעלה בשעה 09:20      </w:t>
      </w:r>
    </w:p>
    <w:p w:rsidR="00000000" w:rsidRDefault="008476D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76D3">
      <w:r>
        <w:separator/>
      </w:r>
    </w:p>
  </w:endnote>
  <w:endnote w:type="continuationSeparator" w:id="0">
    <w:p w:rsidR="00000000" w:rsidRDefault="00847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6D3">
    <w:pPr>
      <w:pStyle w:val="a7"/>
      <w:rPr>
        <w:rFonts w:cs="David"/>
        <w:rtl/>
      </w:rPr>
    </w:pPr>
  </w:p>
  <w:p w:rsidR="00000000" w:rsidRDefault="008476D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6D3">
    <w:pPr>
      <w:pStyle w:val="a7"/>
      <w:rPr>
        <w:rFonts w:cs="David"/>
        <w:rtl/>
      </w:rPr>
    </w:pPr>
  </w:p>
  <w:p w:rsidR="00000000" w:rsidRDefault="008476D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76D3">
      <w:r>
        <w:separator/>
      </w:r>
    </w:p>
  </w:footnote>
  <w:footnote w:type="continuationSeparator" w:id="0">
    <w:p w:rsidR="00000000" w:rsidRDefault="008476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6D3">
    <w:pPr>
      <w:pStyle w:val="a5"/>
      <w:framePr w:wrap="auto" w:vAnchor="text" w:hAnchor="margin" w:y="1"/>
      <w:rPr>
        <w:rStyle w:val="ac"/>
        <w:rFonts w:cs="David"/>
        <w:b/>
        <w:bCs/>
        <w:sz w:val="22"/>
        <w:szCs w:val="22"/>
        <w:rtl/>
      </w:rPr>
    </w:pPr>
    <w:r>
      <w:rPr>
        <w:rStyle w:val="ac"/>
        <w:rFonts w:cs="David"/>
        <w:b/>
        <w:bCs/>
        <w:szCs w:val="22"/>
      </w:rPr>
      <w:fldChar w:fldCharType="begin"/>
    </w:r>
    <w:r>
      <w:rPr>
        <w:rStyle w:val="ac"/>
        <w:rFonts w:cs="David"/>
        <w:b/>
        <w:bCs/>
        <w:szCs w:val="22"/>
      </w:rPr>
      <w:instrText xml:space="preserve">PAGE  </w:instrText>
    </w:r>
    <w:r>
      <w:rPr>
        <w:rStyle w:val="ac"/>
        <w:rFonts w:cs="David"/>
        <w:b/>
        <w:bCs/>
        <w:szCs w:val="22"/>
      </w:rPr>
      <w:fldChar w:fldCharType="separate"/>
    </w:r>
    <w:r>
      <w:rPr>
        <w:rStyle w:val="ac"/>
        <w:rFonts w:cs="David"/>
        <w:b/>
        <w:bCs/>
        <w:sz w:val="22"/>
        <w:szCs w:val="22"/>
        <w:rtl/>
      </w:rPr>
      <w:t>3</w:t>
    </w:r>
    <w:r>
      <w:rPr>
        <w:rStyle w:val="ac"/>
        <w:rFonts w:cs="David"/>
        <w:b/>
        <w:bCs/>
        <w:szCs w:val="22"/>
      </w:rPr>
      <w:fldChar w:fldCharType="end"/>
    </w:r>
  </w:p>
  <w:p w:rsidR="00000000" w:rsidRDefault="008476D3">
    <w:pPr>
      <w:pStyle w:val="a5"/>
      <w:ind w:right="360"/>
      <w:rPr>
        <w:rFonts w:cs="David"/>
        <w:sz w:val="24"/>
        <w:szCs w:val="24"/>
        <w:rtl/>
      </w:rPr>
    </w:pPr>
    <w:r>
      <w:rPr>
        <w:rFonts w:cs="David"/>
        <w:sz w:val="24"/>
        <w:szCs w:val="24"/>
        <w:rtl/>
      </w:rPr>
      <w:t>ועדת העבודה, הבריאות והרווחה</w:t>
    </w:r>
  </w:p>
  <w:p w:rsidR="00000000" w:rsidRDefault="008476D3">
    <w:pPr>
      <w:pStyle w:val="a5"/>
      <w:ind w:right="360"/>
      <w:rPr>
        <w:rFonts w:cs="David"/>
        <w:sz w:val="24"/>
        <w:szCs w:val="24"/>
        <w:rtl/>
      </w:rPr>
    </w:pPr>
    <w:r>
      <w:rPr>
        <w:rFonts w:cs="David"/>
        <w:sz w:val="24"/>
        <w:szCs w:val="24"/>
        <w:rtl/>
      </w:rPr>
      <w:t>04.03.02</w:t>
    </w:r>
  </w:p>
  <w:p w:rsidR="00000000" w:rsidRDefault="008476D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6D3">
    <w:pPr>
      <w:pStyle w:val="a5"/>
      <w:rPr>
        <w:rFonts w:cs="David"/>
        <w:rtl/>
      </w:rPr>
    </w:pPr>
  </w:p>
  <w:p w:rsidR="00000000" w:rsidRDefault="008476D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476D3"/>
    <w:rsid w:val="00847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BEA6FB-198F-4224-91B3-E1B330482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ody Text"/>
    <w:basedOn w:val="a"/>
    <w:link w:val="aa"/>
    <w:uiPriority w:val="99"/>
    <w:pPr>
      <w:tabs>
        <w:tab w:val="left" w:pos="2834"/>
      </w:tabs>
    </w:pPr>
    <w:rPr>
      <w:b/>
      <w:bCs/>
    </w:rPr>
  </w:style>
  <w:style w:type="character" w:customStyle="1" w:styleId="aa">
    <w:name w:val="גוף טקסט תו"/>
    <w:basedOn w:val="a0"/>
    <w:link w:val="a9"/>
    <w:uiPriority w:val="99"/>
    <w:semiHidden/>
    <w:rPr>
      <w:rFonts w:ascii="Times New Roman" w:hAnsi="Times New Roman" w:cs="Times New Roman"/>
      <w:noProof/>
      <w:spacing w:val="14"/>
      <w:sz w:val="16"/>
      <w:szCs w:val="24"/>
      <w:lang w:eastAsia="he-IL"/>
    </w:rPr>
  </w:style>
  <w:style w:type="character" w:styleId="ab">
    <w:name w:val="line number"/>
    <w:basedOn w:val="a0"/>
    <w:uiPriority w:val="99"/>
    <w:rPr>
      <w:rFonts w:ascii="Times New Roman" w:hAnsi="Times New Roman" w:cs="Times New Roman"/>
    </w:rPr>
  </w:style>
  <w:style w:type="character" w:styleId="ac">
    <w:name w:val="page number"/>
    <w:basedOn w:val="a0"/>
    <w:uiPriority w:val="99"/>
    <w:rPr>
      <w:rFonts w:ascii="Times New Roman" w:hAnsi="Times New Roman" w:cs="Times New Roman"/>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595</Words>
  <Characters>2976</Characters>
  <Application>Microsoft Office Word</Application>
  <DocSecurity>0</DocSecurity>
  <Lines>24</Lines>
  <Paragraphs>7</Paragraphs>
  <ScaleCrop>false</ScaleCrop>
  <Company>knesset</Company>
  <LinksUpToDate>false</LinksUpToDate>
  <CharactersWithSpaces>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פרוטוקולים/עבודה/4769</dc:title>
  <dc:subject>עבודה 4.3.2002א</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