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0D4" w:rsidRDefault="004D29A7">
      <w:pPr>
        <w:jc w:val="right"/>
        <w:rPr>
          <w:rFonts w:cs="David"/>
          <w:sz w:val="24"/>
          <w:rtl/>
        </w:rPr>
      </w:pPr>
      <w:bookmarkStart w:id="0" w:name="_GoBack"/>
      <w:bookmarkEnd w:id="0"/>
      <w:r>
        <w:rPr>
          <w:rFonts w:cs="David"/>
          <w:sz w:val="24"/>
          <w:rtl/>
        </w:rPr>
        <w:t>פרוטוקולים/ביקורת/4765</w:t>
      </w:r>
    </w:p>
    <w:p w:rsidR="006A10D4" w:rsidRDefault="004D29A7">
      <w:pPr>
        <w:jc w:val="right"/>
        <w:rPr>
          <w:rFonts w:cs="David"/>
          <w:sz w:val="24"/>
          <w:rtl/>
        </w:rPr>
      </w:pPr>
      <w:r>
        <w:rPr>
          <w:rFonts w:cs="David"/>
          <w:sz w:val="24"/>
          <w:rtl/>
        </w:rPr>
        <w:tab/>
        <w:t>ירושלים, כ"ח באדר, תשס"ב</w:t>
      </w:r>
    </w:p>
    <w:p w:rsidR="006A10D4" w:rsidRDefault="004D29A7">
      <w:pPr>
        <w:jc w:val="right"/>
        <w:rPr>
          <w:rFonts w:cs="David"/>
          <w:sz w:val="24"/>
          <w:rtl/>
          <w:lang w:val="es"/>
        </w:rPr>
      </w:pPr>
      <w:r>
        <w:rPr>
          <w:rFonts w:cs="David"/>
          <w:sz w:val="24"/>
          <w:rtl/>
          <w:lang w:val="es"/>
        </w:rPr>
        <w:t>12 במרץ, 2002</w:t>
      </w:r>
    </w:p>
    <w:p w:rsidR="006A10D4" w:rsidRDefault="006A10D4">
      <w:pPr>
        <w:jc w:val="right"/>
        <w:rPr>
          <w:rFonts w:cs="David"/>
          <w:sz w:val="24"/>
          <w:rtl/>
        </w:rPr>
      </w:pPr>
    </w:p>
    <w:p w:rsidR="006A10D4" w:rsidRDefault="004D29A7">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6A10D4" w:rsidRDefault="004D29A7">
      <w:pPr>
        <w:rPr>
          <w:rFonts w:cs="David"/>
          <w:b/>
          <w:bCs/>
          <w:sz w:val="24"/>
          <w:rtl/>
          <w:lang w:eastAsia="en-US"/>
        </w:rPr>
      </w:pPr>
      <w:r>
        <w:rPr>
          <w:rFonts w:cs="David"/>
          <w:b/>
          <w:bCs/>
          <w:sz w:val="24"/>
          <w:rtl/>
          <w:lang w:eastAsia="en-US"/>
        </w:rPr>
        <w:t>מושב רביעי</w:t>
      </w:r>
    </w:p>
    <w:p w:rsidR="006A10D4" w:rsidRDefault="006A10D4">
      <w:pPr>
        <w:rPr>
          <w:rFonts w:cs="David"/>
          <w:b/>
          <w:bCs/>
          <w:sz w:val="24"/>
          <w:rtl/>
          <w:lang w:eastAsia="en-US"/>
        </w:rPr>
      </w:pPr>
    </w:p>
    <w:p w:rsidR="006A10D4" w:rsidRDefault="006A10D4">
      <w:pPr>
        <w:rPr>
          <w:rFonts w:cs="David"/>
          <w:b/>
          <w:bCs/>
          <w:sz w:val="24"/>
          <w:rtl/>
          <w:lang w:eastAsia="en-US"/>
        </w:rPr>
      </w:pPr>
    </w:p>
    <w:p w:rsidR="006A10D4" w:rsidRDefault="006A10D4">
      <w:pPr>
        <w:rPr>
          <w:rFonts w:cs="David"/>
          <w:b/>
          <w:bCs/>
          <w:sz w:val="24"/>
          <w:rtl/>
          <w:lang w:eastAsia="en-US"/>
        </w:rPr>
      </w:pPr>
    </w:p>
    <w:p w:rsidR="006A10D4" w:rsidRDefault="006A10D4">
      <w:pPr>
        <w:rPr>
          <w:rFonts w:cs="David"/>
          <w:b/>
          <w:bCs/>
          <w:sz w:val="24"/>
          <w:rtl/>
          <w:lang w:eastAsia="en-US"/>
        </w:rPr>
      </w:pPr>
    </w:p>
    <w:p w:rsidR="006A10D4" w:rsidRDefault="004D29A7">
      <w:pPr>
        <w:pStyle w:val="10"/>
        <w:rPr>
          <w:rFonts w:cs="David"/>
          <w:b w:val="0"/>
          <w:bCs w:val="0"/>
          <w:sz w:val="24"/>
          <w:rtl/>
          <w:lang w:eastAsia="en-US"/>
        </w:rPr>
      </w:pPr>
      <w:r>
        <w:rPr>
          <w:rFonts w:cs="David"/>
          <w:b w:val="0"/>
          <w:bCs w:val="0"/>
          <w:sz w:val="24"/>
          <w:rtl/>
          <w:lang w:eastAsia="en-US"/>
        </w:rPr>
        <w:t>פרוטוקול מס' 169/א</w:t>
      </w:r>
    </w:p>
    <w:p w:rsidR="006A10D4" w:rsidRDefault="004D29A7">
      <w:pPr>
        <w:jc w:val="center"/>
        <w:rPr>
          <w:rFonts w:cs="David"/>
          <w:sz w:val="24"/>
          <w:rtl/>
        </w:rPr>
      </w:pPr>
      <w:r>
        <w:rPr>
          <w:rFonts w:cs="David"/>
          <w:sz w:val="24"/>
          <w:rtl/>
        </w:rPr>
        <w:t>מישיבת הוועדה לענייני ביקורת המדינה</w:t>
      </w:r>
    </w:p>
    <w:p w:rsidR="006A10D4" w:rsidRDefault="004D29A7">
      <w:pPr>
        <w:pStyle w:val="40"/>
        <w:rPr>
          <w:rFonts w:cs="David"/>
          <w:b w:val="0"/>
          <w:bCs w:val="0"/>
          <w:sz w:val="24"/>
          <w:rtl/>
        </w:rPr>
      </w:pPr>
      <w:r>
        <w:rPr>
          <w:rFonts w:cs="David"/>
          <w:b w:val="0"/>
          <w:bCs w:val="0"/>
          <w:sz w:val="24"/>
          <w:rtl/>
        </w:rPr>
        <w:t>יום שלישי, ז' באדר התשס"ב (19 בפברואר 2002), שעה: 12:10</w:t>
      </w:r>
    </w:p>
    <w:p w:rsidR="006A10D4" w:rsidRDefault="006A10D4">
      <w:pPr>
        <w:rPr>
          <w:rFonts w:cs="David"/>
          <w:b/>
          <w:bCs/>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4D29A7">
      <w:pPr>
        <w:rPr>
          <w:rFonts w:cs="David"/>
          <w:b/>
          <w:bCs/>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r>
      <w:r>
        <w:rPr>
          <w:rFonts w:cs="David"/>
          <w:b/>
          <w:bCs/>
          <w:sz w:val="24"/>
          <w:rtl/>
          <w:lang w:eastAsia="en-US"/>
        </w:rPr>
        <w:t>הקמת ועדת השניים, שהיא ועדת המשנה לענייני קהילת המודיעין</w:t>
      </w: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4D29A7">
      <w:pPr>
        <w:rPr>
          <w:rFonts w:cs="David"/>
          <w:b/>
          <w:bCs/>
          <w:sz w:val="24"/>
          <w:u w:val="single"/>
          <w:rtl/>
          <w:lang w:eastAsia="en-US"/>
        </w:rPr>
      </w:pPr>
      <w:r>
        <w:rPr>
          <w:rFonts w:cs="David"/>
          <w:b/>
          <w:bCs/>
          <w:sz w:val="24"/>
          <w:u w:val="single"/>
          <w:rtl/>
          <w:lang w:eastAsia="en-US"/>
        </w:rPr>
        <w:t>נכחו:</w:t>
      </w:r>
    </w:p>
    <w:p w:rsidR="006A10D4" w:rsidRDefault="006A10D4">
      <w:pPr>
        <w:rPr>
          <w:rFonts w:cs="David"/>
          <w:b/>
          <w:bCs/>
          <w:sz w:val="24"/>
          <w:u w:val="single"/>
          <w:rtl/>
          <w:lang w:eastAsia="en-US"/>
        </w:rPr>
      </w:pPr>
    </w:p>
    <w:p w:rsidR="006A10D4" w:rsidRDefault="004D29A7">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אמנון רובינשטיין – היו"ר</w:t>
      </w:r>
    </w:p>
    <w:p w:rsidR="006A10D4" w:rsidRDefault="004D29A7">
      <w:pPr>
        <w:rPr>
          <w:rFonts w:cs="David"/>
          <w:sz w:val="24"/>
          <w:rtl/>
          <w:lang w:eastAsia="en-US"/>
        </w:rPr>
      </w:pPr>
      <w:r>
        <w:rPr>
          <w:rFonts w:cs="David"/>
          <w:sz w:val="24"/>
          <w:rtl/>
          <w:lang w:eastAsia="en-US"/>
        </w:rPr>
        <w:tab/>
      </w:r>
    </w:p>
    <w:p w:rsidR="006A10D4" w:rsidRDefault="004D29A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אופיר פינס-פז    </w:t>
      </w: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4D29A7">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תומר רוזנר</w:t>
      </w:r>
    </w:p>
    <w:p w:rsidR="006A10D4" w:rsidRDefault="006A10D4">
      <w:pPr>
        <w:rPr>
          <w:rFonts w:cs="David"/>
          <w:sz w:val="24"/>
          <w:rtl/>
          <w:lang w:eastAsia="en-US"/>
        </w:rPr>
      </w:pPr>
    </w:p>
    <w:p w:rsidR="006A10D4" w:rsidRDefault="006A10D4">
      <w:pPr>
        <w:rPr>
          <w:rFonts w:cs="David"/>
          <w:sz w:val="24"/>
          <w:rtl/>
          <w:lang w:eastAsia="en-US"/>
        </w:rPr>
      </w:pPr>
    </w:p>
    <w:p w:rsidR="006A10D4" w:rsidRDefault="004D29A7">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ירדנה מלר-הורוביץ</w:t>
      </w:r>
    </w:p>
    <w:p w:rsidR="006A10D4" w:rsidRDefault="006A10D4">
      <w:pPr>
        <w:rPr>
          <w:rFonts w:cs="David"/>
          <w:b/>
          <w:bCs/>
          <w:sz w:val="24"/>
          <w:u w:val="single"/>
          <w:rtl/>
          <w:lang w:eastAsia="en-US"/>
        </w:rPr>
      </w:pPr>
    </w:p>
    <w:p w:rsidR="006A10D4" w:rsidRDefault="006A10D4">
      <w:pPr>
        <w:rPr>
          <w:rFonts w:cs="David"/>
          <w:b/>
          <w:bCs/>
          <w:sz w:val="24"/>
          <w:u w:val="single"/>
          <w:rtl/>
          <w:lang w:eastAsia="en-US"/>
        </w:rPr>
      </w:pPr>
    </w:p>
    <w:p w:rsidR="006A10D4" w:rsidRDefault="004D29A7">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r>
        <w:rPr>
          <w:rFonts w:cs="David"/>
          <w:sz w:val="24"/>
          <w:rtl/>
          <w:lang w:eastAsia="en-US"/>
        </w:rPr>
        <w:tab/>
      </w:r>
      <w:r>
        <w:rPr>
          <w:rFonts w:cs="David"/>
          <w:sz w:val="24"/>
          <w:rtl/>
          <w:lang w:eastAsia="en-US"/>
        </w:rPr>
        <w:tab/>
      </w:r>
      <w:r>
        <w:rPr>
          <w:rFonts w:cs="David"/>
          <w:sz w:val="24"/>
          <w:rtl/>
          <w:lang w:eastAsia="en-US"/>
        </w:rPr>
        <w:tab/>
      </w: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4D29A7">
      <w:pPr>
        <w:jc w:val="center"/>
        <w:rPr>
          <w:rFonts w:cs="David"/>
          <w:sz w:val="24"/>
          <w:rtl/>
          <w:lang w:eastAsia="en-US"/>
        </w:rPr>
      </w:pPr>
      <w:r>
        <w:rPr>
          <w:rFonts w:cs="David"/>
          <w:sz w:val="24"/>
          <w:rtl/>
          <w:lang w:eastAsia="en-US"/>
        </w:rPr>
        <w:br w:type="page"/>
      </w:r>
      <w:r>
        <w:rPr>
          <w:rFonts w:cs="David"/>
          <w:b/>
          <w:bCs/>
          <w:sz w:val="24"/>
          <w:u w:val="single"/>
          <w:rtl/>
          <w:lang w:eastAsia="en-US"/>
        </w:rPr>
        <w:lastRenderedPageBreak/>
        <w:t>הקמת ועדת השניים, שהיא ועדת המשנה לענייני קהילת המודיעין</w:t>
      </w:r>
    </w:p>
    <w:p w:rsidR="006A10D4" w:rsidRDefault="006A10D4">
      <w:pPr>
        <w:jc w:val="center"/>
        <w:rPr>
          <w:rFonts w:cs="David"/>
          <w:sz w:val="24"/>
          <w:rtl/>
          <w:lang w:eastAsia="en-US"/>
        </w:rPr>
      </w:pP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היו"ר אמנון רובינשטיין:</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אני פותח את הישיבה של הוועדה לענייני ביקורת המדינה. הנושא שלנו זה הקמת "ועדת השניים", שהיא ועדת המשנה לענייני קהילת המודיעין. היא ידועה בשם "ועדת השניים". אני מבקש מירדנה – את תציגי את הנוהג הקודם שהיה בוועדות קודמות ותומר – אתה תציג את הצד הפרוצדורלי, נקרא לזה כך.</w:t>
      </w: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ירדנה מלר-הורוביץ:</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ועדת השניים, ההרכב שלה הורכב מיושב ראש הוועדה לענייני ביקורת המדינה - - -</w:t>
      </w: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היו"ר אמנון רובינשטיין:</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 xml:space="preserve">על פי נוהג, לא על פי תקנון. </w:t>
      </w: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ירדנה מלר-הורוביץ:</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על פי נוהג - שהוא גם, בדרך כלל, ייצג את האופוזיציה, כי זו ועדה שניתנת לאופוזיציה – ויושב ראש ועדת החוץ והביטחון שהיה חבר בוועדה לענייני ביקורת המדינה.</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 xml:space="preserve">כבר בקדנציה הקודמת היה מצב שיושב ראש ועדת חוץ וביטחון לא יכול היה להיבחר לוועדת השניים, כי הוא לא היה חבר בוועדה לענייני ביקורת המדינה. ואז מינו את יושב ראש הוועדה לענייני ביקורת המדינה ועוד חבר מהוועדה לענייני ביקורת המדינה ואת יושב ראש ועדת החוץ והביטחון </w:t>
      </w:r>
      <w:r>
        <w:rPr>
          <w:rFonts w:cs="David"/>
          <w:sz w:val="24"/>
          <w:u w:val="single"/>
          <w:rtl/>
          <w:lang w:eastAsia="en-US"/>
        </w:rPr>
        <w:t>כמשקיף</w:t>
      </w:r>
      <w:r>
        <w:rPr>
          <w:rFonts w:cs="David"/>
          <w:sz w:val="24"/>
          <w:rtl/>
          <w:lang w:eastAsia="en-US"/>
        </w:rPr>
        <w:t>.</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ואתה, אדוני היושב ראש, מבקש היום לחדש את הנוהג הזה.</w:t>
      </w: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היו"ר אמנון רובינשטיין:</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נכון.</w:t>
      </w: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ירדנה מלר-הורוביץ:</w:t>
      </w:r>
    </w:p>
    <w:p w:rsidR="006A10D4" w:rsidRDefault="006A10D4">
      <w:pPr>
        <w:rPr>
          <w:rFonts w:cs="David"/>
          <w:sz w:val="24"/>
          <w:u w:val="single"/>
          <w:rtl/>
          <w:lang w:eastAsia="en-US"/>
        </w:rPr>
      </w:pPr>
    </w:p>
    <w:p w:rsidR="006A10D4" w:rsidRDefault="004D29A7">
      <w:pPr>
        <w:rPr>
          <w:rFonts w:cs="David"/>
          <w:sz w:val="24"/>
          <w:rtl/>
          <w:lang w:eastAsia="en-US"/>
        </w:rPr>
      </w:pPr>
      <w:r>
        <w:rPr>
          <w:rFonts w:cs="David"/>
          <w:sz w:val="24"/>
          <w:rtl/>
          <w:lang w:eastAsia="en-US"/>
        </w:rPr>
        <w:tab/>
        <w:t xml:space="preserve">יושב ראש הוועדה מציע שהרכב הוועדה יהיה הוא, כיושב ראש הוועדה לביקורת המדינה, שמייצג את האופוזיציה לצורך העניין וחבר הכנסת אופיר פינס-פז, שהוא חבר הוועדה, אבל לצורך העניין גם מייצג את הקואליציה. כמשקיף ימונה יושב ראש חוץ וביטחון, חבר הכנסת דוד מגן. </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הוחלט?</w:t>
      </w:r>
    </w:p>
    <w:p w:rsidR="006A10D4" w:rsidRDefault="006A10D4">
      <w:pPr>
        <w:rPr>
          <w:rFonts w:cs="David"/>
          <w:sz w:val="24"/>
          <w:rtl/>
          <w:lang w:eastAsia="en-US"/>
        </w:rPr>
      </w:pPr>
    </w:p>
    <w:p w:rsidR="006A10D4" w:rsidRDefault="004D29A7">
      <w:pPr>
        <w:rPr>
          <w:rFonts w:cs="David"/>
          <w:sz w:val="24"/>
          <w:u w:val="single"/>
          <w:rtl/>
          <w:lang w:eastAsia="en-US"/>
        </w:rPr>
      </w:pPr>
      <w:r>
        <w:rPr>
          <w:rFonts w:cs="David"/>
          <w:sz w:val="24"/>
          <w:u w:val="single"/>
          <w:rtl/>
          <w:lang w:eastAsia="en-US"/>
        </w:rPr>
        <w:t>היו"ר אמנון רובינשטיין:</w:t>
      </w:r>
    </w:p>
    <w:p w:rsidR="006A10D4" w:rsidRDefault="006A10D4">
      <w:pPr>
        <w:rPr>
          <w:rFonts w:cs="David"/>
          <w:sz w:val="24"/>
          <w:rtl/>
          <w:lang w:eastAsia="en-US"/>
        </w:rPr>
      </w:pPr>
    </w:p>
    <w:p w:rsidR="006A10D4" w:rsidRDefault="004D29A7">
      <w:pPr>
        <w:rPr>
          <w:rFonts w:cs="David"/>
          <w:sz w:val="24"/>
          <w:rtl/>
          <w:lang w:eastAsia="en-US"/>
        </w:rPr>
      </w:pPr>
      <w:r>
        <w:rPr>
          <w:rFonts w:cs="David"/>
          <w:sz w:val="24"/>
          <w:rtl/>
          <w:lang w:eastAsia="en-US"/>
        </w:rPr>
        <w:tab/>
        <w:t>הוחלט, פה אחד.</w:t>
      </w:r>
    </w:p>
    <w:p w:rsidR="006A10D4" w:rsidRDefault="006A10D4">
      <w:pPr>
        <w:rPr>
          <w:rFonts w:cs="David"/>
          <w:sz w:val="24"/>
          <w:rtl/>
          <w:lang w:eastAsia="en-US"/>
        </w:rPr>
      </w:pPr>
    </w:p>
    <w:p w:rsidR="006A10D4" w:rsidRDefault="006A10D4">
      <w:pPr>
        <w:rPr>
          <w:rFonts w:cs="David"/>
          <w:sz w:val="24"/>
          <w:rtl/>
          <w:lang w:eastAsia="en-US"/>
        </w:rPr>
      </w:pPr>
    </w:p>
    <w:p w:rsidR="006A10D4" w:rsidRDefault="004D29A7">
      <w:pPr>
        <w:rPr>
          <w:rFonts w:cs="David"/>
          <w:b/>
          <w:bCs/>
          <w:sz w:val="24"/>
          <w:u w:val="single"/>
          <w:rtl/>
          <w:lang w:eastAsia="en-US"/>
        </w:rPr>
      </w:pPr>
      <w:r>
        <w:rPr>
          <w:rFonts w:cs="David"/>
          <w:b/>
          <w:bCs/>
          <w:sz w:val="24"/>
          <w:u w:val="single"/>
          <w:rtl/>
          <w:lang w:eastAsia="en-US"/>
        </w:rPr>
        <w:t>הישיבה ננעלה בשעה: 12:15.</w:t>
      </w: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rPr>
          <w:rFonts w:cs="David"/>
          <w:sz w:val="24"/>
          <w:rtl/>
          <w:lang w:eastAsia="en-US"/>
        </w:rPr>
      </w:pPr>
    </w:p>
    <w:p w:rsidR="006A10D4" w:rsidRDefault="006A10D4">
      <w:pPr>
        <w:jc w:val="right"/>
        <w:rPr>
          <w:rFonts w:cs="David"/>
          <w:sz w:val="24"/>
          <w:rtl/>
        </w:rPr>
      </w:pPr>
    </w:p>
    <w:sectPr w:rsidR="006A10D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0D4" w:rsidRDefault="004D29A7">
      <w:r>
        <w:separator/>
      </w:r>
    </w:p>
  </w:endnote>
  <w:endnote w:type="continuationSeparator" w:id="0">
    <w:p w:rsidR="006A10D4" w:rsidRDefault="004D2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0D4" w:rsidRDefault="006A10D4">
    <w:pPr>
      <w:pStyle w:val="a7"/>
      <w:rPr>
        <w:rFonts w:cs="David"/>
        <w:sz w:val="24"/>
        <w:rtl/>
      </w:rPr>
    </w:pPr>
  </w:p>
  <w:p w:rsidR="006A10D4" w:rsidRDefault="006A10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0D4" w:rsidRDefault="006A10D4">
    <w:pPr>
      <w:pStyle w:val="a7"/>
      <w:rPr>
        <w:rFonts w:cs="David"/>
        <w:sz w:val="24"/>
        <w:rtl/>
      </w:rPr>
    </w:pPr>
  </w:p>
  <w:p w:rsidR="006A10D4" w:rsidRDefault="006A10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0D4" w:rsidRDefault="004D29A7">
      <w:r>
        <w:separator/>
      </w:r>
    </w:p>
  </w:footnote>
  <w:footnote w:type="continuationSeparator" w:id="0">
    <w:p w:rsidR="006A10D4" w:rsidRDefault="004D2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0D4" w:rsidRDefault="004D29A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31861">
      <w:rPr>
        <w:rStyle w:val="a9"/>
        <w:rFonts w:cs="David"/>
        <w:noProof/>
        <w:rtl/>
      </w:rPr>
      <w:t>2</w:t>
    </w:r>
    <w:r>
      <w:rPr>
        <w:rStyle w:val="a9"/>
        <w:rFonts w:cs="David"/>
      </w:rPr>
      <w:fldChar w:fldCharType="end"/>
    </w:r>
  </w:p>
  <w:p w:rsidR="006A10D4" w:rsidRDefault="004D29A7">
    <w:pPr>
      <w:pStyle w:val="a5"/>
      <w:ind w:right="360"/>
      <w:rPr>
        <w:rFonts w:cs="David"/>
        <w:sz w:val="24"/>
        <w:rtl/>
      </w:rPr>
    </w:pPr>
    <w:r>
      <w:rPr>
        <w:rFonts w:cs="David"/>
        <w:sz w:val="24"/>
        <w:rtl/>
      </w:rPr>
      <w:t>הוועדה לענייני ביקורת המדינה</w:t>
    </w:r>
  </w:p>
  <w:p w:rsidR="006A10D4" w:rsidRDefault="004D29A7">
    <w:pPr>
      <w:pStyle w:val="a5"/>
      <w:ind w:right="360"/>
      <w:rPr>
        <w:rStyle w:val="a9"/>
        <w:rFonts w:cs="David"/>
        <w:sz w:val="24"/>
        <w:rtl/>
      </w:rPr>
    </w:pPr>
    <w:r>
      <w:rPr>
        <w:rFonts w:cs="David"/>
        <w:sz w:val="24"/>
        <w:rtl/>
      </w:rPr>
      <w:t>19.2.02</w:t>
    </w:r>
  </w:p>
  <w:p w:rsidR="006A10D4" w:rsidRDefault="006A10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0D4" w:rsidRDefault="006A10D4">
    <w:pPr>
      <w:pStyle w:val="a5"/>
      <w:rPr>
        <w:rFonts w:cs="David"/>
        <w:sz w:val="24"/>
        <w:rtl/>
      </w:rPr>
    </w:pPr>
  </w:p>
  <w:p w:rsidR="006A10D4" w:rsidRDefault="006A10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D29A7"/>
    <w:rsid w:val="004D29A7"/>
    <w:rsid w:val="006A10D4"/>
    <w:rsid w:val="007318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11C1BE-78E2-4806-9E79-B25314D0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1543</Characters>
  <Application>Microsoft Office Word</Application>
  <DocSecurity>0</DocSecurity>
  <Lines>12</Lines>
  <Paragraphs>3</Paragraphs>
  <ScaleCrop>false</ScaleCrop>
  <Company>knesset</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פרוטוקולים/ביקורת/4765</dc:title>
  <dc:subject>ביקורת 19.2.2002ב</dc:subject>
  <dc:creator>דרורה רשף</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