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616E1">
      <w:pPr>
        <w:jc w:val="right"/>
        <w:rPr>
          <w:rFonts w:cs="Miriam"/>
          <w:rtl/>
        </w:rPr>
      </w:pPr>
      <w:bookmarkStart w:id="0" w:name="_GoBack"/>
      <w:bookmarkEnd w:id="0"/>
      <w:r>
        <w:rPr>
          <w:rFonts w:cs="Miriam"/>
          <w:rtl/>
        </w:rPr>
        <w:t>פרוטוקולים/מעמד האישה/5882</w:t>
      </w:r>
    </w:p>
    <w:p w:rsidR="00000000" w:rsidRDefault="00F616E1">
      <w:pPr>
        <w:jc w:val="right"/>
        <w:rPr>
          <w:rFonts w:cs="Miriam"/>
          <w:rtl/>
        </w:rPr>
      </w:pPr>
      <w:r>
        <w:rPr>
          <w:rFonts w:cs="Miriam"/>
          <w:rtl/>
        </w:rPr>
        <w:tab/>
        <w:t>ירושלים, י"ח בחשון, תשס"ג</w:t>
      </w:r>
    </w:p>
    <w:p w:rsidR="00000000" w:rsidRDefault="00F616E1">
      <w:pPr>
        <w:jc w:val="right"/>
        <w:rPr>
          <w:rFonts w:cs="Miriam"/>
          <w:rtl/>
          <w:lang w:val="es"/>
        </w:rPr>
      </w:pPr>
      <w:r>
        <w:rPr>
          <w:rFonts w:cs="Miriam"/>
          <w:rtl/>
          <w:lang w:val="es"/>
        </w:rPr>
        <w:t>24 באוקטובר</w:t>
      </w:r>
      <w:r>
        <w:rPr>
          <w:rFonts w:cs="Miriam"/>
          <w:rtl/>
          <w:lang w:val="es"/>
        </w:rPr>
        <w:t>, 2002</w:t>
      </w:r>
    </w:p>
    <w:p w:rsidR="00000000" w:rsidRDefault="00F616E1">
      <w:pPr>
        <w:jc w:val="right"/>
        <w:rPr>
          <w:rFonts w:cs="Miriam"/>
          <w:rtl/>
        </w:rPr>
      </w:pPr>
    </w:p>
    <w:p w:rsidR="00000000" w:rsidRDefault="00F616E1">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F616E1">
      <w:pPr>
        <w:jc w:val="both"/>
        <w:rPr>
          <w:rFonts w:cs="David"/>
          <w:b/>
          <w:bCs/>
          <w:sz w:val="24"/>
          <w:szCs w:val="24"/>
          <w:rtl/>
        </w:rPr>
      </w:pPr>
      <w:r>
        <w:rPr>
          <w:rFonts w:cs="David"/>
          <w:b/>
          <w:bCs/>
          <w:sz w:val="24"/>
          <w:szCs w:val="24"/>
          <w:rtl/>
        </w:rPr>
        <w:t>מושב חמישי</w:t>
      </w: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pStyle w:val="10"/>
        <w:rPr>
          <w:rFonts w:cs="David"/>
          <w:sz w:val="24"/>
          <w:rtl/>
        </w:rPr>
      </w:pPr>
      <w:r>
        <w:rPr>
          <w:rFonts w:cs="David"/>
          <w:sz w:val="24"/>
          <w:rtl/>
        </w:rPr>
        <w:t xml:space="preserve">פרוטוקול מס' </w:t>
      </w:r>
    </w:p>
    <w:p w:rsidR="00000000" w:rsidRDefault="00F616E1">
      <w:pPr>
        <w:pStyle w:val="5"/>
        <w:rPr>
          <w:rFonts w:cs="David"/>
          <w:sz w:val="24"/>
          <w:rtl/>
        </w:rPr>
      </w:pPr>
      <w:r>
        <w:rPr>
          <w:rFonts w:cs="David"/>
          <w:sz w:val="24"/>
          <w:rtl/>
        </w:rPr>
        <w:t>מישיבת הוועדה לקידום מעמד האישה</w:t>
      </w:r>
    </w:p>
    <w:p w:rsidR="00000000" w:rsidRDefault="00F616E1">
      <w:pPr>
        <w:pStyle w:val="40"/>
        <w:rPr>
          <w:rFonts w:cs="David"/>
          <w:sz w:val="24"/>
          <w:rtl/>
        </w:rPr>
      </w:pPr>
      <w:r>
        <w:rPr>
          <w:rFonts w:cs="David"/>
          <w:sz w:val="24"/>
          <w:rtl/>
        </w:rPr>
        <w:t>יום רביעי, י' בחשוון התשס"ב (16 באוקטובר 2002), שעה 08:45</w:t>
      </w: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sz w:val="24"/>
          <w:szCs w:val="24"/>
          <w:rtl/>
        </w:rPr>
      </w:pPr>
      <w:r>
        <w:rPr>
          <w:rFonts w:cs="David"/>
          <w:b/>
          <w:bCs/>
          <w:sz w:val="24"/>
          <w:szCs w:val="24"/>
          <w:u w:val="single"/>
          <w:rtl/>
        </w:rPr>
        <w:t xml:space="preserve">סדר היום: </w:t>
      </w:r>
      <w:r>
        <w:rPr>
          <w:rFonts w:cs="David"/>
          <w:sz w:val="24"/>
          <w:szCs w:val="24"/>
          <w:rtl/>
        </w:rPr>
        <w:tab/>
      </w:r>
      <w:r>
        <w:rPr>
          <w:rFonts w:cs="David"/>
          <w:sz w:val="24"/>
          <w:szCs w:val="24"/>
          <w:rtl/>
        </w:rPr>
        <w:tab/>
      </w:r>
      <w:r>
        <w:rPr>
          <w:rFonts w:cs="David"/>
          <w:b/>
          <w:bCs/>
          <w:sz w:val="24"/>
          <w:szCs w:val="24"/>
          <w:rtl/>
        </w:rPr>
        <w:t>מינוי ועדת משנה של הוועדה לקידום מעמד האישה</w:t>
      </w: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b/>
          <w:bCs/>
          <w:sz w:val="24"/>
          <w:szCs w:val="24"/>
          <w:rtl/>
        </w:rPr>
      </w:pPr>
    </w:p>
    <w:p w:rsidR="00000000" w:rsidRDefault="00F616E1">
      <w:pPr>
        <w:jc w:val="both"/>
        <w:rPr>
          <w:rFonts w:cs="David"/>
          <w:sz w:val="24"/>
          <w:szCs w:val="24"/>
          <w:rtl/>
        </w:rPr>
      </w:pPr>
    </w:p>
    <w:p w:rsidR="00000000" w:rsidRDefault="00F616E1">
      <w:pPr>
        <w:jc w:val="both"/>
        <w:rPr>
          <w:rFonts w:cs="David"/>
          <w:sz w:val="24"/>
          <w:szCs w:val="24"/>
          <w:rtl/>
        </w:rPr>
      </w:pPr>
      <w:r>
        <w:rPr>
          <w:rFonts w:cs="David"/>
          <w:b/>
          <w:bCs/>
          <w:sz w:val="24"/>
          <w:szCs w:val="24"/>
          <w:u w:val="single"/>
          <w:rtl/>
        </w:rPr>
        <w:t>נכחו:</w:t>
      </w:r>
      <w:r>
        <w:rPr>
          <w:rFonts w:cs="Miriam"/>
          <w:b/>
          <w:bCs/>
          <w:sz w:val="24"/>
          <w:szCs w:val="24"/>
          <w:rtl/>
        </w:rPr>
        <w:tab/>
      </w:r>
      <w:r>
        <w:rPr>
          <w:rFonts w:cs="Miriam"/>
          <w:b/>
          <w:bCs/>
          <w:sz w:val="24"/>
          <w:szCs w:val="24"/>
          <w:rtl/>
        </w:rPr>
        <w:tab/>
      </w:r>
      <w:r>
        <w:rPr>
          <w:rFonts w:cs="Miriam"/>
          <w:b/>
          <w:bCs/>
          <w:sz w:val="24"/>
          <w:szCs w:val="24"/>
          <w:rtl/>
        </w:rPr>
        <w:tab/>
      </w:r>
      <w:r>
        <w:rPr>
          <w:rFonts w:cs="David"/>
          <w:sz w:val="24"/>
          <w:szCs w:val="24"/>
          <w:rtl/>
        </w:rPr>
        <w:t>יעל דיין – היו"ר</w:t>
      </w:r>
    </w:p>
    <w:p w:rsidR="00000000" w:rsidRDefault="00F616E1">
      <w:pPr>
        <w:ind w:left="567" w:firstLine="567"/>
        <w:jc w:val="both"/>
        <w:rPr>
          <w:rFonts w:cs="David"/>
          <w:sz w:val="24"/>
          <w:szCs w:val="24"/>
          <w:rtl/>
        </w:rPr>
      </w:pPr>
    </w:p>
    <w:p w:rsidR="00000000" w:rsidRDefault="00F616E1">
      <w:pPr>
        <w:ind w:left="567" w:firstLine="567"/>
        <w:jc w:val="both"/>
        <w:rPr>
          <w:rFonts w:cs="David"/>
          <w:sz w:val="24"/>
          <w:szCs w:val="24"/>
          <w:rtl/>
        </w:rPr>
      </w:pPr>
    </w:p>
    <w:p w:rsidR="00000000" w:rsidRDefault="00F616E1">
      <w:pPr>
        <w:ind w:left="567" w:firstLine="567"/>
        <w:jc w:val="both"/>
        <w:rPr>
          <w:rFonts w:cs="David"/>
          <w:sz w:val="24"/>
          <w:szCs w:val="24"/>
          <w:rtl/>
        </w:rPr>
      </w:pPr>
    </w:p>
    <w:p w:rsidR="00000000" w:rsidRDefault="00F616E1">
      <w:pPr>
        <w:ind w:left="567" w:firstLine="567"/>
        <w:jc w:val="both"/>
        <w:rPr>
          <w:rFonts w:cs="David"/>
          <w:sz w:val="24"/>
          <w:szCs w:val="24"/>
          <w:rtl/>
        </w:rPr>
      </w:pPr>
    </w:p>
    <w:p w:rsidR="00000000" w:rsidRDefault="00F616E1">
      <w:pPr>
        <w:ind w:left="567" w:firstLine="567"/>
        <w:jc w:val="both"/>
        <w:rPr>
          <w:rFonts w:cs="David"/>
          <w:sz w:val="24"/>
          <w:szCs w:val="24"/>
          <w:rtl/>
        </w:rPr>
      </w:pPr>
    </w:p>
    <w:p w:rsidR="00000000" w:rsidRDefault="00F616E1">
      <w:pPr>
        <w:ind w:left="567" w:firstLine="567"/>
        <w:jc w:val="both"/>
        <w:rPr>
          <w:rFonts w:cs="David"/>
          <w:sz w:val="24"/>
          <w:szCs w:val="24"/>
          <w:rtl/>
        </w:rPr>
      </w:pPr>
    </w:p>
    <w:p w:rsidR="00000000" w:rsidRDefault="00F616E1">
      <w:pPr>
        <w:ind w:left="567" w:firstLine="567"/>
        <w:jc w:val="both"/>
        <w:rPr>
          <w:rFonts w:cs="David"/>
          <w:sz w:val="24"/>
          <w:szCs w:val="24"/>
          <w:rtl/>
        </w:rPr>
      </w:pPr>
    </w:p>
    <w:p w:rsidR="00000000" w:rsidRDefault="00F616E1">
      <w:pPr>
        <w:ind w:left="567" w:firstLine="567"/>
        <w:jc w:val="both"/>
        <w:rPr>
          <w:rFonts w:cs="David"/>
          <w:sz w:val="24"/>
          <w:szCs w:val="24"/>
          <w:rtl/>
        </w:rPr>
      </w:pPr>
    </w:p>
    <w:p w:rsidR="00000000" w:rsidRDefault="00F616E1">
      <w:pPr>
        <w:ind w:left="567" w:firstLine="567"/>
        <w:jc w:val="both"/>
        <w:rPr>
          <w:rFonts w:cs="David"/>
          <w:sz w:val="24"/>
          <w:szCs w:val="24"/>
          <w:rtl/>
        </w:rPr>
      </w:pPr>
    </w:p>
    <w:p w:rsidR="00000000" w:rsidRDefault="00F616E1">
      <w:pPr>
        <w:pStyle w:val="a9"/>
        <w:rPr>
          <w:rFonts w:cs="David"/>
          <w:sz w:val="24"/>
          <w:rtl/>
        </w:rPr>
      </w:pPr>
    </w:p>
    <w:p w:rsidR="00000000" w:rsidRDefault="00F616E1">
      <w:pPr>
        <w:pStyle w:val="a9"/>
        <w:rPr>
          <w:rFonts w:cs="David"/>
          <w:sz w:val="24"/>
          <w:rtl/>
        </w:rPr>
      </w:pPr>
      <w:r>
        <w:rPr>
          <w:rFonts w:cs="David"/>
          <w:sz w:val="24"/>
          <w:rtl/>
        </w:rPr>
        <w:tab/>
      </w:r>
      <w:r>
        <w:rPr>
          <w:rFonts w:cs="David"/>
          <w:sz w:val="24"/>
          <w:rtl/>
        </w:rPr>
        <w:tab/>
      </w:r>
    </w:p>
    <w:p w:rsidR="00000000" w:rsidRDefault="00F616E1">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דנה גורדון</w:t>
      </w:r>
    </w:p>
    <w:p w:rsidR="00000000" w:rsidRDefault="00F616E1">
      <w:pPr>
        <w:jc w:val="both"/>
        <w:rPr>
          <w:rFonts w:cs="David"/>
          <w:sz w:val="24"/>
          <w:szCs w:val="24"/>
          <w:rtl/>
        </w:rPr>
      </w:pPr>
    </w:p>
    <w:p w:rsidR="00000000" w:rsidRDefault="00F616E1">
      <w:pPr>
        <w:jc w:val="both"/>
        <w:rPr>
          <w:rFonts w:cs="David"/>
          <w:sz w:val="24"/>
          <w:szCs w:val="24"/>
          <w:rtl/>
        </w:rPr>
      </w:pPr>
    </w:p>
    <w:p w:rsidR="00000000" w:rsidRDefault="00F616E1">
      <w:pPr>
        <w:jc w:val="both"/>
        <w:rPr>
          <w:rFonts w:cs="David"/>
          <w:sz w:val="24"/>
          <w:szCs w:val="24"/>
          <w:rtl/>
        </w:rPr>
      </w:pPr>
    </w:p>
    <w:p w:rsidR="00000000" w:rsidRDefault="00F616E1">
      <w:pPr>
        <w:jc w:val="both"/>
        <w:rPr>
          <w:rFonts w:cs="David"/>
          <w:sz w:val="24"/>
          <w:szCs w:val="24"/>
          <w:rtl/>
        </w:rPr>
      </w:pPr>
    </w:p>
    <w:p w:rsidR="00000000" w:rsidRDefault="00F616E1">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F616E1">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מינוי ועדת משנה של הוועדה לקידום מעמד האישה</w:t>
      </w:r>
    </w:p>
    <w:p w:rsidR="00000000" w:rsidRDefault="00F616E1">
      <w:pPr>
        <w:rPr>
          <w:rFonts w:cs="David"/>
          <w:b/>
          <w:bCs/>
          <w:sz w:val="24"/>
          <w:szCs w:val="24"/>
          <w:rtl/>
        </w:rPr>
      </w:pPr>
    </w:p>
    <w:p w:rsidR="00000000" w:rsidRDefault="00F616E1">
      <w:pPr>
        <w:jc w:val="both"/>
        <w:rPr>
          <w:rFonts w:cs="David"/>
          <w:sz w:val="24"/>
          <w:szCs w:val="24"/>
          <w:u w:val="single"/>
          <w:rtl/>
        </w:rPr>
      </w:pPr>
      <w:r>
        <w:rPr>
          <w:rFonts w:cs="David"/>
          <w:sz w:val="24"/>
          <w:szCs w:val="24"/>
          <w:u w:val="single"/>
          <w:rtl/>
        </w:rPr>
        <w:t>היו"ר יעל דיין:</w:t>
      </w:r>
    </w:p>
    <w:p w:rsidR="00000000" w:rsidRDefault="00F616E1">
      <w:pPr>
        <w:jc w:val="both"/>
        <w:rPr>
          <w:rFonts w:cs="David"/>
          <w:sz w:val="24"/>
          <w:szCs w:val="24"/>
          <w:u w:val="single"/>
          <w:rtl/>
        </w:rPr>
      </w:pPr>
    </w:p>
    <w:p w:rsidR="00000000" w:rsidRDefault="00F616E1">
      <w:pPr>
        <w:jc w:val="both"/>
        <w:rPr>
          <w:rFonts w:cs="David"/>
          <w:sz w:val="24"/>
          <w:szCs w:val="24"/>
          <w:rtl/>
        </w:rPr>
      </w:pPr>
      <w:r>
        <w:rPr>
          <w:rFonts w:cs="David"/>
          <w:sz w:val="24"/>
          <w:szCs w:val="24"/>
          <w:rtl/>
        </w:rPr>
        <w:tab/>
        <w:t>אני פותחת את הישיבה. אני מגישה לפרוטוקול את הרשימה שהיא למיטב ידיעתנו רשימת חברי הוועדה לקידום מעמד האישה המכהנים. הוועדה מונה</w:t>
      </w:r>
      <w:r>
        <w:rPr>
          <w:rFonts w:cs="David"/>
          <w:sz w:val="24"/>
          <w:szCs w:val="24"/>
          <w:rtl/>
        </w:rPr>
        <w:t xml:space="preserve"> היום ארבעה-עשר חברים. הצעתנו היא שהחברה החמש-עשרה בוועדה תהיה ח"כ אורית נוקד. לפי הפרוטוקול של הוועדה המסדרת משנת 1999 ח"כ נוקד תשלים את המכסה של מפלגת העבודה (אז "ישראל אחת") בוועדה.</w:t>
      </w:r>
    </w:p>
    <w:p w:rsidR="00000000" w:rsidRDefault="00F616E1">
      <w:pPr>
        <w:jc w:val="both"/>
        <w:rPr>
          <w:rFonts w:cs="David"/>
          <w:sz w:val="24"/>
          <w:szCs w:val="24"/>
          <w:rtl/>
        </w:rPr>
      </w:pPr>
    </w:p>
    <w:p w:rsidR="00000000" w:rsidRDefault="00F616E1">
      <w:pPr>
        <w:jc w:val="both"/>
        <w:rPr>
          <w:rFonts w:cs="David"/>
          <w:sz w:val="24"/>
          <w:szCs w:val="24"/>
          <w:rtl/>
        </w:rPr>
      </w:pPr>
      <w:r>
        <w:rPr>
          <w:rFonts w:cs="David"/>
          <w:sz w:val="24"/>
          <w:szCs w:val="24"/>
          <w:rtl/>
        </w:rPr>
        <w:tab/>
        <w:t>יש לבצע בדיקה מחודשת של נציגות מפלגת "האיחוד הלאומי" בוועדה ושל האפשר</w:t>
      </w:r>
      <w:r>
        <w:rPr>
          <w:rFonts w:cs="David"/>
          <w:sz w:val="24"/>
          <w:szCs w:val="24"/>
          <w:rtl/>
        </w:rPr>
        <w:t>ות שהיו ההחלפות. ברשימה שלפניי יש למפלגה זו שני נציגים וזה נראה תמוה בעיניי, אלא אם כן אחד הנציגים הוא על חשבון מקום של מפלגה אחרת. הנציגים אינם מופיעים בפרוטוקול הוועדה המסדרת. לפי הפרוטוקול מפלגת "יהדות התורה" זכאית לנציג, אך היא אינה מיוצגת בוועדה לקידו</w:t>
      </w:r>
      <w:r>
        <w:rPr>
          <w:rFonts w:cs="David"/>
          <w:sz w:val="24"/>
          <w:szCs w:val="24"/>
          <w:rtl/>
        </w:rPr>
        <w:t xml:space="preserve">ם מעמד האישה; אני מבקשת ממנהלת הוועדה לברר לטובת מי ויתרה מפלגה זו על מקומה. אני מבקשת שהנושא יתברר בצורה מוחלטת: מי קיבל מכסה ממי, אם יש מקום לשינויים בין-סיעתיים וכולי. </w:t>
      </w:r>
    </w:p>
    <w:p w:rsidR="00000000" w:rsidRDefault="00F616E1">
      <w:pPr>
        <w:jc w:val="both"/>
        <w:rPr>
          <w:rFonts w:cs="David"/>
          <w:sz w:val="24"/>
          <w:szCs w:val="24"/>
          <w:rtl/>
        </w:rPr>
      </w:pPr>
    </w:p>
    <w:p w:rsidR="00000000" w:rsidRDefault="00F616E1">
      <w:pPr>
        <w:jc w:val="both"/>
        <w:rPr>
          <w:rFonts w:cs="David"/>
          <w:sz w:val="24"/>
          <w:szCs w:val="24"/>
          <w:rtl/>
        </w:rPr>
      </w:pPr>
      <w:r>
        <w:rPr>
          <w:rFonts w:cs="David"/>
          <w:sz w:val="24"/>
          <w:szCs w:val="24"/>
          <w:rtl/>
        </w:rPr>
        <w:tab/>
        <w:t>ועדות המשנה של הוועדה לקידום מעמד האישה הן אלה: ועדת משנה לקידום מעמד האישה הערביי</w:t>
      </w:r>
      <w:r>
        <w:rPr>
          <w:rFonts w:cs="David"/>
          <w:sz w:val="24"/>
          <w:szCs w:val="24"/>
          <w:rtl/>
        </w:rPr>
        <w:t xml:space="preserve">ה – בראשות ח"כ חוסניה ג'בארה, נציגת מרץ; ועדת משנה לקידום נשים בעבודה ובכלכלה – בראשות ח"כ ענת מאור, שהחליפה את ח"כ נחום לנגנטל ברוטציה; ועדת המשנה לבריאות האישה, לחינוך ולספורט – בראשות ח"כ רונן ממפלגת המרכז. </w:t>
      </w:r>
    </w:p>
    <w:p w:rsidR="00000000" w:rsidRDefault="00F616E1">
      <w:pPr>
        <w:jc w:val="both"/>
        <w:rPr>
          <w:rFonts w:cs="David"/>
          <w:sz w:val="24"/>
          <w:szCs w:val="24"/>
          <w:rtl/>
        </w:rPr>
      </w:pPr>
    </w:p>
    <w:p w:rsidR="00000000" w:rsidRDefault="00F616E1">
      <w:pPr>
        <w:jc w:val="both"/>
        <w:rPr>
          <w:rFonts w:cs="David"/>
          <w:sz w:val="24"/>
          <w:szCs w:val="24"/>
          <w:rtl/>
        </w:rPr>
      </w:pPr>
      <w:r>
        <w:rPr>
          <w:rFonts w:cs="David"/>
          <w:sz w:val="24"/>
          <w:szCs w:val="24"/>
          <w:rtl/>
        </w:rPr>
        <w:tab/>
        <w:t xml:space="preserve">יש גם שתי ועדות משותפות שנקבעו על ידי ועדת </w:t>
      </w:r>
      <w:r>
        <w:rPr>
          <w:rFonts w:cs="David"/>
          <w:sz w:val="24"/>
          <w:szCs w:val="24"/>
          <w:rtl/>
        </w:rPr>
        <w:t>הכנסת: ועדה משותפת לוועדה לקידום מעמד האישה ולוועדת העבודה, הרווחה והבריאות – בראשותי, יו"ר הוועדה; וועדה משותפת לוועדה לקידום מעמד האישה ולוועדת הכספים, שמטרתה כפי שאושרה על ידי ועדת הכנסת היא תיקון פקודת מס הכנסה – גם היא בראשותי. הוועדות מוסמכות לדון גם</w:t>
      </w:r>
      <w:r>
        <w:rPr>
          <w:rFonts w:cs="David"/>
          <w:sz w:val="24"/>
          <w:szCs w:val="24"/>
          <w:rtl/>
        </w:rPr>
        <w:t xml:space="preserve"> בנושאים אחרים, גם אם לא לחוקק בהם. הוועדה המשותפת עם ועדת הכספים דנה בענייני תקציב, למשל. היא יכולה להתכנס בלי לקבל אישור מיוחד לכך משום שאין מדובר בהצעת חוק ספציפית. </w:t>
      </w:r>
    </w:p>
    <w:p w:rsidR="00000000" w:rsidRDefault="00F616E1">
      <w:pPr>
        <w:jc w:val="both"/>
        <w:rPr>
          <w:rFonts w:cs="David"/>
          <w:sz w:val="24"/>
          <w:szCs w:val="24"/>
          <w:rtl/>
        </w:rPr>
      </w:pPr>
      <w:r>
        <w:rPr>
          <w:rFonts w:cs="David"/>
          <w:sz w:val="24"/>
          <w:szCs w:val="24"/>
          <w:rtl/>
        </w:rPr>
        <w:tab/>
      </w:r>
    </w:p>
    <w:p w:rsidR="00000000" w:rsidRDefault="00F616E1">
      <w:pPr>
        <w:jc w:val="both"/>
        <w:rPr>
          <w:rFonts w:cs="David"/>
          <w:sz w:val="24"/>
          <w:szCs w:val="24"/>
          <w:rtl/>
        </w:rPr>
      </w:pPr>
      <w:r>
        <w:rPr>
          <w:rFonts w:cs="David"/>
          <w:sz w:val="24"/>
          <w:szCs w:val="24"/>
          <w:rtl/>
        </w:rPr>
        <w:tab/>
        <w:t>אני מבקשת להוסיף עוד ועדת משנה לוועדה לקידום מעמד האישה. ועדה זו הייתה קיימת בעבר בר</w:t>
      </w:r>
      <w:r>
        <w:rPr>
          <w:rFonts w:cs="David"/>
          <w:sz w:val="24"/>
          <w:szCs w:val="24"/>
          <w:rtl/>
        </w:rPr>
        <w:t>אשותי, ואחר כך לא היה בה צורך משום שהנושא עולה במליאת הוועדה בראשותי. הוועדה שאני מבקשת למנות היא ועדת המשנה לזכויות הומוסקסואליים, לסביות, טרנס-ג'נדרים ובי-סקסואלים. סעיף 13(א)(11) לתקנון הכנסת מסמיך את הוועדה לקידום מעמד האישה לדון באפליה בשל מין וגם בשל</w:t>
      </w:r>
      <w:r>
        <w:rPr>
          <w:rFonts w:cs="David"/>
          <w:sz w:val="24"/>
          <w:szCs w:val="24"/>
          <w:rtl/>
        </w:rPr>
        <w:t xml:space="preserve"> נטייה מינית. ועדה זו, כמו ועדות המשנה האחרות, תתקיים ללא הגדרת חבריה – ההזמנות לוועדות המשנה נשלחות לכל חברי הוועדה. אנחנו מברכים על השתתפות פעילה בכל אחת מוועדות המשנה. כרגע ועדת המשנה תהיה בראשותי, ונודיע על חילופים אם יהיו כאלה. </w:t>
      </w:r>
    </w:p>
    <w:p w:rsidR="00000000" w:rsidRDefault="00F616E1">
      <w:pPr>
        <w:jc w:val="both"/>
        <w:rPr>
          <w:rFonts w:cs="David"/>
          <w:sz w:val="24"/>
          <w:szCs w:val="24"/>
          <w:rtl/>
        </w:rPr>
      </w:pPr>
    </w:p>
    <w:p w:rsidR="00000000" w:rsidRDefault="00F616E1">
      <w:pPr>
        <w:jc w:val="both"/>
        <w:rPr>
          <w:rFonts w:cs="David"/>
          <w:sz w:val="24"/>
          <w:szCs w:val="24"/>
          <w:rtl/>
        </w:rPr>
      </w:pPr>
      <w:r>
        <w:rPr>
          <w:rFonts w:cs="David"/>
          <w:sz w:val="24"/>
          <w:szCs w:val="24"/>
          <w:rtl/>
        </w:rPr>
        <w:tab/>
        <w:t xml:space="preserve">אני מקיימת הצבעה על </w:t>
      </w:r>
      <w:r>
        <w:rPr>
          <w:rFonts w:cs="David"/>
          <w:sz w:val="24"/>
          <w:szCs w:val="24"/>
          <w:rtl/>
        </w:rPr>
        <w:t xml:space="preserve">הוספת ועדת המשנה: אושר פה אחד. </w:t>
      </w:r>
    </w:p>
    <w:p w:rsidR="00000000" w:rsidRDefault="00F616E1">
      <w:pPr>
        <w:jc w:val="both"/>
        <w:rPr>
          <w:rFonts w:cs="David"/>
          <w:sz w:val="24"/>
          <w:szCs w:val="24"/>
          <w:rtl/>
        </w:rPr>
      </w:pPr>
    </w:p>
    <w:p w:rsidR="00000000" w:rsidRDefault="00F616E1">
      <w:pPr>
        <w:jc w:val="both"/>
        <w:rPr>
          <w:rFonts w:cs="David"/>
          <w:sz w:val="24"/>
          <w:szCs w:val="24"/>
          <w:rtl/>
        </w:rPr>
      </w:pPr>
      <w:r>
        <w:rPr>
          <w:rFonts w:cs="David"/>
          <w:sz w:val="24"/>
          <w:szCs w:val="24"/>
          <w:rtl/>
        </w:rPr>
        <w:tab/>
        <w:t xml:space="preserve">אני מבקשת לציין שאין מדובר כאן בחידוש כלשהו ולכן איני מרגישה חוסר נוחות על היותי המשתתפת היחידה בהקמתה בדיון זה. מאז הקמת ועדת האם הנושא הזה נדון בפועל, לפעמים בוועדת משנה ולפעמים במסגרת המליאה. </w:t>
      </w:r>
    </w:p>
    <w:p w:rsidR="00000000" w:rsidRDefault="00F616E1">
      <w:pPr>
        <w:jc w:val="both"/>
        <w:rPr>
          <w:rFonts w:cs="David"/>
          <w:sz w:val="24"/>
          <w:szCs w:val="24"/>
          <w:rtl/>
        </w:rPr>
      </w:pPr>
    </w:p>
    <w:p w:rsidR="00000000" w:rsidRDefault="00F616E1">
      <w:pPr>
        <w:jc w:val="both"/>
        <w:rPr>
          <w:rFonts w:cs="David"/>
          <w:sz w:val="24"/>
          <w:szCs w:val="24"/>
          <w:u w:val="single"/>
          <w:rtl/>
        </w:rPr>
      </w:pPr>
      <w:r>
        <w:rPr>
          <w:rFonts w:cs="David"/>
          <w:sz w:val="24"/>
          <w:szCs w:val="24"/>
          <w:rtl/>
        </w:rPr>
        <w:tab/>
      </w:r>
      <w:r>
        <w:rPr>
          <w:rFonts w:cs="David"/>
          <w:sz w:val="24"/>
          <w:szCs w:val="24"/>
          <w:u w:val="single"/>
          <w:rtl/>
        </w:rPr>
        <w:t>הישיבה ננעלה בשעה 08:55.</w:t>
      </w:r>
      <w:r>
        <w:rPr>
          <w:rFonts w:cs="David"/>
          <w:sz w:val="24"/>
          <w:szCs w:val="24"/>
          <w:u w:val="single"/>
          <w:rtl/>
        </w:rPr>
        <w:t xml:space="preserve"> </w:t>
      </w:r>
    </w:p>
    <w:p w:rsidR="00000000" w:rsidRDefault="00F616E1">
      <w:pPr>
        <w:rPr>
          <w:rFonts w:cs="Miriam"/>
          <w:sz w:val="24"/>
          <w:szCs w:val="24"/>
          <w:rtl/>
        </w:rPr>
      </w:pPr>
    </w:p>
    <w:p w:rsidR="00000000" w:rsidRDefault="00F616E1">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616E1">
      <w:r>
        <w:separator/>
      </w:r>
    </w:p>
  </w:endnote>
  <w:endnote w:type="continuationSeparator" w:id="0">
    <w:p w:rsidR="00000000" w:rsidRDefault="00F616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16E1">
    <w:pPr>
      <w:pStyle w:val="a7"/>
      <w:rPr>
        <w:rFonts w:cs="Miriam"/>
        <w:sz w:val="24"/>
        <w:rtl/>
      </w:rPr>
    </w:pPr>
  </w:p>
  <w:p w:rsidR="00000000" w:rsidRDefault="00F616E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16E1">
    <w:pPr>
      <w:pStyle w:val="a7"/>
      <w:rPr>
        <w:rFonts w:cs="Miriam"/>
        <w:sz w:val="24"/>
        <w:rtl/>
      </w:rPr>
    </w:pPr>
  </w:p>
  <w:p w:rsidR="00000000" w:rsidRDefault="00F616E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616E1">
      <w:r>
        <w:separator/>
      </w:r>
    </w:p>
  </w:footnote>
  <w:footnote w:type="continuationSeparator" w:id="0">
    <w:p w:rsidR="00000000" w:rsidRDefault="00F616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16E1">
    <w:pPr>
      <w:pStyle w:val="a5"/>
      <w:framePr w:wrap="auto" w:vAnchor="text" w:hAnchor="margin" w:y="1"/>
      <w:rPr>
        <w:rStyle w:val="aa"/>
        <w:rFonts w:cs="David"/>
        <w:sz w:val="24"/>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2</w:t>
    </w:r>
    <w:r>
      <w:rPr>
        <w:rStyle w:val="aa"/>
        <w:rFonts w:cs="David"/>
      </w:rPr>
      <w:fldChar w:fldCharType="end"/>
    </w:r>
  </w:p>
  <w:p w:rsidR="00000000" w:rsidRDefault="00F616E1">
    <w:pPr>
      <w:pStyle w:val="a5"/>
      <w:ind w:right="360"/>
      <w:rPr>
        <w:rFonts w:cs="David"/>
        <w:sz w:val="24"/>
        <w:rtl/>
      </w:rPr>
    </w:pPr>
    <w:r>
      <w:rPr>
        <w:rFonts w:cs="David"/>
        <w:sz w:val="24"/>
        <w:rtl/>
      </w:rPr>
      <w:t>הוועדה לקידום מעמד האישה</w:t>
    </w:r>
  </w:p>
  <w:p w:rsidR="00000000" w:rsidRDefault="00F616E1">
    <w:pPr>
      <w:pStyle w:val="a5"/>
      <w:ind w:right="360"/>
      <w:rPr>
        <w:rStyle w:val="aa"/>
        <w:rFonts w:cs="David"/>
        <w:sz w:val="24"/>
        <w:rtl/>
      </w:rPr>
    </w:pPr>
    <w:r>
      <w:rPr>
        <w:rStyle w:val="aa"/>
        <w:rFonts w:cs="David"/>
        <w:sz w:val="24"/>
        <w:rtl/>
      </w:rPr>
      <w:t>16/10/2002</w:t>
    </w:r>
  </w:p>
  <w:p w:rsidR="00000000" w:rsidRDefault="00F616E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16E1">
    <w:pPr>
      <w:pStyle w:val="a5"/>
      <w:rPr>
        <w:rFonts w:cs="Miriam"/>
        <w:sz w:val="24"/>
        <w:rtl/>
      </w:rPr>
    </w:pPr>
  </w:p>
  <w:p w:rsidR="00000000" w:rsidRDefault="00F616E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2">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3">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4">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6">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7">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8">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9">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1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11">
    <w:nsid w:val="284D4611"/>
    <w:multiLevelType w:val="singleLevel"/>
    <w:tmpl w:val="7430F2F4"/>
    <w:lvl w:ilvl="0">
      <w:start w:val="1"/>
      <w:numFmt w:val="decimal"/>
      <w:lvlText w:val="%1."/>
      <w:lvlJc w:val="left"/>
      <w:pPr>
        <w:tabs>
          <w:tab w:val="num" w:pos="360"/>
        </w:tabs>
        <w:ind w:hanging="360"/>
      </w:pPr>
      <w:rPr>
        <w:rFonts w:ascii="Times New Roman" w:hAnsi="Times New Roman" w:cs="Miriam" w:hint="cs"/>
        <w:sz w:val="24"/>
      </w:rPr>
    </w:lvl>
  </w:abstractNum>
  <w:abstractNum w:abstractNumId="1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15">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16">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17">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18">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19">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2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21">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22">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23">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2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26">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28">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9">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26"/>
  </w:num>
  <w:num w:numId="2">
    <w:abstractNumId w:val="24"/>
  </w:num>
  <w:num w:numId="3">
    <w:abstractNumId w:val="12"/>
  </w:num>
  <w:num w:numId="4">
    <w:abstractNumId w:val="13"/>
  </w:num>
  <w:num w:numId="5">
    <w:abstractNumId w:val="28"/>
  </w:num>
  <w:num w:numId="6">
    <w:abstractNumId w:val="28"/>
  </w:num>
  <w:num w:numId="7">
    <w:abstractNumId w:val="28"/>
  </w:num>
  <w:num w:numId="8">
    <w:abstractNumId w:val="28"/>
  </w:num>
  <w:num w:numId="9">
    <w:abstractNumId w:val="4"/>
  </w:num>
  <w:num w:numId="10">
    <w:abstractNumId w:val="15"/>
  </w:num>
  <w:num w:numId="11">
    <w:abstractNumId w:val="18"/>
  </w:num>
  <w:num w:numId="12">
    <w:abstractNumId w:val="17"/>
  </w:num>
  <w:num w:numId="13">
    <w:abstractNumId w:val="6"/>
  </w:num>
  <w:num w:numId="14">
    <w:abstractNumId w:val="25"/>
  </w:num>
  <w:num w:numId="15">
    <w:abstractNumId w:val="14"/>
  </w:num>
  <w:num w:numId="16">
    <w:abstractNumId w:val="7"/>
  </w:num>
  <w:num w:numId="17">
    <w:abstractNumId w:val="20"/>
  </w:num>
  <w:num w:numId="18">
    <w:abstractNumId w:val="2"/>
  </w:num>
  <w:num w:numId="19">
    <w:abstractNumId w:val="3"/>
  </w:num>
  <w:num w:numId="20">
    <w:abstractNumId w:val="8"/>
  </w:num>
  <w:num w:numId="21">
    <w:abstractNumId w:val="16"/>
  </w:num>
  <w:num w:numId="22">
    <w:abstractNumId w:val="1"/>
  </w:num>
  <w:num w:numId="23">
    <w:abstractNumId w:val="21"/>
  </w:num>
  <w:num w:numId="24">
    <w:abstractNumId w:val="9"/>
  </w:num>
  <w:num w:numId="25">
    <w:abstractNumId w:val="29"/>
  </w:num>
  <w:num w:numId="26">
    <w:abstractNumId w:val="27"/>
  </w:num>
  <w:num w:numId="27">
    <w:abstractNumId w:val="22"/>
  </w:num>
  <w:num w:numId="28">
    <w:abstractNumId w:val="10"/>
  </w:num>
  <w:num w:numId="29">
    <w:abstractNumId w:val="19"/>
  </w:num>
  <w:num w:numId="30">
    <w:abstractNumId w:val="0"/>
  </w:num>
  <w:num w:numId="31">
    <w:abstractNumId w:val="23"/>
  </w:num>
  <w:num w:numId="32">
    <w:abstractNumId w:val="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616E1"/>
    <w:rsid w:val="00F61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3" w:unhideWhenUsed="1"/>
    <w:lsdException w:name="FollowedHyperlink" w:unhideWhenUsed="1"/>
    <w:lsdException w:name="Strong" w:semiHidden="0" w:uiPriority="22"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מאשט"/>
    <w:uiPriority w:val="99"/>
    <w:pPr>
      <w:autoSpaceDE w:val="0"/>
      <w:autoSpaceDN w:val="0"/>
      <w:bidi/>
      <w:spacing w:after="0" w:line="240" w:lineRule="auto"/>
    </w:pPr>
    <w:rPr>
      <w:rFonts w:ascii="Times New Roman" w:hAnsi="Times New Roman" w:cs="Times New Roman"/>
      <w:szCs w:val="24"/>
      <w:lang w:eastAsia="he-IL"/>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c">
    <w:name w:val="Body Text"/>
    <w:basedOn w:val="a"/>
    <w:link w:val="ad"/>
    <w:uiPriority w:val="99"/>
    <w:pPr>
      <w:jc w:val="both"/>
    </w:pPr>
    <w:rPr>
      <w:sz w:val="22"/>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styleId="ae">
    <w:name w:val="Block Text"/>
    <w:basedOn w:val="a"/>
    <w:uiPriority w:val="99"/>
    <w:pPr>
      <w:ind w:right="1695" w:hanging="1695"/>
    </w:pPr>
    <w:rPr>
      <w:b/>
      <w:bCs/>
      <w:sz w:val="24"/>
      <w:szCs w:val="24"/>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2405</Characters>
  <Application>Microsoft Office Word</Application>
  <DocSecurity>0</DocSecurity>
  <Lines>20</Lines>
  <Paragraphs>5</Paragraphs>
  <ScaleCrop>false</ScaleCrop>
  <Company>knesset</Company>
  <LinksUpToDate>false</LinksUpToDate>
  <CharactersWithSpaces>2880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האישה/5882</dc:title>
  <dc:subject>מעמד האישה 16.10.2002</dc:subject>
  <dc:creator>דקלה אברבנאל</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