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5855">
      <w:pPr>
        <w:jc w:val="right"/>
        <w:rPr>
          <w:rtl/>
        </w:rPr>
      </w:pPr>
      <w:bookmarkStart w:id="0" w:name="_GoBack"/>
      <w:bookmarkEnd w:id="0"/>
      <w:r>
        <w:rPr>
          <w:rtl/>
        </w:rPr>
        <w:t>פרוטוקולים/כלכלה/7098</w:t>
      </w:r>
    </w:p>
    <w:p w:rsidR="00000000" w:rsidRDefault="00D65855">
      <w:pPr>
        <w:jc w:val="right"/>
        <w:rPr>
          <w:rtl/>
        </w:rPr>
      </w:pPr>
      <w:r>
        <w:rPr>
          <w:rtl/>
        </w:rPr>
        <w:tab/>
        <w:t>ירושלים, י"ב באלול, תשס"ג</w:t>
      </w:r>
    </w:p>
    <w:p w:rsidR="00000000" w:rsidRDefault="00D65855">
      <w:pPr>
        <w:jc w:val="right"/>
        <w:rPr>
          <w:rtl/>
          <w:lang w:val="es"/>
        </w:rPr>
      </w:pPr>
      <w:r>
        <w:rPr>
          <w:rtl/>
          <w:lang w:val="es"/>
        </w:rPr>
        <w:t>9 בספטמבר, 2003</w:t>
      </w:r>
    </w:p>
    <w:p w:rsidR="00000000" w:rsidRDefault="00D65855">
      <w:pPr>
        <w:jc w:val="right"/>
        <w:rPr>
          <w:rtl/>
        </w:rPr>
      </w:pPr>
    </w:p>
    <w:p w:rsidR="00000000" w:rsidRDefault="00D65855">
      <w:pPr>
        <w:pStyle w:val="ab"/>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D65855">
      <w:pPr>
        <w:pStyle w:val="10"/>
        <w:jc w:val="left"/>
        <w:rPr>
          <w:rFonts w:cs="David"/>
          <w:rtl/>
        </w:rPr>
      </w:pPr>
      <w:r>
        <w:rPr>
          <w:rFonts w:cs="David"/>
          <w:rtl/>
        </w:rPr>
        <w:t>מושב ראשון</w:t>
      </w:r>
    </w:p>
    <w:p w:rsidR="00000000" w:rsidRDefault="00D65855">
      <w:pPr>
        <w:jc w:val="both"/>
        <w:rPr>
          <w:rFonts w:cs="David"/>
          <w:b/>
          <w:bCs/>
          <w:sz w:val="24"/>
          <w:szCs w:val="24"/>
          <w:rtl/>
        </w:rPr>
      </w:pPr>
    </w:p>
    <w:p w:rsidR="00000000" w:rsidRDefault="00D65855">
      <w:pPr>
        <w:pStyle w:val="10"/>
        <w:rPr>
          <w:rFonts w:cs="David"/>
          <w:rtl/>
        </w:rPr>
      </w:pPr>
      <w:r>
        <w:rPr>
          <w:rFonts w:cs="David"/>
          <w:rtl/>
        </w:rPr>
        <w:t>פרוטוקול מס' 70</w:t>
      </w:r>
    </w:p>
    <w:p w:rsidR="00000000" w:rsidRDefault="00D65855">
      <w:pPr>
        <w:pStyle w:val="10"/>
        <w:rPr>
          <w:rFonts w:cs="David"/>
          <w:rtl/>
        </w:rPr>
      </w:pPr>
      <w:r>
        <w:rPr>
          <w:rFonts w:cs="David"/>
          <w:rtl/>
        </w:rPr>
        <w:t>מישיבת ועדת הכלכלה</w:t>
      </w:r>
    </w:p>
    <w:p w:rsidR="00000000" w:rsidRDefault="00D65855">
      <w:pPr>
        <w:pStyle w:val="40"/>
        <w:rPr>
          <w:rFonts w:cs="David"/>
          <w:rtl/>
        </w:rPr>
      </w:pPr>
      <w:r>
        <w:rPr>
          <w:rFonts w:cs="David"/>
          <w:rtl/>
        </w:rPr>
        <w:t>יום רביעי, ו' באלול התשס"ג (3 בספטמבר 2003), שעה 12:45</w:t>
      </w:r>
    </w:p>
    <w:p w:rsidR="00000000" w:rsidRDefault="00D65855">
      <w:pPr>
        <w:jc w:val="both"/>
        <w:rPr>
          <w:rFonts w:cs="David"/>
          <w:b/>
          <w:bCs/>
          <w:sz w:val="24"/>
          <w:szCs w:val="24"/>
          <w:u w:val="single"/>
          <w:rtl/>
        </w:rPr>
      </w:pPr>
    </w:p>
    <w:p w:rsidR="00000000" w:rsidRDefault="00D65855">
      <w:pPr>
        <w:jc w:val="both"/>
        <w:rPr>
          <w:rFonts w:cs="David"/>
          <w:b/>
          <w:bCs/>
          <w:sz w:val="24"/>
          <w:szCs w:val="24"/>
          <w:u w:val="single"/>
          <w:rtl/>
        </w:rPr>
      </w:pPr>
    </w:p>
    <w:p w:rsidR="00000000" w:rsidRDefault="00D65855">
      <w:pPr>
        <w:ind w:left="2160" w:hanging="2160"/>
        <w:jc w:val="both"/>
        <w:rPr>
          <w:rFonts w:cs="David"/>
          <w:b/>
          <w:bCs/>
          <w:sz w:val="24"/>
          <w:szCs w:val="24"/>
          <w:rtl/>
        </w:rPr>
      </w:pPr>
      <w:r>
        <w:rPr>
          <w:rFonts w:cs="David"/>
          <w:b/>
          <w:bCs/>
          <w:sz w:val="24"/>
          <w:szCs w:val="24"/>
          <w:u w:val="single"/>
          <w:rtl/>
        </w:rPr>
        <w:t>סדר היום:</w:t>
      </w:r>
      <w:r>
        <w:rPr>
          <w:rFonts w:cs="David"/>
          <w:b/>
          <w:bCs/>
          <w:sz w:val="24"/>
          <w:szCs w:val="24"/>
          <w:rtl/>
        </w:rPr>
        <w:tab/>
        <w:t>תקנות שירות נתוני אשראי, התשס"ג2003- (פרק ו')</w:t>
      </w:r>
    </w:p>
    <w:p w:rsidR="00000000" w:rsidRDefault="00D65855">
      <w:pPr>
        <w:rPr>
          <w:rFonts w:cs="David"/>
          <w:sz w:val="24"/>
          <w:szCs w:val="24"/>
          <w:rtl/>
        </w:rPr>
      </w:pPr>
    </w:p>
    <w:p w:rsidR="00000000" w:rsidRDefault="00D65855">
      <w:pPr>
        <w:rPr>
          <w:rFonts w:cs="David"/>
          <w:sz w:val="24"/>
          <w:szCs w:val="24"/>
          <w:rtl/>
        </w:rPr>
      </w:pPr>
    </w:p>
    <w:p w:rsidR="00000000" w:rsidRDefault="00D65855">
      <w:pPr>
        <w:pStyle w:val="10"/>
        <w:jc w:val="left"/>
        <w:rPr>
          <w:rFonts w:cs="David"/>
          <w:rtl/>
        </w:rPr>
      </w:pPr>
      <w:r>
        <w:rPr>
          <w:rFonts w:cs="David"/>
          <w:rtl/>
        </w:rPr>
        <w:t>נכחו:</w:t>
      </w:r>
    </w:p>
    <w:p w:rsidR="00000000" w:rsidRDefault="00D65855">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 xml:space="preserve">שלום שמחון </w:t>
      </w:r>
      <w:r>
        <w:rPr>
          <w:rFonts w:cs="David"/>
        </w:rPr>
        <w:t>–</w:t>
      </w:r>
      <w:r>
        <w:rPr>
          <w:rFonts w:cs="David"/>
          <w:rtl/>
        </w:rPr>
        <w:t xml:space="preserve"> היו"ר</w:t>
      </w:r>
    </w:p>
    <w:p w:rsidR="00000000" w:rsidRDefault="00D65855">
      <w:pPr>
        <w:pStyle w:val="a5"/>
        <w:tabs>
          <w:tab w:val="clear" w:pos="4153"/>
          <w:tab w:val="clear" w:pos="8306"/>
        </w:tabs>
        <w:rPr>
          <w:rFonts w:cs="David"/>
          <w:rtl/>
        </w:rPr>
      </w:pPr>
      <w:r>
        <w:rPr>
          <w:rFonts w:cs="David"/>
          <w:rtl/>
        </w:rPr>
        <w:tab/>
      </w:r>
      <w:r>
        <w:rPr>
          <w:rFonts w:cs="David"/>
          <w:rtl/>
        </w:rPr>
        <w:tab/>
      </w:r>
      <w:r>
        <w:rPr>
          <w:rFonts w:cs="David"/>
          <w:rtl/>
        </w:rPr>
        <w:tab/>
        <w:t>יחיאל חזן</w:t>
      </w:r>
    </w:p>
    <w:p w:rsidR="00000000" w:rsidRDefault="00D65855">
      <w:pPr>
        <w:pStyle w:val="a5"/>
        <w:tabs>
          <w:tab w:val="clear" w:pos="4153"/>
          <w:tab w:val="clear" w:pos="8306"/>
        </w:tabs>
        <w:rPr>
          <w:rFonts w:cs="David"/>
          <w:rtl/>
        </w:rPr>
      </w:pPr>
      <w:r>
        <w:rPr>
          <w:rFonts w:cs="David"/>
          <w:rtl/>
        </w:rPr>
        <w:tab/>
      </w:r>
      <w:r>
        <w:rPr>
          <w:rFonts w:cs="David"/>
          <w:rtl/>
        </w:rPr>
        <w:tab/>
      </w:r>
      <w:r>
        <w:rPr>
          <w:rFonts w:cs="David"/>
          <w:rtl/>
        </w:rPr>
        <w:tab/>
        <w:t>דוד טל</w:t>
      </w:r>
    </w:p>
    <w:p w:rsidR="00000000" w:rsidRDefault="00D65855">
      <w:pPr>
        <w:pStyle w:val="a5"/>
        <w:tabs>
          <w:tab w:val="clear" w:pos="4153"/>
          <w:tab w:val="clear" w:pos="8306"/>
        </w:tabs>
        <w:ind w:firstLine="567"/>
        <w:rPr>
          <w:rFonts w:cs="David"/>
          <w:rtl/>
        </w:rPr>
      </w:pPr>
      <w:r>
        <w:rPr>
          <w:rFonts w:cs="David"/>
          <w:rtl/>
        </w:rPr>
        <w:tab/>
      </w:r>
      <w:r>
        <w:rPr>
          <w:rFonts w:cs="David"/>
          <w:rtl/>
        </w:rPr>
        <w:tab/>
      </w:r>
      <w:r>
        <w:rPr>
          <w:rFonts w:cs="David"/>
          <w:rtl/>
        </w:rPr>
        <w:tab/>
        <w:t>אילן ליבוביץ</w:t>
      </w:r>
    </w:p>
    <w:p w:rsidR="00000000" w:rsidRDefault="00D65855">
      <w:pPr>
        <w:pStyle w:val="a5"/>
        <w:tabs>
          <w:tab w:val="clear" w:pos="4153"/>
          <w:tab w:val="clear" w:pos="8306"/>
        </w:tabs>
        <w:rPr>
          <w:rFonts w:cs="David"/>
          <w:u w:val="single"/>
          <w:rtl/>
        </w:rPr>
      </w:pPr>
      <w:r>
        <w:rPr>
          <w:rFonts w:cs="David"/>
          <w:rtl/>
        </w:rPr>
        <w:tab/>
      </w:r>
    </w:p>
    <w:p w:rsidR="00000000" w:rsidRDefault="00D65855">
      <w:pPr>
        <w:rPr>
          <w:rFonts w:cs="David"/>
          <w:sz w:val="24"/>
          <w:szCs w:val="24"/>
          <w:rtl/>
        </w:rPr>
      </w:pPr>
      <w:r>
        <w:rPr>
          <w:rFonts w:cs="David"/>
          <w:b/>
          <w:bCs/>
          <w:sz w:val="24"/>
          <w:szCs w:val="24"/>
          <w:u w:val="single"/>
          <w:rtl/>
        </w:rPr>
        <w:t>מוזמנים</w:t>
      </w:r>
      <w:r>
        <w:rPr>
          <w:rFonts w:cs="David"/>
          <w:b/>
          <w:bCs/>
          <w:sz w:val="24"/>
          <w:szCs w:val="24"/>
          <w:u w:val="single"/>
          <w:rtl/>
        </w:rPr>
        <w:t>:</w:t>
      </w:r>
      <w:r>
        <w:rPr>
          <w:rFonts w:cs="David"/>
          <w:b/>
          <w:bCs/>
          <w:sz w:val="24"/>
          <w:szCs w:val="24"/>
          <w:rtl/>
        </w:rPr>
        <w:tab/>
      </w:r>
      <w:r>
        <w:rPr>
          <w:rFonts w:cs="David"/>
          <w:b/>
          <w:bCs/>
          <w:sz w:val="24"/>
          <w:szCs w:val="24"/>
          <w:rtl/>
        </w:rPr>
        <w:tab/>
      </w:r>
      <w:r>
        <w:rPr>
          <w:rFonts w:cs="David"/>
          <w:sz w:val="24"/>
          <w:szCs w:val="24"/>
          <w:rtl/>
        </w:rPr>
        <w:t>עו"ד טנה שפניץ</w:t>
      </w:r>
      <w:r>
        <w:rPr>
          <w:rFonts w:cs="David"/>
          <w:sz w:val="24"/>
          <w:szCs w:val="24"/>
          <w:rtl/>
        </w:rPr>
        <w:tab/>
      </w:r>
      <w:r>
        <w:rPr>
          <w:rFonts w:cs="David"/>
          <w:sz w:val="24"/>
          <w:szCs w:val="24"/>
          <w:rtl/>
        </w:rPr>
        <w:tab/>
        <w:t>משנה ליועץ המשפטי לממשלה</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עו"ד תמר קלהרה</w:t>
      </w:r>
      <w:r>
        <w:rPr>
          <w:rFonts w:cs="David"/>
          <w:sz w:val="24"/>
          <w:szCs w:val="24"/>
          <w:rtl/>
        </w:rPr>
        <w:tab/>
        <w:t>משרד המשפטים</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אלעד זילברשטיין</w:t>
      </w:r>
      <w:r>
        <w:rPr>
          <w:rFonts w:cs="David"/>
          <w:sz w:val="24"/>
          <w:szCs w:val="24"/>
          <w:rtl/>
        </w:rPr>
        <w:tab/>
        <w:t>מתמחה</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שרון ברנשטיין</w:t>
      </w:r>
      <w:r>
        <w:rPr>
          <w:rFonts w:cs="David"/>
          <w:sz w:val="24"/>
          <w:szCs w:val="24"/>
          <w:rtl/>
        </w:rPr>
        <w:tab/>
      </w:r>
      <w:r>
        <w:rPr>
          <w:rFonts w:cs="David"/>
          <w:sz w:val="24"/>
          <w:szCs w:val="24"/>
          <w:rtl/>
        </w:rPr>
        <w:tab/>
        <w:t>מתמחה</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עו"ד ורדה לוסטהויז</w:t>
      </w:r>
      <w:r>
        <w:rPr>
          <w:rFonts w:cs="David"/>
          <w:sz w:val="24"/>
          <w:szCs w:val="24"/>
          <w:rtl/>
        </w:rPr>
        <w:tab/>
        <w:t xml:space="preserve"> משנה ליועץ המשפטי, בנק ישראל </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עו"ד טלי סולומון</w:t>
      </w:r>
      <w:r>
        <w:rPr>
          <w:rFonts w:cs="David"/>
          <w:sz w:val="24"/>
          <w:szCs w:val="24"/>
          <w:rtl/>
        </w:rPr>
        <w:tab/>
        <w:t>הרשות להגבלים עסקיים</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עו"ד רמי רובין</w:t>
      </w:r>
      <w:r>
        <w:rPr>
          <w:rFonts w:cs="David"/>
          <w:sz w:val="24"/>
          <w:szCs w:val="24"/>
          <w:rtl/>
        </w:rPr>
        <w:tab/>
      </w:r>
      <w:r>
        <w:rPr>
          <w:rFonts w:cs="David"/>
          <w:sz w:val="24"/>
          <w:szCs w:val="24"/>
          <w:rtl/>
        </w:rPr>
        <w:tab/>
        <w:t>יועץ משפטי, הנהלת ב</w:t>
      </w:r>
      <w:r>
        <w:rPr>
          <w:rFonts w:cs="David"/>
          <w:sz w:val="24"/>
          <w:szCs w:val="24"/>
          <w:rtl/>
        </w:rPr>
        <w:t>תי המשפט</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ראומה פקססון</w:t>
      </w:r>
      <w:r>
        <w:rPr>
          <w:rFonts w:cs="David"/>
          <w:sz w:val="24"/>
          <w:szCs w:val="24"/>
          <w:rtl/>
        </w:rPr>
        <w:tab/>
      </w:r>
      <w:r>
        <w:rPr>
          <w:rFonts w:cs="David"/>
          <w:sz w:val="24"/>
          <w:szCs w:val="24"/>
          <w:rtl/>
        </w:rPr>
        <w:tab/>
        <w:t xml:space="preserve">יחידת הממונה על הגנת הצרכן, משרד </w:t>
      </w:r>
    </w:p>
    <w:p w:rsidR="00000000" w:rsidRDefault="00D65855">
      <w:pPr>
        <w:ind w:left="3600" w:firstLine="720"/>
        <w:rPr>
          <w:rFonts w:cs="David"/>
          <w:sz w:val="24"/>
          <w:szCs w:val="24"/>
          <w:rtl/>
        </w:rPr>
      </w:pPr>
      <w:r>
        <w:rPr>
          <w:rFonts w:cs="David"/>
          <w:sz w:val="24"/>
          <w:szCs w:val="24"/>
          <w:rtl/>
        </w:rPr>
        <w:t>התעשייה, המסחר והתעסוקה</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פרדי וידר</w:t>
      </w:r>
      <w:r>
        <w:rPr>
          <w:rFonts w:cs="David"/>
          <w:sz w:val="24"/>
          <w:szCs w:val="24"/>
          <w:rtl/>
        </w:rPr>
        <w:tab/>
      </w:r>
      <w:r>
        <w:rPr>
          <w:rFonts w:cs="David"/>
          <w:sz w:val="24"/>
          <w:szCs w:val="24"/>
          <w:rtl/>
        </w:rPr>
        <w:tab/>
        <w:t>מנכ"ל איגוד הבנקים</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יהודה אבני</w:t>
      </w:r>
      <w:r>
        <w:rPr>
          <w:rFonts w:cs="David"/>
          <w:sz w:val="24"/>
          <w:szCs w:val="24"/>
          <w:rtl/>
        </w:rPr>
        <w:tab/>
      </w:r>
      <w:r>
        <w:rPr>
          <w:rFonts w:cs="David"/>
          <w:sz w:val="24"/>
          <w:szCs w:val="24"/>
          <w:rtl/>
        </w:rPr>
        <w:tab/>
        <w:t>בנק לאומי</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עו"ד מיקי טמיר</w:t>
      </w:r>
      <w:r>
        <w:rPr>
          <w:rFonts w:cs="David"/>
          <w:sz w:val="24"/>
          <w:szCs w:val="24"/>
          <w:rtl/>
        </w:rPr>
        <w:tab/>
      </w:r>
      <w:r>
        <w:rPr>
          <w:rFonts w:cs="David"/>
          <w:sz w:val="24"/>
          <w:szCs w:val="24"/>
          <w:rtl/>
        </w:rPr>
        <w:tab/>
        <w:t>בנק לאומי</w:t>
      </w:r>
    </w:p>
    <w:p w:rsidR="00000000" w:rsidRDefault="00D65855">
      <w:pPr>
        <w:ind w:left="1440" w:firstLine="720"/>
        <w:rPr>
          <w:rFonts w:cs="David"/>
          <w:sz w:val="24"/>
          <w:szCs w:val="24"/>
          <w:rtl/>
        </w:rPr>
      </w:pPr>
      <w:r>
        <w:rPr>
          <w:rFonts w:cs="David"/>
          <w:sz w:val="24"/>
          <w:szCs w:val="24"/>
          <w:rtl/>
        </w:rPr>
        <w:t>עו"ד יוסף אריה</w:t>
      </w:r>
      <w:r>
        <w:rPr>
          <w:rFonts w:cs="David"/>
          <w:sz w:val="24"/>
          <w:szCs w:val="24"/>
          <w:rtl/>
        </w:rPr>
        <w:tab/>
      </w:r>
      <w:r>
        <w:rPr>
          <w:rFonts w:cs="David"/>
          <w:sz w:val="24"/>
          <w:szCs w:val="24"/>
          <w:rtl/>
        </w:rPr>
        <w:tab/>
        <w:t>בנק הפועלים</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יצחק בראון</w:t>
      </w:r>
      <w:r>
        <w:rPr>
          <w:rFonts w:cs="David"/>
          <w:sz w:val="24"/>
          <w:szCs w:val="24"/>
          <w:rtl/>
        </w:rPr>
        <w:tab/>
      </w:r>
      <w:r>
        <w:rPr>
          <w:rFonts w:cs="David"/>
          <w:sz w:val="24"/>
          <w:szCs w:val="24"/>
          <w:rtl/>
        </w:rPr>
        <w:tab/>
        <w:t>בנק הפועלים</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עו"ד חנה הופנונג</w:t>
      </w:r>
      <w:r>
        <w:rPr>
          <w:rFonts w:cs="David"/>
          <w:sz w:val="24"/>
          <w:szCs w:val="24"/>
          <w:rtl/>
        </w:rPr>
        <w:tab/>
        <w:t>בנק דיסקונ</w:t>
      </w:r>
      <w:r>
        <w:rPr>
          <w:rFonts w:cs="David"/>
          <w:sz w:val="24"/>
          <w:szCs w:val="24"/>
          <w:rtl/>
        </w:rPr>
        <w:t>ט</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אלי וינטראוב</w:t>
      </w:r>
      <w:r>
        <w:rPr>
          <w:rFonts w:cs="David"/>
          <w:sz w:val="24"/>
          <w:szCs w:val="24"/>
          <w:rtl/>
        </w:rPr>
        <w:tab/>
      </w:r>
      <w:r>
        <w:rPr>
          <w:rFonts w:cs="David"/>
          <w:sz w:val="24"/>
          <w:szCs w:val="24"/>
          <w:rtl/>
        </w:rPr>
        <w:tab/>
        <w:t>בנק דיסקונט</w:t>
      </w:r>
    </w:p>
    <w:p w:rsidR="00000000" w:rsidRDefault="00D65855">
      <w:pPr>
        <w:rPr>
          <w:rFonts w:cs="David"/>
          <w:b/>
          <w:bCs/>
          <w:sz w:val="24"/>
          <w:szCs w:val="24"/>
          <w:rtl/>
        </w:rPr>
      </w:pPr>
      <w:r>
        <w:rPr>
          <w:rFonts w:cs="David"/>
          <w:sz w:val="24"/>
          <w:szCs w:val="24"/>
          <w:rtl/>
        </w:rPr>
        <w:tab/>
      </w:r>
      <w:r>
        <w:rPr>
          <w:rFonts w:cs="David"/>
          <w:sz w:val="24"/>
          <w:szCs w:val="24"/>
          <w:rtl/>
        </w:rPr>
        <w:tab/>
      </w:r>
      <w:r>
        <w:rPr>
          <w:rFonts w:cs="David"/>
          <w:sz w:val="24"/>
          <w:szCs w:val="24"/>
          <w:rtl/>
        </w:rPr>
        <w:tab/>
        <w:t>עו"ד דן קרני</w:t>
      </w:r>
      <w:r>
        <w:rPr>
          <w:rFonts w:cs="David"/>
          <w:sz w:val="24"/>
          <w:szCs w:val="24"/>
          <w:rtl/>
        </w:rPr>
        <w:tab/>
      </w:r>
      <w:r>
        <w:rPr>
          <w:rFonts w:cs="David"/>
          <w:sz w:val="24"/>
          <w:szCs w:val="24"/>
          <w:rtl/>
        </w:rPr>
        <w:tab/>
        <w:t>הבנק הבינלאומי הראשון</w:t>
      </w:r>
    </w:p>
    <w:p w:rsidR="00000000" w:rsidRDefault="00D65855">
      <w:pPr>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עו"ד משה ברנדווין</w:t>
      </w:r>
      <w:r>
        <w:rPr>
          <w:rFonts w:cs="David"/>
          <w:sz w:val="24"/>
          <w:szCs w:val="24"/>
          <w:rtl/>
        </w:rPr>
        <w:tab/>
        <w:t>לשכת עורכי הדין</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אמנון אלטמן</w:t>
      </w:r>
      <w:r>
        <w:rPr>
          <w:rFonts w:cs="David"/>
          <w:sz w:val="24"/>
          <w:szCs w:val="24"/>
          <w:rtl/>
        </w:rPr>
        <w:tab/>
      </w:r>
      <w:r>
        <w:rPr>
          <w:rFonts w:cs="David"/>
          <w:sz w:val="24"/>
          <w:szCs w:val="24"/>
          <w:rtl/>
        </w:rPr>
        <w:tab/>
        <w:t>יו"ר בזנס דאטה ישראל</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עו"ד דן אבנון</w:t>
      </w:r>
      <w:r>
        <w:rPr>
          <w:rFonts w:cs="David"/>
          <w:sz w:val="24"/>
          <w:szCs w:val="24"/>
          <w:rtl/>
        </w:rPr>
        <w:tab/>
      </w:r>
      <w:r>
        <w:rPr>
          <w:rFonts w:cs="David"/>
          <w:sz w:val="24"/>
          <w:szCs w:val="24"/>
          <w:rtl/>
        </w:rPr>
        <w:tab/>
        <w:t>טרנס יוניון</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תמר גוטליב</w:t>
      </w:r>
      <w:r>
        <w:rPr>
          <w:rFonts w:cs="David"/>
          <w:sz w:val="24"/>
          <w:szCs w:val="24"/>
          <w:rtl/>
        </w:rPr>
        <w:tab/>
      </w:r>
      <w:r>
        <w:rPr>
          <w:rFonts w:cs="David"/>
          <w:sz w:val="24"/>
          <w:szCs w:val="24"/>
          <w:rtl/>
        </w:rPr>
        <w:tab/>
        <w:t>יו"ר קרדיט אינפורמיישן אסוסיאיישן (</w:t>
      </w:r>
      <w:r>
        <w:rPr>
          <w:rFonts w:cs="David"/>
          <w:szCs w:val="24"/>
        </w:rPr>
        <w:t>CIA</w:t>
      </w:r>
      <w:r>
        <w:rPr>
          <w:rFonts w:cs="David"/>
          <w:sz w:val="24"/>
          <w:szCs w:val="24"/>
          <w:rtl/>
        </w:rPr>
        <w:t>)</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ראובן קובנט</w:t>
      </w:r>
      <w:r>
        <w:rPr>
          <w:rFonts w:cs="David"/>
          <w:sz w:val="24"/>
          <w:szCs w:val="24"/>
          <w:rtl/>
        </w:rPr>
        <w:tab/>
      </w:r>
      <w:r>
        <w:rPr>
          <w:rFonts w:cs="David"/>
          <w:sz w:val="24"/>
          <w:szCs w:val="24"/>
          <w:rtl/>
        </w:rPr>
        <w:tab/>
        <w:t>מנכ"ל דן אנ</w:t>
      </w:r>
      <w:r>
        <w:rPr>
          <w:rFonts w:cs="David"/>
          <w:sz w:val="24"/>
          <w:szCs w:val="24"/>
          <w:rtl/>
        </w:rPr>
        <w:t>ד ברדסטריט ישראל</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משה ולישינסקי</w:t>
      </w:r>
      <w:r>
        <w:rPr>
          <w:rFonts w:cs="David"/>
          <w:sz w:val="24"/>
          <w:szCs w:val="24"/>
          <w:rtl/>
        </w:rPr>
        <w:tab/>
      </w:r>
      <w:r>
        <w:rPr>
          <w:rFonts w:cs="David"/>
          <w:sz w:val="24"/>
          <w:szCs w:val="24"/>
          <w:rtl/>
        </w:rPr>
        <w:tab/>
        <w:t>קונסיומר דאטה טכנולוג'י</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סטיב גסנר</w:t>
      </w:r>
      <w:r>
        <w:rPr>
          <w:rFonts w:cs="David"/>
          <w:sz w:val="24"/>
          <w:szCs w:val="24"/>
          <w:rtl/>
        </w:rPr>
        <w:tab/>
      </w:r>
      <w:r>
        <w:rPr>
          <w:rFonts w:cs="David"/>
          <w:sz w:val="24"/>
          <w:szCs w:val="24"/>
          <w:rtl/>
        </w:rPr>
        <w:tab/>
        <w:t>קונסיומר דאטה טכנולוג'י</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נסים מכלוף</w:t>
      </w:r>
      <w:r>
        <w:rPr>
          <w:rFonts w:cs="David"/>
          <w:sz w:val="24"/>
          <w:szCs w:val="24"/>
          <w:rtl/>
        </w:rPr>
        <w:tab/>
      </w:r>
      <w:r>
        <w:rPr>
          <w:rFonts w:cs="David"/>
          <w:sz w:val="24"/>
          <w:szCs w:val="24"/>
          <w:rtl/>
        </w:rPr>
        <w:tab/>
        <w:t>מנהל לב אמון יזמים בע"מ</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פנחס שליט</w:t>
      </w:r>
      <w:r>
        <w:rPr>
          <w:rFonts w:cs="David"/>
          <w:sz w:val="24"/>
          <w:szCs w:val="24"/>
          <w:rtl/>
        </w:rPr>
        <w:tab/>
      </w:r>
      <w:r>
        <w:rPr>
          <w:rFonts w:cs="David"/>
          <w:sz w:val="24"/>
          <w:szCs w:val="24"/>
          <w:rtl/>
        </w:rPr>
        <w:tab/>
        <w:t>סמנכ"ל כספים, ישראכרט</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עו"ד חדוה גרוס</w:t>
      </w:r>
      <w:r>
        <w:rPr>
          <w:rFonts w:cs="David"/>
          <w:sz w:val="24"/>
          <w:szCs w:val="24"/>
          <w:rtl/>
        </w:rPr>
        <w:tab/>
      </w:r>
      <w:r>
        <w:rPr>
          <w:rFonts w:cs="David"/>
          <w:sz w:val="24"/>
          <w:szCs w:val="24"/>
          <w:rtl/>
        </w:rPr>
        <w:tab/>
        <w:t>המחלקה המשפטית, ישראכרט</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מיכאל הרצברג </w:t>
      </w:r>
      <w:r>
        <w:rPr>
          <w:rFonts w:cs="David"/>
          <w:sz w:val="24"/>
          <w:szCs w:val="24"/>
          <w:rtl/>
        </w:rPr>
        <w:tab/>
        <w:t>יועץ משפטי, ויזה כ.</w:t>
      </w:r>
      <w:r>
        <w:rPr>
          <w:rFonts w:cs="David"/>
          <w:sz w:val="24"/>
          <w:szCs w:val="24"/>
          <w:rtl/>
        </w:rPr>
        <w:t>א.ל</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עו"ד בני לרנר</w:t>
      </w:r>
      <w:r>
        <w:rPr>
          <w:rFonts w:cs="David"/>
          <w:sz w:val="24"/>
          <w:szCs w:val="24"/>
          <w:rtl/>
        </w:rPr>
        <w:tab/>
        <w:t xml:space="preserve"> </w:t>
      </w:r>
      <w:r>
        <w:rPr>
          <w:rFonts w:cs="David"/>
          <w:sz w:val="24"/>
          <w:szCs w:val="24"/>
          <w:rtl/>
        </w:rPr>
        <w:tab/>
        <w:t>יועץ משפטי, לאומרי קארד</w:t>
      </w:r>
    </w:p>
    <w:p w:rsidR="00000000" w:rsidRDefault="00D65855">
      <w:pPr>
        <w:rPr>
          <w:rFonts w:cs="David"/>
          <w:sz w:val="24"/>
          <w:szCs w:val="24"/>
          <w:rtl/>
        </w:rPr>
      </w:pPr>
      <w:r>
        <w:rPr>
          <w:rFonts w:cs="David"/>
          <w:sz w:val="24"/>
          <w:szCs w:val="24"/>
          <w:rtl/>
        </w:rPr>
        <w:tab/>
      </w:r>
      <w:r>
        <w:rPr>
          <w:rFonts w:cs="David"/>
          <w:sz w:val="24"/>
          <w:szCs w:val="24"/>
          <w:rtl/>
        </w:rPr>
        <w:tab/>
      </w:r>
      <w:r>
        <w:rPr>
          <w:rFonts w:cs="David"/>
          <w:sz w:val="24"/>
          <w:szCs w:val="24"/>
          <w:rtl/>
        </w:rPr>
        <w:tab/>
        <w:t>צלי פלגי</w:t>
      </w:r>
      <w:r>
        <w:rPr>
          <w:rFonts w:cs="David"/>
          <w:sz w:val="24"/>
          <w:szCs w:val="24"/>
          <w:rtl/>
        </w:rPr>
        <w:tab/>
      </w:r>
      <w:r>
        <w:rPr>
          <w:rFonts w:cs="David"/>
          <w:sz w:val="24"/>
          <w:szCs w:val="24"/>
          <w:rtl/>
        </w:rPr>
        <w:tab/>
      </w:r>
      <w:r>
        <w:rPr>
          <w:rFonts w:cs="David"/>
          <w:sz w:val="24"/>
          <w:szCs w:val="24"/>
          <w:rtl/>
        </w:rPr>
        <w:tab/>
        <w:t>יו"ר לשכת החוקרים הפרטיים</w:t>
      </w:r>
    </w:p>
    <w:p w:rsidR="00000000" w:rsidRDefault="00D65855">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עו"ד רוני גולן</w:t>
      </w:r>
      <w:r>
        <w:rPr>
          <w:rFonts w:cs="David"/>
          <w:sz w:val="24"/>
          <w:szCs w:val="24"/>
          <w:rtl/>
        </w:rPr>
        <w:tab/>
      </w:r>
      <w:r>
        <w:rPr>
          <w:rFonts w:cs="David"/>
          <w:sz w:val="24"/>
          <w:szCs w:val="24"/>
          <w:rtl/>
        </w:rPr>
        <w:tab/>
        <w:t>יועץ משפטי, לשכת החוקרים הפרטיים</w:t>
      </w:r>
    </w:p>
    <w:p w:rsidR="00000000" w:rsidRDefault="00D65855">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גלית לוי</w:t>
      </w:r>
      <w:r>
        <w:rPr>
          <w:rFonts w:cs="David"/>
          <w:sz w:val="24"/>
          <w:szCs w:val="24"/>
          <w:rtl/>
        </w:rPr>
        <w:tab/>
      </w:r>
      <w:r>
        <w:rPr>
          <w:rFonts w:cs="David"/>
          <w:sz w:val="24"/>
          <w:szCs w:val="24"/>
          <w:rtl/>
        </w:rPr>
        <w:tab/>
      </w:r>
      <w:r>
        <w:rPr>
          <w:rFonts w:cs="David"/>
          <w:sz w:val="24"/>
          <w:szCs w:val="24"/>
          <w:rtl/>
        </w:rPr>
        <w:tab/>
        <w:t>מנהלת סניף ירושלים, התאחדות התעשיינים</w:t>
      </w:r>
    </w:p>
    <w:p w:rsidR="00000000" w:rsidRDefault="00D65855">
      <w:pPr>
        <w:rPr>
          <w:rFonts w:cs="David"/>
          <w:b/>
          <w:bCs/>
          <w:sz w:val="24"/>
          <w:szCs w:val="24"/>
          <w:rtl/>
        </w:rPr>
      </w:pPr>
    </w:p>
    <w:p w:rsidR="00000000" w:rsidRDefault="00D65855">
      <w:pPr>
        <w:rPr>
          <w:rFonts w:cs="David"/>
          <w:b/>
          <w:bCs/>
          <w:sz w:val="24"/>
          <w:szCs w:val="24"/>
          <w:rtl/>
        </w:rPr>
      </w:pPr>
    </w:p>
    <w:p w:rsidR="00000000" w:rsidRDefault="00D65855">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b/>
          <w:bCs/>
          <w:sz w:val="24"/>
          <w:szCs w:val="24"/>
          <w:rtl/>
        </w:rPr>
        <w:tab/>
      </w:r>
      <w:r>
        <w:rPr>
          <w:rFonts w:cs="David"/>
          <w:sz w:val="24"/>
          <w:szCs w:val="24"/>
          <w:rtl/>
        </w:rPr>
        <w:t>אתי בנדלר</w:t>
      </w:r>
    </w:p>
    <w:p w:rsidR="00000000" w:rsidRDefault="00D65855">
      <w:pPr>
        <w:rPr>
          <w:rFonts w:cs="David"/>
          <w:b/>
          <w:bCs/>
          <w:sz w:val="24"/>
          <w:szCs w:val="24"/>
          <w:u w:val="single"/>
          <w:rtl/>
        </w:rPr>
      </w:pPr>
    </w:p>
    <w:p w:rsidR="00000000" w:rsidRDefault="00D65855">
      <w:pPr>
        <w:rPr>
          <w:rFonts w:cs="David"/>
          <w:sz w:val="24"/>
          <w:szCs w:val="24"/>
          <w:rtl/>
        </w:rPr>
      </w:pPr>
      <w:r>
        <w:rPr>
          <w:rFonts w:cs="David"/>
          <w:b/>
          <w:bCs/>
          <w:sz w:val="24"/>
          <w:szCs w:val="24"/>
          <w:u w:val="single"/>
          <w:rtl/>
        </w:rPr>
        <w:t>מזכירת הוועדה:</w:t>
      </w:r>
      <w:r>
        <w:rPr>
          <w:rFonts w:cs="David"/>
          <w:sz w:val="24"/>
          <w:szCs w:val="24"/>
          <w:rtl/>
        </w:rPr>
        <w:tab/>
      </w:r>
      <w:r>
        <w:rPr>
          <w:rFonts w:cs="David"/>
          <w:sz w:val="24"/>
          <w:szCs w:val="24"/>
          <w:rtl/>
        </w:rPr>
        <w:tab/>
        <w:t>עידית חנוכה</w:t>
      </w:r>
    </w:p>
    <w:p w:rsidR="00000000" w:rsidRDefault="00D65855">
      <w:pPr>
        <w:rPr>
          <w:rFonts w:cs="David"/>
          <w:b/>
          <w:bCs/>
          <w:sz w:val="24"/>
          <w:szCs w:val="24"/>
          <w:u w:val="single"/>
          <w:rtl/>
        </w:rPr>
      </w:pPr>
    </w:p>
    <w:p w:rsidR="00000000" w:rsidRDefault="00D65855">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r>
      <w:r>
        <w:rPr>
          <w:rFonts w:cs="David"/>
          <w:sz w:val="24"/>
          <w:szCs w:val="24"/>
          <w:rtl/>
        </w:rPr>
        <w:tab/>
        <w:t>דקלה אברבנאל</w:t>
      </w:r>
    </w:p>
    <w:p w:rsidR="00000000" w:rsidRDefault="00D65855">
      <w:pPr>
        <w:ind w:left="2160" w:hanging="216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תקנות שירות נתוני אשראי, התשס"ג2003- (פרק ו')</w:t>
      </w:r>
    </w:p>
    <w:p w:rsidR="00000000" w:rsidRDefault="00D65855">
      <w:pPr>
        <w:rPr>
          <w:rFonts w:cs="David"/>
          <w:sz w:val="24"/>
          <w:szCs w:val="24"/>
          <w:u w:val="single"/>
          <w:rtl/>
        </w:rPr>
      </w:pPr>
    </w:p>
    <w:p w:rsidR="00000000" w:rsidRDefault="00D65855">
      <w:pPr>
        <w:pStyle w:val="30"/>
        <w:jc w:val="both"/>
        <w:rPr>
          <w:rFonts w:cs="David"/>
          <w:rtl/>
        </w:rPr>
      </w:pPr>
      <w:r>
        <w:rPr>
          <w:rFonts w:cs="David"/>
          <w:rtl/>
        </w:rPr>
        <w:t>טנה שפניץ:</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אני מבקשת לומר משהו לסדר. אם אפשר לפני ההפסקה לעבור על פרק הביטוח והערבות זה עדיף. היה לנו יועץ לעניין זה, ואם יהיו שאלות אוכל לשאול אותו בהפסקה. אחר כך נחזור לדון במה שהיושב-ראש מ</w:t>
      </w:r>
      <w:r>
        <w:rPr>
          <w:rFonts w:cs="David"/>
          <w:sz w:val="24"/>
          <w:szCs w:val="24"/>
          <w:rtl/>
        </w:rPr>
        <w:t xml:space="preserve">בקש. </w:t>
      </w:r>
    </w:p>
    <w:p w:rsidR="00000000" w:rsidRDefault="00D65855">
      <w:pPr>
        <w:jc w:val="both"/>
        <w:rPr>
          <w:rFonts w:cs="David"/>
          <w:sz w:val="24"/>
          <w:szCs w:val="24"/>
          <w:rtl/>
        </w:rPr>
      </w:pPr>
    </w:p>
    <w:p w:rsidR="00000000" w:rsidRDefault="00D65855">
      <w:pPr>
        <w:pStyle w:val="30"/>
        <w:jc w:val="both"/>
        <w:rPr>
          <w:rFonts w:cs="David"/>
          <w:rtl/>
        </w:rPr>
      </w:pPr>
      <w:r>
        <w:rPr>
          <w:rFonts w:cs="David"/>
          <w:rtl/>
        </w:rPr>
        <w:t>תמר קלהרה:</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אני קוראת את תקנה 68. אני קוראת את תקנה 69(א)-(ג)(1).</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דן אבנון:</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 xml:space="preserve">זה לשנה. </w:t>
      </w:r>
    </w:p>
    <w:p w:rsidR="00000000" w:rsidRDefault="00D65855">
      <w:pPr>
        <w:jc w:val="both"/>
        <w:rPr>
          <w:rFonts w:cs="David"/>
          <w:sz w:val="24"/>
          <w:szCs w:val="24"/>
          <w:rtl/>
        </w:rPr>
      </w:pPr>
    </w:p>
    <w:p w:rsidR="00000000" w:rsidRDefault="00D65855">
      <w:pPr>
        <w:pStyle w:val="30"/>
        <w:jc w:val="both"/>
        <w:rPr>
          <w:rFonts w:cs="David"/>
          <w:rtl/>
        </w:rPr>
      </w:pPr>
      <w:r>
        <w:rPr>
          <w:rFonts w:cs="David"/>
          <w:rtl/>
        </w:rPr>
        <w:t>תמר קלהרה:</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 xml:space="preserve">כן, מספר הדוחות השנתיים. אני ממשיכה לקרוא את התקנה.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דן אבנון:</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 xml:space="preserve">לא כתוב בשום מקום שההגבלה היא לשנה. </w:t>
      </w:r>
    </w:p>
    <w:p w:rsidR="00000000" w:rsidRDefault="00D65855">
      <w:pPr>
        <w:jc w:val="both"/>
        <w:rPr>
          <w:rFonts w:cs="David"/>
          <w:sz w:val="24"/>
          <w:szCs w:val="24"/>
          <w:rtl/>
        </w:rPr>
      </w:pPr>
    </w:p>
    <w:p w:rsidR="00000000" w:rsidRDefault="00D65855">
      <w:pPr>
        <w:pStyle w:val="30"/>
        <w:jc w:val="both"/>
        <w:rPr>
          <w:rFonts w:cs="David"/>
          <w:rtl/>
        </w:rPr>
      </w:pPr>
      <w:r>
        <w:rPr>
          <w:rFonts w:cs="David"/>
          <w:rtl/>
        </w:rPr>
        <w:t>תמר קלהרה:</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בסדר. נוסיף.</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אני עוברת לקר</w:t>
      </w:r>
      <w:r>
        <w:rPr>
          <w:rFonts w:cs="David"/>
          <w:sz w:val="24"/>
          <w:szCs w:val="24"/>
          <w:rtl/>
        </w:rPr>
        <w:t xml:space="preserve">וא את תקנה 70.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דן אבנון:</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 xml:space="preserve">לעניין פסק הדין אני מבקש להוסיף "שלא ניתן לגביו עיכוב ביצוע". אם יש פסק דין שיש עליו ערעור וניתן עליו עיכוב ביצוע. אפשר לכתוב "חלוט".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דוד טל:</w:t>
      </w:r>
    </w:p>
    <w:p w:rsidR="00000000" w:rsidRDefault="00D65855">
      <w:pPr>
        <w:jc w:val="both"/>
        <w:rPr>
          <w:rFonts w:cs="David"/>
          <w:sz w:val="24"/>
          <w:szCs w:val="24"/>
          <w:u w:val="single"/>
          <w:rtl/>
        </w:rPr>
      </w:pPr>
    </w:p>
    <w:p w:rsidR="00000000" w:rsidRDefault="00D65855">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מאיפה נובע הקו ש"מחצית מגובה הביטוח שהיה חייב בו אליו נקבע שעליו לערוך ביטוח אחר</w:t>
      </w:r>
      <w:r>
        <w:rPr>
          <w:rFonts w:cs="David"/>
          <w:sz w:val="24"/>
          <w:szCs w:val="24"/>
          <w:rtl/>
        </w:rPr>
        <w:t xml:space="preserve">יות מקצועית"? יש נוסחה שנהוגה בשוק הביטוח?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טנה שפניץ:</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 xml:space="preserve">יש כאן הרבה עניינים לא ידועים בנושא הזה. זאת הערכת סיכונים. לקחנו מומחה לביטוח, שמתמצה בתחום הזה, והוא הציע זאת מניסיונו; כי הערבות הבנקאית היא הרי מונח </w:t>
      </w:r>
      <w:r>
        <w:rPr>
          <w:rFonts w:cs="David"/>
          <w:szCs w:val="24"/>
        </w:rPr>
        <w:t>–</w:t>
      </w:r>
      <w:r>
        <w:rPr>
          <w:rFonts w:cs="David"/>
          <w:sz w:val="24"/>
          <w:szCs w:val="24"/>
          <w:rtl/>
        </w:rPr>
        <w:t xml:space="preserve"> הוא נתן לזה משקל אחר מלביטוח, על מה שכרוך ב</w:t>
      </w:r>
      <w:r>
        <w:rPr>
          <w:rFonts w:cs="David"/>
          <w:sz w:val="24"/>
          <w:szCs w:val="24"/>
          <w:rtl/>
        </w:rPr>
        <w:t xml:space="preserve">ו, שמשלמים בו פרמיה. להגיד שזה מתמטיקה זה קשה מאוד, כי הנושא חדשני. ביקשנו שהוא יבדוק את הדברים בחוץ לארץ אבל הוא לא כל כך הצליח להגיע למשהו שהוא יכול להעריך. זה מה שהוא עשה לנו, כהצעה לפי מה שהוא רגיל גם בפרופורציות. </w:t>
      </w:r>
    </w:p>
    <w:p w:rsidR="00000000" w:rsidRDefault="00D65855">
      <w:pPr>
        <w:jc w:val="both"/>
        <w:rPr>
          <w:rFonts w:cs="David"/>
          <w:sz w:val="24"/>
          <w:szCs w:val="24"/>
          <w:u w:val="single"/>
          <w:rtl/>
        </w:rPr>
      </w:pPr>
    </w:p>
    <w:p w:rsidR="00000000" w:rsidRDefault="00D65855">
      <w:pPr>
        <w:jc w:val="both"/>
        <w:rPr>
          <w:rFonts w:cs="David"/>
          <w:sz w:val="24"/>
          <w:szCs w:val="24"/>
          <w:u w:val="single"/>
          <w:rtl/>
        </w:rPr>
      </w:pPr>
      <w:r>
        <w:rPr>
          <w:rFonts w:cs="David"/>
          <w:sz w:val="24"/>
          <w:szCs w:val="24"/>
          <w:u w:val="single"/>
          <w:rtl/>
        </w:rPr>
        <w:t>היו"ר שלום שמחון:</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יש עבודה כתובה ב</w:t>
      </w:r>
      <w:r>
        <w:rPr>
          <w:rFonts w:cs="David"/>
          <w:sz w:val="24"/>
          <w:szCs w:val="24"/>
          <w:rtl/>
        </w:rPr>
        <w:t xml:space="preserve">עניין הזה?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br w:type="page"/>
        <w:t>טנה שפניץ:</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 xml:space="preserve">לא, לא ממש, היה הרבה הלוך וחזור בעניינים האלה. כי היו הרבה דברים שהיה צריך לדבר עליהם.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דוד טל:</w:t>
      </w:r>
    </w:p>
    <w:p w:rsidR="00000000" w:rsidRDefault="00D65855">
      <w:pPr>
        <w:jc w:val="both"/>
        <w:rPr>
          <w:rFonts w:cs="David"/>
          <w:sz w:val="24"/>
          <w:szCs w:val="24"/>
          <w:u w:val="single"/>
          <w:rtl/>
        </w:rPr>
      </w:pPr>
    </w:p>
    <w:p w:rsidR="00000000" w:rsidRDefault="00D65855">
      <w:pPr>
        <w:jc w:val="both"/>
        <w:rPr>
          <w:rFonts w:cs="David"/>
          <w:sz w:val="24"/>
          <w:szCs w:val="24"/>
          <w:rtl/>
        </w:rPr>
      </w:pPr>
      <w:r>
        <w:rPr>
          <w:rFonts w:cs="David"/>
          <w:sz w:val="24"/>
          <w:szCs w:val="24"/>
          <w:rtl/>
        </w:rPr>
        <w:tab/>
        <w:t>השאלה היא אם לא עלול להיווצר מצב שבגלל ריבוי תביעות נגד חברה מסוימת הסכום הזה, גם אם נקבל אותו, לא ייתן שום שיפוי ושום תרופה לאנשי</w:t>
      </w:r>
      <w:r>
        <w:rPr>
          <w:rFonts w:cs="David"/>
          <w:sz w:val="24"/>
          <w:szCs w:val="24"/>
          <w:rtl/>
        </w:rPr>
        <w:t xml:space="preserve">ם אחרים.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טנה שפניץ:</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 xml:space="preserve">לא צריך לדאוג שכל הזמן יהיה התחום הזה. אבל גם הביטוח וגם זה </w:t>
      </w:r>
      <w:r>
        <w:rPr>
          <w:rFonts w:cs="David"/>
          <w:szCs w:val="24"/>
        </w:rPr>
        <w:t>–</w:t>
      </w:r>
      <w:r>
        <w:rPr>
          <w:rFonts w:cs="David"/>
          <w:sz w:val="24"/>
          <w:szCs w:val="24"/>
          <w:rtl/>
        </w:rPr>
        <w:t xml:space="preserve"> זה לא תרופה אולטימטיבית, שבטוח לא ייגרם נזק ללקוח. עד גבול מסוים יש הגנה, כדי לצאת לדרך. זה נועד גם להרתיע.</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הרי אם הם צריכים להניח ערבות בנקאית גדולה לזמן רב, זה הרבה כ</w:t>
      </w:r>
      <w:r>
        <w:rPr>
          <w:rFonts w:cs="David"/>
          <w:sz w:val="24"/>
          <w:szCs w:val="24"/>
          <w:rtl/>
        </w:rPr>
        <w:t xml:space="preserve">סף. ההנחה היא שהרוב יבחרו בביטוח ואז הם צריכים לתת סכום כלשהו למקרים שבהם הביטוח לא מכסה.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דוד טל:</w:t>
      </w:r>
    </w:p>
    <w:p w:rsidR="00000000" w:rsidRDefault="00D65855">
      <w:pPr>
        <w:jc w:val="both"/>
        <w:rPr>
          <w:rFonts w:cs="David"/>
          <w:sz w:val="24"/>
          <w:szCs w:val="24"/>
          <w:u w:val="single"/>
          <w:rtl/>
        </w:rPr>
      </w:pPr>
    </w:p>
    <w:p w:rsidR="00000000" w:rsidRDefault="00D65855">
      <w:pPr>
        <w:jc w:val="both"/>
        <w:rPr>
          <w:rFonts w:cs="David"/>
          <w:sz w:val="24"/>
          <w:szCs w:val="24"/>
          <w:rtl/>
        </w:rPr>
      </w:pPr>
      <w:r>
        <w:rPr>
          <w:rFonts w:cs="David"/>
          <w:sz w:val="24"/>
          <w:szCs w:val="24"/>
          <w:rtl/>
        </w:rPr>
        <w:tab/>
        <w:t>יש גם סמכות לשנות את סכום הביטוח, את גודל הביטוח. מאילו טעמים למשל אפשר לעשות זאת? האם זה רק עולה או גם יכול לרדת?</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טנה שפניץ:</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למשל ההיקף, אם ההיקף הצטמ</w:t>
      </w:r>
      <w:r>
        <w:rPr>
          <w:rFonts w:cs="David"/>
          <w:sz w:val="24"/>
          <w:szCs w:val="24"/>
          <w:rtl/>
        </w:rPr>
        <w:t xml:space="preserve">צם מאוד, יש מספר דוחות קטן. צריך להתחיל ולראות איך זה פועל.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דן אבנון:</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 xml:space="preserve">יש להוסיף שבמניין הדוחות לא ייספרו דוחות שאדם ביקש לקבל על עצמו בחינם. </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טנה שפניץ:</w:t>
      </w:r>
    </w:p>
    <w:p w:rsidR="00000000" w:rsidRDefault="00D65855">
      <w:pPr>
        <w:jc w:val="both"/>
        <w:rPr>
          <w:rFonts w:cs="David"/>
          <w:sz w:val="24"/>
          <w:szCs w:val="24"/>
          <w:rtl/>
        </w:rPr>
      </w:pPr>
    </w:p>
    <w:p w:rsidR="00000000" w:rsidRDefault="00D65855">
      <w:pPr>
        <w:ind w:firstLine="567"/>
        <w:jc w:val="both"/>
        <w:rPr>
          <w:rFonts w:cs="David"/>
          <w:sz w:val="24"/>
          <w:szCs w:val="24"/>
          <w:rtl/>
        </w:rPr>
      </w:pPr>
      <w:r>
        <w:rPr>
          <w:rFonts w:cs="David"/>
          <w:sz w:val="24"/>
          <w:szCs w:val="24"/>
          <w:rtl/>
        </w:rPr>
        <w:t xml:space="preserve">למה? שם מותר לטעות? </w:t>
      </w:r>
    </w:p>
    <w:p w:rsidR="00000000" w:rsidRDefault="00D65855">
      <w:pPr>
        <w:ind w:firstLine="567"/>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דן אבנון:</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לא, אבל למה צריך לבטח את זה?</w:t>
      </w:r>
    </w:p>
    <w:p w:rsidR="00000000" w:rsidRDefault="00D65855">
      <w:pPr>
        <w:jc w:val="both"/>
        <w:rPr>
          <w:rFonts w:cs="David"/>
          <w:sz w:val="24"/>
          <w:szCs w:val="24"/>
          <w:rtl/>
        </w:rPr>
      </w:pPr>
    </w:p>
    <w:p w:rsidR="00000000" w:rsidRDefault="00D65855">
      <w:pPr>
        <w:jc w:val="both"/>
        <w:rPr>
          <w:rFonts w:cs="David"/>
          <w:sz w:val="24"/>
          <w:szCs w:val="24"/>
          <w:u w:val="single"/>
          <w:rtl/>
        </w:rPr>
      </w:pPr>
      <w:r>
        <w:rPr>
          <w:rFonts w:cs="David"/>
          <w:sz w:val="24"/>
          <w:szCs w:val="24"/>
          <w:u w:val="single"/>
          <w:rtl/>
        </w:rPr>
        <w:t>היו"ר שלום שמחון:</w:t>
      </w:r>
    </w:p>
    <w:p w:rsidR="00000000" w:rsidRDefault="00D65855">
      <w:pPr>
        <w:jc w:val="both"/>
        <w:rPr>
          <w:rFonts w:cs="David"/>
          <w:sz w:val="24"/>
          <w:szCs w:val="24"/>
          <w:rtl/>
        </w:rPr>
      </w:pPr>
    </w:p>
    <w:p w:rsidR="00000000" w:rsidRDefault="00D65855">
      <w:pPr>
        <w:jc w:val="both"/>
        <w:rPr>
          <w:rFonts w:cs="David"/>
          <w:sz w:val="24"/>
          <w:szCs w:val="24"/>
          <w:rtl/>
        </w:rPr>
      </w:pPr>
      <w:r>
        <w:rPr>
          <w:rFonts w:cs="David"/>
          <w:sz w:val="24"/>
          <w:szCs w:val="24"/>
          <w:rtl/>
        </w:rPr>
        <w:tab/>
        <w:t>עו"ד אבנון, ה</w:t>
      </w:r>
      <w:r>
        <w:rPr>
          <w:rFonts w:cs="David"/>
          <w:sz w:val="24"/>
          <w:szCs w:val="24"/>
          <w:rtl/>
        </w:rPr>
        <w:t xml:space="preserve">יום בכל בעיה אתה מנסה לחטוף, חטוף כפי יכולתך. תן קצת לאחרים. </w:t>
      </w:r>
    </w:p>
    <w:p w:rsidR="00000000" w:rsidRDefault="00D65855">
      <w:pPr>
        <w:jc w:val="both"/>
        <w:rPr>
          <w:rFonts w:cs="David"/>
          <w:sz w:val="24"/>
          <w:szCs w:val="24"/>
          <w:rtl/>
        </w:rPr>
      </w:pPr>
    </w:p>
    <w:p w:rsidR="00000000" w:rsidRDefault="00D65855">
      <w:pPr>
        <w:pStyle w:val="30"/>
        <w:jc w:val="both"/>
        <w:rPr>
          <w:rFonts w:cs="David"/>
          <w:rtl/>
        </w:rPr>
      </w:pPr>
      <w:r>
        <w:rPr>
          <w:rFonts w:cs="David"/>
          <w:rtl/>
        </w:rPr>
        <w:t xml:space="preserve">הישיבה ננעלה בשעה 13:00. </w:t>
      </w:r>
    </w:p>
    <w:p w:rsidR="00000000" w:rsidRDefault="00D65855">
      <w:pPr>
        <w:ind w:left="2160" w:hanging="2160"/>
        <w:jc w:val="both"/>
        <w:rPr>
          <w:rFonts w:cs="David"/>
          <w:sz w:val="24"/>
          <w:szCs w:val="24"/>
          <w:rtl/>
        </w:rPr>
      </w:pPr>
    </w:p>
    <w:p w:rsidR="00000000" w:rsidRDefault="00D65855">
      <w:pPr>
        <w:tabs>
          <w:tab w:val="left" w:pos="1930"/>
        </w:tabs>
        <w:ind w:firstLine="567"/>
        <w:jc w:val="both"/>
        <w:rPr>
          <w:rFonts w:cs="David"/>
          <w:sz w:val="24"/>
          <w:szCs w:val="24"/>
          <w:rtl/>
        </w:rPr>
      </w:pPr>
    </w:p>
    <w:p w:rsidR="00000000" w:rsidRDefault="00D65855">
      <w:pPr>
        <w:jc w:val="both"/>
        <w:rPr>
          <w:rFonts w:cs="David"/>
          <w:sz w:val="24"/>
          <w:szCs w:val="24"/>
          <w:rtl/>
        </w:rPr>
      </w:pPr>
    </w:p>
    <w:p w:rsidR="00000000" w:rsidRDefault="00D6585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5855">
      <w:r>
        <w:separator/>
      </w:r>
    </w:p>
  </w:endnote>
  <w:endnote w:type="continuationSeparator" w:id="0">
    <w:p w:rsidR="00000000" w:rsidRDefault="00D65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855">
    <w:pPr>
      <w:pStyle w:val="a7"/>
      <w:rPr>
        <w:rtl/>
      </w:rPr>
    </w:pPr>
  </w:p>
  <w:p w:rsidR="00000000" w:rsidRDefault="00D6585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855">
    <w:pPr>
      <w:pStyle w:val="a7"/>
      <w:rPr>
        <w:rtl/>
      </w:rPr>
    </w:pPr>
  </w:p>
  <w:p w:rsidR="00000000" w:rsidRDefault="00D6585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5855">
      <w:r>
        <w:separator/>
      </w:r>
    </w:p>
  </w:footnote>
  <w:footnote w:type="continuationSeparator" w:id="0">
    <w:p w:rsidR="00000000" w:rsidRDefault="00D658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855">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2</w:t>
    </w:r>
    <w:r>
      <w:rPr>
        <w:rStyle w:val="aa"/>
        <w:rFonts w:cs="David"/>
      </w:rPr>
      <w:fldChar w:fldCharType="end"/>
    </w:r>
  </w:p>
  <w:p w:rsidR="00000000" w:rsidRDefault="00D65855">
    <w:pPr>
      <w:pStyle w:val="5"/>
      <w:jc w:val="left"/>
      <w:rPr>
        <w:rFonts w:cs="David"/>
        <w:b w:val="0"/>
        <w:bCs w:val="0"/>
        <w:rtl/>
      </w:rPr>
    </w:pPr>
    <w:r>
      <w:rPr>
        <w:rFonts w:cs="David"/>
        <w:b w:val="0"/>
        <w:bCs w:val="0"/>
        <w:rtl/>
      </w:rPr>
      <w:t>ועדת הכלכלה</w:t>
    </w:r>
  </w:p>
  <w:p w:rsidR="00000000" w:rsidRDefault="00D65855">
    <w:pPr>
      <w:pStyle w:val="a5"/>
      <w:ind w:right="360"/>
      <w:rPr>
        <w:rStyle w:val="aa"/>
        <w:rFonts w:cs="David"/>
        <w:rtl/>
      </w:rPr>
    </w:pPr>
    <w:r>
      <w:rPr>
        <w:rStyle w:val="aa"/>
        <w:rFonts w:cs="David"/>
        <w:rtl/>
      </w:rPr>
      <w:t>03/09/2003</w:t>
    </w:r>
  </w:p>
  <w:p w:rsidR="00000000" w:rsidRDefault="00D6585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855">
    <w:pPr>
      <w:pStyle w:val="a5"/>
      <w:rPr>
        <w:rtl/>
      </w:rPr>
    </w:pPr>
  </w:p>
  <w:p w:rsidR="00000000" w:rsidRDefault="00D6585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65855"/>
    <w:rsid w:val="00D65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EFD0B7-D032-44C5-92BC-E29F253B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4"/>
      <w:szCs w:val="24"/>
    </w:rPr>
  </w:style>
  <w:style w:type="paragraph" w:styleId="40">
    <w:name w:val="heading 4"/>
    <w:basedOn w:val="a"/>
    <w:next w:val="a"/>
    <w:link w:val="41"/>
    <w:uiPriority w:val="99"/>
    <w:qFormat/>
    <w:pPr>
      <w:keepNext/>
      <w:adjustRightInd w:val="0"/>
      <w:jc w:val="center"/>
      <w:outlineLvl w:val="3"/>
    </w:pPr>
    <w:rPr>
      <w:b/>
      <w:bCs/>
      <w:sz w:val="24"/>
      <w:szCs w:val="24"/>
      <w:u w:val="single"/>
    </w:rPr>
  </w:style>
  <w:style w:type="paragraph" w:styleId="5">
    <w:name w:val="heading 5"/>
    <w:basedOn w:val="a"/>
    <w:next w:val="a"/>
    <w:link w:val="50"/>
    <w:uiPriority w:val="99"/>
    <w:qFormat/>
    <w:pPr>
      <w:keepNext/>
      <w:adjustRightInd w:val="0"/>
      <w:jc w:val="cente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adjustRightInd w:val="0"/>
      <w:ind w:right="1695" w:hanging="1695"/>
    </w:pPr>
    <w:rPr>
      <w:b/>
      <w:bCs/>
      <w:sz w:val="24"/>
      <w:szCs w:val="24"/>
    </w:rPr>
  </w:style>
  <w:style w:type="character" w:styleId="aa">
    <w:name w:val="page number"/>
    <w:basedOn w:val="a0"/>
    <w:uiPriority w:val="99"/>
    <w:rPr>
      <w:rFonts w:cs="Miriam"/>
      <w:lang w:bidi="he-IL"/>
    </w:rPr>
  </w:style>
  <w:style w:type="paragraph" w:styleId="ab">
    <w:name w:val="Body Text"/>
    <w:basedOn w:val="a"/>
    <w:link w:val="ac"/>
    <w:uiPriority w:val="99"/>
    <w:pPr>
      <w:adjustRightInd w:val="0"/>
      <w:jc w:val="both"/>
    </w:pPr>
    <w:rPr>
      <w:sz w:val="24"/>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30">
    <w:name w:val="Body Text 3"/>
    <w:basedOn w:val="a"/>
    <w:link w:val="31"/>
    <w:uiPriority w:val="99"/>
    <w:pPr>
      <w:adjustRightInd w:val="0"/>
    </w:pPr>
    <w:rPr>
      <w:sz w:val="24"/>
      <w:szCs w:val="24"/>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582C61-AB74-47CB-8134-85E387526D21}"/>
</file>

<file path=customXml/itemProps2.xml><?xml version="1.0" encoding="utf-8"?>
<ds:datastoreItem xmlns:ds="http://schemas.openxmlformats.org/officeDocument/2006/customXml" ds:itemID="{DFB5821C-2FDA-4A0A-81D6-BACCD9FF1157}"/>
</file>

<file path=customXml/itemProps3.xml><?xml version="1.0" encoding="utf-8"?>
<ds:datastoreItem xmlns:ds="http://schemas.openxmlformats.org/officeDocument/2006/customXml" ds:itemID="{1A210954-E032-4686-B411-861C909B3EF1}"/>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3356</Characters>
  <Application>Microsoft Office Word</Application>
  <DocSecurity>0</DocSecurity>
  <Lines>27</Lines>
  <Paragraphs>8</Paragraphs>
  <ScaleCrop>false</ScaleCrop>
  <Company>knesset</Company>
  <LinksUpToDate>false</LinksUpToDate>
  <CharactersWithSpaces>4019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פרוטוקולים/כלכלה/7098</dc:title>
  <dc:subject>כלכלה 3.9.03</dc:subject>
  <dc:creator>דקלה אברבנאל</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65355</vt:r8>
  </property>
</Properties>
</file>