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76D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276D9">
      <w:pPr>
        <w:rPr>
          <w:rFonts w:cs="David"/>
          <w:b/>
          <w:bCs/>
          <w:sz w:val="24"/>
          <w:rtl/>
        </w:rPr>
      </w:pPr>
      <w:r>
        <w:rPr>
          <w:rFonts w:cs="David"/>
          <w:b/>
          <w:bCs/>
          <w:sz w:val="24"/>
          <w:rtl/>
        </w:rPr>
        <w:t>מושב שלישי</w:t>
      </w:r>
    </w:p>
    <w:p w:rsidR="00000000" w:rsidRDefault="002276D9">
      <w:pPr>
        <w:rPr>
          <w:rFonts w:cs="David"/>
          <w:b/>
          <w:bCs/>
          <w:sz w:val="24"/>
          <w:rtl/>
        </w:rPr>
      </w:pPr>
    </w:p>
    <w:p w:rsidR="00000000" w:rsidRDefault="002276D9">
      <w:pPr>
        <w:rPr>
          <w:rFonts w:cs="David"/>
          <w:b/>
          <w:bCs/>
          <w:sz w:val="24"/>
          <w:rtl/>
        </w:rPr>
      </w:pPr>
    </w:p>
    <w:p w:rsidR="00000000" w:rsidRDefault="002276D9">
      <w:pPr>
        <w:rPr>
          <w:rFonts w:cs="David"/>
          <w:b/>
          <w:bCs/>
          <w:sz w:val="24"/>
          <w:rtl/>
        </w:rPr>
      </w:pPr>
    </w:p>
    <w:p w:rsidR="00000000" w:rsidRDefault="002276D9">
      <w:pPr>
        <w:pStyle w:val="1"/>
        <w:rPr>
          <w:rFonts w:cs="David"/>
          <w:sz w:val="24"/>
          <w:rtl/>
        </w:rPr>
      </w:pPr>
      <w:r>
        <w:rPr>
          <w:rFonts w:cs="David"/>
          <w:sz w:val="24"/>
          <w:rtl/>
        </w:rPr>
        <w:t>פרוטוקול מס' 313</w:t>
      </w:r>
    </w:p>
    <w:p w:rsidR="00000000" w:rsidRDefault="002276D9">
      <w:pPr>
        <w:pStyle w:val="7"/>
        <w:rPr>
          <w:rFonts w:cs="David"/>
          <w:sz w:val="24"/>
          <w:rtl/>
        </w:rPr>
      </w:pPr>
      <w:r>
        <w:rPr>
          <w:rFonts w:cs="David"/>
          <w:sz w:val="24"/>
          <w:rtl/>
        </w:rPr>
        <w:t>מישיבת ועדת החוקה, חוק ומשפט</w:t>
      </w:r>
    </w:p>
    <w:p w:rsidR="00000000" w:rsidRDefault="002276D9">
      <w:pPr>
        <w:pStyle w:val="8"/>
        <w:rPr>
          <w:rFonts w:cs="David"/>
          <w:sz w:val="24"/>
          <w:rtl/>
        </w:rPr>
      </w:pPr>
      <w:r>
        <w:rPr>
          <w:rFonts w:cs="David"/>
          <w:sz w:val="24"/>
          <w:rtl/>
        </w:rPr>
        <w:t>יום רביעי, י"ב בחשוון התשס"ה (27.10.2004), שעה 9:00</w:t>
      </w:r>
    </w:p>
    <w:p w:rsidR="00000000" w:rsidRDefault="002276D9">
      <w:pPr>
        <w:rPr>
          <w:rFonts w:cs="David"/>
          <w:b/>
          <w:bCs/>
          <w:sz w:val="24"/>
          <w:rtl/>
        </w:rPr>
      </w:pPr>
    </w:p>
    <w:p w:rsidR="00000000" w:rsidRDefault="002276D9">
      <w:pPr>
        <w:rPr>
          <w:rFonts w:cs="David"/>
          <w:b/>
          <w:bCs/>
          <w:sz w:val="24"/>
          <w:rtl/>
        </w:rPr>
      </w:pPr>
    </w:p>
    <w:p w:rsidR="00000000" w:rsidRDefault="002276D9">
      <w:pPr>
        <w:tabs>
          <w:tab w:val="left" w:pos="1221"/>
        </w:tabs>
        <w:rPr>
          <w:rFonts w:cs="David"/>
          <w:b/>
          <w:bCs/>
          <w:sz w:val="24"/>
          <w:u w:val="single"/>
          <w:rtl/>
        </w:rPr>
      </w:pPr>
    </w:p>
    <w:p w:rsidR="00000000" w:rsidRDefault="002276D9">
      <w:pPr>
        <w:tabs>
          <w:tab w:val="left" w:pos="1221"/>
        </w:tabs>
        <w:rPr>
          <w:rFonts w:cs="David"/>
          <w:sz w:val="24"/>
          <w:rtl/>
        </w:rPr>
      </w:pPr>
      <w:r>
        <w:rPr>
          <w:rFonts w:cs="David"/>
          <w:b/>
          <w:bCs/>
          <w:sz w:val="24"/>
          <w:u w:val="single"/>
          <w:rtl/>
        </w:rPr>
        <w:t>סדר היום</w:t>
      </w:r>
      <w:r>
        <w:rPr>
          <w:rFonts w:cs="David"/>
          <w:sz w:val="24"/>
          <w:rtl/>
        </w:rPr>
        <w:t>: תקנות העביר</w:t>
      </w:r>
      <w:r>
        <w:rPr>
          <w:rFonts w:cs="David"/>
          <w:sz w:val="24"/>
          <w:rtl/>
        </w:rPr>
        <w:t>ות המנהליות (קנס מנהלי - חיקוקי תיירות), התשס"ד-2004.</w:t>
      </w:r>
    </w:p>
    <w:p w:rsidR="00000000" w:rsidRDefault="002276D9">
      <w:pPr>
        <w:tabs>
          <w:tab w:val="left" w:pos="1221"/>
        </w:tabs>
        <w:rPr>
          <w:rFonts w:cs="David"/>
          <w:b/>
          <w:bCs/>
          <w:sz w:val="24"/>
          <w:rtl/>
        </w:rPr>
      </w:pPr>
    </w:p>
    <w:p w:rsidR="00000000" w:rsidRDefault="002276D9">
      <w:pPr>
        <w:rPr>
          <w:rFonts w:cs="David"/>
          <w:b/>
          <w:bCs/>
          <w:sz w:val="24"/>
          <w:rtl/>
        </w:rPr>
      </w:pPr>
    </w:p>
    <w:p w:rsidR="00000000" w:rsidRDefault="002276D9">
      <w:pPr>
        <w:rPr>
          <w:rFonts w:cs="David"/>
          <w:sz w:val="24"/>
          <w:rtl/>
        </w:rPr>
      </w:pPr>
    </w:p>
    <w:p w:rsidR="00000000" w:rsidRDefault="002276D9">
      <w:pPr>
        <w:rPr>
          <w:rFonts w:cs="David"/>
          <w:sz w:val="24"/>
          <w:rtl/>
        </w:rPr>
      </w:pPr>
    </w:p>
    <w:p w:rsidR="00000000" w:rsidRDefault="002276D9">
      <w:pPr>
        <w:rPr>
          <w:rFonts w:cs="David"/>
          <w:b/>
          <w:bCs/>
          <w:sz w:val="24"/>
          <w:u w:val="single"/>
          <w:rtl/>
        </w:rPr>
      </w:pPr>
      <w:r>
        <w:rPr>
          <w:rFonts w:cs="David"/>
          <w:b/>
          <w:bCs/>
          <w:sz w:val="24"/>
          <w:u w:val="single"/>
          <w:rtl/>
        </w:rPr>
        <w:t>נכחו</w:t>
      </w:r>
      <w:r>
        <w:rPr>
          <w:rFonts w:cs="David"/>
          <w:sz w:val="24"/>
          <w:rtl/>
        </w:rPr>
        <w:t>:</w:t>
      </w:r>
    </w:p>
    <w:p w:rsidR="00000000" w:rsidRDefault="002276D9">
      <w:pPr>
        <w:rPr>
          <w:rFonts w:cs="David"/>
          <w:sz w:val="24"/>
          <w:rtl/>
        </w:rPr>
      </w:pPr>
    </w:p>
    <w:p w:rsidR="00000000" w:rsidRDefault="002276D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2276D9">
      <w:pPr>
        <w:tabs>
          <w:tab w:val="left" w:pos="1788"/>
        </w:tabs>
        <w:rPr>
          <w:rFonts w:cs="David"/>
          <w:sz w:val="24"/>
          <w:rtl/>
        </w:rPr>
      </w:pPr>
      <w:r>
        <w:rPr>
          <w:rFonts w:cs="David"/>
          <w:sz w:val="24"/>
          <w:rtl/>
        </w:rPr>
        <w:tab/>
        <w:t>עזמי בשארה</w:t>
      </w:r>
    </w:p>
    <w:p w:rsidR="00000000" w:rsidRDefault="002276D9">
      <w:pPr>
        <w:tabs>
          <w:tab w:val="left" w:pos="1788"/>
        </w:tabs>
        <w:rPr>
          <w:rFonts w:cs="David"/>
          <w:sz w:val="24"/>
          <w:rtl/>
        </w:rPr>
      </w:pPr>
      <w:r>
        <w:rPr>
          <w:rFonts w:cs="David"/>
          <w:sz w:val="24"/>
          <w:rtl/>
        </w:rPr>
        <w:tab/>
      </w:r>
    </w:p>
    <w:p w:rsidR="00000000" w:rsidRDefault="002276D9">
      <w:pPr>
        <w:rPr>
          <w:rFonts w:cs="David"/>
          <w:sz w:val="24"/>
          <w:rtl/>
        </w:rPr>
      </w:pPr>
    </w:p>
    <w:p w:rsidR="00000000" w:rsidRDefault="002276D9">
      <w:pPr>
        <w:rPr>
          <w:rFonts w:cs="David"/>
          <w:sz w:val="24"/>
          <w:rtl/>
        </w:rPr>
      </w:pPr>
    </w:p>
    <w:p w:rsidR="00000000" w:rsidRDefault="002276D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 - משרד המשפטים</w:t>
      </w:r>
    </w:p>
    <w:p w:rsidR="00000000" w:rsidRDefault="002276D9">
      <w:pPr>
        <w:tabs>
          <w:tab w:val="left" w:pos="1788"/>
          <w:tab w:val="left" w:pos="3631"/>
        </w:tabs>
        <w:rPr>
          <w:rFonts w:cs="David"/>
          <w:sz w:val="24"/>
          <w:rtl/>
        </w:rPr>
      </w:pPr>
      <w:r>
        <w:rPr>
          <w:rFonts w:cs="David"/>
          <w:sz w:val="24"/>
          <w:rtl/>
        </w:rPr>
        <w:tab/>
        <w:t>איתמר גלבפיש - מתמחה, משרד המשפטים</w:t>
      </w:r>
    </w:p>
    <w:p w:rsidR="00000000" w:rsidRDefault="002276D9">
      <w:pPr>
        <w:tabs>
          <w:tab w:val="left" w:pos="1788"/>
          <w:tab w:val="left" w:pos="3631"/>
        </w:tabs>
        <w:rPr>
          <w:rFonts w:cs="David"/>
          <w:sz w:val="24"/>
          <w:rtl/>
        </w:rPr>
      </w:pPr>
      <w:r>
        <w:rPr>
          <w:rFonts w:cs="David"/>
          <w:sz w:val="24"/>
          <w:rtl/>
        </w:rPr>
        <w:tab/>
        <w:t>עו"ד מירי חושן - סגנית בכירה ליועץ המשפטי, משרד התיירות</w:t>
      </w:r>
    </w:p>
    <w:p w:rsidR="00000000" w:rsidRDefault="002276D9">
      <w:pPr>
        <w:tabs>
          <w:tab w:val="left" w:pos="1788"/>
          <w:tab w:val="left" w:pos="3631"/>
        </w:tabs>
        <w:rPr>
          <w:rFonts w:cs="David"/>
          <w:sz w:val="24"/>
          <w:rtl/>
        </w:rPr>
      </w:pPr>
      <w:r>
        <w:rPr>
          <w:rFonts w:cs="David"/>
          <w:sz w:val="24"/>
          <w:rtl/>
        </w:rPr>
        <w:tab/>
        <w:t xml:space="preserve">רפי גלס - </w:t>
      </w:r>
      <w:r>
        <w:rPr>
          <w:rFonts w:cs="David"/>
          <w:sz w:val="24"/>
          <w:rtl/>
        </w:rPr>
        <w:t>יו"ר אגודת מורי הדרך</w:t>
      </w:r>
    </w:p>
    <w:p w:rsidR="00000000" w:rsidRDefault="002276D9">
      <w:pPr>
        <w:tabs>
          <w:tab w:val="left" w:pos="1788"/>
          <w:tab w:val="left" w:pos="3631"/>
        </w:tabs>
        <w:rPr>
          <w:rFonts w:cs="David"/>
          <w:sz w:val="24"/>
          <w:rtl/>
        </w:rPr>
      </w:pPr>
      <w:r>
        <w:rPr>
          <w:rFonts w:cs="David"/>
          <w:sz w:val="24"/>
          <w:rtl/>
        </w:rPr>
        <w:tab/>
        <w:t>זיוית כהן-אבירם - סגן יו"ר אגודת מורי הדרך</w:t>
      </w:r>
    </w:p>
    <w:p w:rsidR="00000000" w:rsidRDefault="002276D9">
      <w:pPr>
        <w:tabs>
          <w:tab w:val="left" w:pos="1788"/>
          <w:tab w:val="left" w:pos="3631"/>
        </w:tabs>
        <w:rPr>
          <w:rFonts w:cs="David"/>
          <w:sz w:val="24"/>
          <w:rtl/>
        </w:rPr>
      </w:pPr>
      <w:r>
        <w:rPr>
          <w:rFonts w:cs="David"/>
          <w:sz w:val="24"/>
          <w:rtl/>
        </w:rPr>
        <w:tab/>
      </w:r>
    </w:p>
    <w:p w:rsidR="00000000" w:rsidRDefault="002276D9">
      <w:pPr>
        <w:rPr>
          <w:rFonts w:cs="David"/>
          <w:sz w:val="24"/>
          <w:rtl/>
        </w:rPr>
      </w:pPr>
    </w:p>
    <w:p w:rsidR="00000000" w:rsidRDefault="002276D9">
      <w:pPr>
        <w:rPr>
          <w:rFonts w:cs="David"/>
          <w:sz w:val="24"/>
          <w:rtl/>
        </w:rPr>
      </w:pPr>
    </w:p>
    <w:p w:rsidR="00000000" w:rsidRDefault="002276D9">
      <w:pPr>
        <w:rPr>
          <w:rFonts w:cs="David"/>
          <w:sz w:val="24"/>
          <w:rtl/>
        </w:rPr>
      </w:pPr>
    </w:p>
    <w:p w:rsidR="00000000" w:rsidRDefault="002276D9">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קרן ויינשל</w:t>
      </w:r>
    </w:p>
    <w:p w:rsidR="00000000" w:rsidRDefault="002276D9">
      <w:pPr>
        <w:rPr>
          <w:rFonts w:cs="David"/>
          <w:sz w:val="24"/>
          <w:rtl/>
        </w:rPr>
      </w:pPr>
    </w:p>
    <w:p w:rsidR="00000000" w:rsidRDefault="002276D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2276D9">
      <w:pPr>
        <w:rPr>
          <w:rFonts w:cs="David"/>
          <w:sz w:val="24"/>
          <w:rtl/>
        </w:rPr>
      </w:pPr>
    </w:p>
    <w:p w:rsidR="00000000" w:rsidRDefault="002276D9">
      <w:pPr>
        <w:tabs>
          <w:tab w:val="left" w:pos="1930"/>
        </w:tabs>
        <w:rPr>
          <w:rFonts w:cs="David"/>
          <w:b/>
          <w:bCs/>
          <w:sz w:val="24"/>
          <w:rtl/>
        </w:rPr>
      </w:pPr>
      <w:r>
        <w:rPr>
          <w:rFonts w:cs="David"/>
          <w:b/>
          <w:bCs/>
          <w:sz w:val="24"/>
          <w:u w:val="single"/>
          <w:rtl/>
        </w:rPr>
        <w:t>קצרנית</w:t>
      </w:r>
      <w:r>
        <w:rPr>
          <w:rFonts w:cs="David"/>
          <w:sz w:val="24"/>
          <w:rtl/>
        </w:rPr>
        <w:t>:</w:t>
      </w:r>
      <w:r>
        <w:rPr>
          <w:rFonts w:cs="David"/>
          <w:sz w:val="24"/>
          <w:rtl/>
        </w:rPr>
        <w:tab/>
        <w:t>תמר שפנייר</w:t>
      </w:r>
    </w:p>
    <w:p w:rsidR="00000000" w:rsidRDefault="002276D9">
      <w:pPr>
        <w:jc w:val="center"/>
        <w:rPr>
          <w:rFonts w:cs="David"/>
          <w:b/>
          <w:bCs/>
          <w:sz w:val="24"/>
          <w:u w:val="single"/>
          <w:rtl/>
        </w:rPr>
      </w:pPr>
      <w:r>
        <w:rPr>
          <w:rFonts w:cs="David"/>
          <w:sz w:val="24"/>
          <w:rtl/>
        </w:rPr>
        <w:br w:type="page"/>
      </w:r>
      <w:r>
        <w:rPr>
          <w:rFonts w:cs="David"/>
          <w:b/>
          <w:bCs/>
          <w:sz w:val="24"/>
          <w:u w:val="single"/>
          <w:rtl/>
        </w:rPr>
        <w:lastRenderedPageBreak/>
        <w:t>תקנות העבירות המנהליות (קנס מנהלי - חיקוקי תיירות), התשס"ד-2004</w:t>
      </w:r>
    </w:p>
    <w:p w:rsidR="00000000" w:rsidRDefault="002276D9">
      <w:pPr>
        <w:rPr>
          <w:rFonts w:cs="David"/>
          <w:sz w:val="24"/>
          <w:rtl/>
        </w:rPr>
      </w:pPr>
    </w:p>
    <w:p w:rsidR="00000000" w:rsidRDefault="002276D9">
      <w:pPr>
        <w:rPr>
          <w:rFonts w:cs="David"/>
          <w:sz w:val="24"/>
          <w:rtl/>
        </w:rPr>
      </w:pP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אני פותח את הישיבה. אנחנו דנ</w:t>
      </w:r>
      <w:r>
        <w:rPr>
          <w:rFonts w:cs="David"/>
          <w:sz w:val="24"/>
          <w:rtl/>
        </w:rPr>
        <w:t>ים באישור תקנות שהוציא שר המשפטים בעניין עבירות מנהליות שקשורות בחיקוקי תיירות. אנחנו רואים ששר המשפטים מבקש ש"עבירה על ההוראות כמפורט להלן שבחוק שירותי תיירות - - היא עבירה מנהלית". באלו עבירות מדובר?</w:t>
      </w:r>
    </w:p>
    <w:p w:rsidR="00000000" w:rsidRDefault="002276D9">
      <w:pPr>
        <w:rPr>
          <w:rFonts w:cs="David"/>
          <w:sz w:val="24"/>
          <w:rtl/>
        </w:rPr>
      </w:pPr>
    </w:p>
    <w:p w:rsidR="00000000" w:rsidRDefault="002276D9">
      <w:pPr>
        <w:rPr>
          <w:rFonts w:cs="David"/>
          <w:sz w:val="24"/>
          <w:rtl/>
        </w:rPr>
      </w:pPr>
      <w:r>
        <w:rPr>
          <w:rFonts w:cs="David"/>
          <w:sz w:val="24"/>
          <w:u w:val="single"/>
          <w:rtl/>
        </w:rPr>
        <w:t>יפעת רווה:</w:t>
      </w:r>
    </w:p>
    <w:p w:rsidR="00000000" w:rsidRDefault="002276D9">
      <w:pPr>
        <w:rPr>
          <w:rFonts w:cs="David"/>
          <w:sz w:val="24"/>
          <w:rtl/>
        </w:rPr>
      </w:pPr>
    </w:p>
    <w:p w:rsidR="00000000" w:rsidRDefault="002276D9">
      <w:pPr>
        <w:rPr>
          <w:rFonts w:cs="David"/>
          <w:sz w:val="24"/>
          <w:rtl/>
        </w:rPr>
      </w:pPr>
      <w:r>
        <w:rPr>
          <w:rFonts w:cs="David"/>
          <w:sz w:val="24"/>
          <w:rtl/>
        </w:rPr>
        <w:tab/>
        <w:t>צירפנו טבלה עם העבירות עצמן. העבירה הראש</w:t>
      </w:r>
      <w:r>
        <w:rPr>
          <w:rFonts w:cs="David"/>
          <w:sz w:val="24"/>
          <w:rtl/>
        </w:rPr>
        <w:t xml:space="preserve">ונה היא הפעלת שירותי תיירות ללא רישוי. העבירה השנייה - סעיף (ה)(2) - אינו מקיים חובת גילוי מידע שנקבע לפי הוראות סעיף 12ג. </w:t>
      </w:r>
    </w:p>
    <w:p w:rsidR="00000000" w:rsidRDefault="002276D9">
      <w:pPr>
        <w:rPr>
          <w:rFonts w:cs="David"/>
          <w:sz w:val="24"/>
          <w:rtl/>
        </w:rPr>
      </w:pPr>
    </w:p>
    <w:p w:rsidR="00000000" w:rsidRDefault="002276D9">
      <w:pPr>
        <w:rPr>
          <w:rFonts w:cs="David"/>
          <w:sz w:val="24"/>
          <w:rtl/>
        </w:rPr>
      </w:pPr>
      <w:r>
        <w:rPr>
          <w:rFonts w:cs="David"/>
          <w:sz w:val="24"/>
          <w:u w:val="single"/>
          <w:rtl/>
        </w:rPr>
        <w:t>היו"ר מיכאל איתן:</w:t>
      </w:r>
    </w:p>
    <w:p w:rsidR="00000000" w:rsidRDefault="002276D9">
      <w:pPr>
        <w:rPr>
          <w:rFonts w:cs="David"/>
          <w:sz w:val="24"/>
          <w:rtl/>
        </w:rPr>
      </w:pPr>
    </w:p>
    <w:p w:rsidR="00000000" w:rsidRDefault="002276D9">
      <w:pPr>
        <w:rPr>
          <w:rFonts w:cs="David"/>
          <w:sz w:val="24"/>
          <w:rtl/>
        </w:rPr>
      </w:pPr>
      <w:r>
        <w:rPr>
          <w:rFonts w:cs="David"/>
          <w:sz w:val="24"/>
          <w:rtl/>
        </w:rPr>
        <w:tab/>
        <w:t>לפני העבירה הראשונה, אני רואה שיש סעיף 13(א).</w:t>
      </w:r>
    </w:p>
    <w:p w:rsidR="00000000" w:rsidRDefault="002276D9">
      <w:pPr>
        <w:rPr>
          <w:rFonts w:cs="David"/>
          <w:sz w:val="24"/>
          <w:rtl/>
        </w:rPr>
      </w:pPr>
    </w:p>
    <w:p w:rsidR="00000000" w:rsidRDefault="002276D9">
      <w:pPr>
        <w:rPr>
          <w:rFonts w:cs="David"/>
          <w:sz w:val="24"/>
          <w:u w:val="single"/>
          <w:rtl/>
        </w:rPr>
      </w:pPr>
      <w:r>
        <w:rPr>
          <w:rFonts w:cs="David"/>
          <w:sz w:val="24"/>
          <w:u w:val="single"/>
          <w:rtl/>
        </w:rPr>
        <w:t>יפעת רווה:</w:t>
      </w:r>
    </w:p>
    <w:p w:rsidR="00000000" w:rsidRDefault="002276D9">
      <w:pPr>
        <w:rPr>
          <w:rFonts w:cs="David"/>
          <w:sz w:val="24"/>
          <w:rtl/>
        </w:rPr>
      </w:pPr>
    </w:p>
    <w:p w:rsidR="00000000" w:rsidRDefault="002276D9">
      <w:pPr>
        <w:pStyle w:val="a8"/>
        <w:rPr>
          <w:rFonts w:cs="David"/>
          <w:sz w:val="24"/>
          <w:rtl/>
        </w:rPr>
      </w:pPr>
      <w:r>
        <w:rPr>
          <w:rFonts w:cs="David"/>
          <w:sz w:val="24"/>
          <w:rtl/>
        </w:rPr>
        <w:tab/>
        <w:t>13(א)(1) זה ההוראה של העבירה באופן כללי. הסעיף קובע</w:t>
      </w:r>
      <w:r>
        <w:rPr>
          <w:rFonts w:cs="David"/>
          <w:sz w:val="24"/>
          <w:rtl/>
        </w:rPr>
        <w:t xml:space="preserve"> שמי שעבר על תקנות, כללים או הוראות דינו קנס. סעיף 13(ב) - העבירה הראשונה בטבלה - זה הפעלת שירותי תיירות ללא רישוי. סעיף 13(ה)(2) - העבירה השנייה בטבלה - אי קיום חובת גילוי מידע נאות לאנשים. </w:t>
      </w:r>
    </w:p>
    <w:p w:rsidR="00000000" w:rsidRDefault="002276D9">
      <w:pPr>
        <w:rPr>
          <w:rFonts w:cs="David"/>
          <w:sz w:val="24"/>
          <w:rtl/>
        </w:rPr>
      </w:pPr>
    </w:p>
    <w:p w:rsidR="00000000" w:rsidRDefault="002276D9">
      <w:pPr>
        <w:rPr>
          <w:rFonts w:cs="David"/>
          <w:sz w:val="24"/>
          <w:rtl/>
        </w:rPr>
      </w:pPr>
      <w:r>
        <w:rPr>
          <w:rFonts w:cs="David"/>
          <w:sz w:val="24"/>
          <w:u w:val="single"/>
          <w:rtl/>
        </w:rPr>
        <w:t>היו"ר מיכאל איתן:</w:t>
      </w:r>
    </w:p>
    <w:p w:rsidR="00000000" w:rsidRDefault="002276D9">
      <w:pPr>
        <w:rPr>
          <w:rFonts w:cs="David"/>
          <w:sz w:val="24"/>
          <w:rtl/>
        </w:rPr>
      </w:pPr>
    </w:p>
    <w:p w:rsidR="00000000" w:rsidRDefault="002276D9">
      <w:pPr>
        <w:rPr>
          <w:rFonts w:cs="David"/>
          <w:sz w:val="24"/>
          <w:rtl/>
        </w:rPr>
      </w:pPr>
      <w:r>
        <w:rPr>
          <w:rFonts w:cs="David"/>
          <w:sz w:val="24"/>
          <w:rtl/>
        </w:rPr>
        <w:tab/>
        <w:t xml:space="preserve"> מה זה גילוי נאות?</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סוכנות נסי</w:t>
      </w:r>
      <w:r>
        <w:rPr>
          <w:rFonts w:cs="David"/>
          <w:sz w:val="24"/>
          <w:rtl/>
        </w:rPr>
        <w:t>עות אמורה לתת מידע למי שרוכש חבילה תיור. הנושא החם ביותר עכשיו הוא כמובן הוראות מסע - מה רמת המלון, באיזו חברה אתה טס, האם אתה טס מעל ארץ אויב, מה המחיר. זה מתפרסם בתקנות שירותי תיירות (חובת גילוי נאות).</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אני קורא את סעיף 2 לתקנות: "לע</w:t>
      </w:r>
      <w:r>
        <w:rPr>
          <w:rFonts w:cs="David"/>
          <w:sz w:val="24"/>
          <w:rtl/>
        </w:rPr>
        <w:t>בירה מנהלית כאמור בתקנה 1 יהיה קנס מנהלי קצוב - (1) לגבי יחיד - כקבוע לצידה בטור ב' בתוספת; (2) לגבי תאגיד - פי שלושה מהאמור בפסקה (1)".  באיזה סכום מדובר?</w:t>
      </w:r>
    </w:p>
    <w:p w:rsidR="00000000" w:rsidRDefault="002276D9">
      <w:pPr>
        <w:rPr>
          <w:rFonts w:cs="David"/>
          <w:sz w:val="24"/>
          <w:rtl/>
        </w:rPr>
      </w:pPr>
    </w:p>
    <w:p w:rsidR="00000000" w:rsidRDefault="002276D9">
      <w:pPr>
        <w:rPr>
          <w:rFonts w:cs="David"/>
          <w:sz w:val="24"/>
          <w:rtl/>
        </w:rPr>
      </w:pPr>
      <w:r>
        <w:rPr>
          <w:rFonts w:cs="David"/>
          <w:sz w:val="24"/>
          <w:u w:val="single"/>
          <w:rtl/>
        </w:rPr>
        <w:t>יפעת רווה:</w:t>
      </w:r>
    </w:p>
    <w:p w:rsidR="00000000" w:rsidRDefault="002276D9">
      <w:pPr>
        <w:rPr>
          <w:rFonts w:cs="David"/>
          <w:sz w:val="24"/>
          <w:rtl/>
        </w:rPr>
      </w:pPr>
    </w:p>
    <w:p w:rsidR="00000000" w:rsidRDefault="002276D9">
      <w:pPr>
        <w:rPr>
          <w:rFonts w:cs="David"/>
          <w:sz w:val="24"/>
          <w:rtl/>
        </w:rPr>
      </w:pPr>
      <w:r>
        <w:rPr>
          <w:rFonts w:cs="David"/>
          <w:sz w:val="24"/>
          <w:rtl/>
        </w:rPr>
        <w:tab/>
        <w:t xml:space="preserve">יש טבלה בתוספת. סעיף 13(ב) לחוק - הפעלת שירותי תיירות ללא רישוי - הקנס הוא 3,000 שקל. </w:t>
      </w:r>
      <w:r>
        <w:rPr>
          <w:rFonts w:cs="David"/>
          <w:sz w:val="24"/>
          <w:rtl/>
        </w:rPr>
        <w:t xml:space="preserve"> </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מה זה שירותי תיירות?</w:t>
      </w:r>
    </w:p>
    <w:p w:rsidR="00000000" w:rsidRDefault="002276D9">
      <w:pPr>
        <w:rPr>
          <w:rFonts w:cs="David"/>
          <w:sz w:val="24"/>
          <w:rtl/>
        </w:rPr>
      </w:pPr>
    </w:p>
    <w:p w:rsidR="00000000" w:rsidRDefault="002276D9">
      <w:pPr>
        <w:rPr>
          <w:rFonts w:cs="David"/>
          <w:sz w:val="24"/>
          <w:rtl/>
        </w:rPr>
      </w:pPr>
      <w:r>
        <w:rPr>
          <w:rFonts w:cs="David"/>
          <w:sz w:val="24"/>
          <w:u w:val="single"/>
          <w:rtl/>
        </w:rPr>
        <w:br w:type="page"/>
      </w:r>
      <w:r>
        <w:rPr>
          <w:rFonts w:cs="David"/>
          <w:sz w:val="24"/>
          <w:u w:val="single"/>
          <w:rtl/>
        </w:rPr>
        <w:lastRenderedPageBreak/>
        <w:t>מירי חושן:</w:t>
      </w:r>
    </w:p>
    <w:p w:rsidR="00000000" w:rsidRDefault="002276D9">
      <w:pPr>
        <w:rPr>
          <w:rFonts w:cs="David"/>
          <w:sz w:val="24"/>
          <w:rtl/>
        </w:rPr>
      </w:pPr>
    </w:p>
    <w:p w:rsidR="00000000" w:rsidRDefault="002276D9">
      <w:pPr>
        <w:rPr>
          <w:rFonts w:cs="David"/>
          <w:sz w:val="24"/>
          <w:rtl/>
        </w:rPr>
      </w:pPr>
      <w:r>
        <w:rPr>
          <w:rFonts w:cs="David"/>
          <w:sz w:val="24"/>
          <w:rtl/>
        </w:rPr>
        <w:tab/>
        <w:t>היום הרישוי הוא רק למורי דרך. אין רישוי נוסף למשרד התיירות. היה רישוי לסוכני נסיעות, למומחים, אבל חוק ההסדרים ביטל לפני שלוש שנים. היום סוכן נסיעות לא צריך רישוי. משרד האוצר החליט על הסרת חסמים במ</w:t>
      </w:r>
      <w:r>
        <w:rPr>
          <w:rFonts w:cs="David"/>
          <w:sz w:val="24"/>
          <w:rtl/>
        </w:rPr>
        <w:t>שק. זה לא הרצון של משרד התיירות.</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לדעתי לא צריך רישוי כדי להיות סוכן נסיעות, כפי שלא צריך רישוי כדי לפתוח עסק אחר. עכשיו נשאר לנו רק מורה דרך, עליהם אני מגן למרות שאני בספק אם צריך להגן עליהם.</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 xml:space="preserve">אתה לא רוצה שכאשר באה קבוצה </w:t>
      </w:r>
      <w:r>
        <w:rPr>
          <w:rFonts w:cs="David"/>
          <w:sz w:val="24"/>
          <w:rtl/>
        </w:rPr>
        <w:t>היא תקבל מידע אמיתי? מדובר בתדמית של המדינה. חשוב שידעו איפה זה מצדה, מי נמצא בירושלים המזרחית ומי לא.</w:t>
      </w:r>
    </w:p>
    <w:p w:rsidR="00000000" w:rsidRDefault="002276D9">
      <w:pPr>
        <w:rPr>
          <w:rFonts w:cs="David"/>
          <w:sz w:val="24"/>
          <w:rtl/>
        </w:rPr>
      </w:pPr>
    </w:p>
    <w:p w:rsidR="00000000" w:rsidRDefault="002276D9">
      <w:pPr>
        <w:rPr>
          <w:rFonts w:cs="David"/>
          <w:sz w:val="24"/>
          <w:rtl/>
        </w:rPr>
      </w:pPr>
      <w:r>
        <w:rPr>
          <w:rFonts w:cs="David"/>
          <w:sz w:val="24"/>
          <w:u w:val="single"/>
          <w:rtl/>
        </w:rPr>
        <w:t>רפי גלס:</w:t>
      </w:r>
    </w:p>
    <w:p w:rsidR="00000000" w:rsidRDefault="002276D9">
      <w:pPr>
        <w:rPr>
          <w:rFonts w:cs="David"/>
          <w:sz w:val="24"/>
          <w:rtl/>
        </w:rPr>
      </w:pPr>
    </w:p>
    <w:p w:rsidR="00000000" w:rsidRDefault="002276D9">
      <w:pPr>
        <w:rPr>
          <w:rFonts w:cs="David"/>
          <w:sz w:val="24"/>
          <w:rtl/>
        </w:rPr>
      </w:pPr>
      <w:r>
        <w:rPr>
          <w:rFonts w:cs="David"/>
          <w:sz w:val="24"/>
          <w:rtl/>
        </w:rPr>
        <w:tab/>
        <w:t>אדוני היושב-ראש, ב-1.7.27 תקופת השלטון הבריטי, שלטון זר, השלטון הזר דאג ליישוב בציון יותר מאשר הממשלה שלנו דואגת לעם. מורי הדרך בישראל הם הסי</w:t>
      </w:r>
      <w:r>
        <w:rPr>
          <w:rFonts w:cs="David"/>
          <w:sz w:val="24"/>
          <w:rtl/>
        </w:rPr>
        <w:t>ירת של ההסברה הישראלית. עם כל הכבוד לשגרירים, הוא נמצא עם אורחים בחו"ל שעה-שעתיים. מורה דרך נמצא עם הקבוצה 24 שעות.</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מדריך יכול לקבל רישוי, ואחר כך להדריך באיזו צורה שהוא רוצה ולהגיד מה שהוא רוצה. לא ישללו לו את הרשיון בשל כך. </w:t>
      </w:r>
    </w:p>
    <w:p w:rsidR="00000000" w:rsidRDefault="002276D9">
      <w:pPr>
        <w:rPr>
          <w:rFonts w:cs="David"/>
          <w:sz w:val="24"/>
          <w:rtl/>
        </w:rPr>
      </w:pPr>
    </w:p>
    <w:p w:rsidR="00000000" w:rsidRDefault="002276D9">
      <w:pPr>
        <w:rPr>
          <w:rFonts w:cs="David"/>
          <w:sz w:val="24"/>
          <w:rtl/>
        </w:rPr>
      </w:pPr>
      <w:r>
        <w:rPr>
          <w:rFonts w:cs="David"/>
          <w:sz w:val="24"/>
          <w:u w:val="single"/>
          <w:rtl/>
        </w:rPr>
        <w:t>רפי גל</w:t>
      </w:r>
      <w:r>
        <w:rPr>
          <w:rFonts w:cs="David"/>
          <w:sz w:val="24"/>
          <w:u w:val="single"/>
          <w:rtl/>
        </w:rPr>
        <w:t>ס:</w:t>
      </w:r>
    </w:p>
    <w:p w:rsidR="00000000" w:rsidRDefault="002276D9">
      <w:pPr>
        <w:rPr>
          <w:rFonts w:cs="David"/>
          <w:sz w:val="24"/>
          <w:rtl/>
        </w:rPr>
      </w:pPr>
    </w:p>
    <w:p w:rsidR="00000000" w:rsidRDefault="002276D9">
      <w:pPr>
        <w:rPr>
          <w:rFonts w:cs="David"/>
          <w:sz w:val="24"/>
          <w:rtl/>
        </w:rPr>
      </w:pPr>
      <w:r>
        <w:rPr>
          <w:rFonts w:cs="David"/>
          <w:sz w:val="24"/>
          <w:rtl/>
        </w:rPr>
        <w:tab/>
        <w:t xml:space="preserve">אני מדבר על דברים מהשטח. 95 אחוז ממורי הדרך הישראלים מדריכים בצורה אובייקטיבית ואמיתית, בצמוד להיסטוריה. כאשר בא אדם זר מחו"ל - אני מדבר על מורים רוחניים, רב, אימאם, כומר - יש לו שביל מאוד צר להעביר את החומר שהוא רוצה להעביר לאנשים שלו. אנחנו כמדינה, </w:t>
      </w:r>
      <w:r>
        <w:rPr>
          <w:rFonts w:cs="David"/>
          <w:sz w:val="24"/>
          <w:rtl/>
        </w:rPr>
        <w:t xml:space="preserve">כעם, חייבים להעביר לתיירים את המורשת המינימלית של הארץ הזאת. שמענו עדויות שביד ושם אומרים שהשואה שהיהודים עברו היא כעונש להתנהגות כלפי ישו. במצדה אמרו שהצורה שהרומאים התנהגו במאה הראשונה אחרי הספירה כלפי היהודים, כך היום הישראלים מתהגים כלפי הפלסטינים. יש </w:t>
      </w:r>
      <w:r>
        <w:rPr>
          <w:rFonts w:cs="David"/>
          <w:sz w:val="24"/>
          <w:rtl/>
        </w:rPr>
        <w:t>כאן מסך גדול שמבליט את השלילי על פני האמת.</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סיכמנו - 3,000 שקל קנס. דרך אגב, אני לא מבין איך אתם יכולים להגן. נניח שבאה קבוצה מחו"ל ואחד מאנשי הקבוצה אומר את כל הדברים שציינת - אפשר להטיל עליו קנס?</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 xml:space="preserve">אם הוא עובד ללא רשיון, </w:t>
      </w:r>
      <w:r>
        <w:rPr>
          <w:rFonts w:cs="David"/>
          <w:sz w:val="24"/>
          <w:rtl/>
        </w:rPr>
        <w:t xml:space="preserve">אפשר. </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אם באה קבוצת  צליינים שבראשם עומד הכומר.</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 xml:space="preserve">על כומר אי אפשר להטיל קנס, לצערנו. </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נניח שמשפחה מורחבת החליטה לחגוג יובל 50 - - </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אם ההדרכה היא ללא תמורה, זה לא מורה דרך. אם אתה מדבר על</w:t>
      </w:r>
      <w:r>
        <w:rPr>
          <w:rFonts w:cs="David"/>
          <w:sz w:val="24"/>
          <w:rtl/>
        </w:rPr>
        <w:t xml:space="preserve"> משפחה, זאת הדרכה ללא תמורה.</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ואם אדם מקבל תמורה בעבור ארגון המשלחת, והוא רק מסביר להם כאן. הוא לא אומר שהוא מורה דרך. </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אלה דקויות. מדובר על מורה דרך ששוכרים את שירותיו ונותנים לו כסף.</w:t>
      </w:r>
    </w:p>
    <w:p w:rsidR="00000000" w:rsidRDefault="002276D9">
      <w:pPr>
        <w:rPr>
          <w:rFonts w:cs="David"/>
          <w:sz w:val="24"/>
          <w:rtl/>
        </w:rPr>
      </w:pPr>
    </w:p>
    <w:p w:rsidR="00000000" w:rsidRDefault="002276D9">
      <w:pPr>
        <w:rPr>
          <w:rFonts w:cs="David"/>
          <w:sz w:val="24"/>
          <w:rtl/>
        </w:rPr>
      </w:pPr>
      <w:r>
        <w:rPr>
          <w:rFonts w:cs="David"/>
          <w:sz w:val="24"/>
          <w:u w:val="single"/>
          <w:rtl/>
        </w:rPr>
        <w:t>היו"ר מיכאל איתן:</w:t>
      </w:r>
    </w:p>
    <w:p w:rsidR="00000000" w:rsidRDefault="002276D9">
      <w:pPr>
        <w:rPr>
          <w:rFonts w:cs="David"/>
          <w:sz w:val="24"/>
          <w:rtl/>
        </w:rPr>
      </w:pPr>
    </w:p>
    <w:p w:rsidR="00000000" w:rsidRDefault="002276D9">
      <w:pPr>
        <w:rPr>
          <w:rFonts w:cs="David"/>
          <w:sz w:val="24"/>
          <w:rtl/>
        </w:rPr>
      </w:pPr>
      <w:r>
        <w:rPr>
          <w:rFonts w:cs="David"/>
          <w:sz w:val="24"/>
          <w:rtl/>
        </w:rPr>
        <w:tab/>
        <w:t xml:space="preserve"> זה לא יפתור את</w:t>
      </w:r>
      <w:r>
        <w:rPr>
          <w:rFonts w:cs="David"/>
          <w:sz w:val="24"/>
          <w:rtl/>
        </w:rPr>
        <w:t xml:space="preserve"> הבעיות של קבוצות שמישהו מדריך אותן באופן וולונטרי כחלק מהעסקה.</w:t>
      </w:r>
    </w:p>
    <w:p w:rsidR="00000000" w:rsidRDefault="002276D9">
      <w:pPr>
        <w:rPr>
          <w:rFonts w:cs="David"/>
          <w:sz w:val="24"/>
          <w:rtl/>
        </w:rPr>
      </w:pPr>
    </w:p>
    <w:p w:rsidR="00000000" w:rsidRDefault="002276D9">
      <w:pPr>
        <w:rPr>
          <w:rFonts w:cs="David"/>
          <w:sz w:val="24"/>
          <w:rtl/>
        </w:rPr>
      </w:pPr>
      <w:r>
        <w:rPr>
          <w:rFonts w:cs="David"/>
          <w:sz w:val="24"/>
          <w:u w:val="single"/>
          <w:rtl/>
        </w:rPr>
        <w:t>יפעת רווה:</w:t>
      </w:r>
    </w:p>
    <w:p w:rsidR="00000000" w:rsidRDefault="002276D9">
      <w:pPr>
        <w:rPr>
          <w:rFonts w:cs="David"/>
          <w:sz w:val="24"/>
          <w:rtl/>
        </w:rPr>
      </w:pPr>
    </w:p>
    <w:p w:rsidR="00000000" w:rsidRDefault="002276D9">
      <w:pPr>
        <w:rPr>
          <w:rFonts w:cs="David"/>
          <w:sz w:val="24"/>
          <w:rtl/>
        </w:rPr>
      </w:pPr>
      <w:r>
        <w:rPr>
          <w:rFonts w:cs="David"/>
          <w:sz w:val="24"/>
          <w:rtl/>
        </w:rPr>
        <w:tab/>
        <w:t>זה לא מה שרצינו. אנחנו לא רוצים למנוע מאנשים לדבר במדינה חופשית.</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 xml:space="preserve">התקנות האלה לא יעצרו את האמירות השליליות, בלילה במלון ממילא המדריך  יאמר מה שהוא רוצה. אנחנו רוצים </w:t>
      </w:r>
      <w:r>
        <w:rPr>
          <w:rFonts w:cs="David"/>
          <w:sz w:val="24"/>
          <w:rtl/>
        </w:rPr>
        <w:t xml:space="preserve">שיהיה לתיירים גם הפן המקצועי האמיתי. </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תקנה 3: "הקנס המנהלי הקצוב לעבירה מנהלית נמשכת יהיה בשיעור החלק העשירי של הקנס הקבוע בתקנה 2". זה בסדר. </w:t>
      </w:r>
    </w:p>
    <w:p w:rsidR="00000000" w:rsidRDefault="002276D9">
      <w:pPr>
        <w:rPr>
          <w:rFonts w:cs="David"/>
          <w:sz w:val="24"/>
          <w:rtl/>
        </w:rPr>
      </w:pPr>
    </w:p>
    <w:p w:rsidR="00000000" w:rsidRDefault="002276D9">
      <w:pPr>
        <w:ind w:firstLine="567"/>
        <w:rPr>
          <w:rFonts w:cs="David"/>
          <w:sz w:val="24"/>
          <w:rtl/>
        </w:rPr>
      </w:pPr>
      <w:r>
        <w:rPr>
          <w:rFonts w:cs="David"/>
          <w:sz w:val="24"/>
          <w:rtl/>
        </w:rPr>
        <w:t>תקנה 4: "הקנס המנהלי לעבירה מנהלית חוזרת ... יהיה כפל הקנס האמור בתקנה 2". גם כאן אין בעיה</w:t>
      </w:r>
      <w:r>
        <w:rPr>
          <w:rFonts w:cs="David"/>
          <w:sz w:val="24"/>
          <w:rtl/>
        </w:rPr>
        <w:t xml:space="preserve">. </w:t>
      </w:r>
    </w:p>
    <w:p w:rsidR="00000000" w:rsidRDefault="002276D9">
      <w:pPr>
        <w:rPr>
          <w:rFonts w:cs="David"/>
          <w:sz w:val="24"/>
          <w:rtl/>
        </w:rPr>
      </w:pPr>
    </w:p>
    <w:p w:rsidR="00000000" w:rsidRDefault="002276D9">
      <w:pPr>
        <w:rPr>
          <w:rFonts w:cs="David"/>
          <w:sz w:val="24"/>
          <w:rtl/>
        </w:rPr>
      </w:pPr>
      <w:r>
        <w:rPr>
          <w:rFonts w:cs="David"/>
          <w:sz w:val="24"/>
          <w:rtl/>
        </w:rPr>
        <w:tab/>
        <w:t>מתי קוראים לעבירה עבירה חוזרת ומתי היא עבירה נמשכת?</w:t>
      </w:r>
    </w:p>
    <w:p w:rsidR="00000000" w:rsidRDefault="002276D9">
      <w:pPr>
        <w:rPr>
          <w:rFonts w:cs="David"/>
          <w:sz w:val="24"/>
          <w:rtl/>
        </w:rPr>
      </w:pPr>
    </w:p>
    <w:p w:rsidR="00000000" w:rsidRDefault="002276D9">
      <w:pPr>
        <w:rPr>
          <w:rFonts w:cs="David"/>
          <w:sz w:val="24"/>
          <w:rtl/>
        </w:rPr>
      </w:pPr>
      <w:r>
        <w:rPr>
          <w:rFonts w:cs="David"/>
          <w:sz w:val="24"/>
          <w:u w:val="single"/>
          <w:rtl/>
        </w:rPr>
        <w:t>יפעת רווה:</w:t>
      </w:r>
    </w:p>
    <w:p w:rsidR="00000000" w:rsidRDefault="002276D9">
      <w:pPr>
        <w:rPr>
          <w:rFonts w:cs="David"/>
          <w:sz w:val="24"/>
          <w:rtl/>
        </w:rPr>
      </w:pPr>
    </w:p>
    <w:p w:rsidR="00000000" w:rsidRDefault="002276D9">
      <w:pPr>
        <w:rPr>
          <w:rFonts w:cs="David"/>
          <w:sz w:val="24"/>
          <w:rtl/>
        </w:rPr>
      </w:pPr>
      <w:r>
        <w:rPr>
          <w:rFonts w:cs="David"/>
          <w:sz w:val="24"/>
          <w:rtl/>
        </w:rPr>
        <w:tab/>
        <w:t xml:space="preserve">עבירה חוזרת - זה כאשר זאת עבירה נוספת, עבירה שהיא חד-פעמית. למשל, אני נותנת לך חוברת מטעה, ומחר אני נותנת לך חוברת אחרת מטעה. אלה שתי עבירות שונות. לעומת זאת, עבירה נמשכת זה אותו מעשה. </w:t>
      </w:r>
      <w:r>
        <w:rPr>
          <w:rFonts w:cs="David"/>
          <w:sz w:val="24"/>
          <w:rtl/>
        </w:rPr>
        <w:t>למשל, יש לי חובה לדווח, ואני לא מדווחת היום ומחר המשכתי לא לדווח. כלומר, זה אותו מעשה.</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תקנה 5 מדברת על ביטול צווים קודמים. זה בסדר. גם תקנה 6, סעיף התחילה - זה בסדר.</w:t>
      </w:r>
    </w:p>
    <w:p w:rsidR="00000000" w:rsidRDefault="002276D9">
      <w:pPr>
        <w:rPr>
          <w:rFonts w:cs="David"/>
          <w:sz w:val="24"/>
          <w:rtl/>
        </w:rPr>
      </w:pPr>
    </w:p>
    <w:p w:rsidR="00000000" w:rsidRDefault="002276D9">
      <w:pPr>
        <w:rPr>
          <w:rFonts w:cs="David"/>
          <w:sz w:val="24"/>
          <w:u w:val="single"/>
          <w:rtl/>
        </w:rPr>
      </w:pPr>
      <w:r>
        <w:rPr>
          <w:rFonts w:cs="David"/>
          <w:sz w:val="24"/>
          <w:rtl/>
        </w:rPr>
        <w:br w:type="page"/>
      </w:r>
      <w:r>
        <w:rPr>
          <w:rFonts w:cs="David"/>
          <w:sz w:val="24"/>
          <w:u w:val="single"/>
          <w:rtl/>
        </w:rPr>
        <w:t>קרן ויינשל:</w:t>
      </w:r>
    </w:p>
    <w:p w:rsidR="00000000" w:rsidRDefault="002276D9">
      <w:pPr>
        <w:rPr>
          <w:rFonts w:cs="David"/>
          <w:sz w:val="24"/>
          <w:rtl/>
        </w:rPr>
      </w:pPr>
    </w:p>
    <w:p w:rsidR="00000000" w:rsidRDefault="002276D9">
      <w:pPr>
        <w:rPr>
          <w:rFonts w:cs="David"/>
          <w:sz w:val="24"/>
          <w:rtl/>
        </w:rPr>
      </w:pPr>
      <w:r>
        <w:rPr>
          <w:rFonts w:cs="David"/>
          <w:sz w:val="24"/>
          <w:rtl/>
        </w:rPr>
        <w:tab/>
        <w:t>אפשר לשבח את משרד המשפטים שהוסיף כאן טבלה של העבירות</w:t>
      </w:r>
      <w:r>
        <w:rPr>
          <w:rFonts w:cs="David"/>
          <w:sz w:val="24"/>
          <w:rtl/>
        </w:rPr>
        <w:t>, כדי שיהיה ברור. זה חידוש יפה.</w:t>
      </w:r>
    </w:p>
    <w:p w:rsidR="00000000" w:rsidRDefault="002276D9">
      <w:pPr>
        <w:rPr>
          <w:rFonts w:cs="David"/>
          <w:sz w:val="24"/>
          <w:rtl/>
        </w:rPr>
      </w:pPr>
    </w:p>
    <w:p w:rsidR="00000000" w:rsidRDefault="002276D9">
      <w:pPr>
        <w:rPr>
          <w:rFonts w:cs="David"/>
          <w:sz w:val="24"/>
          <w:rtl/>
        </w:rPr>
      </w:pPr>
      <w:r>
        <w:rPr>
          <w:rFonts w:cs="David"/>
          <w:sz w:val="24"/>
          <w:u w:val="single"/>
          <w:rtl/>
        </w:rPr>
        <w:t>היו"ר מיכאל איתן:</w:t>
      </w:r>
    </w:p>
    <w:p w:rsidR="00000000" w:rsidRDefault="002276D9">
      <w:pPr>
        <w:rPr>
          <w:rFonts w:cs="David"/>
          <w:sz w:val="24"/>
          <w:rtl/>
        </w:rPr>
      </w:pPr>
    </w:p>
    <w:p w:rsidR="00000000" w:rsidRDefault="002276D9">
      <w:pPr>
        <w:rPr>
          <w:rFonts w:cs="David"/>
          <w:sz w:val="24"/>
          <w:rtl/>
        </w:rPr>
      </w:pPr>
      <w:r>
        <w:rPr>
          <w:rFonts w:cs="David"/>
          <w:sz w:val="24"/>
          <w:rtl/>
        </w:rPr>
        <w:tab/>
        <w:t xml:space="preserve"> אני רואה כאן את פרטי המידע שחובה על סוכנות נסיעות לגלות. אחד הסעיפים הוא מספר הארוחות בכל יום. טוב שלא כתוב גם כמה מנות בכל ארוחה וכמה קלוריות.</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אני מבקשת להסביר את רוח הדברים. מדובר על הטי</w:t>
      </w:r>
      <w:r>
        <w:rPr>
          <w:rFonts w:cs="David"/>
          <w:sz w:val="24"/>
          <w:rtl/>
        </w:rPr>
        <w:t xml:space="preserve">ולים המאורגנים. בטיולים המאורגנים בדרך כלל נוסע סוג מסוים של קהל. אומרים לו שיש שלוש ארוחות ואחר כך הוא מגלה שיש רק ארוחת בוקר. </w:t>
      </w:r>
    </w:p>
    <w:p w:rsidR="00000000" w:rsidRDefault="002276D9">
      <w:pPr>
        <w:rPr>
          <w:rFonts w:cs="David"/>
          <w:sz w:val="24"/>
          <w:rtl/>
        </w:rPr>
      </w:pPr>
    </w:p>
    <w:p w:rsidR="00000000" w:rsidRDefault="002276D9">
      <w:pPr>
        <w:rPr>
          <w:rFonts w:cs="David"/>
          <w:sz w:val="24"/>
          <w:rtl/>
        </w:rPr>
      </w:pPr>
      <w:r>
        <w:rPr>
          <w:rFonts w:cs="David"/>
          <w:sz w:val="24"/>
          <w:u w:val="single"/>
          <w:rtl/>
        </w:rPr>
        <w:t>היו"ר מיכאל איתן:</w:t>
      </w:r>
    </w:p>
    <w:p w:rsidR="00000000" w:rsidRDefault="002276D9">
      <w:pPr>
        <w:rPr>
          <w:rFonts w:cs="David"/>
          <w:sz w:val="24"/>
          <w:rtl/>
        </w:rPr>
      </w:pPr>
    </w:p>
    <w:p w:rsidR="00000000" w:rsidRDefault="002276D9">
      <w:pPr>
        <w:rPr>
          <w:rFonts w:cs="David"/>
          <w:sz w:val="24"/>
          <w:rtl/>
        </w:rPr>
      </w:pPr>
      <w:r>
        <w:rPr>
          <w:rFonts w:cs="David"/>
          <w:sz w:val="24"/>
          <w:rtl/>
        </w:rPr>
        <w:tab/>
        <w:t xml:space="preserve"> שיגיש תביעה נזקית בבית דין לתביעות קטנות.</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 xml:space="preserve">חוקי הגנת הצרכן בהחלט מגינים על האזרחים, וזה חוק </w:t>
      </w:r>
      <w:r>
        <w:rPr>
          <w:rFonts w:cs="David"/>
          <w:sz w:val="24"/>
          <w:rtl/>
        </w:rPr>
        <w:t>הגנת הצרכן רק שהוא נמצא בפיקוח משרד התיירות. זה בהחלט יכול היה להיות פרק בחוק הגנת הצרכן. זה מועתק כמעט כלשונו מהדירקטיבות האירופאיות, זה קיים בכל העולם הנאור. זה התחיל בגרמניה עם גרמני שעמד במרפסת במלון בעיר קטנה בספרד, והמרפסת נפלה והוא נפצע. בית המשפט ב</w:t>
      </w:r>
      <w:r>
        <w:rPr>
          <w:rFonts w:cs="David"/>
          <w:sz w:val="24"/>
          <w:rtl/>
        </w:rPr>
        <w:t>גרמניה קבע שהאזרח הגרמני לא צריך לתבוע את המלון בספרד, אלא יש חובה אבסולוטית של סוכן הנסיעות לדעת הכל. הוא ממש כאילו מגן על האזרח הקטן הגרמני.</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אני לא מאמין שזה כך. לא יכול להיות שיש חובה אבסולוטית של סוכן לגבי מידע. הוא צריך להיות נבי</w:t>
      </w:r>
      <w:r>
        <w:rPr>
          <w:rFonts w:cs="David"/>
          <w:sz w:val="24"/>
          <w:rtl/>
        </w:rPr>
        <w:t>א ולדעת שהמרפסת תיפול ביום מסוים?</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הוא צריך לברר הרבה דברים.</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אני מתאר לעצמי שזה היה מלון ישן מט ליפול ומכרו אותו לאזרח בתור מלון תקין. אז נפלה מרפסת ואמרו שהסוכן אשם. </w:t>
      </w:r>
    </w:p>
    <w:p w:rsidR="00000000" w:rsidRDefault="002276D9">
      <w:pPr>
        <w:rPr>
          <w:rFonts w:cs="David"/>
          <w:sz w:val="24"/>
          <w:rtl/>
        </w:rPr>
      </w:pPr>
    </w:p>
    <w:p w:rsidR="00000000" w:rsidRDefault="002276D9">
      <w:pPr>
        <w:rPr>
          <w:rFonts w:cs="David"/>
          <w:sz w:val="24"/>
          <w:rtl/>
        </w:rPr>
      </w:pPr>
      <w:r>
        <w:rPr>
          <w:rFonts w:cs="David"/>
          <w:sz w:val="24"/>
          <w:u w:val="single"/>
          <w:rtl/>
        </w:rPr>
        <w:t>מירי חושן:</w:t>
      </w:r>
    </w:p>
    <w:p w:rsidR="00000000" w:rsidRDefault="002276D9">
      <w:pPr>
        <w:rPr>
          <w:rFonts w:cs="David"/>
          <w:sz w:val="24"/>
          <w:rtl/>
        </w:rPr>
      </w:pPr>
    </w:p>
    <w:p w:rsidR="00000000" w:rsidRDefault="002276D9">
      <w:pPr>
        <w:rPr>
          <w:rFonts w:cs="David"/>
          <w:sz w:val="24"/>
          <w:rtl/>
        </w:rPr>
      </w:pPr>
      <w:r>
        <w:rPr>
          <w:rFonts w:cs="David"/>
          <w:sz w:val="24"/>
          <w:rtl/>
        </w:rPr>
        <w:tab/>
        <w:t>לזה הכוונה כשאומרים גילוי נאות, זה לא ש</w:t>
      </w:r>
      <w:r>
        <w:rPr>
          <w:rFonts w:cs="David"/>
          <w:sz w:val="24"/>
          <w:rtl/>
        </w:rPr>
        <w:t>ייך לדיני נזיקין. כאשר היו שטפונות בפראג, בחורה מישראל הזמינה מלון הילטון בפראג. ראינו תמונות של הילטון צף, ובאותו בוקר הסוכן מכר לה את החדר. זה חוסר גילוי נאות. יש דברים שהסוכן צריך להגיד ללקוח. זה לא שייך לדיני נזיקין, זה פלילי.</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ובכ</w:t>
      </w:r>
      <w:r>
        <w:rPr>
          <w:rFonts w:cs="David"/>
          <w:sz w:val="24"/>
          <w:rtl/>
        </w:rPr>
        <w:t xml:space="preserve">ן, צריך לאשר כאן תקנות של עבירות מינהליות - במקום שיגישו משפטים, שיהיו ברירות קנס. יהיו קנסות על כל מיני דברים שקשורים בתיירות, דברים טכניים שמהווים גם היום עבירה. </w:t>
      </w:r>
    </w:p>
    <w:p w:rsidR="00000000" w:rsidRDefault="002276D9">
      <w:pPr>
        <w:rPr>
          <w:rFonts w:cs="David"/>
          <w:sz w:val="24"/>
          <w:rtl/>
        </w:rPr>
      </w:pPr>
    </w:p>
    <w:p w:rsidR="00000000" w:rsidRDefault="002276D9">
      <w:pPr>
        <w:rPr>
          <w:rFonts w:cs="David"/>
          <w:sz w:val="24"/>
          <w:rtl/>
        </w:rPr>
      </w:pPr>
      <w:r>
        <w:rPr>
          <w:rFonts w:cs="David"/>
          <w:sz w:val="24"/>
          <w:u w:val="single"/>
          <w:rtl/>
        </w:rPr>
        <w:t>יפעת רווה:</w:t>
      </w:r>
    </w:p>
    <w:p w:rsidR="00000000" w:rsidRDefault="002276D9">
      <w:pPr>
        <w:rPr>
          <w:rFonts w:cs="David"/>
          <w:sz w:val="24"/>
          <w:rtl/>
        </w:rPr>
      </w:pPr>
    </w:p>
    <w:p w:rsidR="00000000" w:rsidRDefault="002276D9">
      <w:pPr>
        <w:rPr>
          <w:rFonts w:cs="David"/>
          <w:sz w:val="24"/>
          <w:rtl/>
        </w:rPr>
      </w:pPr>
      <w:r>
        <w:rPr>
          <w:rFonts w:cs="David"/>
          <w:sz w:val="24"/>
          <w:rtl/>
        </w:rPr>
        <w:tab/>
        <w:t>כן, גם היום הכל עבירות, רק הופכים את זה לברירות קנס. היום חלק מהעבירות הן עבי</w:t>
      </w:r>
      <w:r>
        <w:rPr>
          <w:rFonts w:cs="David"/>
          <w:sz w:val="24"/>
          <w:rtl/>
        </w:rPr>
        <w:t xml:space="preserve">רות אזרחיות עם עיצומים כספיים, עם קנסות מוטרפים - 12,000 שקל או 67,000 שקל - שלא אוכפים אותם. </w:t>
      </w:r>
    </w:p>
    <w:p w:rsidR="00000000" w:rsidRDefault="002276D9">
      <w:pPr>
        <w:rPr>
          <w:rFonts w:cs="David"/>
          <w:sz w:val="24"/>
          <w:rtl/>
        </w:rPr>
      </w:pPr>
    </w:p>
    <w:p w:rsidR="00000000" w:rsidRDefault="002276D9">
      <w:pPr>
        <w:rPr>
          <w:rFonts w:cs="David"/>
          <w:sz w:val="24"/>
          <w:rtl/>
        </w:rPr>
      </w:pPr>
      <w:r>
        <w:rPr>
          <w:rFonts w:cs="David"/>
          <w:sz w:val="24"/>
          <w:u w:val="single"/>
          <w:rtl/>
        </w:rPr>
        <w:t>קרן ויינשל:</w:t>
      </w:r>
    </w:p>
    <w:p w:rsidR="00000000" w:rsidRDefault="002276D9">
      <w:pPr>
        <w:rPr>
          <w:rFonts w:cs="David"/>
          <w:sz w:val="24"/>
          <w:rtl/>
        </w:rPr>
      </w:pPr>
    </w:p>
    <w:p w:rsidR="00000000" w:rsidRDefault="002276D9">
      <w:pPr>
        <w:rPr>
          <w:rFonts w:cs="David"/>
          <w:sz w:val="24"/>
          <w:rtl/>
        </w:rPr>
      </w:pPr>
      <w:r>
        <w:rPr>
          <w:rFonts w:cs="David"/>
          <w:sz w:val="24"/>
          <w:rtl/>
        </w:rPr>
        <w:tab/>
        <w:t xml:space="preserve">מבחינתי מה שכתוב כאן זה בסדר. אני הערתי את כל הערותיי לפני הנוסח הסופי. </w:t>
      </w:r>
    </w:p>
    <w:p w:rsidR="00000000" w:rsidRDefault="002276D9">
      <w:pPr>
        <w:rPr>
          <w:rFonts w:cs="David"/>
          <w:sz w:val="24"/>
          <w:rtl/>
        </w:rPr>
      </w:pPr>
    </w:p>
    <w:p w:rsidR="00000000" w:rsidRDefault="002276D9">
      <w:pPr>
        <w:rPr>
          <w:rFonts w:cs="David"/>
          <w:sz w:val="24"/>
          <w:rtl/>
        </w:rPr>
      </w:pPr>
      <w:r>
        <w:rPr>
          <w:rFonts w:cs="David"/>
          <w:sz w:val="24"/>
          <w:u w:val="single"/>
          <w:rtl/>
        </w:rPr>
        <w:t>היו"ר מיכאל איתן:</w:t>
      </w:r>
    </w:p>
    <w:p w:rsidR="00000000" w:rsidRDefault="002276D9">
      <w:pPr>
        <w:rPr>
          <w:rFonts w:cs="David"/>
          <w:sz w:val="24"/>
          <w:rtl/>
        </w:rPr>
      </w:pPr>
    </w:p>
    <w:p w:rsidR="00000000" w:rsidRDefault="002276D9">
      <w:pPr>
        <w:rPr>
          <w:rFonts w:cs="David"/>
          <w:sz w:val="24"/>
          <w:rtl/>
        </w:rPr>
      </w:pPr>
      <w:r>
        <w:rPr>
          <w:rFonts w:cs="David"/>
          <w:sz w:val="24"/>
          <w:rtl/>
        </w:rPr>
        <w:tab/>
        <w:t xml:space="preserve"> מי בעד לאשר את התקנות?</w:t>
      </w:r>
    </w:p>
    <w:p w:rsidR="00000000" w:rsidRDefault="002276D9">
      <w:pPr>
        <w:rPr>
          <w:rFonts w:cs="David"/>
          <w:sz w:val="24"/>
          <w:rtl/>
        </w:rPr>
      </w:pPr>
    </w:p>
    <w:p w:rsidR="00000000" w:rsidRDefault="002276D9">
      <w:pPr>
        <w:pStyle w:val="9"/>
        <w:rPr>
          <w:rFonts w:cs="David"/>
          <w:sz w:val="24"/>
          <w:rtl/>
        </w:rPr>
      </w:pPr>
      <w:r>
        <w:rPr>
          <w:rFonts w:cs="David"/>
          <w:sz w:val="24"/>
          <w:rtl/>
        </w:rPr>
        <w:t>הצבעה</w:t>
      </w:r>
    </w:p>
    <w:p w:rsidR="00000000" w:rsidRDefault="002276D9">
      <w:pPr>
        <w:jc w:val="center"/>
        <w:rPr>
          <w:rFonts w:cs="David"/>
          <w:sz w:val="24"/>
          <w:rtl/>
        </w:rPr>
      </w:pPr>
      <w:r>
        <w:rPr>
          <w:rFonts w:cs="David"/>
          <w:sz w:val="24"/>
          <w:rtl/>
        </w:rPr>
        <w:t>בעד - 2</w:t>
      </w:r>
    </w:p>
    <w:p w:rsidR="00000000" w:rsidRDefault="002276D9">
      <w:pPr>
        <w:jc w:val="center"/>
        <w:rPr>
          <w:rFonts w:cs="David"/>
          <w:sz w:val="24"/>
          <w:rtl/>
        </w:rPr>
      </w:pPr>
      <w:r>
        <w:rPr>
          <w:rFonts w:cs="David"/>
          <w:sz w:val="24"/>
          <w:rtl/>
        </w:rPr>
        <w:t>נגד - אין</w:t>
      </w:r>
    </w:p>
    <w:p w:rsidR="00000000" w:rsidRDefault="002276D9">
      <w:pPr>
        <w:jc w:val="center"/>
        <w:rPr>
          <w:rFonts w:cs="David"/>
          <w:sz w:val="24"/>
          <w:rtl/>
        </w:rPr>
      </w:pPr>
      <w:r>
        <w:rPr>
          <w:rFonts w:cs="David"/>
          <w:sz w:val="24"/>
          <w:rtl/>
        </w:rPr>
        <w:t>תקנ</w:t>
      </w:r>
      <w:r>
        <w:rPr>
          <w:rFonts w:cs="David"/>
          <w:sz w:val="24"/>
          <w:rtl/>
        </w:rPr>
        <w:t>ות העבירות המנהליות (קנס מנהלי - חיקוקי תיירות), התשס"ד-2004, נתקבלו.</w:t>
      </w:r>
    </w:p>
    <w:p w:rsidR="00000000" w:rsidRDefault="002276D9">
      <w:pPr>
        <w:rPr>
          <w:rFonts w:cs="David"/>
          <w:sz w:val="24"/>
          <w:rtl/>
        </w:rPr>
      </w:pPr>
    </w:p>
    <w:p w:rsidR="00000000" w:rsidRDefault="002276D9">
      <w:pPr>
        <w:rPr>
          <w:rFonts w:cs="David"/>
          <w:sz w:val="24"/>
          <w:u w:val="single"/>
          <w:rtl/>
        </w:rPr>
      </w:pPr>
      <w:r>
        <w:rPr>
          <w:rFonts w:cs="David"/>
          <w:sz w:val="24"/>
          <w:u w:val="single"/>
          <w:rtl/>
        </w:rPr>
        <w:t>היו"ר מיכאל איתן:</w:t>
      </w:r>
    </w:p>
    <w:p w:rsidR="00000000" w:rsidRDefault="002276D9">
      <w:pPr>
        <w:rPr>
          <w:rFonts w:cs="David"/>
          <w:sz w:val="24"/>
          <w:u w:val="single"/>
          <w:rtl/>
        </w:rPr>
      </w:pPr>
    </w:p>
    <w:p w:rsidR="00000000" w:rsidRDefault="002276D9">
      <w:pPr>
        <w:rPr>
          <w:rFonts w:cs="David"/>
          <w:sz w:val="24"/>
          <w:rtl/>
        </w:rPr>
      </w:pPr>
      <w:r>
        <w:rPr>
          <w:rFonts w:cs="David"/>
          <w:sz w:val="24"/>
          <w:rtl/>
        </w:rPr>
        <w:tab/>
        <w:t xml:space="preserve"> אנחנו מאשרים את התקנות בנוסח שלפנינו. תודה רבה. </w:t>
      </w:r>
    </w:p>
    <w:p w:rsidR="00000000" w:rsidRDefault="002276D9">
      <w:pPr>
        <w:rPr>
          <w:rFonts w:cs="David"/>
          <w:sz w:val="24"/>
          <w:rtl/>
        </w:rPr>
      </w:pPr>
    </w:p>
    <w:p w:rsidR="00000000" w:rsidRDefault="002276D9">
      <w:pPr>
        <w:rPr>
          <w:rFonts w:cs="David"/>
          <w:sz w:val="24"/>
          <w:u w:val="single"/>
          <w:rtl/>
        </w:rPr>
      </w:pPr>
    </w:p>
    <w:p w:rsidR="00000000" w:rsidRDefault="002276D9">
      <w:pPr>
        <w:rPr>
          <w:rFonts w:cs="David"/>
          <w:sz w:val="24"/>
          <w:u w:val="single"/>
          <w:rtl/>
        </w:rPr>
      </w:pPr>
      <w:r>
        <w:rPr>
          <w:rFonts w:cs="David"/>
          <w:sz w:val="24"/>
          <w:u w:val="single"/>
          <w:rtl/>
        </w:rPr>
        <w:t>הישיבה ננעלה בשעה 9:30.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76D9">
      <w:r>
        <w:separator/>
      </w:r>
    </w:p>
  </w:endnote>
  <w:endnote w:type="continuationSeparator" w:id="0">
    <w:p w:rsidR="00000000" w:rsidRDefault="00227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76D9">
      <w:r>
        <w:separator/>
      </w:r>
    </w:p>
  </w:footnote>
  <w:footnote w:type="continuationSeparator" w:id="0">
    <w:p w:rsidR="00000000" w:rsidRDefault="00227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76D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276D9">
    <w:pPr>
      <w:pStyle w:val="a3"/>
      <w:ind w:right="360"/>
      <w:rPr>
        <w:rFonts w:cs="David"/>
        <w:sz w:val="24"/>
        <w:rtl/>
      </w:rPr>
    </w:pPr>
    <w:r>
      <w:rPr>
        <w:rFonts w:cs="David"/>
        <w:sz w:val="24"/>
        <w:rtl/>
      </w:rPr>
      <w:t>ועדת החוקה, חוק ומשפט</w:t>
    </w:r>
  </w:p>
  <w:p w:rsidR="00000000" w:rsidRDefault="002276D9">
    <w:pPr>
      <w:pStyle w:val="a3"/>
      <w:ind w:right="360"/>
      <w:rPr>
        <w:rStyle w:val="a7"/>
        <w:rFonts w:cs="David"/>
        <w:sz w:val="24"/>
        <w:rtl/>
      </w:rPr>
    </w:pPr>
    <w:r>
      <w:rPr>
        <w:rFonts w:cs="David"/>
        <w:sz w:val="24"/>
        <w:rtl/>
      </w:rPr>
      <w:t>27.10.2004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76D9"/>
    <w:rsid w:val="00227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E99E4DE-D629-4872-B517-F79DAAF3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EF6F02-9489-4C61-927C-1B88DADB8FEC}"/>
</file>

<file path=customXml/itemProps2.xml><?xml version="1.0" encoding="utf-8"?>
<ds:datastoreItem xmlns:ds="http://schemas.openxmlformats.org/officeDocument/2006/customXml" ds:itemID="{332484A7-7B0C-4E6C-8881-11E78B219C15}"/>
</file>

<file path=customXml/itemProps3.xml><?xml version="1.0" encoding="utf-8"?>
<ds:datastoreItem xmlns:ds="http://schemas.openxmlformats.org/officeDocument/2006/customXml" ds:itemID="{9B752A77-5CB3-4E62-86A2-4A5986736D9C}"/>
</file>

<file path=docProps/app.xml><?xml version="1.0" encoding="utf-8"?>
<Properties xmlns="http://schemas.openxmlformats.org/officeDocument/2006/extended-properties" xmlns:vt="http://schemas.openxmlformats.org/officeDocument/2006/docPropsVTypes">
  <Template>Normal.dotm</Template>
  <TotalTime>0</TotalTime>
  <Pages>3</Pages>
  <Words>1251</Words>
  <Characters>6257</Characters>
  <Application>Microsoft Office Word</Application>
  <DocSecurity>4</DocSecurity>
  <Lines>52</Lines>
  <Paragraphs>14</Paragraphs>
  <ScaleCrop>false</ScaleCrop>
  <Company>כנסת</Company>
  <LinksUpToDate>false</LinksUpToDate>
  <CharactersWithSpaces>7494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העבירות המנהליות (קנס מנהלי - חיקוקי תיירות)</dc:title>
  <dc:subject/>
  <dc:creator>תמר שפנייר</dc:creator>
  <cp:keywords/>
  <dc:description/>
  <cp:lastModifiedBy>שמואל כוכב</cp:lastModifiedBy>
  <cp:revision>2</cp:revision>
  <cp:lastPrinted>1999-07-13T09:50:00Z</cp:lastPrinted>
  <dcterms:created xsi:type="dcterms:W3CDTF">2018-06-19T14:30:00Z</dcterms:created>
  <dcterms:modified xsi:type="dcterms:W3CDTF">2018-06-19T14:30:00Z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1350340157</vt:i4>
  </property>
  <property fmtid="{D5CDD505-2E9C-101B-9397-08002B2CF9AE}" pid="3" name="_EmailSubject">
    <vt:lpwstr>ועדות חוקה - 27.10</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i4>313</vt:i4>
  </property>
  <property fmtid="{D5CDD505-2E9C-101B-9397-08002B2CF9AE}" pid="9" name="Nose">
    <vt:lpwstr>':מחלקת הפרוטוקולים:ועדת חוקה'_x000d__x000d_</vt:lpwstr>
  </property>
  <property fmtid="{D5CDD505-2E9C-101B-9397-08002B2CF9AE}" pid="10" name="TaarichYeshiva">
    <vt:filetime>2004-10-25T21:00:00Z</vt:filetime>
  </property>
  <property fmtid="{D5CDD505-2E9C-101B-9397-08002B2CF9AE}" pid="11" name="סימוכין">
    <vt:i4>3319704</vt:i4>
  </property>
  <property fmtid="{D5CDD505-2E9C-101B-9397-08002B2CF9AE}" pid="12" name="שעת ישיבה">
    <vt:lpwstr>9:00</vt:lpwstr>
  </property>
  <property fmtid="{D5CDD505-2E9C-101B-9397-08002B2CF9AE}" pid="13" name="תאריך המסמך">
    <vt:filetime>2004-10-30T21:00:00Z</vt:filetime>
  </property>
  <property fmtid="{D5CDD505-2E9C-101B-9397-08002B2CF9AE}" pid="14" name="Int_ModifyDate">
    <vt:lpwstr>01/11/2004</vt:lpwstr>
  </property>
  <property fmtid="{D5CDD505-2E9C-101B-9397-08002B2CF9AE}" pid="15" name="Int_Category">
    <vt:lpwstr>החוקה, חוק ומשפט</vt:lpwstr>
  </property>
  <property fmtid="{D5CDD505-2E9C-101B-9397-08002B2CF9AE}" pid="16" name="_ReviewingToolsShownOnce">
    <vt:lpwstr/>
  </property>
  <property fmtid="{D5CDD505-2E9C-101B-9397-08002B2CF9AE}" pid="17" name="ContentTypeId">
    <vt:lpwstr>0x010100B126DF0F8D0A5A4EB112ABD857421DAD</vt:lpwstr>
  </property>
  <property fmtid="{D5CDD505-2E9C-101B-9397-08002B2CF9AE}" pid="18" name="SanhedrinItemID">
    <vt:r8>77280</vt:r8>
  </property>
  <property fmtid="{D5CDD505-2E9C-101B-9397-08002B2CF9AE}" pid="19" name="SanhedrinDocumentType">
    <vt:r8>167</vt:r8>
  </property>
</Properties>
</file>