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22C6">
      <w:pPr>
        <w:jc w:val="right"/>
        <w:rPr>
          <w:rFonts w:cs="Miriam"/>
          <w:rtl/>
        </w:rPr>
      </w:pPr>
      <w:bookmarkStart w:id="0" w:name="_GoBack"/>
      <w:bookmarkEnd w:id="0"/>
    </w:p>
    <w:p w:rsidR="00000000" w:rsidRDefault="002C22C6">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2C22C6">
      <w:pPr>
        <w:pStyle w:val="10"/>
        <w:jc w:val="both"/>
        <w:rPr>
          <w:rFonts w:cs="David"/>
          <w:u w:val="none"/>
          <w:rtl/>
        </w:rPr>
      </w:pPr>
      <w:r>
        <w:rPr>
          <w:rFonts w:cs="David"/>
          <w:u w:val="none"/>
          <w:rtl/>
        </w:rPr>
        <w:t>מושב שני</w:t>
      </w:r>
    </w:p>
    <w:p w:rsidR="00000000" w:rsidRDefault="002C22C6">
      <w:pPr>
        <w:jc w:val="center"/>
        <w:rPr>
          <w:rFonts w:cs="David"/>
          <w:b/>
          <w:bCs/>
          <w:sz w:val="24"/>
          <w:szCs w:val="24"/>
          <w:rtl/>
        </w:rPr>
      </w:pPr>
    </w:p>
    <w:p w:rsidR="00000000" w:rsidRDefault="002C22C6">
      <w:pPr>
        <w:jc w:val="center"/>
        <w:rPr>
          <w:rFonts w:cs="David"/>
          <w:b/>
          <w:bCs/>
          <w:sz w:val="24"/>
          <w:szCs w:val="24"/>
          <w:rtl/>
        </w:rPr>
      </w:pPr>
    </w:p>
    <w:p w:rsidR="00000000" w:rsidRDefault="002C22C6">
      <w:pPr>
        <w:jc w:val="center"/>
        <w:rPr>
          <w:rFonts w:cs="David"/>
          <w:b/>
          <w:bCs/>
          <w:sz w:val="24"/>
          <w:szCs w:val="24"/>
          <w:rtl/>
        </w:rPr>
      </w:pPr>
    </w:p>
    <w:p w:rsidR="00000000" w:rsidRDefault="002C22C6">
      <w:pPr>
        <w:jc w:val="center"/>
        <w:rPr>
          <w:rFonts w:cs="David"/>
          <w:b/>
          <w:bCs/>
          <w:sz w:val="24"/>
          <w:szCs w:val="24"/>
          <w:rtl/>
        </w:rPr>
      </w:pPr>
      <w:r>
        <w:rPr>
          <w:rFonts w:cs="David"/>
          <w:b/>
          <w:bCs/>
          <w:sz w:val="24"/>
          <w:szCs w:val="24"/>
          <w:rtl/>
        </w:rPr>
        <w:t>פרוטוקול מס' 296</w:t>
      </w:r>
    </w:p>
    <w:p w:rsidR="00000000" w:rsidRDefault="002C22C6">
      <w:pPr>
        <w:jc w:val="center"/>
        <w:rPr>
          <w:rFonts w:cs="David"/>
          <w:b/>
          <w:bCs/>
          <w:sz w:val="24"/>
          <w:szCs w:val="24"/>
          <w:rtl/>
        </w:rPr>
      </w:pPr>
      <w:r>
        <w:rPr>
          <w:rFonts w:cs="David"/>
          <w:b/>
          <w:bCs/>
          <w:sz w:val="24"/>
          <w:szCs w:val="24"/>
          <w:rtl/>
        </w:rPr>
        <w:t>מישיבת ועדת החוקה</w:t>
      </w:r>
      <w:r>
        <w:rPr>
          <w:rFonts w:cs="David"/>
          <w:b/>
          <w:bCs/>
          <w:sz w:val="24"/>
          <w:szCs w:val="24"/>
          <w:rtl/>
        </w:rPr>
        <w:t>, חוק ומשפט</w:t>
      </w:r>
    </w:p>
    <w:p w:rsidR="00000000" w:rsidRDefault="002C22C6">
      <w:pPr>
        <w:jc w:val="center"/>
        <w:rPr>
          <w:rFonts w:cs="David"/>
          <w:b/>
          <w:bCs/>
          <w:sz w:val="24"/>
          <w:szCs w:val="24"/>
          <w:u w:val="single"/>
          <w:rtl/>
        </w:rPr>
      </w:pPr>
      <w:r>
        <w:rPr>
          <w:rFonts w:cs="David"/>
          <w:b/>
          <w:bCs/>
          <w:sz w:val="24"/>
          <w:szCs w:val="24"/>
          <w:u w:val="single"/>
          <w:rtl/>
        </w:rPr>
        <w:t>יום שני, י"ג באלול התשס"ד (30.8.2004) שעה 11:00</w:t>
      </w:r>
    </w:p>
    <w:p w:rsidR="00000000" w:rsidRDefault="002C22C6">
      <w:pPr>
        <w:jc w:val="center"/>
        <w:rPr>
          <w:rFonts w:cs="David"/>
          <w:b/>
          <w:bCs/>
          <w:sz w:val="24"/>
          <w:szCs w:val="24"/>
          <w:u w:val="single"/>
          <w:rtl/>
        </w:rPr>
      </w:pPr>
    </w:p>
    <w:p w:rsidR="00000000" w:rsidRDefault="002C22C6">
      <w:pPr>
        <w:jc w:val="center"/>
        <w:rPr>
          <w:rFonts w:cs="David"/>
          <w:b/>
          <w:bCs/>
          <w:sz w:val="24"/>
          <w:szCs w:val="24"/>
          <w:u w:val="single"/>
          <w:rtl/>
        </w:rPr>
      </w:pPr>
    </w:p>
    <w:p w:rsidR="00000000" w:rsidRDefault="002C22C6">
      <w:pPr>
        <w:pStyle w:val="aa"/>
        <w:jc w:val="center"/>
        <w:rPr>
          <w:rFonts w:cs="David"/>
          <w:bCs/>
          <w:sz w:val="24"/>
          <w:szCs w:val="24"/>
          <w:u w:val="single"/>
          <w:rtl/>
        </w:rPr>
      </w:pPr>
      <w:r>
        <w:rPr>
          <w:rFonts w:cs="David"/>
          <w:bCs/>
          <w:sz w:val="24"/>
          <w:szCs w:val="24"/>
          <w:u w:val="single"/>
          <w:rtl/>
        </w:rPr>
        <w:t>ס ד ר    ה י ו ם</w:t>
      </w:r>
    </w:p>
    <w:p w:rsidR="00000000" w:rsidRDefault="002C22C6">
      <w:pPr>
        <w:pStyle w:val="20"/>
        <w:jc w:val="center"/>
        <w:rPr>
          <w:rFonts w:cs="David"/>
          <w:b/>
          <w:bCs/>
          <w:rtl/>
        </w:rPr>
      </w:pPr>
    </w:p>
    <w:p w:rsidR="00000000" w:rsidRDefault="002C22C6">
      <w:pPr>
        <w:pStyle w:val="30"/>
        <w:ind w:left="0" w:right="0"/>
        <w:jc w:val="center"/>
        <w:rPr>
          <w:rFonts w:cs="David"/>
          <w:b/>
          <w:bCs/>
          <w:rtl/>
        </w:rPr>
      </w:pPr>
      <w:r>
        <w:rPr>
          <w:rFonts w:cs="David"/>
          <w:b/>
          <w:bCs/>
          <w:rtl/>
        </w:rPr>
        <w:t xml:space="preserve">הצעת חוק זכויות נפגעי עבירה (תיקון מס' 2), התשס"ד-2004 </w:t>
      </w:r>
    </w:p>
    <w:p w:rsidR="00000000" w:rsidRDefault="002C22C6">
      <w:pPr>
        <w:pStyle w:val="30"/>
        <w:ind w:left="0" w:right="0"/>
        <w:jc w:val="center"/>
        <w:rPr>
          <w:rFonts w:cs="David"/>
          <w:b/>
          <w:bCs/>
          <w:rtl/>
        </w:rPr>
      </w:pPr>
      <w:r>
        <w:rPr>
          <w:rFonts w:cs="David"/>
          <w:b/>
          <w:bCs/>
          <w:rtl/>
        </w:rPr>
        <w:t>אישור הנוסח לקריאה שניה ושלישית - הצבעה</w:t>
      </w:r>
    </w:p>
    <w:p w:rsidR="00000000" w:rsidRDefault="002C22C6">
      <w:pPr>
        <w:rPr>
          <w:rFonts w:cs="Miriam"/>
          <w:rtl/>
        </w:rPr>
      </w:pPr>
    </w:p>
    <w:p w:rsidR="00000000" w:rsidRDefault="002C22C6">
      <w:pPr>
        <w:rPr>
          <w:rFonts w:cs="Miriam"/>
          <w:rtl/>
        </w:rPr>
      </w:pPr>
    </w:p>
    <w:p w:rsidR="00000000" w:rsidRDefault="002C22C6">
      <w:pPr>
        <w:pStyle w:val="30"/>
        <w:ind w:left="0"/>
        <w:rPr>
          <w:rFonts w:cs="David"/>
          <w:b/>
          <w:bCs/>
          <w:u w:val="single"/>
          <w:rtl/>
        </w:rPr>
      </w:pPr>
      <w:r>
        <w:rPr>
          <w:rFonts w:cs="David"/>
          <w:b/>
          <w:bCs/>
          <w:u w:val="single"/>
          <w:rtl/>
        </w:rPr>
        <w:t>נכחו:</w:t>
      </w:r>
    </w:p>
    <w:p w:rsidR="00000000" w:rsidRDefault="002C22C6">
      <w:pPr>
        <w:rPr>
          <w:rFonts w:cs="Miriam"/>
          <w:rtl/>
        </w:rPr>
      </w:pPr>
    </w:p>
    <w:p w:rsidR="00000000" w:rsidRDefault="002C22C6">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איתן – היו"ר</w:t>
      </w:r>
    </w:p>
    <w:p w:rsidR="00000000" w:rsidRDefault="002C22C6">
      <w:pPr>
        <w:ind w:left="1418" w:hanging="1418"/>
        <w:jc w:val="both"/>
        <w:rPr>
          <w:rFonts w:cs="David"/>
          <w:sz w:val="24"/>
          <w:szCs w:val="24"/>
          <w:rtl/>
        </w:rPr>
      </w:pPr>
      <w:r>
        <w:rPr>
          <w:rFonts w:cs="David"/>
          <w:sz w:val="24"/>
          <w:szCs w:val="24"/>
          <w:rtl/>
        </w:rPr>
        <w:tab/>
        <w:t>אליעזר כהן</w:t>
      </w:r>
    </w:p>
    <w:p w:rsidR="00000000" w:rsidRDefault="002C22C6">
      <w:pPr>
        <w:ind w:left="1418" w:hanging="1418"/>
        <w:jc w:val="both"/>
        <w:rPr>
          <w:rFonts w:cs="David"/>
          <w:sz w:val="24"/>
          <w:szCs w:val="24"/>
          <w:rtl/>
        </w:rPr>
      </w:pPr>
      <w:r>
        <w:rPr>
          <w:rFonts w:cs="David"/>
          <w:sz w:val="24"/>
          <w:szCs w:val="24"/>
          <w:rtl/>
        </w:rPr>
        <w:tab/>
        <w:t>יצחק לוי</w:t>
      </w:r>
    </w:p>
    <w:p w:rsidR="00000000" w:rsidRDefault="002C22C6">
      <w:pPr>
        <w:ind w:left="1418" w:hanging="1418"/>
        <w:jc w:val="both"/>
        <w:rPr>
          <w:rFonts w:cs="David"/>
          <w:sz w:val="24"/>
          <w:szCs w:val="24"/>
          <w:rtl/>
        </w:rPr>
      </w:pPr>
      <w:r>
        <w:rPr>
          <w:rFonts w:cs="David"/>
          <w:sz w:val="24"/>
          <w:szCs w:val="24"/>
          <w:rtl/>
        </w:rPr>
        <w:tab/>
        <w:t>אברהם רביץ</w:t>
      </w:r>
    </w:p>
    <w:p w:rsidR="00000000" w:rsidRDefault="002C22C6">
      <w:pPr>
        <w:ind w:left="1418" w:hanging="1418"/>
        <w:jc w:val="both"/>
        <w:rPr>
          <w:rFonts w:cs="David"/>
          <w:sz w:val="24"/>
          <w:szCs w:val="24"/>
          <w:rtl/>
        </w:rPr>
      </w:pPr>
      <w:r>
        <w:rPr>
          <w:rFonts w:cs="David"/>
          <w:sz w:val="24"/>
          <w:szCs w:val="24"/>
          <w:rtl/>
        </w:rPr>
        <w:tab/>
      </w:r>
    </w:p>
    <w:p w:rsidR="00000000" w:rsidRDefault="002C22C6">
      <w:pPr>
        <w:ind w:left="1418" w:hanging="1418"/>
        <w:jc w:val="both"/>
        <w:rPr>
          <w:rFonts w:cs="David"/>
          <w:sz w:val="24"/>
          <w:szCs w:val="24"/>
          <w:rtl/>
        </w:rPr>
      </w:pPr>
      <w:r>
        <w:rPr>
          <w:rFonts w:cs="David"/>
          <w:b/>
          <w:bCs/>
          <w:sz w:val="24"/>
          <w:szCs w:val="24"/>
          <w:u w:val="single"/>
          <w:rtl/>
        </w:rPr>
        <w:t>מוז</w:t>
      </w:r>
      <w:r>
        <w:rPr>
          <w:rFonts w:cs="David"/>
          <w:b/>
          <w:bCs/>
          <w:sz w:val="24"/>
          <w:szCs w:val="24"/>
          <w:u w:val="single"/>
          <w:rtl/>
        </w:rPr>
        <w:t>מנים</w:t>
      </w:r>
      <w:r>
        <w:rPr>
          <w:rFonts w:cs="David"/>
          <w:sz w:val="24"/>
          <w:szCs w:val="24"/>
          <w:rtl/>
        </w:rPr>
        <w:t>:</w:t>
      </w:r>
      <w:r>
        <w:rPr>
          <w:rFonts w:cs="David"/>
          <w:sz w:val="24"/>
          <w:szCs w:val="24"/>
          <w:rtl/>
        </w:rPr>
        <w:tab/>
        <w:t>עו"ד רינת מורג וייגלר, משרד העבודה והרווחה</w:t>
      </w:r>
    </w:p>
    <w:p w:rsidR="00000000" w:rsidRDefault="002C22C6">
      <w:pPr>
        <w:ind w:left="1418" w:hanging="1418"/>
        <w:jc w:val="both"/>
        <w:rPr>
          <w:rFonts w:cs="David"/>
          <w:sz w:val="24"/>
          <w:szCs w:val="24"/>
          <w:rtl/>
        </w:rPr>
      </w:pPr>
      <w:r>
        <w:rPr>
          <w:rFonts w:cs="David"/>
          <w:sz w:val="24"/>
          <w:szCs w:val="24"/>
          <w:rtl/>
        </w:rPr>
        <w:tab/>
        <w:t>רחל ויינשטיין, קצינת מבחן, משרד העבודה והרווחה</w:t>
      </w:r>
    </w:p>
    <w:p w:rsidR="00000000" w:rsidRDefault="002C22C6">
      <w:pPr>
        <w:ind w:left="1418" w:hanging="1418"/>
        <w:jc w:val="both"/>
        <w:rPr>
          <w:rFonts w:cs="David"/>
          <w:sz w:val="24"/>
          <w:szCs w:val="24"/>
          <w:rtl/>
        </w:rPr>
      </w:pPr>
      <w:r>
        <w:rPr>
          <w:rFonts w:cs="David"/>
          <w:sz w:val="24"/>
          <w:szCs w:val="24"/>
          <w:rtl/>
        </w:rPr>
        <w:tab/>
        <w:t>הילה קרנר, מנכ"לית, איגוד מרכזי הסיוע לנפגעות תקיפה מינית</w:t>
      </w:r>
    </w:p>
    <w:p w:rsidR="00000000" w:rsidRDefault="002C22C6">
      <w:pPr>
        <w:ind w:left="1418" w:hanging="1418"/>
        <w:jc w:val="both"/>
        <w:rPr>
          <w:rFonts w:cs="David"/>
          <w:sz w:val="24"/>
          <w:szCs w:val="24"/>
          <w:rtl/>
        </w:rPr>
      </w:pPr>
      <w:r>
        <w:rPr>
          <w:rFonts w:cs="David"/>
          <w:sz w:val="24"/>
          <w:szCs w:val="24"/>
          <w:rtl/>
        </w:rPr>
        <w:tab/>
        <w:t>עו"ד דוד וינר, סגן סניגור ציבורי ארצי</w:t>
      </w:r>
    </w:p>
    <w:p w:rsidR="00000000" w:rsidRDefault="002C22C6">
      <w:pPr>
        <w:ind w:left="1418" w:hanging="1418"/>
        <w:jc w:val="both"/>
        <w:rPr>
          <w:rFonts w:cs="David"/>
          <w:sz w:val="24"/>
          <w:szCs w:val="24"/>
          <w:rtl/>
        </w:rPr>
      </w:pPr>
      <w:r>
        <w:rPr>
          <w:rFonts w:cs="David"/>
          <w:sz w:val="24"/>
          <w:szCs w:val="24"/>
          <w:rtl/>
        </w:rPr>
        <w:tab/>
        <w:t>רותם פלג, משרד האוצר</w:t>
      </w:r>
    </w:p>
    <w:p w:rsidR="00000000" w:rsidRDefault="002C22C6">
      <w:pPr>
        <w:ind w:left="1418" w:hanging="1418"/>
        <w:jc w:val="both"/>
        <w:rPr>
          <w:rFonts w:cs="David"/>
          <w:sz w:val="24"/>
          <w:szCs w:val="24"/>
          <w:rtl/>
        </w:rPr>
      </w:pPr>
      <w:r>
        <w:rPr>
          <w:rFonts w:cs="David"/>
          <w:sz w:val="24"/>
          <w:szCs w:val="24"/>
          <w:rtl/>
        </w:rPr>
        <w:tab/>
        <w:t>סנ"צ נורית זיו, ראש מדור אלימות במשפחה</w:t>
      </w:r>
      <w:r>
        <w:rPr>
          <w:rFonts w:cs="David"/>
          <w:sz w:val="24"/>
          <w:szCs w:val="24"/>
          <w:rtl/>
        </w:rPr>
        <w:t>, המשרד לבטחון פנים</w:t>
      </w:r>
    </w:p>
    <w:p w:rsidR="00000000" w:rsidRDefault="002C22C6">
      <w:pPr>
        <w:ind w:left="1418" w:hanging="1418"/>
        <w:jc w:val="both"/>
        <w:rPr>
          <w:rFonts w:cs="David"/>
          <w:sz w:val="24"/>
          <w:szCs w:val="24"/>
          <w:rtl/>
        </w:rPr>
      </w:pPr>
      <w:r>
        <w:rPr>
          <w:rFonts w:cs="David"/>
          <w:sz w:val="24"/>
          <w:szCs w:val="24"/>
          <w:rtl/>
        </w:rPr>
        <w:tab/>
        <w:t>שרונה עבר הדני, משרד הבריאות</w:t>
      </w:r>
    </w:p>
    <w:p w:rsidR="00000000" w:rsidRDefault="002C22C6">
      <w:pPr>
        <w:ind w:left="1418" w:hanging="1418"/>
        <w:jc w:val="both"/>
        <w:rPr>
          <w:rFonts w:cs="David"/>
          <w:sz w:val="24"/>
          <w:szCs w:val="24"/>
          <w:rtl/>
        </w:rPr>
      </w:pPr>
      <w:r>
        <w:rPr>
          <w:rFonts w:cs="David"/>
          <w:sz w:val="24"/>
          <w:szCs w:val="24"/>
          <w:rtl/>
        </w:rPr>
        <w:tab/>
        <w:t>רב כלאי יעל שגיא, ק. טיפול ושיקום - גוש מרכז, שירות בתי הסוהר</w:t>
      </w:r>
    </w:p>
    <w:p w:rsidR="00000000" w:rsidRDefault="002C22C6">
      <w:pPr>
        <w:ind w:left="1418" w:hanging="1418"/>
        <w:jc w:val="both"/>
        <w:rPr>
          <w:rFonts w:cs="David"/>
          <w:sz w:val="24"/>
          <w:szCs w:val="24"/>
          <w:rtl/>
        </w:rPr>
      </w:pPr>
      <w:r>
        <w:rPr>
          <w:rFonts w:cs="David"/>
          <w:sz w:val="24"/>
          <w:szCs w:val="24"/>
          <w:rtl/>
        </w:rPr>
        <w:tab/>
        <w:t>דפנה ביינוול, פרקליטות המדינה</w:t>
      </w:r>
    </w:p>
    <w:p w:rsidR="00000000" w:rsidRDefault="002C22C6">
      <w:pPr>
        <w:ind w:left="1418" w:hanging="1418"/>
        <w:jc w:val="both"/>
        <w:rPr>
          <w:rFonts w:cs="David"/>
          <w:sz w:val="24"/>
          <w:szCs w:val="24"/>
          <w:rtl/>
        </w:rPr>
      </w:pPr>
      <w:r>
        <w:rPr>
          <w:rFonts w:cs="David"/>
          <w:sz w:val="24"/>
          <w:szCs w:val="24"/>
          <w:rtl/>
        </w:rPr>
        <w:tab/>
        <w:t>רב כלאי שמעון בר-גור, לשכה משפטית, שירות בתי הסוהר</w:t>
      </w:r>
    </w:p>
    <w:p w:rsidR="00000000" w:rsidRDefault="002C22C6">
      <w:pPr>
        <w:ind w:left="1418" w:hanging="1418"/>
        <w:jc w:val="both"/>
        <w:rPr>
          <w:rFonts w:cs="David"/>
          <w:sz w:val="24"/>
          <w:szCs w:val="24"/>
          <w:rtl/>
        </w:rPr>
      </w:pPr>
      <w:r>
        <w:rPr>
          <w:rFonts w:cs="David"/>
          <w:sz w:val="24"/>
          <w:szCs w:val="24"/>
          <w:rtl/>
        </w:rPr>
        <w:tab/>
        <w:t>שי צרפתי, הנהלת בתי המשפט</w:t>
      </w:r>
    </w:p>
    <w:p w:rsidR="00000000" w:rsidRDefault="002C22C6">
      <w:pPr>
        <w:ind w:left="1418" w:hanging="1418"/>
        <w:jc w:val="both"/>
        <w:rPr>
          <w:rFonts w:cs="David"/>
          <w:sz w:val="24"/>
          <w:szCs w:val="24"/>
          <w:rtl/>
        </w:rPr>
      </w:pPr>
      <w:r>
        <w:rPr>
          <w:rFonts w:cs="David"/>
          <w:sz w:val="24"/>
          <w:szCs w:val="24"/>
          <w:rtl/>
        </w:rPr>
        <w:tab/>
        <w:t>דנה אייזנר, האגף לסיוע משפטי, מש</w:t>
      </w:r>
      <w:r>
        <w:rPr>
          <w:rFonts w:cs="David"/>
          <w:sz w:val="24"/>
          <w:szCs w:val="24"/>
          <w:rtl/>
        </w:rPr>
        <w:t>רד המשפטים</w:t>
      </w:r>
    </w:p>
    <w:p w:rsidR="00000000" w:rsidRDefault="002C22C6">
      <w:pPr>
        <w:ind w:left="1418" w:hanging="1418"/>
        <w:jc w:val="both"/>
        <w:rPr>
          <w:rFonts w:cs="David"/>
          <w:sz w:val="24"/>
          <w:szCs w:val="24"/>
          <w:rtl/>
        </w:rPr>
      </w:pPr>
      <w:r>
        <w:rPr>
          <w:rFonts w:cs="David"/>
          <w:sz w:val="24"/>
          <w:szCs w:val="24"/>
          <w:rtl/>
        </w:rPr>
        <w:tab/>
        <w:t>חניתה כנען, הקואליציה לקידום זכויות נפגעי עבירה</w:t>
      </w:r>
    </w:p>
    <w:p w:rsidR="00000000" w:rsidRDefault="002C22C6">
      <w:pPr>
        <w:ind w:left="1418" w:hanging="1418"/>
        <w:jc w:val="both"/>
        <w:rPr>
          <w:rFonts w:cs="David"/>
          <w:sz w:val="24"/>
          <w:szCs w:val="24"/>
          <w:rtl/>
        </w:rPr>
      </w:pPr>
      <w:r>
        <w:rPr>
          <w:rFonts w:cs="David"/>
          <w:sz w:val="24"/>
          <w:szCs w:val="24"/>
          <w:rtl/>
        </w:rPr>
        <w:tab/>
        <w:t>משה שטרן, כתב ערוץ הכנסת</w:t>
      </w:r>
    </w:p>
    <w:p w:rsidR="00000000" w:rsidRDefault="002C22C6">
      <w:pPr>
        <w:ind w:left="1418" w:hanging="1418"/>
        <w:jc w:val="both"/>
        <w:rPr>
          <w:rFonts w:cs="David"/>
          <w:sz w:val="24"/>
          <w:szCs w:val="24"/>
          <w:rtl/>
        </w:rPr>
      </w:pPr>
      <w:r>
        <w:rPr>
          <w:rFonts w:cs="David"/>
          <w:sz w:val="24"/>
          <w:szCs w:val="24"/>
          <w:rtl/>
        </w:rPr>
        <w:tab/>
        <w:t>רות מזרחי, מנהלת אגף תנועת עובדי הוראה, משרד החינוך</w:t>
      </w:r>
    </w:p>
    <w:p w:rsidR="00000000" w:rsidRDefault="002C22C6">
      <w:pPr>
        <w:ind w:left="1418" w:hanging="1418"/>
        <w:jc w:val="both"/>
        <w:rPr>
          <w:rFonts w:cs="David"/>
          <w:sz w:val="24"/>
          <w:szCs w:val="24"/>
          <w:rtl/>
        </w:rPr>
      </w:pPr>
      <w:r>
        <w:rPr>
          <w:rFonts w:cs="David"/>
          <w:sz w:val="24"/>
          <w:szCs w:val="24"/>
          <w:rtl/>
        </w:rPr>
        <w:tab/>
        <w:t>עמוס אולצוור, מ.מ.מ.</w:t>
      </w:r>
    </w:p>
    <w:p w:rsidR="00000000" w:rsidRDefault="002C22C6">
      <w:pPr>
        <w:ind w:left="1418" w:hanging="1418"/>
        <w:jc w:val="both"/>
        <w:rPr>
          <w:rFonts w:cs="David"/>
          <w:sz w:val="24"/>
          <w:szCs w:val="24"/>
          <w:rtl/>
        </w:rPr>
      </w:pPr>
      <w:r>
        <w:rPr>
          <w:rFonts w:cs="David"/>
          <w:sz w:val="24"/>
          <w:szCs w:val="24"/>
          <w:rtl/>
        </w:rPr>
        <w:tab/>
        <w:t>אלינוער מזוז, משנה ליועמ"ש , משטרת ישראל</w:t>
      </w:r>
    </w:p>
    <w:p w:rsidR="00000000" w:rsidRDefault="002C22C6">
      <w:pPr>
        <w:ind w:left="1418" w:hanging="1418"/>
        <w:jc w:val="both"/>
        <w:rPr>
          <w:rFonts w:cs="David"/>
          <w:sz w:val="24"/>
          <w:szCs w:val="24"/>
          <w:rtl/>
        </w:rPr>
      </w:pPr>
      <w:r>
        <w:rPr>
          <w:rFonts w:cs="David"/>
          <w:sz w:val="24"/>
          <w:szCs w:val="24"/>
          <w:rtl/>
        </w:rPr>
        <w:tab/>
        <w:t>רחל גוטליב, סגן היועמ"ש, המשרד לבטחון פנים</w:t>
      </w:r>
    </w:p>
    <w:p w:rsidR="00000000" w:rsidRDefault="002C22C6">
      <w:pPr>
        <w:ind w:left="1418" w:hanging="1418"/>
        <w:jc w:val="both"/>
        <w:rPr>
          <w:rFonts w:cs="David"/>
          <w:sz w:val="24"/>
          <w:szCs w:val="24"/>
          <w:rtl/>
        </w:rPr>
      </w:pPr>
    </w:p>
    <w:p w:rsidR="00000000" w:rsidRDefault="002C22C6">
      <w:pPr>
        <w:ind w:left="1701" w:hanging="1701"/>
        <w:jc w:val="both"/>
        <w:rPr>
          <w:rFonts w:cs="David"/>
          <w:sz w:val="24"/>
          <w:szCs w:val="24"/>
          <w:rtl/>
        </w:rPr>
      </w:pPr>
      <w:r>
        <w:rPr>
          <w:rFonts w:cs="David"/>
          <w:b/>
          <w:bCs/>
          <w:sz w:val="24"/>
          <w:szCs w:val="24"/>
          <w:u w:val="single"/>
          <w:rtl/>
        </w:rPr>
        <w:t>מנהלת הו</w:t>
      </w:r>
      <w:r>
        <w:rPr>
          <w:rFonts w:cs="David"/>
          <w:b/>
          <w:bCs/>
          <w:sz w:val="24"/>
          <w:szCs w:val="24"/>
          <w:u w:val="single"/>
          <w:rtl/>
        </w:rPr>
        <w:t>ועדה</w:t>
      </w:r>
      <w:r>
        <w:rPr>
          <w:rFonts w:cs="David"/>
          <w:sz w:val="24"/>
          <w:szCs w:val="24"/>
          <w:rtl/>
        </w:rPr>
        <w:t>:</w:t>
      </w:r>
      <w:r>
        <w:rPr>
          <w:rFonts w:cs="David"/>
          <w:sz w:val="24"/>
          <w:szCs w:val="24"/>
          <w:rtl/>
        </w:rPr>
        <w:tab/>
        <w:t xml:space="preserve"> דורית ואג</w:t>
      </w:r>
    </w:p>
    <w:p w:rsidR="00000000" w:rsidRDefault="002C22C6">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תמי סלע</w:t>
      </w:r>
    </w:p>
    <w:p w:rsidR="00000000" w:rsidRDefault="002C22C6">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C22C6">
      <w:pPr>
        <w:jc w:val="both"/>
        <w:rPr>
          <w:rFonts w:cs="David"/>
          <w:sz w:val="24"/>
          <w:szCs w:val="24"/>
          <w:rtl/>
        </w:rPr>
      </w:pPr>
      <w:r>
        <w:rPr>
          <w:rFonts w:cs="David"/>
          <w:sz w:val="24"/>
          <w:szCs w:val="24"/>
          <w:rtl/>
        </w:rPr>
        <w:br w:type="page"/>
      </w:r>
    </w:p>
    <w:p w:rsidR="00000000" w:rsidRDefault="002C22C6">
      <w:pPr>
        <w:pStyle w:val="30"/>
        <w:ind w:left="0" w:right="0"/>
        <w:jc w:val="center"/>
        <w:rPr>
          <w:rFonts w:cs="David"/>
          <w:b/>
          <w:bCs/>
          <w:rtl/>
        </w:rPr>
      </w:pPr>
      <w:r>
        <w:rPr>
          <w:rFonts w:cs="David"/>
          <w:b/>
          <w:bCs/>
          <w:rtl/>
        </w:rPr>
        <w:t xml:space="preserve">הצעת חוק זכויות נפגעי עבירה (תיקון מס' 2), התשס"ד-2004 </w:t>
      </w:r>
    </w:p>
    <w:p w:rsidR="00000000" w:rsidRDefault="002C22C6">
      <w:pPr>
        <w:pStyle w:val="30"/>
        <w:ind w:left="0" w:right="0"/>
        <w:jc w:val="center"/>
        <w:rPr>
          <w:rFonts w:cs="David"/>
          <w:b/>
          <w:bCs/>
          <w:u w:val="single"/>
          <w:rtl/>
        </w:rPr>
      </w:pPr>
      <w:r>
        <w:rPr>
          <w:rFonts w:cs="David"/>
          <w:b/>
          <w:bCs/>
          <w:u w:val="single"/>
          <w:rtl/>
        </w:rPr>
        <w:t>אישור הנוסח לקריאה שניה ושלישית - הצבעה</w:t>
      </w:r>
    </w:p>
    <w:p w:rsidR="00000000" w:rsidRDefault="002C22C6">
      <w:pPr>
        <w:jc w:val="both"/>
        <w:rPr>
          <w:rFonts w:cs="David"/>
          <w:sz w:val="24"/>
          <w:szCs w:val="24"/>
          <w:rtl/>
        </w:rPr>
      </w:pPr>
    </w:p>
    <w:p w:rsidR="00000000" w:rsidRDefault="002C22C6">
      <w:pPr>
        <w:jc w:val="both"/>
        <w:rPr>
          <w:rFonts w:cs="David"/>
          <w:sz w:val="24"/>
          <w:szCs w:val="24"/>
          <w:rtl/>
        </w:rPr>
      </w:pPr>
    </w:p>
    <w:p w:rsidR="00000000" w:rsidRDefault="002C22C6">
      <w:pPr>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tabs>
          <w:tab w:val="left" w:pos="2835"/>
        </w:tabs>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יש לנו ועדת משנה לנושא נפגעי עבירה בראשות חבר הכנסת אליעזר כהן וה</w:t>
      </w:r>
      <w:r>
        <w:rPr>
          <w:rFonts w:cs="David"/>
          <w:sz w:val="24"/>
          <w:szCs w:val="24"/>
          <w:rtl/>
        </w:rPr>
        <w:t xml:space="preserve">ם מתקדמים והם עושים עבודה יפה מאוד, היום הם הניחו כאן, אני מציע לכם לראות את זה, מגילת זכויות נפגעי עבירה. זה מסמך שאנחנו מכינים אותו והוא כולל טבלה מאורגנת, כוללנית מאוד שמחולקת בצורה ממש יפה.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הצעת החוק שבה יש איזה שהוא צמצום של חלק מהזכויות </w:t>
      </w:r>
      <w:r>
        <w:rPr>
          <w:rFonts w:cs="David"/>
          <w:sz w:val="24"/>
          <w:szCs w:val="24"/>
          <w:rtl/>
        </w:rPr>
        <w:t>שניתנות רק לנפגעי עבירות מין או אלימות חמורה, כשהסעיף של איסור מסירת הפרטים עשינו בו מנגנון יותר ממוקד וקצת יותר מצומצם ממה שהיה בחוק המקורי. סעיף 7 זה המגבלה על מסירת פרטים שעבר כמה גלגולים ועכשיו זה נוסח שהוא מוסכם גם על הועדה וגם על משרד המשפטים והגורמי</w:t>
      </w:r>
      <w:r>
        <w:rPr>
          <w:rFonts w:cs="David"/>
          <w:sz w:val="24"/>
          <w:szCs w:val="24"/>
          <w:rtl/>
        </w:rPr>
        <w:t>ם האחרים שהיו מעורבים. ויש פה את הקביעה שגם עליה אנחנו כבר קיימנו דיון ש חלק גדול מהזכויות היישום שלהם בעצם הם יחולו רק על נפגע עבירה שתיק החקירה שלו נפתח אחרי שהזכות נכנסה לתוקף עם אפשרות שהשרים יקבעו בצווים שזה יחול גם על נפגעים שהתיק נפתח לפני כן ואנחנו</w:t>
      </w:r>
      <w:r>
        <w:rPr>
          <w:rFonts w:cs="David"/>
          <w:sz w:val="24"/>
          <w:szCs w:val="24"/>
          <w:rtl/>
        </w:rPr>
        <w:t xml:space="preserve"> נקיים פיקוח על זה, כלומר כמו ש קיימנו עד עכשיו לגבי החלת הזכויות נקיים על זה. </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איך זה מסתדר עם זה?</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גם זה נמצא פה לגבי הזכויות - -</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עם השלבים השונים, מה הגבלנו וכו'.</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בהקשר למסירת פרטים אישיים</w:t>
      </w:r>
      <w:r>
        <w:rPr>
          <w:rFonts w:cs="David"/>
          <w:sz w:val="24"/>
          <w:szCs w:val="24"/>
          <w:rtl/>
        </w:rPr>
        <w:t xml:space="preserve"> של נפגע, זה נמצא פה בהגנה על פרטיות של הנפגע אז הכנסנו גם את השינויים כבר שהצעת החוק הממשלתית הכניסה. </w:t>
      </w:r>
    </w:p>
    <w:p w:rsidR="00000000" w:rsidRDefault="002C22C6">
      <w:pPr>
        <w:pStyle w:val="aa"/>
        <w:spacing w:after="0"/>
        <w:jc w:val="both"/>
        <w:rPr>
          <w:rFonts w:cs="David"/>
          <w:sz w:val="24"/>
          <w:szCs w:val="24"/>
          <w:rtl/>
        </w:rPr>
      </w:pPr>
    </w:p>
    <w:p w:rsidR="00000000" w:rsidRDefault="002C22C6">
      <w:pPr>
        <w:jc w:val="both"/>
        <w:rPr>
          <w:rFonts w:cs="David"/>
          <w:sz w:val="24"/>
          <w:szCs w:val="24"/>
          <w:u w:val="single"/>
          <w:rtl/>
        </w:rPr>
      </w:pPr>
      <w:r>
        <w:rPr>
          <w:rFonts w:cs="David"/>
          <w:sz w:val="24"/>
          <w:szCs w:val="24"/>
          <w:u w:val="single"/>
          <w:rtl/>
        </w:rPr>
        <w:t>קריאה:</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איפה סעיף התחולה?</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lastRenderedPageBreak/>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סעיף 8 להצעה, שאומר שהזכויות לפי סעיפים מסויימים של החוק זה הסעיפים העיקריים של מסירת המידע והזכויות העיקריות</w:t>
      </w:r>
      <w:r>
        <w:rPr>
          <w:rFonts w:cs="David"/>
          <w:sz w:val="24"/>
          <w:szCs w:val="24"/>
          <w:rtl/>
        </w:rPr>
        <w:t>, יהיו מוקנות לנפגע עבירה רק לגבי הליך פלילי שתיק החקירה בו נפתח במועד החלת החוק ואז כתבנו בסעיף 31 בסעיף קטן (ב), שידווחו שר המשפטים והשר לבטחון פנים מדי שנה על מצב יישום החוק, לרבות אפשרות הקניית הזכויות למי שתיק החקירה נפתח לפני. אז זה שווה לפחות איזה ש</w:t>
      </w:r>
      <w:r>
        <w:rPr>
          <w:rFonts w:cs="David"/>
          <w:sz w:val="24"/>
          <w:szCs w:val="24"/>
          <w:rtl/>
        </w:rPr>
        <w:t xml:space="preserve">הוא דיווח ונראה אם נעשים מאמצים.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יש רק נקודה אחת שלא עברנו עליה בדיון הקודם שזה תיקון התוספת השניה, זה דבר שהוא גם מבחינת משרד המשפטים מסוכם, התוספת השניה יש שם מסירה של תנאי השחרור לנפגע, שהיא תעשה דרך המענה הממוחשב, אבל אם הנפגע, זה שיש תנאי שחרור והת</w:t>
      </w:r>
      <w:r>
        <w:rPr>
          <w:rFonts w:cs="David"/>
          <w:sz w:val="24"/>
          <w:szCs w:val="24"/>
          <w:rtl/>
        </w:rPr>
        <w:t xml:space="preserve">נאים בגדול, טלפונית אפשר יהיה למסור גם את התנאים אבל לא אסמכתא, לא העתק של תנאי השחרור. זה מה שסוכם שהתיקון יהיה, כלומר מצד אחד, סעיף 12 שזה סעיף חשוב שלא עברנו עליו בדיון הקודם, סעיף 12 בהצעה בעמ' 5, הסעיף האחרון, תיקון התוספת השניה.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בתוספת השניה בפרט </w:t>
      </w:r>
      <w:r>
        <w:rPr>
          <w:rFonts w:cs="David"/>
          <w:sz w:val="24"/>
          <w:szCs w:val="24"/>
          <w:rtl/>
        </w:rPr>
        <w:t xml:space="preserve">4 נאמר שאחד הדברים שנמסרים זה תנאים לשחרור הנדון ממאסר לפי הוראות, כתוב, שחרור של החשוד או הנאשם ממאסר בתנאים כאמור בסימן ו' לפרק ב' בחוק סדר הדין הפלילי, ובלבד שבית המשפט או הקצין הממונה קבע שתנאי השחרור נועדו להגן על נפגע העבירה וכתוב, ידוע שלב זה יכלול </w:t>
      </w:r>
      <w:r>
        <w:rPr>
          <w:rFonts w:cs="David"/>
          <w:sz w:val="24"/>
          <w:szCs w:val="24"/>
          <w:rtl/>
        </w:rPr>
        <w:t>גם אישור בכתב ובו פירוט תנאי השחרור האמורים. זה אי אפשר היה לעשות דרך המערכת הממוחשבת, את האישור בכתב, ולכן נעשה תיקון שההודעה תכלול גם הודעה לנפגע שהוא רשאי לבוא ולהעתיק את פירוט תנאי השחרור, אבל רצינו להבהיר שההודעה כן תכלול את התנאים, זאת אומרת לא בשביל</w:t>
      </w:r>
      <w:r>
        <w:rPr>
          <w:rFonts w:cs="David"/>
          <w:sz w:val="24"/>
          <w:szCs w:val="24"/>
          <w:rtl/>
        </w:rPr>
        <w:t xml:space="preserve"> לדעת מה התנאים הוא צריך לבוא לתחנת המשטרה, וזה היה מסוכם על משרד המשפטים, שלא רק יגידו לו יש תנאי שחרור להגנתך, עכשיו תבוא לתחנה.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u w:val="single"/>
          <w:rtl/>
        </w:rPr>
        <w:t>נורית זיו:</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זה לא נכון. עד כמה שהבנתי לא ניתן לתת בהודעה הקולית את התנאים. ההודעה היא שיש תנאים שבאים להגנתו ואם אתה רוצה </w:t>
      </w:r>
      <w:r>
        <w:rPr>
          <w:rFonts w:cs="David"/>
          <w:sz w:val="24"/>
          <w:szCs w:val="24"/>
          <w:rtl/>
        </w:rPr>
        <w:t xml:space="preserve">לדעת פירוש נא הרם טלפון למספר טלפון כך וכך או תגיע לתחנה. הסייפא היא נכונה אבל לא הפירוש.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דוד וינר:</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על-פי הנוסח כרגע הוא זכאי לדעת, הפונה זכאי לדעת תנאים שהם לא קשורים להגנתו?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לא, זה תנאים שהם להגנתו.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br w:type="page"/>
        <w:t>דוד וינר:</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רק תנאים להגנתו, זה חשו</w:t>
      </w:r>
      <w:r>
        <w:rPr>
          <w:rFonts w:cs="David"/>
          <w:sz w:val="24"/>
          <w:szCs w:val="24"/>
          <w:rtl/>
        </w:rPr>
        <w:t xml:space="preserve">ב, אחרת יהיה פה פגיעה בחקירות כי תהיה אינפורמציה שתימסר בדרך הזאת.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ובלבד שהתנאים נועדו להגן על נפגע העבירה.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דוד וינר:</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אז את זה אתם לא משנים. אז מה זה נקרא להעתיק?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אם הוא רוצה את זה בכתב.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דוד וינר:</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אם הוא יצלם את זה הוא ירא</w:t>
      </w:r>
      <w:r>
        <w:rPr>
          <w:rFonts w:cs="David"/>
          <w:sz w:val="24"/>
          <w:szCs w:val="24"/>
          <w:rtl/>
        </w:rPr>
        <w:t xml:space="preserve">ה את כל תנאי השחרור. אני לא מבין את הטכניקה שאת חושבת עליה. יש תנאי שחרור בערובה, שהוא חותם שבתנאי שתעשה 1, 2, 3.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הודעה על כך שנפגע עבירה רשאי להעתיק את פירוט תנאי השחרור האמורים. הוא יבוא למשטרה ויבקש להעתיק את פירוט תנאי השחרור שנועדו להגנתו</w:t>
      </w:r>
      <w:r>
        <w:rPr>
          <w:rFonts w:cs="David"/>
          <w:sz w:val="24"/>
          <w:szCs w:val="24"/>
          <w:rtl/>
        </w:rPr>
        <w:t xml:space="preserve">.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דוד וינר:</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איך יעשו את זה?</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זה אני לא יודעת, אני לא אקבע בחוק איך בדיוק המשטרה תעשה את זה, תאפשר לו להעתיק את תנאי השחרור.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רחל גוטליב:</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החוק אומר שזה תנאים שאו קצין המשטרה או בית המשפט קבע שהם נועדו להגנתו, זאת אומרת תנאים ספציפיים שהגור</w:t>
      </w:r>
      <w:r>
        <w:rPr>
          <w:rFonts w:cs="David"/>
          <w:sz w:val="24"/>
          <w:szCs w:val="24"/>
          <w:rtl/>
        </w:rPr>
        <w:t xml:space="preserve">ם שקובע אותם מכריע ואותם יתנו לו.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br w:type="page"/>
        <w:t>נורית זיו:</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אבל עדיין המשפט לרבות פירוט התנאים זה לא טוב, אתם רוצים שיודיעו לו בטלפון שיש תנאי שחרור שהם להגנתך והוא לא יודע מה התנאים והוא צריך לבוא לתחנה ולהעתיק אותם.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רחל גוטליב:</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אבל איך אנחנו יודעים שמי שמצלצל </w:t>
      </w:r>
      <w:r>
        <w:rPr>
          <w:rFonts w:cs="David"/>
          <w:sz w:val="24"/>
          <w:szCs w:val="24"/>
          <w:rtl/>
        </w:rPr>
        <w:t>זה אכן נפגע העבירה?</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עשינו את המנגנון, הוא חוזר עם הקוד, הוא עושה חזרה עם הקוד שלו ורק הוא יכול לקבל את האינפורמציה. </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וזה גם לא אינפורמציה, מה שנועד מבחינתו להגנתו זה לא האינפורמציה הכי חסויה בעולם. זה לא הרמטי, זה שאנחנו א</w:t>
      </w:r>
      <w:r>
        <w:rPr>
          <w:rFonts w:cs="David"/>
          <w:sz w:val="24"/>
          <w:szCs w:val="24"/>
          <w:rtl/>
        </w:rPr>
        <w:t xml:space="preserve">ומרים אינפורמציה רגישה אי אפשר למסור רק על-ידי זה שאדם מקבל קוד וטלפון, אבל מה שמוסקים כאן מביאים בחשבון את האיזון שצריך לעשות. מצד אחד אנחנו לא יכולים למצוא אמצעים יותר זולים אלא תיבת מענה קולי כזאת אוטומטית, אחרת זה מנגנון של אנשים להחזיק וטלפונים שצריך </w:t>
      </w:r>
      <w:r>
        <w:rPr>
          <w:rFonts w:cs="David"/>
          <w:sz w:val="24"/>
          <w:szCs w:val="24"/>
          <w:rtl/>
        </w:rPr>
        <w:t xml:space="preserve">לענות להם, אז זה מצד אחד, מצד שני, גם מענה אנושי בטלפון לא מזהה את הצד השני אז היתרון במענה אנושי הוא לא יותר גדול ומצד שלישי להגיד לאנשים לבוא אז זה הופך את זה לאולי לא פרקטי. גם פקידים וגם צריך להטריח כל אדם שיבוא ויזדהה עם תעודת זהות, זה גם בעיה.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 xml:space="preserve">תמי </w:t>
      </w:r>
      <w:r>
        <w:rPr>
          <w:rFonts w:cs="David"/>
          <w:sz w:val="24"/>
          <w:szCs w:val="24"/>
          <w:u w:val="single"/>
          <w:rtl/>
        </w:rPr>
        <w:t>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גם לא כתבנו בכל סעיף איך בדיוק, האם ההודעה תהיה שהכל נאמר במשיבון או שאומרים לו יש לך טלפון תחזור ותקבל, גם על הכוונה לעכב את ההליך הפלילי, על זה עושים נניח עם הודעה אנושית, את זה כבר יחליטו, אבל ההודעה צריכה בסופו של דבר שתהיה לו דרך בלי לבוא לתחנה</w:t>
      </w:r>
      <w:r>
        <w:rPr>
          <w:rFonts w:cs="David"/>
          <w:sz w:val="24"/>
          <w:szCs w:val="24"/>
          <w:rtl/>
        </w:rPr>
        <w:t xml:space="preserve"> לקבל את פירוט תנאי השחרור.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נורית זיו:</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זה יהיה, אבל לרבות פירוט התנאים זה לא מצג נכון. </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כתוב כאן, רשאי להעתיק את פירוט תנאי השחרור האמורים.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br w:type="page"/>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לא, זה הסייפא להעתיק, אבל לגבי מה שנמסר לו בטלפון, זה מתקן את פרט 4 שאומר, שח</w:t>
      </w:r>
      <w:r>
        <w:rPr>
          <w:rFonts w:cs="David"/>
          <w:sz w:val="24"/>
          <w:szCs w:val="24"/>
          <w:rtl/>
        </w:rPr>
        <w:t>רור של החשוד או הנאשם ממאסר בתנאים כאמור בסימן זה, ואז יהיה כתוב לרבות תנאי השחרור, זה הדבר שצריכים להוסיף, לרבות פירוט התנאים ובלבד שבית המשפט קבע שנועדו להגן על נפגע עבירה. ואז יהיה כתוב, ידוע יכלול גם הודעה על כך שהוא רשאי להעתיק את פירוט התנאים האמורים</w:t>
      </w:r>
      <w:r>
        <w:rPr>
          <w:rFonts w:cs="David"/>
          <w:sz w:val="24"/>
          <w:szCs w:val="24"/>
          <w:rtl/>
        </w:rPr>
        <w:t xml:space="preserve">. אני חושבת שהיישום של זה זה לא אומר שצריך להקריא לו את הכל בטלפון במשיבון, אבל זה אומר שהדברים שעליהם חייבים ליידע אותו או בדרך שישאירו לו הודעה וגם פירוט התנאים. </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אני מבין שההערה היא על פירוט התנאים כאילו זה כוללני מדי.</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נורית זיו:</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אם מקובל שבאמת המענה הקולי אומר להגנתך ואתה יכול לקבל -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תמי סלע:</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גם בדברים אחרים, אנחנו לא כותבים פה מה יהיה ממוחשב ומה יהיה אנושי. </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אתם תכניסו את הסעיף הזה, את התנאי של להגיד לו במענה הקולי.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אלינוער מזוז:</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נגיד לו רק שיש תנ</w:t>
      </w:r>
      <w:r>
        <w:rPr>
          <w:rFonts w:cs="David"/>
          <w:sz w:val="24"/>
          <w:szCs w:val="24"/>
          <w:rtl/>
        </w:rPr>
        <w:t>אים להגנתו, לא להגיד לו מה הם התנאים להגנתו.</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למה לא להגיד לו?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אלינוער מזוז:</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משום שמבחינה טכנית אי אפשר להכניס את התנאים, את התוכן של התנאים אי אפשר להכניס. </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מה זאת אומרת מבחינה טכנית אי אפשר?</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u w:val="single"/>
          <w:rtl/>
        </w:rPr>
      </w:pPr>
      <w:r>
        <w:rPr>
          <w:rFonts w:cs="David"/>
          <w:sz w:val="24"/>
          <w:szCs w:val="24"/>
          <w:u w:val="single"/>
          <w:rtl/>
        </w:rPr>
        <w:t>אלינוער מזוז:</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ה</w:t>
      </w:r>
      <w:r>
        <w:rPr>
          <w:rFonts w:cs="David"/>
          <w:sz w:val="24"/>
          <w:szCs w:val="24"/>
          <w:rtl/>
        </w:rPr>
        <w:t xml:space="preserve">מערכת בנויה ככה שיהיה בה סימון אם יש תנאים להגנתו או אין תנאים להגנתו ולא התוכן המילולי. </w:t>
      </w: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כשאתם נפגשים עם הצוות שלכם תגידו שאני שאלתי למה אי אפשר להקליט במענה הקולי גם הודעות ספציפיות. אם היום יש טכניקות שאפשר לשלוח </w:t>
      </w:r>
      <w:r>
        <w:rPr>
          <w:rFonts w:cs="David"/>
          <w:sz w:val="24"/>
          <w:szCs w:val="24"/>
        </w:rPr>
        <w:t>SMS</w:t>
      </w:r>
      <w:r>
        <w:rPr>
          <w:rFonts w:cs="David"/>
          <w:sz w:val="24"/>
          <w:szCs w:val="24"/>
          <w:rtl/>
        </w:rPr>
        <w:t xml:space="preserve"> אז למה אי אפשר </w:t>
      </w:r>
      <w:r>
        <w:rPr>
          <w:rFonts w:cs="David"/>
          <w:sz w:val="24"/>
          <w:szCs w:val="24"/>
          <w:rtl/>
        </w:rPr>
        <w:t xml:space="preserve">להדביק, שיגידו לו תנאי השחרור הם 1, 2, 3.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r>
        <w:rPr>
          <w:rFonts w:cs="David"/>
          <w:sz w:val="24"/>
          <w:szCs w:val="24"/>
          <w:rtl/>
        </w:rPr>
        <w:tab/>
        <w:t xml:space="preserve">אנחנו מאשרים את זה פה אחד. תודה רבה לכולכם. </w:t>
      </w:r>
    </w:p>
    <w:p w:rsidR="00000000" w:rsidRDefault="002C22C6">
      <w:pPr>
        <w:pStyle w:val="aa"/>
        <w:spacing w:after="0"/>
        <w:jc w:val="both"/>
        <w:rPr>
          <w:rFonts w:cs="David"/>
          <w:sz w:val="24"/>
          <w:szCs w:val="24"/>
          <w:rtl/>
        </w:rPr>
      </w:pPr>
    </w:p>
    <w:p w:rsidR="00000000" w:rsidRDefault="002C22C6">
      <w:pPr>
        <w:pStyle w:val="aa"/>
        <w:spacing w:after="0"/>
        <w:jc w:val="both"/>
        <w:rPr>
          <w:rFonts w:cs="David"/>
          <w:sz w:val="24"/>
          <w:szCs w:val="24"/>
          <w:rtl/>
        </w:rPr>
      </w:pPr>
    </w:p>
    <w:p w:rsidR="00000000" w:rsidRDefault="002C22C6">
      <w:pPr>
        <w:pStyle w:val="aa"/>
        <w:tabs>
          <w:tab w:val="left" w:pos="2835"/>
        </w:tabs>
        <w:spacing w:after="0"/>
        <w:jc w:val="both"/>
        <w:rPr>
          <w:rFonts w:cs="David"/>
          <w:sz w:val="24"/>
          <w:szCs w:val="24"/>
          <w:rtl/>
        </w:rPr>
      </w:pPr>
      <w:r>
        <w:rPr>
          <w:rFonts w:cs="David"/>
          <w:sz w:val="24"/>
          <w:szCs w:val="24"/>
          <w:rtl/>
        </w:rPr>
        <w:t xml:space="preserve"> </w:t>
      </w:r>
    </w:p>
    <w:p w:rsidR="00000000" w:rsidRDefault="002C22C6">
      <w:pPr>
        <w:pStyle w:val="aa"/>
        <w:tabs>
          <w:tab w:val="left" w:pos="2835"/>
        </w:tabs>
        <w:spacing w:after="0"/>
        <w:jc w:val="both"/>
        <w:rPr>
          <w:rFonts w:cs="David"/>
          <w:sz w:val="24"/>
          <w:szCs w:val="24"/>
          <w:rtl/>
        </w:rPr>
      </w:pPr>
    </w:p>
    <w:p w:rsidR="00000000" w:rsidRDefault="002C22C6">
      <w:pPr>
        <w:pStyle w:val="10"/>
        <w:jc w:val="both"/>
        <w:rPr>
          <w:rFonts w:cs="David"/>
          <w:rtl/>
        </w:rPr>
      </w:pPr>
      <w:r>
        <w:rPr>
          <w:rFonts w:cs="David"/>
          <w:rtl/>
        </w:rPr>
        <w:t>הישיבה ננעלה בשעה 11:15</w:t>
      </w:r>
    </w:p>
    <w:p w:rsidR="00000000" w:rsidRDefault="002C22C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22C6">
      <w:pPr>
        <w:rPr>
          <w:rFonts w:ascii="SimSun"/>
          <w:rtl/>
        </w:rPr>
      </w:pPr>
      <w:r>
        <w:rPr>
          <w:rFonts w:ascii="SimSun"/>
        </w:rPr>
        <w:separator/>
      </w:r>
    </w:p>
  </w:endnote>
  <w:endnote w:type="continuationSeparator" w:id="0">
    <w:p w:rsidR="00000000" w:rsidRDefault="002C22C6">
      <w:pPr>
        <w:rPr>
          <w:rFonts w:ascii="SimSun"/>
          <w:rtl/>
        </w:rPr>
      </w:pPr>
      <w:r>
        <w:rPr>
          <w:rFonts w:ascii="SimSu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2C6">
    <w:pPr>
      <w:pStyle w:val="a7"/>
      <w:rPr>
        <w:rFonts w:cs="Miriam"/>
        <w:rtl/>
      </w:rPr>
    </w:pPr>
  </w:p>
  <w:p w:rsidR="00000000" w:rsidRDefault="002C22C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2C6">
    <w:pPr>
      <w:pStyle w:val="a7"/>
      <w:rPr>
        <w:rFonts w:cs="Miriam"/>
        <w:rtl/>
      </w:rPr>
    </w:pPr>
  </w:p>
  <w:p w:rsidR="00000000" w:rsidRDefault="002C22C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22C6">
      <w:pPr>
        <w:rPr>
          <w:rFonts w:ascii="SimSun"/>
          <w:rtl/>
        </w:rPr>
      </w:pPr>
      <w:r>
        <w:rPr>
          <w:rFonts w:ascii="SimSun"/>
        </w:rPr>
        <w:separator/>
      </w:r>
    </w:p>
  </w:footnote>
  <w:footnote w:type="continuationSeparator" w:id="0">
    <w:p w:rsidR="00000000" w:rsidRDefault="002C22C6">
      <w:pPr>
        <w:rPr>
          <w:rFonts w:ascii="SimSun"/>
          <w:rtl/>
        </w:rPr>
      </w:pPr>
      <w:r>
        <w:rPr>
          <w:rFonts w:ascii="SimSu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2C6">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2</w:t>
    </w:r>
    <w:r>
      <w:rPr>
        <w:rStyle w:val="a9"/>
        <w:rFonts w:cs="David"/>
        <w:szCs w:val="24"/>
        <w:lang w:val="en-US" w:eastAsia="zh-CN"/>
      </w:rPr>
      <w:fldChar w:fldCharType="end"/>
    </w:r>
  </w:p>
  <w:p w:rsidR="00000000" w:rsidRDefault="002C22C6">
    <w:pPr>
      <w:pStyle w:val="a5"/>
      <w:ind w:right="360"/>
      <w:jc w:val="left"/>
      <w:rPr>
        <w:rFonts w:cs="Miriam"/>
        <w:b/>
        <w:bCs/>
        <w:u w:val="single"/>
        <w:rtl/>
      </w:rPr>
    </w:pPr>
    <w:r>
      <w:rPr>
        <w:rFonts w:cs="Miriam"/>
        <w:b/>
        <w:bCs/>
        <w:u w:val="single"/>
        <w:rtl/>
      </w:rPr>
      <w:t>ועדת החוקה, חוק ומשפט - 30.8.2004</w:t>
    </w:r>
  </w:p>
  <w:p w:rsidR="00000000" w:rsidRDefault="002C22C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2C6">
    <w:pPr>
      <w:pStyle w:val="a5"/>
      <w:rPr>
        <w:rFonts w:cs="Miriam"/>
        <w:rtl/>
      </w:rPr>
    </w:pPr>
  </w:p>
  <w:p w:rsidR="00000000" w:rsidRDefault="002C22C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22C6"/>
    <w:rsid w:val="002C2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1745A2-57A0-4C35-9BBE-444A627F4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876222-4990-4AB3-B37B-06093D7737B5}"/>
</file>

<file path=customXml/itemProps2.xml><?xml version="1.0" encoding="utf-8"?>
<ds:datastoreItem xmlns:ds="http://schemas.openxmlformats.org/officeDocument/2006/customXml" ds:itemID="{05F4BBB8-DBAF-437D-8253-880479A9A32B}"/>
</file>

<file path=customXml/itemProps3.xml><?xml version="1.0" encoding="utf-8"?>
<ds:datastoreItem xmlns:ds="http://schemas.openxmlformats.org/officeDocument/2006/customXml" ds:itemID="{5D5B8AEC-6C32-46FE-8C35-BB17C98DC377}"/>
</file>

<file path=docProps/app.xml><?xml version="1.0" encoding="utf-8"?>
<Properties xmlns="http://schemas.openxmlformats.org/officeDocument/2006/extended-properties" xmlns:vt="http://schemas.openxmlformats.org/officeDocument/2006/docPropsVTypes">
  <Template>Normal.dotm</Template>
  <TotalTime>0</TotalTime>
  <Pages>3</Pages>
  <Words>1356</Words>
  <Characters>6781</Characters>
  <Application>Microsoft Office Word</Application>
  <DocSecurity>4</DocSecurity>
  <Lines>56</Lines>
  <Paragraphs>16</Paragraphs>
  <ScaleCrop>false</ScaleCrop>
  <Company>knesset</Company>
  <LinksUpToDate>false</LinksUpToDate>
  <CharactersWithSpaces>8121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נפגעי עבירה (תיקון מס' 2), התשס"ד-2004 </dc:title>
  <dc:subject>מעמד האישה 21.7.2003</dc:subject>
  <dc:creator>תמר שפנייר</dc:creator>
  <cp:keywords/>
  <dc:description/>
  <cp:lastModifiedBy>שמואל כוכב</cp:lastModifiedBy>
  <cp:revision>2</cp:revision>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296</vt:i4>
  </property>
  <property fmtid="{D5CDD505-2E9C-101B-9397-08002B2CF9AE}" pid="6" name="Nose">
    <vt:lpwstr>':מחלקת הפרוטוקולים:ועדת חוקה'_x000d__x000d_</vt:lpwstr>
  </property>
  <property fmtid="{D5CDD505-2E9C-101B-9397-08002B2CF9AE}" pid="7" name="TaarichYeshiva">
    <vt:filetime>2004-08-28T21:00:00Z</vt:filetime>
  </property>
  <property fmtid="{D5CDD505-2E9C-101B-9397-08002B2CF9AE}" pid="8" name="סימוכין">
    <vt:i4>3099704</vt:i4>
  </property>
  <property fmtid="{D5CDD505-2E9C-101B-9397-08002B2CF9AE}" pid="9" name="שעת ישיבה">
    <vt:lpwstr>10:30</vt:lpwstr>
  </property>
  <property fmtid="{D5CDD505-2E9C-101B-9397-08002B2CF9AE}" pid="10" name="תאריך המסמך">
    <vt:filetime>2004-10-10T21:00:00Z</vt:filetime>
  </property>
  <property fmtid="{D5CDD505-2E9C-101B-9397-08002B2CF9AE}" pid="11" name="Int_ModifyDate">
    <vt:lpwstr>12/10/2004</vt:lpwstr>
  </property>
  <property fmtid="{D5CDD505-2E9C-101B-9397-08002B2CF9AE}" pid="12" name="Int_Category">
    <vt:lpwstr>החוקה, חוק ומשפט</vt:lpwstr>
  </property>
  <property fmtid="{D5CDD505-2E9C-101B-9397-08002B2CF9AE}" pid="13" name="ContentTypeId">
    <vt:lpwstr>0x010100B126DF0F8D0A5A4EB112ABD857421DAD</vt:lpwstr>
  </property>
  <property fmtid="{D5CDD505-2E9C-101B-9397-08002B2CF9AE}" pid="14" name="SanhedrinItemID">
    <vt:r8>78334</vt:r8>
  </property>
  <property fmtid="{D5CDD505-2E9C-101B-9397-08002B2CF9AE}" pid="15" name="SanhedrinDocumentType">
    <vt:r8>167</vt:r8>
  </property>
</Properties>
</file>