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1284">
      <w:pPr>
        <w:pStyle w:val="5"/>
        <w:jc w:val="left"/>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000000" w:rsidRDefault="00CA1284">
      <w:pPr>
        <w:rPr>
          <w:rFonts w:hint="cs"/>
          <w:b/>
          <w:bCs/>
          <w:noProof w:val="0"/>
          <w:rtl/>
        </w:rPr>
      </w:pPr>
      <w:r>
        <w:rPr>
          <w:b/>
          <w:bCs/>
          <w:noProof w:val="0"/>
          <w:rtl/>
        </w:rPr>
        <w:t xml:space="preserve">מושב </w:t>
      </w:r>
      <w:r>
        <w:rPr>
          <w:rFonts w:hint="cs"/>
          <w:b/>
          <w:bCs/>
          <w:noProof w:val="0"/>
          <w:rtl/>
        </w:rPr>
        <w:t>שלישי</w:t>
      </w:r>
    </w:p>
    <w:p w:rsidR="00000000" w:rsidRDefault="00CA1284">
      <w:pPr>
        <w:rPr>
          <w:b/>
          <w:bCs/>
          <w:noProof w:val="0"/>
          <w:rtl/>
        </w:rPr>
      </w:pPr>
    </w:p>
    <w:p w:rsidR="00000000" w:rsidRDefault="00CA1284">
      <w:pPr>
        <w:rPr>
          <w:b/>
          <w:bCs/>
          <w:noProof w:val="0"/>
          <w:rtl/>
        </w:rPr>
      </w:pPr>
    </w:p>
    <w:p w:rsidR="00000000" w:rsidRDefault="00CA1284">
      <w:pPr>
        <w:rPr>
          <w:b/>
          <w:bCs/>
          <w:noProof w:val="0"/>
          <w:rtl/>
        </w:rPr>
      </w:pPr>
    </w:p>
    <w:p w:rsidR="00000000" w:rsidRDefault="00CA1284">
      <w:pPr>
        <w:rPr>
          <w:b/>
          <w:bCs/>
          <w:noProof w:val="0"/>
          <w:rtl/>
        </w:rPr>
      </w:pPr>
    </w:p>
    <w:p w:rsidR="00000000" w:rsidRDefault="00CA1284">
      <w:pPr>
        <w:pStyle w:val="6"/>
        <w:jc w:val="center"/>
        <w:rPr>
          <w:rFonts w:hint="cs"/>
          <w:noProof w:val="0"/>
          <w:u w:val="single"/>
          <w:rtl/>
        </w:rPr>
      </w:pPr>
      <w:r>
        <w:rPr>
          <w:noProof w:val="0"/>
          <w:rtl/>
        </w:rPr>
        <w:t>פרוטוקול מס'</w:t>
      </w:r>
      <w:r>
        <w:rPr>
          <w:rFonts w:hint="cs"/>
          <w:noProof w:val="0"/>
          <w:rtl/>
        </w:rPr>
        <w:t xml:space="preserve"> 415</w:t>
      </w:r>
    </w:p>
    <w:p w:rsidR="00000000" w:rsidRDefault="00CA1284">
      <w:pPr>
        <w:pStyle w:val="9"/>
        <w:rPr>
          <w:rFonts w:hint="cs"/>
          <w:noProof w:val="0"/>
          <w:rtl/>
        </w:rPr>
      </w:pPr>
      <w:r>
        <w:rPr>
          <w:rFonts w:hint="cs"/>
          <w:noProof w:val="0"/>
          <w:rtl/>
        </w:rPr>
        <w:t>מישיבת ועדת חוקה, חוק ומשפט</w:t>
      </w:r>
    </w:p>
    <w:p w:rsidR="00000000" w:rsidRDefault="00CA1284">
      <w:pPr>
        <w:tabs>
          <w:tab w:val="left" w:pos="1221"/>
        </w:tabs>
        <w:jc w:val="center"/>
        <w:rPr>
          <w:rFonts w:hint="cs"/>
          <w:b/>
          <w:bCs/>
          <w:noProof w:val="0"/>
          <w:u w:val="single"/>
          <w:rtl/>
        </w:rPr>
      </w:pPr>
      <w:r>
        <w:rPr>
          <w:rFonts w:hint="cs"/>
          <w:b/>
          <w:bCs/>
          <w:noProof w:val="0"/>
          <w:u w:val="single"/>
          <w:rtl/>
        </w:rPr>
        <w:t>יום שלישי, ו' באדר א' התשס"ה (15.02.2005), בשעה 14:00</w:t>
      </w:r>
    </w:p>
    <w:p w:rsidR="00000000" w:rsidRDefault="00CA1284">
      <w:pPr>
        <w:tabs>
          <w:tab w:val="left" w:pos="1221"/>
        </w:tabs>
        <w:jc w:val="center"/>
        <w:rPr>
          <w:rFonts w:hint="cs"/>
          <w:b/>
          <w:bCs/>
          <w:noProof w:val="0"/>
          <w:u w:val="single"/>
          <w:rtl/>
        </w:rPr>
      </w:pPr>
    </w:p>
    <w:p w:rsidR="00000000" w:rsidRDefault="00CA1284">
      <w:pPr>
        <w:tabs>
          <w:tab w:val="left" w:pos="1221"/>
        </w:tabs>
        <w:rPr>
          <w:rFonts w:hint="cs"/>
          <w:b/>
          <w:bCs/>
          <w:noProof w:val="0"/>
          <w:rtl/>
        </w:rPr>
      </w:pPr>
    </w:p>
    <w:p w:rsidR="00000000" w:rsidRDefault="00CA1284">
      <w:pPr>
        <w:rPr>
          <w:rFonts w:hint="cs"/>
          <w:noProof w:val="0"/>
          <w:rtl/>
        </w:rPr>
      </w:pPr>
      <w:r>
        <w:rPr>
          <w:b/>
          <w:bCs/>
          <w:noProof w:val="0"/>
          <w:u w:val="single"/>
          <w:rtl/>
        </w:rPr>
        <w:t>סדר היום</w:t>
      </w:r>
      <w:r>
        <w:rPr>
          <w:noProof w:val="0"/>
          <w:rtl/>
        </w:rPr>
        <w:t>:</w:t>
      </w:r>
      <w:r>
        <w:rPr>
          <w:rFonts w:hint="cs"/>
          <w:noProof w:val="0"/>
          <w:rtl/>
        </w:rPr>
        <w:t xml:space="preserve"> תקנות חובת המכרזים  (העדפת תוצרת מאזורי עדיפות לאומית) (תיקון), התשס"ה </w:t>
      </w:r>
      <w:r>
        <w:rPr>
          <w:noProof w:val="0"/>
          <w:rtl/>
        </w:rPr>
        <w:t>–</w:t>
      </w:r>
      <w:r>
        <w:rPr>
          <w:rFonts w:hint="cs"/>
          <w:noProof w:val="0"/>
          <w:rtl/>
        </w:rPr>
        <w:t xml:space="preserve"> 2005- אישור התקנות</w:t>
      </w:r>
    </w:p>
    <w:p w:rsidR="00000000" w:rsidRDefault="00CA1284">
      <w:pPr>
        <w:rPr>
          <w:rFonts w:hint="cs"/>
          <w:noProof w:val="0"/>
          <w:rtl/>
        </w:rPr>
      </w:pPr>
    </w:p>
    <w:p w:rsidR="00000000" w:rsidRDefault="00CA1284">
      <w:pPr>
        <w:rPr>
          <w:b/>
          <w:bCs/>
          <w:noProof w:val="0"/>
          <w:u w:val="single"/>
          <w:rtl/>
        </w:rPr>
      </w:pPr>
      <w:r>
        <w:rPr>
          <w:b/>
          <w:bCs/>
          <w:noProof w:val="0"/>
          <w:u w:val="single"/>
          <w:rtl/>
        </w:rPr>
        <w:t>נכחו:</w:t>
      </w:r>
    </w:p>
    <w:p w:rsidR="00000000" w:rsidRDefault="00CA1284">
      <w:pPr>
        <w:rPr>
          <w:b/>
          <w:bCs/>
          <w:noProof w:val="0"/>
          <w:rtl/>
        </w:rPr>
      </w:pPr>
    </w:p>
    <w:p w:rsidR="00000000" w:rsidRDefault="00CA1284">
      <w:pPr>
        <w:rPr>
          <w:rFonts w:hint="cs"/>
          <w:noProof w:val="0"/>
          <w:rtl/>
        </w:rPr>
      </w:pPr>
      <w:r>
        <w:rPr>
          <w:b/>
          <w:bCs/>
          <w:noProof w:val="0"/>
          <w:u w:val="single"/>
          <w:rtl/>
        </w:rPr>
        <w:t>חברי הוועדה</w:t>
      </w:r>
      <w:r>
        <w:rPr>
          <w:b/>
          <w:bCs/>
          <w:noProof w:val="0"/>
          <w:rtl/>
        </w:rPr>
        <w:t>:</w:t>
      </w:r>
      <w:r>
        <w:rPr>
          <w:rFonts w:hint="cs"/>
          <w:b/>
          <w:bCs/>
          <w:noProof w:val="0"/>
          <w:rtl/>
        </w:rPr>
        <w:t xml:space="preserve"> </w:t>
      </w:r>
      <w:r>
        <w:rPr>
          <w:rFonts w:hint="cs"/>
          <w:b/>
          <w:bCs/>
          <w:noProof w:val="0"/>
          <w:rtl/>
        </w:rPr>
        <w:tab/>
      </w:r>
      <w:r>
        <w:rPr>
          <w:rFonts w:hint="cs"/>
          <w:noProof w:val="0"/>
          <w:rtl/>
        </w:rPr>
        <w:t>מיכאל איתן</w:t>
      </w:r>
      <w:r>
        <w:rPr>
          <w:rFonts w:hint="cs"/>
          <w:noProof w:val="0"/>
          <w:rtl/>
        </w:rPr>
        <w:tab/>
      </w:r>
      <w:r>
        <w:rPr>
          <w:rFonts w:hint="cs"/>
          <w:noProof w:val="0"/>
          <w:rtl/>
        </w:rPr>
        <w:tab/>
      </w:r>
      <w:r>
        <w:rPr>
          <w:rFonts w:hint="cs"/>
          <w:noProof w:val="0"/>
          <w:rtl/>
        </w:rPr>
        <w:tab/>
        <w:t>-היו"ר</w:t>
      </w:r>
    </w:p>
    <w:p w:rsidR="00000000" w:rsidRDefault="00CA1284">
      <w:pPr>
        <w:rPr>
          <w:rFonts w:hint="cs"/>
          <w:noProof w:val="0"/>
          <w:rtl/>
        </w:rPr>
      </w:pPr>
      <w:r>
        <w:rPr>
          <w:rFonts w:hint="cs"/>
          <w:noProof w:val="0"/>
          <w:rtl/>
        </w:rPr>
        <w:tab/>
      </w:r>
      <w:r>
        <w:rPr>
          <w:rFonts w:hint="cs"/>
          <w:noProof w:val="0"/>
          <w:rtl/>
        </w:rPr>
        <w:tab/>
      </w:r>
      <w:r>
        <w:rPr>
          <w:rFonts w:hint="cs"/>
          <w:noProof w:val="0"/>
          <w:rtl/>
        </w:rPr>
        <w:tab/>
        <w:t>יולי תמיר</w:t>
      </w:r>
    </w:p>
    <w:p w:rsidR="00000000" w:rsidRDefault="00CA1284">
      <w:pPr>
        <w:rPr>
          <w:rFonts w:hint="cs"/>
          <w:noProof w:val="0"/>
          <w:rtl/>
        </w:rPr>
      </w:pPr>
      <w:r>
        <w:rPr>
          <w:rFonts w:hint="cs"/>
          <w:noProof w:val="0"/>
          <w:rtl/>
        </w:rPr>
        <w:tab/>
      </w:r>
      <w:r>
        <w:rPr>
          <w:rFonts w:hint="cs"/>
          <w:noProof w:val="0"/>
          <w:rtl/>
        </w:rPr>
        <w:tab/>
      </w:r>
      <w:r>
        <w:rPr>
          <w:rFonts w:hint="cs"/>
          <w:noProof w:val="0"/>
          <w:rtl/>
        </w:rPr>
        <w:tab/>
        <w:t>אתי לבני</w:t>
      </w:r>
    </w:p>
    <w:p w:rsidR="00000000" w:rsidRDefault="00CA1284">
      <w:pPr>
        <w:rPr>
          <w:rFonts w:hint="cs"/>
          <w:noProof w:val="0"/>
          <w:rtl/>
        </w:rPr>
      </w:pPr>
      <w:r>
        <w:rPr>
          <w:rFonts w:hint="cs"/>
          <w:noProof w:val="0"/>
          <w:rtl/>
        </w:rPr>
        <w:tab/>
      </w:r>
      <w:r>
        <w:rPr>
          <w:rFonts w:hint="cs"/>
          <w:noProof w:val="0"/>
          <w:rtl/>
        </w:rPr>
        <w:tab/>
      </w:r>
      <w:r>
        <w:rPr>
          <w:rFonts w:hint="cs"/>
          <w:noProof w:val="0"/>
          <w:rtl/>
        </w:rPr>
        <w:tab/>
        <w:t>אבשלום וילן</w:t>
      </w:r>
    </w:p>
    <w:p w:rsidR="00000000" w:rsidRDefault="00CA1284">
      <w:pPr>
        <w:rPr>
          <w:rFonts w:hint="cs"/>
          <w:noProof w:val="0"/>
          <w:rtl/>
        </w:rPr>
      </w:pPr>
      <w:r>
        <w:rPr>
          <w:rFonts w:hint="cs"/>
          <w:noProof w:val="0"/>
          <w:rtl/>
        </w:rPr>
        <w:tab/>
      </w:r>
      <w:r>
        <w:rPr>
          <w:rFonts w:hint="cs"/>
          <w:noProof w:val="0"/>
          <w:rtl/>
        </w:rPr>
        <w:tab/>
      </w:r>
      <w:r>
        <w:rPr>
          <w:rFonts w:hint="cs"/>
          <w:noProof w:val="0"/>
          <w:rtl/>
        </w:rPr>
        <w:tab/>
        <w:t>יצחק לוי</w:t>
      </w:r>
    </w:p>
    <w:p w:rsidR="00000000" w:rsidRDefault="00CA1284">
      <w:pPr>
        <w:rPr>
          <w:rFonts w:hint="cs"/>
          <w:noProof w:val="0"/>
          <w:rtl/>
        </w:rPr>
      </w:pPr>
      <w:r>
        <w:rPr>
          <w:rFonts w:hint="cs"/>
          <w:noProof w:val="0"/>
          <w:rtl/>
        </w:rPr>
        <w:tab/>
      </w:r>
      <w:r>
        <w:rPr>
          <w:rFonts w:hint="cs"/>
          <w:noProof w:val="0"/>
          <w:rtl/>
        </w:rPr>
        <w:tab/>
      </w:r>
      <w:r>
        <w:rPr>
          <w:rFonts w:hint="cs"/>
          <w:noProof w:val="0"/>
          <w:rtl/>
        </w:rPr>
        <w:tab/>
        <w:t>אברהם רביץ</w:t>
      </w:r>
    </w:p>
    <w:p w:rsidR="00000000" w:rsidRDefault="00CA1284">
      <w:pPr>
        <w:rPr>
          <w:rFonts w:hint="cs"/>
          <w:noProof w:val="0"/>
          <w:rtl/>
        </w:rPr>
      </w:pPr>
      <w:r>
        <w:rPr>
          <w:rFonts w:hint="cs"/>
          <w:noProof w:val="0"/>
          <w:rtl/>
        </w:rPr>
        <w:tab/>
      </w:r>
      <w:r>
        <w:rPr>
          <w:rFonts w:hint="cs"/>
          <w:noProof w:val="0"/>
          <w:rtl/>
        </w:rPr>
        <w:tab/>
      </w:r>
      <w:r>
        <w:rPr>
          <w:rFonts w:hint="cs"/>
          <w:noProof w:val="0"/>
          <w:rtl/>
        </w:rPr>
        <w:tab/>
        <w:t>רוני בראון</w:t>
      </w:r>
    </w:p>
    <w:p w:rsidR="00000000" w:rsidRDefault="00CA1284">
      <w:pPr>
        <w:rPr>
          <w:rFonts w:hint="cs"/>
          <w:noProof w:val="0"/>
          <w:rtl/>
        </w:rPr>
      </w:pPr>
      <w:r>
        <w:rPr>
          <w:rFonts w:hint="cs"/>
          <w:noProof w:val="0"/>
          <w:rtl/>
        </w:rPr>
        <w:tab/>
      </w:r>
    </w:p>
    <w:p w:rsidR="00000000" w:rsidRDefault="00CA1284">
      <w:pPr>
        <w:rPr>
          <w:rFonts w:hint="cs"/>
          <w:noProof w:val="0"/>
          <w:rtl/>
        </w:rPr>
      </w:pPr>
    </w:p>
    <w:p w:rsidR="00000000" w:rsidRDefault="00CA1284">
      <w:pPr>
        <w:rPr>
          <w:rFonts w:hint="cs"/>
          <w:noProof w:val="0"/>
          <w:rtl/>
        </w:rPr>
      </w:pPr>
      <w:r>
        <w:rPr>
          <w:b/>
          <w:bCs/>
          <w:noProof w:val="0"/>
          <w:u w:val="single"/>
          <w:rtl/>
        </w:rPr>
        <w:t>מוזמנים:</w:t>
      </w:r>
      <w:r>
        <w:rPr>
          <w:rFonts w:hint="cs"/>
          <w:noProof w:val="0"/>
          <w:rtl/>
        </w:rPr>
        <w:tab/>
      </w:r>
      <w:r>
        <w:rPr>
          <w:rFonts w:hint="cs"/>
          <w:noProof w:val="0"/>
          <w:rtl/>
        </w:rPr>
        <w:tab/>
        <w:t>עינת גדעוני</w:t>
      </w:r>
      <w:r>
        <w:rPr>
          <w:rFonts w:hint="cs"/>
          <w:noProof w:val="0"/>
          <w:rtl/>
        </w:rPr>
        <w:tab/>
      </w:r>
      <w:r>
        <w:rPr>
          <w:rFonts w:hint="cs"/>
          <w:noProof w:val="0"/>
          <w:rtl/>
        </w:rPr>
        <w:tab/>
      </w:r>
      <w:r>
        <w:rPr>
          <w:rFonts w:hint="cs"/>
          <w:noProof w:val="0"/>
          <w:rtl/>
        </w:rPr>
        <w:tab/>
        <w:t>-משרד המשפטים</w:t>
      </w:r>
    </w:p>
    <w:p w:rsidR="00000000" w:rsidRDefault="00CA1284">
      <w:pPr>
        <w:rPr>
          <w:rFonts w:hint="cs"/>
          <w:noProof w:val="0"/>
          <w:rtl/>
        </w:rPr>
      </w:pPr>
      <w:r>
        <w:rPr>
          <w:rFonts w:hint="cs"/>
          <w:noProof w:val="0"/>
          <w:rtl/>
        </w:rPr>
        <w:tab/>
      </w:r>
      <w:r>
        <w:rPr>
          <w:rFonts w:hint="cs"/>
          <w:noProof w:val="0"/>
          <w:rtl/>
        </w:rPr>
        <w:tab/>
      </w:r>
      <w:r>
        <w:rPr>
          <w:rFonts w:hint="cs"/>
          <w:noProof w:val="0"/>
          <w:rtl/>
        </w:rPr>
        <w:tab/>
        <w:t>אמירה חכמון</w:t>
      </w:r>
      <w:r>
        <w:rPr>
          <w:rFonts w:hint="cs"/>
          <w:noProof w:val="0"/>
          <w:rtl/>
        </w:rPr>
        <w:tab/>
      </w:r>
      <w:r>
        <w:rPr>
          <w:rFonts w:hint="cs"/>
          <w:noProof w:val="0"/>
          <w:rtl/>
        </w:rPr>
        <w:tab/>
        <w:t>-משרד האוצר</w:t>
      </w:r>
    </w:p>
    <w:p w:rsidR="00000000" w:rsidRDefault="00CA1284">
      <w:pPr>
        <w:rPr>
          <w:rFonts w:hint="cs"/>
          <w:noProof w:val="0"/>
          <w:rtl/>
        </w:rPr>
      </w:pPr>
      <w:r>
        <w:rPr>
          <w:rFonts w:hint="cs"/>
          <w:noProof w:val="0"/>
          <w:rtl/>
        </w:rPr>
        <w:tab/>
      </w:r>
      <w:r>
        <w:rPr>
          <w:rFonts w:hint="cs"/>
          <w:noProof w:val="0"/>
          <w:rtl/>
        </w:rPr>
        <w:tab/>
      </w:r>
      <w:r>
        <w:rPr>
          <w:rFonts w:hint="cs"/>
          <w:noProof w:val="0"/>
          <w:rtl/>
        </w:rPr>
        <w:tab/>
        <w:t>עו"ד דינה בנרי</w:t>
      </w:r>
      <w:r>
        <w:rPr>
          <w:rFonts w:hint="cs"/>
          <w:noProof w:val="0"/>
          <w:rtl/>
        </w:rPr>
        <w:tab/>
      </w:r>
      <w:r>
        <w:rPr>
          <w:rFonts w:hint="cs"/>
          <w:noProof w:val="0"/>
          <w:rtl/>
        </w:rPr>
        <w:tab/>
        <w:t>-הלשכה משפטית, משרד הביטחון</w:t>
      </w:r>
    </w:p>
    <w:p w:rsidR="00000000" w:rsidRDefault="00CA1284">
      <w:pPr>
        <w:rPr>
          <w:rFonts w:hint="cs"/>
          <w:noProof w:val="0"/>
          <w:rtl/>
        </w:rPr>
      </w:pPr>
      <w:r>
        <w:rPr>
          <w:rFonts w:hint="cs"/>
          <w:noProof w:val="0"/>
          <w:rtl/>
        </w:rPr>
        <w:tab/>
      </w:r>
      <w:r>
        <w:rPr>
          <w:rFonts w:hint="cs"/>
          <w:noProof w:val="0"/>
          <w:rtl/>
        </w:rPr>
        <w:tab/>
      </w:r>
      <w:r>
        <w:rPr>
          <w:rFonts w:hint="cs"/>
          <w:noProof w:val="0"/>
          <w:rtl/>
        </w:rPr>
        <w:tab/>
        <w:t>אינדיג תמר</w:t>
      </w:r>
      <w:r>
        <w:rPr>
          <w:rFonts w:hint="cs"/>
          <w:noProof w:val="0"/>
          <w:rtl/>
        </w:rPr>
        <w:tab/>
      </w:r>
      <w:r>
        <w:rPr>
          <w:rFonts w:hint="cs"/>
          <w:noProof w:val="0"/>
          <w:rtl/>
        </w:rPr>
        <w:tab/>
      </w:r>
      <w:r>
        <w:rPr>
          <w:rFonts w:hint="cs"/>
          <w:noProof w:val="0"/>
          <w:rtl/>
        </w:rPr>
        <w:tab/>
        <w:t>-מש</w:t>
      </w:r>
      <w:r>
        <w:rPr>
          <w:rFonts w:hint="cs"/>
          <w:noProof w:val="0"/>
          <w:rtl/>
        </w:rPr>
        <w:t>רד הביטחון</w:t>
      </w:r>
    </w:p>
    <w:p w:rsidR="00000000" w:rsidRDefault="00CA1284">
      <w:pPr>
        <w:rPr>
          <w:rFonts w:hint="cs"/>
          <w:noProof w:val="0"/>
          <w:rtl/>
        </w:rPr>
      </w:pPr>
      <w:r>
        <w:rPr>
          <w:rFonts w:hint="cs"/>
          <w:noProof w:val="0"/>
          <w:rtl/>
        </w:rPr>
        <w:tab/>
      </w:r>
      <w:r>
        <w:rPr>
          <w:rFonts w:hint="cs"/>
          <w:noProof w:val="0"/>
          <w:rtl/>
        </w:rPr>
        <w:tab/>
      </w:r>
      <w:r>
        <w:rPr>
          <w:rFonts w:hint="cs"/>
          <w:noProof w:val="0"/>
          <w:rtl/>
        </w:rPr>
        <w:tab/>
        <w:t>עוזי קרן</w:t>
      </w:r>
      <w:r>
        <w:rPr>
          <w:rFonts w:hint="cs"/>
          <w:noProof w:val="0"/>
          <w:rtl/>
        </w:rPr>
        <w:tab/>
      </w:r>
      <w:r>
        <w:rPr>
          <w:rFonts w:hint="cs"/>
          <w:noProof w:val="0"/>
          <w:rtl/>
        </w:rPr>
        <w:tab/>
      </w:r>
      <w:r>
        <w:rPr>
          <w:rFonts w:hint="cs"/>
          <w:noProof w:val="0"/>
          <w:rtl/>
        </w:rPr>
        <w:tab/>
        <w:t>-יועץ ראש הממשלה, משרד הביטחון</w:t>
      </w:r>
    </w:p>
    <w:p w:rsidR="00000000" w:rsidRDefault="00CA1284">
      <w:pPr>
        <w:rPr>
          <w:rFonts w:hint="cs"/>
          <w:noProof w:val="0"/>
          <w:rtl/>
        </w:rPr>
      </w:pPr>
      <w:r>
        <w:rPr>
          <w:rFonts w:hint="cs"/>
          <w:noProof w:val="0"/>
          <w:rtl/>
        </w:rPr>
        <w:tab/>
      </w:r>
      <w:r>
        <w:rPr>
          <w:rFonts w:hint="cs"/>
          <w:noProof w:val="0"/>
          <w:rtl/>
        </w:rPr>
        <w:tab/>
      </w:r>
      <w:r>
        <w:rPr>
          <w:rFonts w:hint="cs"/>
          <w:noProof w:val="0"/>
          <w:rtl/>
        </w:rPr>
        <w:tab/>
        <w:t>גבי גולן</w:t>
      </w:r>
      <w:r>
        <w:rPr>
          <w:rFonts w:hint="cs"/>
          <w:noProof w:val="0"/>
          <w:rtl/>
        </w:rPr>
        <w:tab/>
      </w:r>
      <w:r>
        <w:rPr>
          <w:rFonts w:hint="cs"/>
          <w:noProof w:val="0"/>
          <w:rtl/>
        </w:rPr>
        <w:tab/>
      </w:r>
      <w:r>
        <w:rPr>
          <w:rFonts w:hint="cs"/>
          <w:noProof w:val="0"/>
          <w:rtl/>
        </w:rPr>
        <w:tab/>
        <w:t>-משרד הביטחון</w:t>
      </w:r>
    </w:p>
    <w:p w:rsidR="00000000" w:rsidRDefault="00CA1284">
      <w:pPr>
        <w:rPr>
          <w:rFonts w:hint="cs"/>
          <w:noProof w:val="0"/>
          <w:rtl/>
        </w:rPr>
      </w:pPr>
      <w:r>
        <w:rPr>
          <w:rFonts w:hint="cs"/>
          <w:noProof w:val="0"/>
          <w:rtl/>
        </w:rPr>
        <w:tab/>
      </w:r>
      <w:r>
        <w:rPr>
          <w:rFonts w:hint="cs"/>
          <w:noProof w:val="0"/>
          <w:rtl/>
        </w:rPr>
        <w:tab/>
      </w:r>
      <w:r>
        <w:rPr>
          <w:rFonts w:hint="cs"/>
          <w:noProof w:val="0"/>
          <w:rtl/>
        </w:rPr>
        <w:tab/>
        <w:t xml:space="preserve">אורי מאירי </w:t>
      </w:r>
      <w:r>
        <w:rPr>
          <w:rFonts w:hint="cs"/>
          <w:noProof w:val="0"/>
          <w:rtl/>
        </w:rPr>
        <w:tab/>
      </w:r>
      <w:r>
        <w:rPr>
          <w:rFonts w:hint="cs"/>
          <w:noProof w:val="0"/>
          <w:rtl/>
        </w:rPr>
        <w:tab/>
      </w:r>
      <w:r>
        <w:rPr>
          <w:rFonts w:hint="cs"/>
          <w:noProof w:val="0"/>
          <w:rtl/>
        </w:rPr>
        <w:tab/>
        <w:t>-התאחדות התעשיינים</w:t>
      </w:r>
    </w:p>
    <w:p w:rsidR="00000000" w:rsidRDefault="00CA1284">
      <w:pPr>
        <w:rPr>
          <w:rFonts w:hint="cs"/>
          <w:noProof w:val="0"/>
          <w:rtl/>
        </w:rPr>
      </w:pPr>
      <w:r>
        <w:rPr>
          <w:rFonts w:hint="cs"/>
          <w:noProof w:val="0"/>
          <w:rtl/>
        </w:rPr>
        <w:tab/>
      </w:r>
      <w:r>
        <w:rPr>
          <w:rFonts w:hint="cs"/>
          <w:noProof w:val="0"/>
          <w:rtl/>
        </w:rPr>
        <w:tab/>
      </w:r>
      <w:r>
        <w:rPr>
          <w:rFonts w:hint="cs"/>
          <w:noProof w:val="0"/>
          <w:rtl/>
        </w:rPr>
        <w:tab/>
        <w:t>עו"ד נועה בן אריה</w:t>
      </w:r>
      <w:r>
        <w:rPr>
          <w:rFonts w:hint="cs"/>
          <w:noProof w:val="0"/>
          <w:rtl/>
        </w:rPr>
        <w:tab/>
      </w:r>
      <w:r>
        <w:rPr>
          <w:rFonts w:hint="cs"/>
          <w:noProof w:val="0"/>
          <w:rtl/>
        </w:rPr>
        <w:tab/>
        <w:t>-יועץ משפטי, מרכז השלטון המקומי</w:t>
      </w:r>
    </w:p>
    <w:p w:rsidR="00000000" w:rsidRDefault="00CA1284">
      <w:pPr>
        <w:rPr>
          <w:rFonts w:hint="cs"/>
          <w:noProof w:val="0"/>
          <w:rtl/>
        </w:rPr>
      </w:pPr>
      <w:r>
        <w:rPr>
          <w:rFonts w:hint="cs"/>
          <w:noProof w:val="0"/>
          <w:rtl/>
        </w:rPr>
        <w:tab/>
      </w:r>
      <w:r>
        <w:rPr>
          <w:rFonts w:hint="cs"/>
          <w:noProof w:val="0"/>
          <w:rtl/>
        </w:rPr>
        <w:tab/>
      </w:r>
      <w:r>
        <w:rPr>
          <w:rFonts w:hint="cs"/>
          <w:noProof w:val="0"/>
          <w:rtl/>
        </w:rPr>
        <w:tab/>
        <w:t>עו"ד יעל כהן</w:t>
      </w:r>
      <w:r>
        <w:rPr>
          <w:rFonts w:hint="cs"/>
          <w:noProof w:val="0"/>
          <w:rtl/>
        </w:rPr>
        <w:tab/>
      </w:r>
      <w:r>
        <w:rPr>
          <w:rFonts w:hint="cs"/>
          <w:noProof w:val="0"/>
          <w:rtl/>
        </w:rPr>
        <w:tab/>
      </w:r>
      <w:r>
        <w:rPr>
          <w:rFonts w:hint="cs"/>
          <w:noProof w:val="0"/>
          <w:rtl/>
        </w:rPr>
        <w:tab/>
        <w:t>-משרד ראש הממשלה</w:t>
      </w:r>
    </w:p>
    <w:p w:rsidR="00000000" w:rsidRDefault="00CA1284">
      <w:pPr>
        <w:rPr>
          <w:rFonts w:hint="cs"/>
          <w:noProof w:val="0"/>
          <w:rtl/>
        </w:rPr>
      </w:pPr>
      <w:r>
        <w:rPr>
          <w:rFonts w:hint="cs"/>
          <w:noProof w:val="0"/>
          <w:rtl/>
        </w:rPr>
        <w:tab/>
      </w:r>
      <w:r>
        <w:rPr>
          <w:rFonts w:hint="cs"/>
          <w:noProof w:val="0"/>
          <w:rtl/>
        </w:rPr>
        <w:tab/>
      </w:r>
      <w:r>
        <w:rPr>
          <w:rFonts w:hint="cs"/>
          <w:noProof w:val="0"/>
          <w:rtl/>
        </w:rPr>
        <w:tab/>
        <w:t>אלי מויאל</w:t>
      </w:r>
      <w:r>
        <w:rPr>
          <w:rFonts w:hint="cs"/>
          <w:noProof w:val="0"/>
          <w:rtl/>
        </w:rPr>
        <w:tab/>
      </w:r>
      <w:r>
        <w:rPr>
          <w:rFonts w:hint="cs"/>
          <w:noProof w:val="0"/>
          <w:rtl/>
        </w:rPr>
        <w:tab/>
      </w:r>
      <w:r>
        <w:rPr>
          <w:rFonts w:hint="cs"/>
          <w:noProof w:val="0"/>
          <w:rtl/>
        </w:rPr>
        <w:tab/>
        <w:t>-ראש עיריית שדרות</w:t>
      </w:r>
    </w:p>
    <w:p w:rsidR="00000000" w:rsidRDefault="00CA1284">
      <w:pPr>
        <w:rPr>
          <w:rFonts w:hint="cs"/>
          <w:noProof w:val="0"/>
          <w:rtl/>
        </w:rPr>
      </w:pPr>
      <w:r>
        <w:rPr>
          <w:rFonts w:hint="cs"/>
          <w:noProof w:val="0"/>
          <w:rtl/>
        </w:rPr>
        <w:tab/>
      </w:r>
      <w:r>
        <w:rPr>
          <w:rFonts w:hint="cs"/>
          <w:noProof w:val="0"/>
          <w:rtl/>
        </w:rPr>
        <w:tab/>
      </w:r>
      <w:r>
        <w:rPr>
          <w:rFonts w:hint="cs"/>
          <w:noProof w:val="0"/>
          <w:rtl/>
        </w:rPr>
        <w:tab/>
        <w:t>שמעון פרץ</w:t>
      </w:r>
      <w:r>
        <w:rPr>
          <w:rFonts w:hint="cs"/>
          <w:noProof w:val="0"/>
          <w:rtl/>
        </w:rPr>
        <w:tab/>
      </w:r>
      <w:r>
        <w:rPr>
          <w:rFonts w:hint="cs"/>
          <w:noProof w:val="0"/>
          <w:rtl/>
        </w:rPr>
        <w:tab/>
      </w:r>
      <w:r>
        <w:rPr>
          <w:rFonts w:hint="cs"/>
          <w:noProof w:val="0"/>
          <w:rtl/>
        </w:rPr>
        <w:tab/>
        <w:t>-מנכ"ל עיריית שדרות</w:t>
      </w:r>
    </w:p>
    <w:p w:rsidR="00000000" w:rsidRDefault="00CA1284">
      <w:pPr>
        <w:rPr>
          <w:rFonts w:hint="cs"/>
          <w:noProof w:val="0"/>
          <w:rtl/>
        </w:rPr>
      </w:pPr>
      <w:r>
        <w:rPr>
          <w:rFonts w:hint="cs"/>
          <w:noProof w:val="0"/>
          <w:rtl/>
        </w:rPr>
        <w:tab/>
      </w:r>
      <w:r>
        <w:rPr>
          <w:rFonts w:hint="cs"/>
          <w:noProof w:val="0"/>
          <w:rtl/>
        </w:rPr>
        <w:tab/>
      </w:r>
      <w:r>
        <w:rPr>
          <w:rFonts w:hint="cs"/>
          <w:noProof w:val="0"/>
          <w:rtl/>
        </w:rPr>
        <w:tab/>
        <w:t>יוסי כהן</w:t>
      </w:r>
      <w:r>
        <w:rPr>
          <w:rFonts w:hint="cs"/>
          <w:noProof w:val="0"/>
          <w:rtl/>
        </w:rPr>
        <w:tab/>
      </w:r>
      <w:r>
        <w:rPr>
          <w:rFonts w:hint="cs"/>
          <w:noProof w:val="0"/>
          <w:rtl/>
        </w:rPr>
        <w:tab/>
      </w:r>
      <w:r>
        <w:rPr>
          <w:rFonts w:hint="cs"/>
          <w:noProof w:val="0"/>
          <w:rtl/>
        </w:rPr>
        <w:tab/>
        <w:t>-עוזר לראש העיר שדרות</w:t>
      </w:r>
    </w:p>
    <w:p w:rsidR="00000000" w:rsidRDefault="00CA1284">
      <w:pPr>
        <w:rPr>
          <w:rFonts w:hint="cs"/>
          <w:noProof w:val="0"/>
          <w:rtl/>
        </w:rPr>
      </w:pPr>
      <w:r>
        <w:rPr>
          <w:rFonts w:hint="cs"/>
          <w:noProof w:val="0"/>
          <w:rtl/>
        </w:rPr>
        <w:tab/>
      </w:r>
      <w:r>
        <w:rPr>
          <w:rFonts w:hint="cs"/>
          <w:noProof w:val="0"/>
          <w:rtl/>
        </w:rPr>
        <w:tab/>
      </w:r>
      <w:r>
        <w:rPr>
          <w:rFonts w:hint="cs"/>
          <w:noProof w:val="0"/>
          <w:rtl/>
        </w:rPr>
        <w:tab/>
      </w:r>
    </w:p>
    <w:p w:rsidR="00000000" w:rsidRDefault="00CA1284">
      <w:pPr>
        <w:rPr>
          <w:rFonts w:hint="cs"/>
          <w:noProof w:val="0"/>
          <w:rtl/>
        </w:rPr>
      </w:pPr>
      <w:r>
        <w:rPr>
          <w:rFonts w:hint="cs"/>
          <w:noProof w:val="0"/>
          <w:rtl/>
        </w:rPr>
        <w:tab/>
      </w:r>
      <w:r>
        <w:rPr>
          <w:rFonts w:hint="cs"/>
          <w:noProof w:val="0"/>
          <w:rtl/>
        </w:rPr>
        <w:tab/>
      </w:r>
      <w:r>
        <w:rPr>
          <w:rFonts w:hint="cs"/>
          <w:noProof w:val="0"/>
          <w:rtl/>
        </w:rPr>
        <w:tab/>
      </w:r>
    </w:p>
    <w:p w:rsidR="00000000" w:rsidRDefault="00CA1284">
      <w:pPr>
        <w:rPr>
          <w:rFonts w:hint="cs"/>
          <w:noProof w:val="0"/>
          <w:rtl/>
        </w:rPr>
      </w:pPr>
    </w:p>
    <w:p w:rsidR="00000000" w:rsidRDefault="00CA1284">
      <w:pPr>
        <w:rPr>
          <w:rFonts w:hint="cs"/>
          <w:noProof w:val="0"/>
          <w:rtl/>
        </w:rPr>
      </w:pPr>
    </w:p>
    <w:p w:rsidR="00000000" w:rsidRDefault="00CA1284">
      <w:pPr>
        <w:rPr>
          <w:rFonts w:hint="cs"/>
          <w:noProof w:val="0"/>
          <w:rtl/>
        </w:rPr>
      </w:pPr>
    </w:p>
    <w:p w:rsidR="00000000" w:rsidRDefault="00CA1284">
      <w:pPr>
        <w:rPr>
          <w:rFonts w:hint="cs"/>
          <w:noProof w:val="0"/>
          <w:rtl/>
        </w:rPr>
      </w:pPr>
    </w:p>
    <w:p w:rsidR="00000000" w:rsidRDefault="00CA1284">
      <w:pPr>
        <w:rPr>
          <w:rFonts w:hint="cs"/>
          <w:noProof w:val="0"/>
          <w:rtl/>
        </w:rPr>
      </w:pPr>
      <w:r>
        <w:rPr>
          <w:noProof w:val="0"/>
          <w:rtl/>
        </w:rPr>
        <w:t xml:space="preserve"> </w:t>
      </w:r>
    </w:p>
    <w:p w:rsidR="00000000" w:rsidRDefault="00CA1284">
      <w:pPr>
        <w:rPr>
          <w:rFonts w:hint="cs"/>
          <w:b/>
          <w:bCs/>
          <w:noProof w:val="0"/>
          <w:u w:val="single"/>
          <w:rtl/>
        </w:rPr>
      </w:pPr>
    </w:p>
    <w:p w:rsidR="00000000" w:rsidRDefault="00CA1284">
      <w:pPr>
        <w:rPr>
          <w:rFonts w:hint="cs"/>
          <w:noProof w:val="0"/>
          <w:rtl/>
        </w:rPr>
      </w:pPr>
      <w:r>
        <w:rPr>
          <w:rFonts w:hint="cs"/>
          <w:b/>
          <w:bCs/>
          <w:noProof w:val="0"/>
          <w:u w:val="single"/>
          <w:rtl/>
        </w:rPr>
        <w:t>יועצת משפטי:</w:t>
      </w:r>
      <w:r>
        <w:rPr>
          <w:rFonts w:hint="cs"/>
          <w:noProof w:val="0"/>
          <w:rtl/>
        </w:rPr>
        <w:t xml:space="preserve"> אפרת רוזן</w:t>
      </w:r>
    </w:p>
    <w:p w:rsidR="00000000" w:rsidRDefault="00CA1284">
      <w:pPr>
        <w:rPr>
          <w:rFonts w:hint="cs"/>
          <w:b/>
          <w:bCs/>
          <w:noProof w:val="0"/>
          <w:u w:val="single"/>
          <w:rtl/>
        </w:rPr>
      </w:pPr>
    </w:p>
    <w:p w:rsidR="00000000" w:rsidRDefault="00CA1284">
      <w:pPr>
        <w:rPr>
          <w:rFonts w:hint="cs"/>
          <w:noProof w:val="0"/>
          <w:rtl/>
        </w:rPr>
      </w:pPr>
      <w:r>
        <w:rPr>
          <w:rFonts w:hint="cs"/>
          <w:b/>
          <w:bCs/>
          <w:noProof w:val="0"/>
          <w:u w:val="single"/>
          <w:rtl/>
        </w:rPr>
        <w:t xml:space="preserve">מנהלת הוועדה: </w:t>
      </w:r>
      <w:r>
        <w:rPr>
          <w:rFonts w:hint="cs"/>
          <w:noProof w:val="0"/>
          <w:rtl/>
        </w:rPr>
        <w:t>ירדנה שוחט</w:t>
      </w:r>
    </w:p>
    <w:p w:rsidR="00000000" w:rsidRDefault="00CA1284">
      <w:pPr>
        <w:rPr>
          <w:rFonts w:hint="cs"/>
          <w:b/>
          <w:bCs/>
          <w:noProof w:val="0"/>
          <w:u w:val="single"/>
          <w:rtl/>
        </w:rPr>
      </w:pPr>
    </w:p>
    <w:p w:rsidR="00000000" w:rsidRDefault="00CA1284">
      <w:pPr>
        <w:rPr>
          <w:rFonts w:hint="cs"/>
          <w:noProof w:val="0"/>
          <w:rtl/>
        </w:rPr>
      </w:pPr>
      <w:r>
        <w:rPr>
          <w:rFonts w:hint="cs"/>
          <w:b/>
          <w:bCs/>
          <w:noProof w:val="0"/>
          <w:u w:val="single"/>
          <w:rtl/>
        </w:rPr>
        <w:t>רשמת פרלמנטרית:</w:t>
      </w:r>
      <w:r>
        <w:rPr>
          <w:rFonts w:hint="cs"/>
          <w:noProof w:val="0"/>
          <w:rtl/>
        </w:rPr>
        <w:t xml:space="preserve"> מיטל בר-שלום</w:t>
      </w:r>
    </w:p>
    <w:p w:rsidR="00000000" w:rsidRDefault="00CA1284">
      <w:pPr>
        <w:rPr>
          <w:rFonts w:hint="cs"/>
          <w:b/>
          <w:bCs/>
          <w:noProof w:val="0"/>
          <w:rtl/>
        </w:rPr>
      </w:pPr>
      <w:r>
        <w:rPr>
          <w:rFonts w:hint="cs"/>
          <w:b/>
          <w:bCs/>
          <w:noProof w:val="0"/>
          <w:rtl/>
        </w:rPr>
        <w:t xml:space="preserve">                            </w:t>
      </w:r>
    </w:p>
    <w:p w:rsidR="00000000" w:rsidRDefault="00CA1284">
      <w:pPr>
        <w:tabs>
          <w:tab w:val="left" w:pos="1221"/>
        </w:tabs>
        <w:rPr>
          <w:rFonts w:hint="cs"/>
          <w:noProof w:val="0"/>
          <w:rtl/>
        </w:rPr>
      </w:pPr>
      <w:r>
        <w:rPr>
          <w:rFonts w:hint="cs"/>
          <w:noProof w:val="0"/>
          <w:rtl/>
        </w:rPr>
        <w:t xml:space="preserve">                              </w:t>
      </w:r>
    </w:p>
    <w:p w:rsidR="00000000" w:rsidRDefault="00CA1284">
      <w:pPr>
        <w:tabs>
          <w:tab w:val="left" w:pos="1221"/>
        </w:tabs>
        <w:rPr>
          <w:rFonts w:hint="cs"/>
          <w:noProof w:val="0"/>
          <w:rtl/>
        </w:rPr>
      </w:pPr>
    </w:p>
    <w:p w:rsidR="00000000" w:rsidRDefault="00CA1284">
      <w:pPr>
        <w:tabs>
          <w:tab w:val="left" w:pos="1221"/>
        </w:tabs>
        <w:rPr>
          <w:rFonts w:hint="cs"/>
          <w:noProof w:val="0"/>
          <w:rtl/>
        </w:rPr>
      </w:pPr>
    </w:p>
    <w:p w:rsidR="00000000" w:rsidRDefault="00CA1284">
      <w:pPr>
        <w:rPr>
          <w:rFonts w:hint="cs"/>
          <w:b/>
          <w:bCs/>
          <w:noProof w:val="0"/>
          <w:u w:val="single"/>
          <w:rtl/>
        </w:rPr>
      </w:pPr>
      <w:r>
        <w:rPr>
          <w:rFonts w:hint="cs"/>
          <w:b/>
          <w:bCs/>
          <w:noProof w:val="0"/>
          <w:u w:val="single"/>
          <w:rtl/>
        </w:rPr>
        <w:t>תקנות חובה המכרזים (העדפת תוצרת מאזורי עדיפ</w:t>
      </w:r>
      <w:r>
        <w:rPr>
          <w:rFonts w:hint="cs"/>
          <w:b/>
          <w:bCs/>
          <w:noProof w:val="0"/>
          <w:u w:val="single"/>
          <w:rtl/>
        </w:rPr>
        <w:t xml:space="preserve">ות לאומית) (תיקון), התשס"ה </w:t>
      </w:r>
      <w:r>
        <w:rPr>
          <w:b/>
          <w:bCs/>
          <w:noProof w:val="0"/>
          <w:u w:val="single"/>
          <w:rtl/>
        </w:rPr>
        <w:t>–</w:t>
      </w:r>
      <w:r>
        <w:rPr>
          <w:rFonts w:hint="cs"/>
          <w:b/>
          <w:bCs/>
          <w:noProof w:val="0"/>
          <w:u w:val="single"/>
          <w:rtl/>
        </w:rPr>
        <w:t xml:space="preserve"> 2005- אישור התקנות</w:t>
      </w:r>
    </w:p>
    <w:p w:rsidR="00000000" w:rsidRDefault="00CA1284">
      <w:pPr>
        <w:rPr>
          <w:rFonts w:hint="cs"/>
          <w:b/>
          <w:bCs/>
          <w:noProof w:val="0"/>
          <w:u w:val="single"/>
          <w:rtl/>
        </w:rPr>
      </w:pPr>
    </w:p>
    <w:p w:rsidR="00000000" w:rsidRDefault="00CA1284">
      <w:pPr>
        <w:rPr>
          <w:rFonts w:hint="cs"/>
          <w:noProof w:val="0"/>
          <w:u w:val="single"/>
          <w:rtl/>
        </w:rPr>
      </w:pPr>
      <w:r>
        <w:rPr>
          <w:rFonts w:hint="cs"/>
          <w:noProof w:val="0"/>
          <w:u w:val="single"/>
          <w:rtl/>
        </w:rPr>
        <w:t>היו</w:t>
      </w:r>
      <w:r>
        <w:rPr>
          <w:noProof w:val="0"/>
          <w:u w:val="single"/>
          <w:rtl/>
        </w:rPr>
        <w:t>”</w:t>
      </w:r>
      <w:r>
        <w:rPr>
          <w:rFonts w:hint="cs"/>
          <w:noProof w:val="0"/>
          <w:u w:val="single"/>
          <w:rtl/>
        </w:rPr>
        <w:t>ר מיכאל איתן:</w:t>
      </w:r>
    </w:p>
    <w:p w:rsidR="00000000" w:rsidRDefault="00CA1284">
      <w:pPr>
        <w:rPr>
          <w:rFonts w:hint="cs"/>
          <w:b/>
          <w:bCs/>
          <w:noProof w:val="0"/>
          <w:u w:val="single"/>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שלום, אני פותח את ישיבת הוועדה. אני מתנצל על העיכוב, אבל היה דיון בחוק פינוי-פיצוי עכשיו בוועדה, ובתור יו"ר ועדת החוקה שהכינה את החוק, אני הייתי צריך להציג אותו במליאה. </w:t>
      </w:r>
    </w:p>
    <w:p w:rsidR="00000000" w:rsidRDefault="00CA1284">
      <w:pPr>
        <w:rPr>
          <w:rFonts w:hint="cs"/>
          <w:noProof w:val="0"/>
          <w:rtl/>
        </w:rPr>
      </w:pPr>
    </w:p>
    <w:p w:rsidR="00000000" w:rsidRDefault="00CA1284">
      <w:pPr>
        <w:rPr>
          <w:rFonts w:hint="cs"/>
          <w:noProof w:val="0"/>
          <w:rtl/>
        </w:rPr>
      </w:pPr>
      <w:r>
        <w:rPr>
          <w:rFonts w:hint="cs"/>
          <w:noProof w:val="0"/>
          <w:u w:val="single"/>
          <w:rtl/>
        </w:rPr>
        <w:t>אפרת רוזן:</w:t>
      </w:r>
    </w:p>
    <w:p w:rsidR="00000000" w:rsidRDefault="00CA1284">
      <w:pPr>
        <w:rPr>
          <w:rFonts w:hint="cs"/>
          <w:noProof w:val="0"/>
          <w:rtl/>
        </w:rPr>
      </w:pPr>
    </w:p>
    <w:p w:rsidR="00000000" w:rsidRDefault="00CA1284">
      <w:pPr>
        <w:rPr>
          <w:rFonts w:hint="cs"/>
          <w:noProof w:val="0"/>
          <w:rtl/>
        </w:rPr>
      </w:pPr>
      <w:r>
        <w:rPr>
          <w:rFonts w:hint="cs"/>
          <w:noProof w:val="0"/>
          <w:rtl/>
        </w:rPr>
        <w:tab/>
        <w:t>הבי</w:t>
      </w:r>
      <w:r>
        <w:rPr>
          <w:rFonts w:hint="cs"/>
          <w:noProof w:val="0"/>
          <w:rtl/>
        </w:rPr>
        <w:t xml:space="preserve">או לאישור הוועדה את תקנות חובת המכרזים, העדפת תוצרת מאזורי עדיפות לאומית. אלה תקנות שנוגעות להתקשרויות של מערכת הביטחון, והן קובעות הוראות גם לעניין העדפה של תוצרת מאזורי עדיפות לאומית, וגם הוראות לעניין הגבלה במכרזים. </w:t>
      </w:r>
      <w:r>
        <w:rPr>
          <w:rFonts w:hint="cs"/>
          <w:noProof w:val="0"/>
          <w:rtl/>
        </w:rPr>
        <w:tab/>
      </w:r>
    </w:p>
    <w:p w:rsidR="00000000" w:rsidRDefault="00CA1284">
      <w:pPr>
        <w:tabs>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לפני שנה נקבעה הוראת שעה שהסתיימה</w:t>
      </w:r>
      <w:r>
        <w:rPr>
          <w:rFonts w:hint="cs"/>
          <w:noProof w:val="0"/>
          <w:rtl/>
        </w:rPr>
        <w:t xml:space="preserve"> בסוף יוני 2004, ועכשיו הביאו לנו נוסח שהוא שונה מהוראת השעה בדבר אחד מרכזי. בהוראת השעה אנחנו ניסינו להגדיר אזור קו עימות, כאשר הגדרנו את זה כאזורי תעשייה ומתחמים שמנויים בהחלטת הממשלה ברשימת אזורי קו עימות, כאשר לא אמרנו באיזה אזורים של קו עימות. בעבר זה</w:t>
      </w:r>
      <w:r>
        <w:rPr>
          <w:rFonts w:hint="cs"/>
          <w:noProof w:val="0"/>
          <w:rtl/>
        </w:rPr>
        <w:t xml:space="preserve"> היה בצפון. </w:t>
      </w:r>
    </w:p>
    <w:p w:rsidR="00000000" w:rsidRDefault="00CA1284">
      <w:pPr>
        <w:tabs>
          <w:tab w:val="left" w:pos="1221"/>
        </w:tabs>
        <w:rPr>
          <w:rFonts w:hint="cs"/>
          <w:noProof w:val="0"/>
          <w:rtl/>
        </w:rPr>
      </w:pPr>
    </w:p>
    <w:p w:rsidR="00000000" w:rsidRDefault="00CA1284">
      <w:pPr>
        <w:tabs>
          <w:tab w:val="left" w:pos="1221"/>
        </w:tabs>
        <w:rPr>
          <w:rFonts w:hint="cs"/>
          <w:noProof w:val="0"/>
          <w:rtl/>
        </w:rPr>
      </w:pPr>
      <w:r>
        <w:rPr>
          <w:rFonts w:hint="cs"/>
          <w:noProof w:val="0"/>
          <w:u w:val="single"/>
          <w:rtl/>
        </w:rPr>
        <w:t>היו</w:t>
      </w:r>
      <w:r>
        <w:rPr>
          <w:noProof w:val="0"/>
          <w:u w:val="single"/>
          <w:rtl/>
        </w:rPr>
        <w:t>”</w:t>
      </w:r>
      <w:r>
        <w:rPr>
          <w:rFonts w:hint="cs"/>
          <w:noProof w:val="0"/>
          <w:u w:val="single"/>
          <w:rtl/>
        </w:rPr>
        <w:t>ר מיכאל איתן:</w:t>
      </w:r>
    </w:p>
    <w:p w:rsidR="00000000" w:rsidRDefault="00CA1284">
      <w:pPr>
        <w:tabs>
          <w:tab w:val="left" w:pos="1221"/>
        </w:tabs>
        <w:rPr>
          <w:rFonts w:hint="cs"/>
          <w:noProof w:val="0"/>
          <w:rtl/>
        </w:rPr>
      </w:pPr>
    </w:p>
    <w:p w:rsidR="00000000" w:rsidRDefault="00CA1284">
      <w:pPr>
        <w:pStyle w:val="a7"/>
        <w:tabs>
          <w:tab w:val="left" w:pos="512"/>
          <w:tab w:val="left" w:pos="1221"/>
        </w:tabs>
        <w:overflowPunct w:val="0"/>
        <w:autoSpaceDE w:val="0"/>
        <w:autoSpaceDN w:val="0"/>
        <w:adjustRightInd w:val="0"/>
        <w:textAlignment w:val="baseline"/>
        <w:rPr>
          <w:rFonts w:cs="David" w:hint="cs"/>
          <w:sz w:val="22"/>
          <w:rtl/>
        </w:rPr>
      </w:pPr>
      <w:r>
        <w:rPr>
          <w:rFonts w:cs="David" w:hint="cs"/>
          <w:sz w:val="22"/>
          <w:rtl/>
        </w:rPr>
        <w:tab/>
        <w:t>מה היה לפני שנה?</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אפרת רוזן: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נוסח התקנות כרגע, וגם מה שהיה לפני שנה, מגדיר אזור קו עימות כאזור עדיפות לאומית, שבשטחי היישובים ואזורי התעשייה, שמנויים בהחלטת ממשלה ברשימת אזור קו עימות בצפון. הוראת השעה שנסתיימה ביוני 200</w:t>
      </w:r>
      <w:r>
        <w:rPr>
          <w:rFonts w:hint="cs"/>
          <w:noProof w:val="0"/>
          <w:rtl/>
        </w:rPr>
        <w:t xml:space="preserve">4 הגדירה את זה כאזורי תעשייה ומתחמים, שמנויים בהחלטת ממשלה ברשימת אזור קו עימות. </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היו</w:t>
      </w:r>
      <w:r>
        <w:rPr>
          <w:noProof w:val="0"/>
          <w:u w:val="single"/>
          <w:rtl/>
        </w:rPr>
        <w:t>”</w:t>
      </w:r>
      <w:r>
        <w:rPr>
          <w:rFonts w:hint="cs"/>
          <w:noProof w:val="0"/>
          <w:u w:val="single"/>
          <w:rtl/>
        </w:rPr>
        <w:t>ר מיכאל איתן: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אבל מה היה בפועל?</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אפרת רוזן: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 xml:space="preserve">בפועל, זה הוגדר על ידי החלטת ממשלה. </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 xml:space="preserve"> </w:t>
      </w:r>
      <w:r>
        <w:rPr>
          <w:rFonts w:hint="cs"/>
          <w:noProof w:val="0"/>
          <w:u w:val="single"/>
          <w:rtl/>
        </w:rPr>
        <w:t>היו</w:t>
      </w:r>
      <w:r>
        <w:rPr>
          <w:noProof w:val="0"/>
          <w:u w:val="single"/>
          <w:rtl/>
        </w:rPr>
        <w:t>”</w:t>
      </w:r>
      <w:r>
        <w:rPr>
          <w:rFonts w:hint="cs"/>
          <w:noProof w:val="0"/>
          <w:u w:val="single"/>
          <w:rtl/>
        </w:rPr>
        <w:t>ר מיכאל איתן: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מה היתה החלטת הממשלה?</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אבשלום וילן: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איזה יישובים או אזורים ה</w:t>
      </w:r>
      <w:r>
        <w:rPr>
          <w:rFonts w:hint="cs"/>
          <w:noProof w:val="0"/>
          <w:rtl/>
        </w:rPr>
        <w:t>וכנסו לקו העימות?</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אפרת רוזן:</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 xml:space="preserve">היה את הגבול המוניציפלי. </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u w:val="single"/>
          <w:rtl/>
        </w:rPr>
        <w:t>דינה בנרי:</w:t>
      </w:r>
    </w:p>
    <w:p w:rsidR="00000000" w:rsidRDefault="00CA1284">
      <w:pPr>
        <w:tabs>
          <w:tab w:val="left" w:pos="512"/>
          <w:tab w:val="left" w:pos="1221"/>
        </w:tabs>
        <w:rPr>
          <w:rFonts w:hint="cs"/>
          <w:noProof w:val="0"/>
          <w:rtl/>
        </w:rPr>
      </w:pPr>
    </w:p>
    <w:p w:rsidR="00000000" w:rsidRDefault="00CA1284">
      <w:pPr>
        <w:tabs>
          <w:tab w:val="left" w:pos="512"/>
          <w:tab w:val="left" w:pos="1221"/>
        </w:tabs>
        <w:rPr>
          <w:rFonts w:hint="cs"/>
          <w:noProof w:val="0"/>
          <w:rtl/>
        </w:rPr>
      </w:pPr>
      <w:r>
        <w:rPr>
          <w:rFonts w:hint="cs"/>
          <w:noProof w:val="0"/>
          <w:rtl/>
        </w:rPr>
        <w:tab/>
        <w:t xml:space="preserve">מה שנכלל בהוראת השעה, היו יישובים בצפון ושדרות רבתי מכוח החלטת ממשלה.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מה זה שדרות רבתי?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דינה בנרי: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ישנה הגדרה לכך.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lastRenderedPageBreak/>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מה היתה אז ההגדרה?</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די</w:t>
      </w:r>
      <w:r>
        <w:rPr>
          <w:rFonts w:cs="David" w:hint="cs"/>
          <w:sz w:val="22"/>
          <w:u w:val="single"/>
          <w:rtl/>
        </w:rPr>
        <w:t>נה בנרי: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אותה הגדרה שקיימת היום. התחום הגיאוגרפי של אזור שדרות רבתי לעניין החלטה זו הוא כמפורט להל"ן: שטח השיפוט של עיריית שדרות, אזור התעשייה "ספירים"...</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אני זוכר ששאלתי את עצמי, מה שייך קמפוס המכללה האקדמית "ספיר".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דינה בנרי:</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p>
    <w:p w:rsidR="00000000" w:rsidRDefault="00CA1284">
      <w:pPr>
        <w:pStyle w:val="a7"/>
        <w:overflowPunct w:val="0"/>
        <w:autoSpaceDE w:val="0"/>
        <w:autoSpaceDN w:val="0"/>
        <w:adjustRightInd w:val="0"/>
        <w:ind w:firstLine="567"/>
        <w:textAlignment w:val="baseline"/>
        <w:rPr>
          <w:rFonts w:cs="David" w:hint="cs"/>
          <w:sz w:val="22"/>
          <w:rtl/>
        </w:rPr>
      </w:pPr>
      <w:r>
        <w:rPr>
          <w:rFonts w:cs="David" w:hint="cs"/>
          <w:sz w:val="22"/>
          <w:rtl/>
        </w:rPr>
        <w:t>ז</w:t>
      </w:r>
      <w:r>
        <w:rPr>
          <w:rFonts w:cs="David" w:hint="cs"/>
          <w:sz w:val="22"/>
          <w:rtl/>
        </w:rPr>
        <w:t xml:space="preserve">ה הוצא. זה כולל את שטח השיפוט של עיריית שדרות, אזור התעשייה "ספירים" ואזור התעשייה "מפעלי שער הנגב". זה נכון גם היום.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כלומר, אנחנו מחדשים את מה שהיה עד היום.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דינה בנרי: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נכון.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אז אם הסכמנו אז, למה שלא נסכים גם </w:t>
      </w:r>
      <w:r>
        <w:rPr>
          <w:rFonts w:cs="David" w:hint="cs"/>
          <w:sz w:val="22"/>
          <w:rtl/>
        </w:rPr>
        <w:t xml:space="preserve">עכשיו?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אבשלום וילן: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אגב, גם בקמפוס נפלו קאסמים. האם מדובר רק בשדרות, או גם בכל היישובים סובב עזה?</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דינה בנרי: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זה בדיוק מה שקראתי. שטח השיפוט של עיריית שדרות, אזור התעשייה "ספירים" ואזור התעשייה "מפעלי שער הנגב". יש גם תיחום על ידי תב"ע.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אבשלום וילן</w:t>
      </w:r>
      <w:r>
        <w:rPr>
          <w:rFonts w:cs="David" w:hint="cs"/>
          <w:sz w:val="22"/>
          <w:u w:val="single"/>
          <w:rtl/>
        </w:rPr>
        <w:t>:</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האם זו הגדרת הממשלה לגבי יישובים קו עימות?</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אפרת רוזן: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לא, לגבי אזור שדרות רבתי. </w:t>
      </w: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ind w:firstLine="567"/>
        <w:textAlignment w:val="baseline"/>
        <w:rPr>
          <w:rFonts w:cs="David" w:hint="cs"/>
          <w:sz w:val="22"/>
          <w:rtl/>
        </w:rPr>
      </w:pPr>
      <w:r>
        <w:rPr>
          <w:rFonts w:cs="David" w:hint="cs"/>
          <w:sz w:val="22"/>
          <w:rtl/>
        </w:rPr>
        <w:t xml:space="preserve">זה לא נכון. יש החלטה אחרת לגבי עוטף עזה.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אני רוצה לומר, למה אני אז התעקשתי, ולמה אני חושב שאני צריך להתעקש גם עכשיו. עם כל הכבוד, זה לא</w:t>
      </w:r>
      <w:r>
        <w:rPr>
          <w:rFonts w:cs="David" w:hint="cs"/>
          <w:sz w:val="22"/>
          <w:rtl/>
        </w:rPr>
        <w:t xml:space="preserve"> סוד שהנפגעים העיקריים מהקאסמים, היו תושבי העיר שדרות. אם אנחנו לא נמקד את העדפה לשדרות, אז אנחנו דופקים אותם. בסו]פו של דבר ילכו לאזור לקבל את ההטבות, אבל כמה קילומטר משם. האם אנחנו רוצים לעזור להם, או שאנחנו רוצים להשתמש בהם כגו לעזור למישהו אחר?</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יולי ת</w:t>
      </w:r>
      <w:r>
        <w:rPr>
          <w:rFonts w:cs="David" w:hint="cs"/>
          <w:sz w:val="22"/>
          <w:u w:val="single"/>
          <w:rtl/>
        </w:rPr>
        <w:t>מיר:</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אבל מדובר במפעלים קיימים. יש עכשיו בקשה לאשר את הצו עכשיו לגבי שדרות רבתי, וזה חשוב להם בגלל המכרזים הקרובים. אני הבנתי כי ישנה גם כוונת ממשלה להביא בקרוב גם את יישובי רצועת עוטף עזה ולהכליל אותם בצו אין פה ניגוד אינטרסים.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ind w:firstLine="567"/>
        <w:textAlignment w:val="baseline"/>
        <w:rPr>
          <w:rFonts w:cs="David" w:hint="cs"/>
          <w:sz w:val="22"/>
          <w:rtl/>
        </w:rPr>
      </w:pPr>
      <w:r>
        <w:rPr>
          <w:rFonts w:cs="David" w:hint="cs"/>
          <w:sz w:val="22"/>
          <w:rtl/>
        </w:rPr>
        <w:t>אנחנו</w:t>
      </w:r>
      <w:r>
        <w:rPr>
          <w:rFonts w:cs="David" w:hint="cs"/>
          <w:sz w:val="22"/>
          <w:rtl/>
        </w:rPr>
        <w:t xml:space="preserve"> לא דנים כרגע בסוגיה הזו.  את בטח תעלי את זה כאן בעתיד, ואנחנו נדון בעניין.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אבשלום וילן: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כאשר הגדרנו את קו העימות בצפון, אז קריית שמונה קיבלה עדיפות מאוד ברורה, כול מיסוי, ואחר כך היתה לנו הגדרה של יישובי גדר וקו 9 קילומטר. מיש נתן את ההגדרה, היה צה"ל.</w:t>
      </w:r>
      <w:r>
        <w:rPr>
          <w:rFonts w:cs="David" w:hint="cs"/>
          <w:sz w:val="22"/>
          <w:rtl/>
        </w:rPr>
        <w:t xml:space="preserve"> היו הרבה פעמים פניות לוועדת כספים, והיה ברור שהדרך היחידה לפתור את זה, זה לפעול בדיוק של מחוגה. ללכת רק להיכן שגורמי הביטחון סימנו והממשלה אישרה. אני יודע שגם בעוטף עזה, יש גם מעבר לכביש. כבר כולם מטלפנים וכל אחד רוצה באותה הזדמנות לעשות שיפור עמדות.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ind w:firstLine="567"/>
        <w:textAlignment w:val="baseline"/>
        <w:rPr>
          <w:rFonts w:cs="David" w:hint="cs"/>
          <w:sz w:val="22"/>
          <w:rtl/>
        </w:rPr>
      </w:pPr>
      <w:r>
        <w:rPr>
          <w:rFonts w:cs="David" w:hint="cs"/>
          <w:sz w:val="22"/>
          <w:rtl/>
        </w:rPr>
        <w:t>ל</w:t>
      </w:r>
      <w:r>
        <w:rPr>
          <w:rFonts w:cs="David" w:hint="cs"/>
          <w:sz w:val="22"/>
          <w:rtl/>
        </w:rPr>
        <w:t>כן, אני מציע שנאשר את הצו לגבוי שדרות, ושתצא מפה פנייה לממשלה, לעשות סדר לגבי עוטף עזה, מושבים וכמה קיבוצים, ולקבוע מה הקו.</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יש קו ברור. יש שמות של יישובים.</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אני מציע שנשאיר את זה לדיון.  יש חילוקי דעות בנוגע לזה. אני קודם</w:t>
      </w:r>
      <w:r>
        <w:rPr>
          <w:rFonts w:cs="David" w:hint="cs"/>
          <w:sz w:val="22"/>
          <w:rtl/>
        </w:rPr>
        <w:t xml:space="preserve"> כל מאחל לכל עם ישראל ולתושבי האזור שלא ייפלו קאסמים ושלא נזדקק לשום דבר בגלל נפילת קאסמים, אלא בגלל צרכים אחרים.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במשך שנים רבות שדרות היתה צריכה להיות סמוכה על שולחנם של יישובי הסביבה, ולכן אני לא הייתי רואה בזה פסול ששדרות תקבל עדיפות, ללא קשר לכל הדב</w:t>
      </w:r>
      <w:r>
        <w:rPr>
          <w:rFonts w:cs="David" w:hint="cs"/>
          <w:sz w:val="22"/>
          <w:rtl/>
        </w:rPr>
        <w:t xml:space="preserve">רים האחרים, עם קאסמים ובלי קאסמים.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אם אנחנו אומרים שאנחנו ניתן עדיפות ליפו, אנחנו יכולים לקחת את אזור יפו ד' ואת אזור יפו צמרת, היכן שגרים המיליונרים הכי גדולים, וכולם ילכו לשם. אם אתה נותן את אותה העדפה פה ושם, אז מה עשית? לא עשית כלום. אם אנחנו רוצים </w:t>
      </w:r>
      <w:r>
        <w:rPr>
          <w:rFonts w:cs="David" w:hint="cs"/>
          <w:sz w:val="22"/>
          <w:rtl/>
        </w:rPr>
        <w:t>לתת העדפה לשדרות, ניתן העדפה לשדרות. אם אנחנו רוצים לתת העדפה למקומות אחרים, ניתן העדפה למקומות אחרים. אם ניתן את אות ה רמה של העדפה לשדרות ולמקום אחר, אנחנו דוקים את שדרות ולא עוזרים לה בכלום. בכל מקרה, זה לא ויכוח לדיון הזה.</w:t>
      </w: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אין חילוקי דעות ע</w:t>
      </w:r>
      <w:r>
        <w:rPr>
          <w:rFonts w:cs="David" w:hint="cs"/>
          <w:sz w:val="22"/>
          <w:rtl/>
        </w:rPr>
        <w:t xml:space="preserve">ל כך שאנחנו נאשר עכשיו את התקנות האלה. עם זאת, אתה טועה בגישתך. גם ראש עיריית שדרות מבין שאנחנו אזור ואנחנו לא נקודה אחת. מכיוון שהממשלה באה ודיברה על עוד כמה קיבוצים ומושבים שחוטפים קאסמים וניזוקים, יש לכלול אותם בעניין אחד. כיוון שזה לא לפנינו, אנחנו לא </w:t>
      </w:r>
      <w:r>
        <w:rPr>
          <w:rFonts w:cs="David" w:hint="cs"/>
          <w:sz w:val="22"/>
          <w:rtl/>
        </w:rPr>
        <w:t xml:space="preserve">נעכב את הדברים וקודם כל נאשר את הצו המונח לפנינו. כאשר הממשלה תביא את הצו השני, נאשר אותו גם.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לא, את זה אני לא אמרתי.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אל תהיה נגד מראש.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תהיה הגון. נגיד שאני צריך לתת תוספת מורים בעלי יכולת ואני מקבל</w:t>
      </w:r>
      <w:r>
        <w:rPr>
          <w:rFonts w:cs="David" w:hint="cs"/>
          <w:sz w:val="22"/>
          <w:rtl/>
        </w:rPr>
        <w:t xml:space="preserve"> סובסידיה להעביר מורים בעלי יכולת לאזור שדרות.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מה ההבדל בין שדרות לנחל עוז?</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u w:val="single"/>
          <w:rtl/>
        </w:rPr>
      </w:pPr>
      <w:r>
        <w:rPr>
          <w:rFonts w:cs="David" w:hint="cs"/>
          <w:sz w:val="22"/>
          <w:u w:val="single"/>
          <w:rtl/>
        </w:rPr>
        <w:t>אתי לבני: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או ענר.</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ראש העיר לא מתנגד לעניין הזה.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אני מתנגד. אם אני מקבל תקציב לחיזוק מוסדות חינוך. אני עדיין לא יודע באיזה יישובי</w:t>
      </w:r>
      <w:r>
        <w:rPr>
          <w:rFonts w:cs="David" w:hint="cs"/>
          <w:sz w:val="22"/>
          <w:rtl/>
        </w:rPr>
        <w:t xml:space="preserve">ם מדובר, אבל נקיים ונראה באיזה יישובים מדובר ומה הטעם. אם אני שולח תגבור מורים לאזור, אני מנציח מצב שבו אנשים שעושים תרגילים לעזוב את שדרות והולכים ללמוד בבתי הספר של האזור. אם אני רוצה לחזק את שדרות, אני אגרום לכך שדווקא תושבי האזור יבוא ללמוד בשדרות. אם </w:t>
      </w:r>
      <w:r>
        <w:rPr>
          <w:rFonts w:cs="David" w:hint="cs"/>
          <w:sz w:val="22"/>
          <w:rtl/>
        </w:rPr>
        <w:t xml:space="preserve">אני רוצה לקדם את שדרות, אני אתן תוספת לשדרות על מנת שתושבי הסביבה יבואו לשדרות. אם אני אתן לכולם תוספת במידה שווה, ימשיכו לעזוב את שדרות.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אבל אתה מפלה פה, כי הסביבה פה היא סיבה ביטחונית ולא חברתית.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הסיבה היא גם חברתית. </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 xml:space="preserve">  </w:t>
      </w: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הסיבה היא סיבה ביטחונית. לקחו מחוגה וראו היכן נפלו הקאסמים ושימנו יישובים בגלל בעיה טכנית, הממשלה לא מביאה את הכל יחד. היה צריך להיות פה צו של שדרות רבתי ועוד צו של רשימת יישובים. אם הכל היה פה לפנינו, היית אומר זה כן וזה לא?</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w:t>
      </w:r>
      <w:r>
        <w:rPr>
          <w:rFonts w:cs="David" w:hint="cs"/>
          <w:sz w:val="22"/>
          <w:u w:val="single"/>
          <w:rtl/>
        </w:rPr>
        <w:t>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בהחלט.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יצחק לוי:</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אז אתה מפלה.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יולי תמיר:</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זה ויכוח לדיון הבא. בואו נאשר את הצו.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u w:val="single"/>
          <w:rtl/>
        </w:rPr>
        <w:t>היו</w:t>
      </w:r>
      <w:r>
        <w:rPr>
          <w:rFonts w:cs="David"/>
          <w:sz w:val="22"/>
          <w:u w:val="single"/>
          <w:rtl/>
        </w:rPr>
        <w:t>”</w:t>
      </w:r>
      <w:r>
        <w:rPr>
          <w:rFonts w:cs="David" w:hint="cs"/>
          <w:sz w:val="22"/>
          <w:u w:val="single"/>
          <w:rtl/>
        </w:rPr>
        <w:t>ר מיכאל איתן: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נכון. אני מביא את זה להצבעה. </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r>
        <w:rPr>
          <w:rFonts w:cs="David" w:hint="cs"/>
          <w:sz w:val="22"/>
          <w:rtl/>
        </w:rPr>
        <w:tab/>
      </w:r>
      <w:r>
        <w:rPr>
          <w:rFonts w:cs="David" w:hint="cs"/>
          <w:sz w:val="22"/>
          <w:rtl/>
        </w:rPr>
        <w:tab/>
        <w:t>ה צב ע ה</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r>
        <w:rPr>
          <w:rFonts w:cs="David" w:hint="cs"/>
          <w:sz w:val="22"/>
          <w:rtl/>
        </w:rPr>
        <w:tab/>
      </w:r>
      <w:r>
        <w:rPr>
          <w:rFonts w:cs="David" w:hint="cs"/>
          <w:sz w:val="22"/>
          <w:rtl/>
        </w:rPr>
        <w:tab/>
        <w:t>בעד- 6</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r>
        <w:rPr>
          <w:rFonts w:cs="David" w:hint="cs"/>
          <w:sz w:val="22"/>
          <w:rtl/>
        </w:rPr>
        <w:tab/>
      </w:r>
      <w:r>
        <w:rPr>
          <w:rFonts w:cs="David" w:hint="cs"/>
          <w:sz w:val="22"/>
          <w:rtl/>
        </w:rPr>
        <w:tab/>
        <w:t>נגד- אין</w:t>
      </w: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r>
      <w:r>
        <w:rPr>
          <w:rFonts w:cs="David" w:hint="cs"/>
          <w:sz w:val="22"/>
          <w:rtl/>
        </w:rPr>
        <w:tab/>
      </w:r>
      <w:r>
        <w:rPr>
          <w:rFonts w:cs="David" w:hint="cs"/>
          <w:sz w:val="22"/>
          <w:rtl/>
        </w:rPr>
        <w:tab/>
        <w:t>נמנעים- אין</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r>
        <w:rPr>
          <w:rFonts w:cs="David" w:hint="cs"/>
          <w:sz w:val="22"/>
          <w:rtl/>
        </w:rPr>
        <w:tab/>
        <w:t xml:space="preserve">זה עבר פה אחד. תודה רבה, הישיבה נעולה. </w:t>
      </w:r>
    </w:p>
    <w:p w:rsidR="00000000" w:rsidRDefault="00CA1284">
      <w:pPr>
        <w:pStyle w:val="a7"/>
        <w:overflowPunct w:val="0"/>
        <w:autoSpaceDE w:val="0"/>
        <w:autoSpaceDN w:val="0"/>
        <w:adjustRightInd w:val="0"/>
        <w:textAlignment w:val="baseline"/>
        <w:rPr>
          <w:rFonts w:cs="David" w:hint="cs"/>
          <w:sz w:val="22"/>
          <w:u w:val="single"/>
          <w:rtl/>
        </w:rPr>
      </w:pPr>
    </w:p>
    <w:p w:rsidR="00000000" w:rsidRDefault="00CA1284">
      <w:pPr>
        <w:pStyle w:val="a7"/>
        <w:overflowPunct w:val="0"/>
        <w:autoSpaceDE w:val="0"/>
        <w:autoSpaceDN w:val="0"/>
        <w:adjustRightInd w:val="0"/>
        <w:textAlignment w:val="baseline"/>
        <w:rPr>
          <w:rFonts w:cs="David" w:hint="cs"/>
          <w:sz w:val="22"/>
          <w:u w:val="single"/>
          <w:rtl/>
        </w:rPr>
      </w:pPr>
      <w:r>
        <w:rPr>
          <w:rFonts w:cs="David" w:hint="cs"/>
          <w:sz w:val="22"/>
          <w:u w:val="single"/>
          <w:rtl/>
        </w:rPr>
        <w:t>הישיבה ננעלה בשעה</w:t>
      </w:r>
      <w:r>
        <w:rPr>
          <w:rFonts w:cs="David" w:hint="cs"/>
          <w:sz w:val="22"/>
          <w:u w:val="single"/>
          <w:rtl/>
        </w:rPr>
        <w:t xml:space="preserve"> 14:30</w:t>
      </w: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p>
    <w:p w:rsidR="00000000" w:rsidRDefault="00CA1284">
      <w:pPr>
        <w:pStyle w:val="a7"/>
        <w:overflowPunct w:val="0"/>
        <w:autoSpaceDE w:val="0"/>
        <w:autoSpaceDN w:val="0"/>
        <w:adjustRightInd w:val="0"/>
        <w:textAlignment w:val="baseline"/>
        <w:rPr>
          <w:rFonts w:cs="David" w:hint="cs"/>
          <w:sz w:val="22"/>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1284">
      <w:r>
        <w:separator/>
      </w:r>
    </w:p>
  </w:endnote>
  <w:endnote w:type="continuationSeparator" w:id="0">
    <w:p w:rsidR="00000000" w:rsidRDefault="00CA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1284">
      <w:r>
        <w:separator/>
      </w:r>
    </w:p>
  </w:footnote>
  <w:footnote w:type="continuationSeparator" w:id="0">
    <w:p w:rsidR="00000000" w:rsidRDefault="00CA1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128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A1284">
    <w:pPr>
      <w:pStyle w:val="a3"/>
      <w:ind w:right="360"/>
      <w:jc w:val="both"/>
      <w:rPr>
        <w:rtl/>
      </w:rPr>
    </w:pPr>
  </w:p>
  <w:p w:rsidR="00000000" w:rsidRDefault="00CA1284"/>
  <w:p w:rsidR="00000000" w:rsidRDefault="00CA1284"/>
  <w:p w:rsidR="00000000" w:rsidRDefault="00CA1284"/>
  <w:p w:rsidR="00000000" w:rsidRDefault="00CA1284"/>
  <w:p w:rsidR="00000000" w:rsidRDefault="00CA1284"/>
  <w:p w:rsidR="00000000" w:rsidRDefault="00CA1284"/>
  <w:p w:rsidR="00000000" w:rsidRDefault="00CA1284"/>
  <w:p w:rsidR="00000000" w:rsidRDefault="00CA1284"/>
  <w:p w:rsidR="00000000" w:rsidRDefault="00CA128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1284">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Pr>
        <w:rStyle w:val="a5"/>
        <w:b/>
        <w:bCs/>
        <w:rtl/>
      </w:rPr>
      <w:t>2</w:t>
    </w:r>
    <w:r>
      <w:rPr>
        <w:rStyle w:val="a5"/>
        <w:b/>
        <w:bCs/>
        <w:rtl/>
      </w:rPr>
      <w:fldChar w:fldCharType="end"/>
    </w:r>
  </w:p>
  <w:p w:rsidR="00000000" w:rsidRDefault="00CA1284">
    <w:pPr>
      <w:pStyle w:val="a3"/>
      <w:ind w:right="360"/>
      <w:jc w:val="both"/>
      <w:rPr>
        <w:rFonts w:hint="cs"/>
        <w:rtl/>
      </w:rPr>
    </w:pPr>
    <w:r>
      <w:rPr>
        <w:rFonts w:hint="cs"/>
        <w:rtl/>
      </w:rPr>
      <w:t>ועדת חוקה, חוק ומשפט</w:t>
    </w:r>
  </w:p>
  <w:p w:rsidR="00000000" w:rsidRDefault="00CA1284">
    <w:pPr>
      <w:pStyle w:val="a3"/>
      <w:ind w:right="360"/>
      <w:jc w:val="both"/>
      <w:rPr>
        <w:rStyle w:val="a5"/>
        <w:rFonts w:hint="cs"/>
        <w:rtl/>
      </w:rPr>
    </w:pPr>
    <w:r>
      <w:rPr>
        <w:rFonts w:hint="cs"/>
        <w:rtl/>
      </w:rPr>
      <w:t>15.02.2005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284"/>
    <w:rsid w:val="00CA12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93952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41F0A91-ABB5-405A-9A08-03C90BA59DCB}"/>
</file>

<file path=customXml/itemProps2.xml><?xml version="1.0" encoding="utf-8"?>
<ds:datastoreItem xmlns:ds="http://schemas.openxmlformats.org/officeDocument/2006/customXml" ds:itemID="{3A3B802C-DC3E-41C8-9D4C-197E2B73493E}"/>
</file>

<file path=customXml/itemProps3.xml><?xml version="1.0" encoding="utf-8"?>
<ds:datastoreItem xmlns:ds="http://schemas.openxmlformats.org/officeDocument/2006/customXml" ds:itemID="{79619E9E-E781-4059-A607-A9B5DE181509}"/>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0</TotalTime>
  <Pages>3</Pages>
  <Words>1239</Words>
  <Characters>6195</Characters>
  <Application>Microsoft Office Word</Application>
  <DocSecurity>0</DocSecurity>
  <Lines>51</Lines>
  <Paragraphs>14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חובת המכרזים  (העדפת תוצרת מאזורי עדיפות לאומית) (תיקון), התשס"ה – 2005- אישור  התקנות)</dc:title>
  <dc:subject/>
  <dc:creator>תמר שפנייר</dc:creator>
  <cp:keywords/>
  <dc:description/>
  <cp:lastModifiedBy>ShareDocs3 Administrator</cp:lastModifiedBy>
  <cp:revision>2</cp:revision>
  <cp:lastPrinted>2005-02-22T14:22:00Z</cp:lastPrinted>
  <dcterms:created xsi:type="dcterms:W3CDTF">2015-03-01T10:17:00Z</dcterms:created>
  <dcterms:modified xsi:type="dcterms:W3CDTF">2015-03-01T10:17:00Z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415</vt:i4>
  </property>
  <property fmtid="{D5CDD505-2E9C-101B-9397-08002B2CF9AE}" pid="5" name="Nose">
    <vt:lpwstr>':מחלקת הפרוטוקולים:ועדת חוקה'_x000d_
</vt:lpwstr>
  </property>
  <property fmtid="{D5CDD505-2E9C-101B-9397-08002B2CF9AE}" pid="6" name="TaarichYeshiva">
    <vt:filetime>2005-02-15T00:00:00Z</vt:filetime>
  </property>
  <property fmtid="{D5CDD505-2E9C-101B-9397-08002B2CF9AE}" pid="7" name="סימוכין">
    <vt:i4>3393705</vt:i4>
  </property>
  <property fmtid="{D5CDD505-2E9C-101B-9397-08002B2CF9AE}" pid="8" name="שעת ישיבה">
    <vt:lpwstr>14:00</vt:lpwstr>
  </property>
  <property fmtid="{D5CDD505-2E9C-101B-9397-08002B2CF9AE}" pid="9" name="תאריך המסמך">
    <vt:filetime>2005-02-24T00:00:00Z</vt:filetime>
  </property>
  <property fmtid="{D5CDD505-2E9C-101B-9397-08002B2CF9AE}" pid="10" name="ContentTypeId">
    <vt:lpwstr>0x0101004AEDB822EB0F7C488BBBAE3C0C973DE700185672AE3E8B6E4D9D84444DA91BEC3F</vt:lpwstr>
  </property>
</Properties>
</file>