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2C4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 xml:space="preserve">                                                                                                נוסח לא מתוקן</w:t>
      </w:r>
    </w:p>
    <w:p w:rsidR="00000000" w:rsidRDefault="00412C4F">
      <w:pPr>
        <w:rPr>
          <w:rFonts w:cs="David"/>
          <w:b/>
          <w:bCs/>
          <w:sz w:val="24"/>
          <w:rtl/>
        </w:rPr>
      </w:pPr>
      <w:r>
        <w:rPr>
          <w:rFonts w:cs="David"/>
          <w:b/>
          <w:bCs/>
          <w:sz w:val="24"/>
          <w:rtl/>
        </w:rPr>
        <w:t>מושב שני</w:t>
      </w:r>
    </w:p>
    <w:p w:rsidR="00000000" w:rsidRDefault="00412C4F">
      <w:pPr>
        <w:rPr>
          <w:rFonts w:cs="David"/>
          <w:b/>
          <w:bCs/>
          <w:sz w:val="24"/>
          <w:rtl/>
        </w:rPr>
      </w:pPr>
    </w:p>
    <w:p w:rsidR="00000000" w:rsidRDefault="00412C4F">
      <w:pPr>
        <w:rPr>
          <w:rFonts w:cs="David"/>
          <w:b/>
          <w:bCs/>
          <w:sz w:val="24"/>
          <w:rtl/>
        </w:rPr>
      </w:pPr>
    </w:p>
    <w:p w:rsidR="00000000" w:rsidRDefault="00412C4F">
      <w:pPr>
        <w:rPr>
          <w:rFonts w:cs="David"/>
          <w:b/>
          <w:bCs/>
          <w:sz w:val="24"/>
          <w:rtl/>
        </w:rPr>
      </w:pPr>
    </w:p>
    <w:p w:rsidR="00000000" w:rsidRDefault="00412C4F">
      <w:pPr>
        <w:rPr>
          <w:rFonts w:cs="David"/>
          <w:b/>
          <w:bCs/>
          <w:sz w:val="24"/>
          <w:rtl/>
        </w:rPr>
      </w:pPr>
    </w:p>
    <w:p w:rsidR="00000000" w:rsidRDefault="00412C4F">
      <w:pPr>
        <w:pStyle w:val="1"/>
        <w:rPr>
          <w:rFonts w:cs="David"/>
          <w:sz w:val="24"/>
          <w:rtl/>
        </w:rPr>
      </w:pPr>
      <w:r>
        <w:rPr>
          <w:rFonts w:cs="David"/>
          <w:sz w:val="24"/>
          <w:rtl/>
        </w:rPr>
        <w:t>פרוטוקול מס' 226</w:t>
      </w:r>
    </w:p>
    <w:p w:rsidR="00000000" w:rsidRDefault="00412C4F">
      <w:pPr>
        <w:jc w:val="center"/>
        <w:rPr>
          <w:rFonts w:cs="David"/>
          <w:sz w:val="24"/>
          <w:rtl/>
        </w:rPr>
      </w:pPr>
      <w:r>
        <w:rPr>
          <w:rFonts w:cs="David"/>
          <w:sz w:val="24"/>
          <w:rtl/>
        </w:rPr>
        <w:t>מישיבת ועדת החוקה, חוק ומשפט</w:t>
      </w:r>
    </w:p>
    <w:p w:rsidR="00000000" w:rsidRDefault="00412C4F">
      <w:pPr>
        <w:pStyle w:val="7"/>
        <w:rPr>
          <w:rFonts w:cs="David"/>
          <w:sz w:val="24"/>
          <w:rtl/>
        </w:rPr>
      </w:pPr>
      <w:r>
        <w:rPr>
          <w:rFonts w:cs="David"/>
          <w:sz w:val="24"/>
          <w:rtl/>
        </w:rPr>
        <w:t>יום שני, ד' בסיון התשס"ד (24 במאי 2004), שעה 11:30</w:t>
      </w:r>
    </w:p>
    <w:p w:rsidR="00000000" w:rsidRDefault="00412C4F">
      <w:pPr>
        <w:rPr>
          <w:rFonts w:cs="David"/>
          <w:b/>
          <w:bCs/>
          <w:sz w:val="24"/>
          <w:rtl/>
        </w:rPr>
      </w:pPr>
    </w:p>
    <w:p w:rsidR="00000000" w:rsidRDefault="00412C4F">
      <w:pPr>
        <w:rPr>
          <w:rFonts w:cs="David"/>
          <w:b/>
          <w:bCs/>
          <w:sz w:val="24"/>
          <w:rtl/>
        </w:rPr>
      </w:pPr>
    </w:p>
    <w:p w:rsidR="00000000" w:rsidRDefault="00412C4F">
      <w:pPr>
        <w:tabs>
          <w:tab w:val="left" w:pos="1221"/>
        </w:tabs>
        <w:rPr>
          <w:rFonts w:cs="David"/>
          <w:b/>
          <w:bCs/>
          <w:sz w:val="24"/>
          <w:u w:val="single"/>
          <w:rtl/>
        </w:rPr>
      </w:pPr>
    </w:p>
    <w:p w:rsidR="00000000" w:rsidRDefault="00412C4F">
      <w:pPr>
        <w:tabs>
          <w:tab w:val="left" w:pos="1221"/>
        </w:tabs>
        <w:rPr>
          <w:rFonts w:cs="David"/>
          <w:b/>
          <w:bCs/>
          <w:sz w:val="24"/>
          <w:rtl/>
        </w:rPr>
      </w:pPr>
      <w:r>
        <w:rPr>
          <w:rFonts w:cs="David"/>
          <w:b/>
          <w:bCs/>
          <w:sz w:val="24"/>
          <w:u w:val="single"/>
          <w:rtl/>
        </w:rPr>
        <w:t>סדר היום</w:t>
      </w:r>
      <w:r>
        <w:rPr>
          <w:rFonts w:cs="David"/>
          <w:sz w:val="24"/>
          <w:rtl/>
        </w:rPr>
        <w:t>: דיווח על יישום הוראת הש</w:t>
      </w:r>
      <w:r>
        <w:rPr>
          <w:rFonts w:cs="David"/>
          <w:sz w:val="24"/>
          <w:rtl/>
        </w:rPr>
        <w:t>עה: חוק לתיקון דיני הראיות (הגנת ילדים) – אישור הצו</w:t>
      </w:r>
    </w:p>
    <w:p w:rsidR="00000000" w:rsidRDefault="00412C4F">
      <w:pPr>
        <w:rPr>
          <w:rFonts w:cs="David"/>
          <w:b/>
          <w:bCs/>
          <w:sz w:val="24"/>
          <w:rtl/>
        </w:rPr>
      </w:pPr>
    </w:p>
    <w:p w:rsidR="00000000" w:rsidRDefault="00412C4F">
      <w:pPr>
        <w:rPr>
          <w:rFonts w:cs="David"/>
          <w:sz w:val="24"/>
          <w:rtl/>
        </w:rPr>
      </w:pPr>
    </w:p>
    <w:p w:rsidR="00000000" w:rsidRDefault="00412C4F">
      <w:pPr>
        <w:rPr>
          <w:rFonts w:cs="David"/>
          <w:sz w:val="24"/>
          <w:rtl/>
        </w:rPr>
      </w:pPr>
    </w:p>
    <w:p w:rsidR="00000000" w:rsidRDefault="00412C4F">
      <w:pPr>
        <w:rPr>
          <w:rFonts w:cs="David"/>
          <w:b/>
          <w:bCs/>
          <w:sz w:val="24"/>
          <w:u w:val="single"/>
          <w:rtl/>
        </w:rPr>
      </w:pPr>
      <w:r>
        <w:rPr>
          <w:rFonts w:cs="David"/>
          <w:b/>
          <w:bCs/>
          <w:sz w:val="24"/>
          <w:u w:val="single"/>
          <w:rtl/>
        </w:rPr>
        <w:t>נכחו</w:t>
      </w:r>
      <w:r>
        <w:rPr>
          <w:rFonts w:cs="David"/>
          <w:sz w:val="24"/>
          <w:rtl/>
        </w:rPr>
        <w:t>:</w:t>
      </w:r>
    </w:p>
    <w:p w:rsidR="00000000" w:rsidRDefault="00412C4F">
      <w:pPr>
        <w:rPr>
          <w:rFonts w:cs="David"/>
          <w:sz w:val="24"/>
          <w:rtl/>
        </w:rPr>
      </w:pPr>
    </w:p>
    <w:p w:rsidR="00000000" w:rsidRDefault="00412C4F">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412C4F">
      <w:pPr>
        <w:rPr>
          <w:rFonts w:cs="David"/>
          <w:sz w:val="24"/>
          <w:rtl/>
        </w:rPr>
      </w:pPr>
      <w:r>
        <w:rPr>
          <w:rFonts w:cs="David"/>
          <w:sz w:val="24"/>
          <w:rtl/>
        </w:rPr>
        <w:t xml:space="preserve">                        ניסן סלומינסקי</w:t>
      </w:r>
    </w:p>
    <w:p w:rsidR="00000000" w:rsidRDefault="00412C4F">
      <w:pPr>
        <w:rPr>
          <w:rFonts w:cs="David"/>
          <w:sz w:val="24"/>
          <w:rtl/>
        </w:rPr>
      </w:pPr>
    </w:p>
    <w:p w:rsidR="00000000" w:rsidRDefault="00412C4F">
      <w:pPr>
        <w:tabs>
          <w:tab w:val="left" w:pos="1788"/>
          <w:tab w:val="left" w:pos="3631"/>
        </w:tabs>
        <w:rPr>
          <w:rFonts w:cs="David"/>
          <w:sz w:val="24"/>
          <w:rtl/>
        </w:rPr>
      </w:pPr>
      <w:r>
        <w:rPr>
          <w:rFonts w:cs="David"/>
          <w:b/>
          <w:bCs/>
          <w:sz w:val="24"/>
          <w:u w:val="single"/>
          <w:rtl/>
        </w:rPr>
        <w:t>מוזמנים</w:t>
      </w:r>
      <w:r>
        <w:rPr>
          <w:rFonts w:cs="David"/>
          <w:sz w:val="24"/>
          <w:rtl/>
        </w:rPr>
        <w:t>:יהושע למברגר, עו"ד                             פרקליט בכיר, משרד המשפטים</w:t>
      </w:r>
    </w:p>
    <w:p w:rsidR="00000000" w:rsidRDefault="00412C4F">
      <w:pPr>
        <w:tabs>
          <w:tab w:val="left" w:pos="1788"/>
          <w:tab w:val="left" w:pos="3631"/>
        </w:tabs>
        <w:rPr>
          <w:rFonts w:cs="David"/>
          <w:sz w:val="24"/>
          <w:rtl/>
        </w:rPr>
      </w:pPr>
      <w:r>
        <w:rPr>
          <w:rFonts w:cs="David"/>
          <w:sz w:val="24"/>
          <w:rtl/>
        </w:rPr>
        <w:t xml:space="preserve">               יפעת רווה, עו"ד             </w:t>
      </w:r>
      <w:r>
        <w:rPr>
          <w:rFonts w:cs="David"/>
          <w:sz w:val="24"/>
          <w:rtl/>
        </w:rPr>
        <w:t xml:space="preserve">                        משרד המשפטים</w:t>
      </w:r>
    </w:p>
    <w:p w:rsidR="00000000" w:rsidRDefault="00412C4F">
      <w:pPr>
        <w:tabs>
          <w:tab w:val="left" w:pos="1788"/>
          <w:tab w:val="left" w:pos="3631"/>
        </w:tabs>
        <w:rPr>
          <w:rFonts w:cs="David"/>
          <w:sz w:val="24"/>
          <w:rtl/>
        </w:rPr>
      </w:pPr>
      <w:r>
        <w:rPr>
          <w:rFonts w:cs="David"/>
          <w:sz w:val="24"/>
          <w:rtl/>
        </w:rPr>
        <w:t xml:space="preserve">               מיכל ברגר, עו"ד                                    לשכה משפטית, משרד הרווחה</w:t>
      </w:r>
    </w:p>
    <w:p w:rsidR="00000000" w:rsidRDefault="00412C4F">
      <w:pPr>
        <w:tabs>
          <w:tab w:val="left" w:pos="1788"/>
          <w:tab w:val="left" w:pos="3631"/>
        </w:tabs>
        <w:rPr>
          <w:rFonts w:cs="David"/>
          <w:sz w:val="24"/>
          <w:rtl/>
        </w:rPr>
      </w:pPr>
      <w:r>
        <w:rPr>
          <w:rFonts w:cs="David"/>
          <w:sz w:val="24"/>
          <w:rtl/>
        </w:rPr>
        <w:t xml:space="preserve">               ד"ר דבורה הורוביץ                               סגנית מנהל שירות מבחן לנוער, משרד הרווחה</w:t>
      </w:r>
    </w:p>
    <w:p w:rsidR="00000000" w:rsidRDefault="00412C4F">
      <w:pPr>
        <w:tabs>
          <w:tab w:val="left" w:pos="1788"/>
          <w:tab w:val="left" w:pos="3631"/>
        </w:tabs>
        <w:rPr>
          <w:rFonts w:cs="David"/>
          <w:sz w:val="24"/>
          <w:rtl/>
        </w:rPr>
      </w:pPr>
      <w:r>
        <w:rPr>
          <w:rFonts w:cs="David"/>
          <w:sz w:val="24"/>
          <w:rtl/>
        </w:rPr>
        <w:t xml:space="preserve">               רונית עבר</w:t>
      </w:r>
      <w:r>
        <w:rPr>
          <w:rFonts w:cs="David"/>
          <w:sz w:val="24"/>
          <w:rtl/>
        </w:rPr>
        <w:t>י,עו"ד                                     משרד הרווחה</w:t>
      </w:r>
    </w:p>
    <w:p w:rsidR="00000000" w:rsidRDefault="00412C4F">
      <w:pPr>
        <w:tabs>
          <w:tab w:val="left" w:pos="1788"/>
          <w:tab w:val="left" w:pos="3631"/>
        </w:tabs>
        <w:rPr>
          <w:rFonts w:cs="David"/>
          <w:sz w:val="24"/>
          <w:rtl/>
        </w:rPr>
      </w:pPr>
      <w:r>
        <w:rPr>
          <w:rFonts w:cs="David"/>
          <w:sz w:val="24"/>
          <w:rtl/>
        </w:rPr>
        <w:t xml:space="preserve">               סנ"צ סוזי בן-ברוך                                 ראש מדור נוער, המשרד לבטחון פנים</w:t>
      </w:r>
    </w:p>
    <w:p w:rsidR="00000000" w:rsidRDefault="00412C4F">
      <w:pPr>
        <w:tabs>
          <w:tab w:val="left" w:pos="1788"/>
          <w:tab w:val="left" w:pos="3631"/>
        </w:tabs>
        <w:rPr>
          <w:rFonts w:cs="David"/>
          <w:sz w:val="24"/>
          <w:rtl/>
        </w:rPr>
      </w:pPr>
      <w:r>
        <w:rPr>
          <w:rFonts w:cs="David"/>
          <w:sz w:val="24"/>
          <w:rtl/>
        </w:rPr>
        <w:t xml:space="preserve">               עודד ברוק,עו"ד                                      לשכה משפטית, המשרד לבטחון פנים</w:t>
      </w:r>
    </w:p>
    <w:p w:rsidR="00000000" w:rsidRDefault="00412C4F">
      <w:pPr>
        <w:tabs>
          <w:tab w:val="left" w:pos="1788"/>
          <w:tab w:val="left" w:pos="3631"/>
        </w:tabs>
        <w:rPr>
          <w:rFonts w:cs="David"/>
          <w:sz w:val="24"/>
          <w:rtl/>
        </w:rPr>
      </w:pPr>
      <w:r>
        <w:rPr>
          <w:rFonts w:cs="David"/>
          <w:sz w:val="24"/>
          <w:rtl/>
        </w:rPr>
        <w:t xml:space="preserve">     </w:t>
      </w:r>
      <w:r>
        <w:rPr>
          <w:rFonts w:cs="David"/>
          <w:sz w:val="24"/>
          <w:rtl/>
        </w:rPr>
        <w:t xml:space="preserve">          עמי קובו,עו"ד                                        סנגוריה ציבורית</w:t>
      </w:r>
    </w:p>
    <w:p w:rsidR="00000000" w:rsidRDefault="00412C4F">
      <w:pPr>
        <w:tabs>
          <w:tab w:val="left" w:pos="1788"/>
          <w:tab w:val="left" w:pos="3631"/>
        </w:tabs>
        <w:rPr>
          <w:rFonts w:cs="David"/>
          <w:sz w:val="24"/>
          <w:rtl/>
        </w:rPr>
      </w:pPr>
      <w:r>
        <w:rPr>
          <w:rFonts w:cs="David"/>
          <w:sz w:val="24"/>
          <w:rtl/>
        </w:rPr>
        <w:t xml:space="preserve">               ורד וינדמן,עו"ד                                      מרכזת פרוייקט ליווי ילדים נפגעי עבירה</w:t>
      </w:r>
    </w:p>
    <w:p w:rsidR="00000000" w:rsidRDefault="00412C4F">
      <w:pPr>
        <w:tabs>
          <w:tab w:val="left" w:pos="1788"/>
          <w:tab w:val="left" w:pos="3631"/>
        </w:tabs>
        <w:rPr>
          <w:rFonts w:cs="David"/>
          <w:sz w:val="24"/>
          <w:rtl/>
        </w:rPr>
      </w:pPr>
      <w:r>
        <w:rPr>
          <w:rFonts w:cs="David"/>
          <w:sz w:val="24"/>
          <w:rtl/>
        </w:rPr>
        <w:t xml:space="preserve">               בלהה ברג                              </w:t>
      </w:r>
    </w:p>
    <w:p w:rsidR="00000000" w:rsidRDefault="00412C4F">
      <w:pPr>
        <w:rPr>
          <w:rFonts w:cs="David"/>
          <w:sz w:val="24"/>
          <w:rtl/>
        </w:rPr>
      </w:pPr>
    </w:p>
    <w:p w:rsidR="00000000" w:rsidRDefault="00412C4F">
      <w:pPr>
        <w:rPr>
          <w:rFonts w:cs="David"/>
          <w:sz w:val="24"/>
          <w:rtl/>
        </w:rPr>
      </w:pPr>
    </w:p>
    <w:p w:rsidR="00000000" w:rsidRDefault="00412C4F">
      <w:pPr>
        <w:rPr>
          <w:rFonts w:cs="David"/>
          <w:sz w:val="24"/>
          <w:rtl/>
        </w:rPr>
      </w:pPr>
    </w:p>
    <w:p w:rsidR="00000000" w:rsidRDefault="00412C4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412C4F">
      <w:pPr>
        <w:rPr>
          <w:rFonts w:cs="David"/>
          <w:sz w:val="24"/>
          <w:rtl/>
        </w:rPr>
      </w:pPr>
    </w:p>
    <w:p w:rsidR="00000000" w:rsidRDefault="00412C4F">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412C4F">
      <w:pPr>
        <w:rPr>
          <w:rFonts w:cs="David"/>
          <w:sz w:val="24"/>
          <w:rtl/>
        </w:rPr>
      </w:pPr>
    </w:p>
    <w:p w:rsidR="00000000" w:rsidRDefault="00412C4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412C4F">
      <w:pPr>
        <w:rPr>
          <w:rFonts w:cs="David"/>
          <w:b/>
          <w:bCs/>
          <w:sz w:val="24"/>
          <w:rtl/>
        </w:rPr>
      </w:pPr>
    </w:p>
    <w:p w:rsidR="00000000" w:rsidRDefault="00412C4F">
      <w:pPr>
        <w:rPr>
          <w:rFonts w:cs="David"/>
          <w:sz w:val="24"/>
          <w:rtl/>
        </w:rPr>
      </w:pPr>
      <w:r>
        <w:rPr>
          <w:rFonts w:cs="David"/>
          <w:sz w:val="24"/>
          <w:rtl/>
        </w:rPr>
        <w:br w:type="page"/>
      </w:r>
    </w:p>
    <w:p w:rsidR="00000000" w:rsidRDefault="00412C4F">
      <w:pPr>
        <w:jc w:val="center"/>
        <w:rPr>
          <w:rFonts w:cs="David"/>
          <w:b/>
          <w:bCs/>
          <w:sz w:val="24"/>
          <w:rtl/>
        </w:rPr>
      </w:pPr>
      <w:r>
        <w:rPr>
          <w:rFonts w:cs="David"/>
          <w:sz w:val="24"/>
          <w:rtl/>
        </w:rPr>
        <w:t>1</w:t>
      </w:r>
      <w:r>
        <w:rPr>
          <w:rFonts w:cs="David"/>
          <w:b/>
          <w:bCs/>
          <w:sz w:val="24"/>
          <w:rtl/>
        </w:rPr>
        <w:t>. דיווח על יישום הוראת השעה: חוק לתיקון דיני הראיות</w:t>
      </w:r>
    </w:p>
    <w:p w:rsidR="00000000" w:rsidRDefault="00412C4F">
      <w:pPr>
        <w:jc w:val="center"/>
        <w:rPr>
          <w:rFonts w:cs="David"/>
          <w:b/>
          <w:bCs/>
          <w:sz w:val="24"/>
          <w:u w:val="single"/>
          <w:rtl/>
        </w:rPr>
      </w:pPr>
      <w:r>
        <w:rPr>
          <w:rFonts w:cs="David"/>
          <w:b/>
          <w:bCs/>
          <w:sz w:val="24"/>
          <w:u w:val="single"/>
          <w:rtl/>
        </w:rPr>
        <w:t>(הגנת ילדים)</w:t>
      </w:r>
    </w:p>
    <w:p w:rsidR="00000000" w:rsidRDefault="00412C4F">
      <w:pPr>
        <w:rPr>
          <w:rFonts w:cs="David"/>
          <w:sz w:val="24"/>
          <w:u w:val="single"/>
          <w:rtl/>
        </w:rPr>
      </w:pPr>
    </w:p>
    <w:p w:rsidR="00000000" w:rsidRDefault="00412C4F">
      <w:pPr>
        <w:rPr>
          <w:rFonts w:cs="David"/>
          <w:sz w:val="24"/>
          <w:u w:val="single"/>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u w:val="single"/>
          <w:rtl/>
        </w:rPr>
      </w:pPr>
    </w:p>
    <w:p w:rsidR="00000000" w:rsidRDefault="00412C4F">
      <w:pPr>
        <w:rPr>
          <w:rFonts w:cs="David"/>
          <w:sz w:val="24"/>
          <w:rtl/>
        </w:rPr>
      </w:pPr>
      <w:r>
        <w:rPr>
          <w:rFonts w:cs="David"/>
          <w:sz w:val="24"/>
          <w:rtl/>
        </w:rPr>
        <w:tab/>
        <w:t>רבותי, אני מתכבד לפתוח את הישיבה.</w:t>
      </w:r>
    </w:p>
    <w:p w:rsidR="00000000" w:rsidRDefault="00412C4F">
      <w:pPr>
        <w:rPr>
          <w:rFonts w:cs="David"/>
          <w:sz w:val="24"/>
          <w:rtl/>
        </w:rPr>
      </w:pPr>
      <w:r>
        <w:rPr>
          <w:rFonts w:cs="David"/>
          <w:sz w:val="24"/>
          <w:rtl/>
        </w:rPr>
        <w:tab/>
      </w:r>
    </w:p>
    <w:p w:rsidR="00000000" w:rsidRDefault="00412C4F">
      <w:pPr>
        <w:rPr>
          <w:rFonts w:cs="David"/>
          <w:sz w:val="24"/>
          <w:u w:val="single"/>
          <w:rtl/>
        </w:rPr>
      </w:pPr>
      <w:r>
        <w:rPr>
          <w:rFonts w:cs="David"/>
          <w:sz w:val="24"/>
          <w:u w:val="single"/>
          <w:rtl/>
        </w:rPr>
        <w:t>תמי סלע:</w:t>
      </w:r>
    </w:p>
    <w:p w:rsidR="00000000" w:rsidRDefault="00412C4F">
      <w:pPr>
        <w:rPr>
          <w:rFonts w:cs="David"/>
          <w:sz w:val="24"/>
          <w:rtl/>
        </w:rPr>
      </w:pPr>
    </w:p>
    <w:p w:rsidR="00000000" w:rsidRDefault="00412C4F">
      <w:pPr>
        <w:ind w:firstLine="567"/>
        <w:rPr>
          <w:rFonts w:cs="David"/>
          <w:sz w:val="24"/>
          <w:rtl/>
        </w:rPr>
      </w:pPr>
      <w:r>
        <w:rPr>
          <w:rFonts w:cs="David"/>
          <w:sz w:val="24"/>
          <w:rtl/>
        </w:rPr>
        <w:t>ב-2004 התבקשנו לדחות פסקאות בחוק לתיקון דיני הראיות (הגנת הילדים).</w:t>
      </w:r>
      <w:r>
        <w:rPr>
          <w:rFonts w:cs="David"/>
          <w:sz w:val="24"/>
          <w:rtl/>
        </w:rPr>
        <w:t xml:space="preserve"> הפסקאות היו אמורות להיכנס לתוקף ב-1 בינואר 2004. בדיון הקודם הוחלט על הוראת שעה. לא קיבלנו את הבקשה לדחות את מועד התחילה, אבל קבענו הוראת שעה שהתוקף שלה הוא עד 1 ביוני 2004.  קבענו סמכות לוועדת חוקה להאריך את התוקף בעוד חצי שנה, בכפוף לממצאים שיובאו. עלתה</w:t>
      </w:r>
      <w:r>
        <w:rPr>
          <w:rFonts w:cs="David"/>
          <w:sz w:val="24"/>
          <w:rtl/>
        </w:rPr>
        <w:t xml:space="preserve"> שאלה כמה חקירות יתווספו בעקבות התוספת של העבירות. המשטרה באה עם 5 מקרים בחצי שנה, כאשר הערכה של האוצר היתה 8000 מקרים בשנה. </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מה הממצאים?</w:t>
      </w:r>
    </w:p>
    <w:p w:rsidR="00000000" w:rsidRDefault="00412C4F">
      <w:pPr>
        <w:rPr>
          <w:rFonts w:cs="David"/>
          <w:sz w:val="24"/>
          <w:rtl/>
        </w:rPr>
      </w:pPr>
    </w:p>
    <w:p w:rsidR="00000000" w:rsidRDefault="00412C4F">
      <w:pPr>
        <w:rPr>
          <w:rFonts w:cs="David"/>
          <w:sz w:val="24"/>
          <w:u w:val="single"/>
          <w:rtl/>
        </w:rPr>
      </w:pPr>
      <w:r>
        <w:rPr>
          <w:rFonts w:cs="David"/>
          <w:sz w:val="24"/>
          <w:u w:val="single"/>
          <w:rtl/>
        </w:rPr>
        <w:t>תמי סלע:</w:t>
      </w:r>
    </w:p>
    <w:p w:rsidR="00000000" w:rsidRDefault="00412C4F">
      <w:pPr>
        <w:rPr>
          <w:rFonts w:cs="David"/>
          <w:sz w:val="24"/>
          <w:rtl/>
        </w:rPr>
      </w:pPr>
    </w:p>
    <w:p w:rsidR="00000000" w:rsidRDefault="00412C4F">
      <w:pPr>
        <w:ind w:firstLine="567"/>
        <w:rPr>
          <w:rFonts w:cs="David"/>
          <w:sz w:val="24"/>
          <w:rtl/>
        </w:rPr>
      </w:pPr>
      <w:r>
        <w:rPr>
          <w:rFonts w:cs="David"/>
          <w:sz w:val="24"/>
          <w:rtl/>
        </w:rPr>
        <w:t>זה לא קרוב למה שהאוצר העריך. בזמנו גם נשאלה השאלה אם בעקבות זה שהילדים ייחקרו על ידי חו</w:t>
      </w:r>
      <w:r>
        <w:rPr>
          <w:rFonts w:cs="David"/>
          <w:sz w:val="24"/>
          <w:rtl/>
        </w:rPr>
        <w:t>קר ילדים תשתנה המדיניות. אז אמרו לנו שהמדיניות של המשטרה היא כמעט לא להפנות ילדים, אלא כאשר אין ברירה. אלה שני הדברים שאנחנו צריכים לבדוק. יש על שולחן הוועדה צו שהיא צריכה להחליט אם להאריך אותו בחצי שנה.</w:t>
      </w: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אנחנו יודעים על 52 ילדים שנחקרו בנו</w:t>
      </w:r>
      <w:r>
        <w:rPr>
          <w:rFonts w:cs="David"/>
          <w:sz w:val="24"/>
          <w:rtl/>
        </w:rPr>
        <w:t>סף לילדים שאנחנו חוקרים על פי הסעיפים האחרים. אנחנו מדברים על תקופה של שלושה חודשים. אם אתה מכפיל את זה ב-4, מדובר על כ-200 מקרים בשנה. אנחנו חושבים ש-3 חודשים זה לא זמן שניתן לקבל על פיו החלטה.</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אתם רוצים להאריך את הניסוי? </w:t>
      </w:r>
    </w:p>
    <w:p w:rsidR="00000000" w:rsidRDefault="00412C4F">
      <w:pPr>
        <w:ind w:firstLine="567"/>
        <w:rPr>
          <w:rFonts w:cs="David"/>
          <w:sz w:val="24"/>
          <w:rtl/>
        </w:rPr>
      </w:pPr>
    </w:p>
    <w:p w:rsidR="00000000" w:rsidRDefault="00412C4F">
      <w:pPr>
        <w:rPr>
          <w:rFonts w:cs="David"/>
          <w:sz w:val="24"/>
          <w:rtl/>
        </w:rPr>
      </w:pPr>
      <w:r>
        <w:rPr>
          <w:rFonts w:cs="David"/>
          <w:sz w:val="24"/>
          <w:u w:val="single"/>
          <w:rtl/>
        </w:rPr>
        <w:t>דבורה הורוב</w:t>
      </w:r>
      <w:r>
        <w:rPr>
          <w:rFonts w:cs="David"/>
          <w:sz w:val="24"/>
          <w:u w:val="single"/>
          <w:rtl/>
        </w:rPr>
        <w:t>יץ:</w:t>
      </w:r>
    </w:p>
    <w:p w:rsidR="00000000" w:rsidRDefault="00412C4F">
      <w:pPr>
        <w:rPr>
          <w:rFonts w:cs="David"/>
          <w:sz w:val="24"/>
          <w:rtl/>
        </w:rPr>
      </w:pPr>
    </w:p>
    <w:p w:rsidR="00000000" w:rsidRDefault="00412C4F">
      <w:pPr>
        <w:rPr>
          <w:rFonts w:cs="David"/>
          <w:sz w:val="24"/>
          <w:rtl/>
        </w:rPr>
      </w:pPr>
      <w:r>
        <w:rPr>
          <w:rFonts w:cs="David"/>
          <w:sz w:val="24"/>
          <w:rtl/>
        </w:rPr>
        <w:tab/>
        <w:t>נכון.</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ind w:firstLine="567"/>
        <w:rPr>
          <w:rFonts w:cs="David"/>
          <w:sz w:val="24"/>
          <w:rtl/>
        </w:rPr>
      </w:pPr>
    </w:p>
    <w:p w:rsidR="00000000" w:rsidRDefault="00412C4F">
      <w:pPr>
        <w:ind w:firstLine="567"/>
        <w:rPr>
          <w:rFonts w:cs="David"/>
          <w:sz w:val="24"/>
          <w:rtl/>
        </w:rPr>
      </w:pPr>
      <w:r>
        <w:rPr>
          <w:rFonts w:cs="David"/>
          <w:sz w:val="24"/>
          <w:rtl/>
        </w:rPr>
        <w:t>מה את אומרת?</w:t>
      </w:r>
    </w:p>
    <w:p w:rsidR="00000000" w:rsidRDefault="00412C4F">
      <w:pPr>
        <w:rPr>
          <w:rFonts w:cs="David"/>
          <w:sz w:val="24"/>
          <w:rtl/>
        </w:rPr>
      </w:pPr>
    </w:p>
    <w:p w:rsidR="00000000" w:rsidRDefault="00412C4F">
      <w:pPr>
        <w:rPr>
          <w:rFonts w:cs="David"/>
          <w:sz w:val="24"/>
          <w:u w:val="single"/>
          <w:rtl/>
        </w:rPr>
      </w:pPr>
      <w:r>
        <w:rPr>
          <w:rFonts w:cs="David"/>
          <w:sz w:val="24"/>
          <w:u w:val="single"/>
          <w:rtl/>
        </w:rPr>
        <w:t>תמי סלע:</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גם בהצעת החוק הממשלתית אין טענה שבעבירות כאלו לא רוצים שילדים ייחקרו על ידי חוקרי ילדים. כל השאלה כאן היתה תקציבית. </w:t>
      </w:r>
    </w:p>
    <w:p w:rsidR="00000000" w:rsidRDefault="00412C4F">
      <w:pPr>
        <w:ind w:firstLine="567"/>
        <w:rPr>
          <w:rFonts w:cs="David"/>
          <w:sz w:val="24"/>
          <w:rtl/>
        </w:rPr>
      </w:pPr>
    </w:p>
    <w:p w:rsidR="00000000" w:rsidRDefault="00412C4F">
      <w:pPr>
        <w:rPr>
          <w:rFonts w:cs="David"/>
          <w:sz w:val="24"/>
          <w:u w:val="single"/>
          <w:rtl/>
        </w:rPr>
      </w:pPr>
    </w:p>
    <w:p w:rsidR="00000000" w:rsidRDefault="00412C4F">
      <w:pPr>
        <w:rPr>
          <w:rFonts w:cs="David"/>
          <w:sz w:val="24"/>
          <w:u w:val="single"/>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הממצאים לא משקפים. להטמיע חוק לוקח זמן.</w:t>
      </w:r>
    </w:p>
    <w:p w:rsidR="00000000" w:rsidRDefault="00412C4F">
      <w:pPr>
        <w:rPr>
          <w:rFonts w:cs="David"/>
          <w:sz w:val="24"/>
          <w:rtl/>
        </w:rPr>
      </w:pPr>
    </w:p>
    <w:p w:rsidR="00000000" w:rsidRDefault="00412C4F">
      <w:pPr>
        <w:rPr>
          <w:rFonts w:cs="David"/>
          <w:sz w:val="24"/>
          <w:u w:val="single"/>
          <w:rtl/>
        </w:rPr>
      </w:pPr>
      <w:r>
        <w:rPr>
          <w:rFonts w:cs="David"/>
          <w:sz w:val="24"/>
          <w:u w:val="single"/>
          <w:rtl/>
        </w:rPr>
        <w:lastRenderedPageBreak/>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בכמה</w:t>
      </w:r>
      <w:r>
        <w:rPr>
          <w:rFonts w:cs="David"/>
          <w:sz w:val="24"/>
          <w:rtl/>
        </w:rPr>
        <w:t xml:space="preserve"> זמן אתם רוצים להאריך?</w:t>
      </w: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אני ביקשתי שנה. </w:t>
      </w:r>
    </w:p>
    <w:p w:rsidR="00000000" w:rsidRDefault="00412C4F">
      <w:pPr>
        <w:rPr>
          <w:rFonts w:cs="David"/>
          <w:sz w:val="24"/>
          <w:rtl/>
        </w:rPr>
      </w:pPr>
    </w:p>
    <w:p w:rsidR="00000000" w:rsidRDefault="00412C4F">
      <w:pPr>
        <w:rPr>
          <w:rFonts w:cs="David"/>
          <w:sz w:val="24"/>
          <w:u w:val="single"/>
          <w:rtl/>
        </w:rPr>
      </w:pPr>
      <w:r>
        <w:rPr>
          <w:rFonts w:cs="David"/>
          <w:sz w:val="24"/>
          <w:u w:val="single"/>
          <w:rtl/>
        </w:rPr>
        <w:t>יפעת רווה:</w:t>
      </w:r>
    </w:p>
    <w:p w:rsidR="00000000" w:rsidRDefault="00412C4F">
      <w:pPr>
        <w:rPr>
          <w:rFonts w:cs="David"/>
          <w:sz w:val="24"/>
          <w:rtl/>
        </w:rPr>
      </w:pPr>
    </w:p>
    <w:p w:rsidR="00000000" w:rsidRDefault="00412C4F">
      <w:pPr>
        <w:ind w:firstLine="567"/>
        <w:rPr>
          <w:rFonts w:cs="David"/>
          <w:sz w:val="24"/>
          <w:rtl/>
        </w:rPr>
      </w:pPr>
      <w:r>
        <w:rPr>
          <w:rFonts w:cs="David"/>
          <w:sz w:val="24"/>
          <w:rtl/>
        </w:rPr>
        <w:t>יש סמכות עד 31 בדצמבר.</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u w:val="single"/>
          <w:rtl/>
        </w:rPr>
      </w:pPr>
    </w:p>
    <w:p w:rsidR="00000000" w:rsidRDefault="00412C4F">
      <w:pPr>
        <w:ind w:firstLine="567"/>
        <w:rPr>
          <w:rFonts w:cs="David"/>
          <w:sz w:val="24"/>
          <w:rtl/>
        </w:rPr>
      </w:pPr>
      <w:r>
        <w:rPr>
          <w:rFonts w:cs="David"/>
          <w:sz w:val="24"/>
          <w:rtl/>
        </w:rPr>
        <w:t>מה המשטרה אומרת? יש מישהו שמתנגד להארכה?</w:t>
      </w:r>
    </w:p>
    <w:p w:rsidR="00000000" w:rsidRDefault="00412C4F">
      <w:pPr>
        <w:rPr>
          <w:rFonts w:cs="David"/>
          <w:sz w:val="24"/>
          <w:rtl/>
        </w:rPr>
      </w:pPr>
    </w:p>
    <w:p w:rsidR="00000000" w:rsidRDefault="00412C4F">
      <w:pPr>
        <w:rPr>
          <w:rFonts w:cs="David"/>
          <w:sz w:val="24"/>
          <w:u w:val="single"/>
          <w:rtl/>
        </w:rPr>
      </w:pPr>
      <w:r>
        <w:rPr>
          <w:rFonts w:cs="David"/>
          <w:sz w:val="24"/>
          <w:u w:val="single"/>
          <w:rtl/>
        </w:rPr>
        <w:t>סוזי בן-ברוך:</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אנחנו לא מתנגדים להארכה. אין אף מקרה שבו נחקרו לפי החוק החדש. קיבלנו מדבורה 53 מקרים. </w:t>
      </w:r>
      <w:r>
        <w:rPr>
          <w:rFonts w:cs="David"/>
          <w:sz w:val="24"/>
          <w:rtl/>
        </w:rPr>
        <w:t>ביקשתי מאנשי הסטטיסטיקה שלנו לעבור על כל מקרה ומקרה.  27 מתוך 53 המקרים הם לא על פי החוק הקיים או החדש. זה במסגרת אינטראקציה בין-אישית שקיימת ממילא בשטח. שאר המקרים הם על פי החוקים הקודמים, לא על פי החוק הקיים. ההנחייה החדשה שלנו היתה  להמשיך במדיניות של מ</w:t>
      </w:r>
      <w:r>
        <w:rPr>
          <w:rFonts w:cs="David"/>
          <w:sz w:val="24"/>
          <w:rtl/>
        </w:rPr>
        <w:t xml:space="preserve">שטרת ישראל, כאשר כל מקרה שהוא על פי סעיפים 329 ו333 ידווח לנו און-ליין. בדקנו את התקופה של ינואר-אפריל, וראינו שאין שום מקרה שהוא על פי החוק החדש. זאת תמונת מצב.  </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הערכת האוצר היתה  8000 מקרים.</w:t>
      </w: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אני יכולה להגן על הערכת ה</w:t>
      </w:r>
      <w:r>
        <w:rPr>
          <w:rFonts w:cs="David"/>
          <w:sz w:val="24"/>
          <w:rtl/>
        </w:rPr>
        <w:t>אוצר, משום שהיא נעשתה על סמך נתונים שאנחנו הערכנו. אני עדיין עומדת על הערכה שנתתי. זה יגיע לזה מהר מאוד. המשטרה היא זאת שמסרה לנו את החקירות.</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כן, אבל זה לא מכוח החוק.</w:t>
      </w: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החוק הקיים לא מדבר על עדים לאלימות חמורה בין הורים. </w:t>
      </w:r>
      <w:r>
        <w:rPr>
          <w:rFonts w:cs="David"/>
          <w:sz w:val="24"/>
          <w:rtl/>
        </w:rPr>
        <w:t>אנחנו חקרנו אלימות חמורה. הפער הוא בהגדרת הסעיפים. אספתי את כל תיאורי המקרים. מדובר על אלימות חמורה, כאשר הפער בין  מה שסוזי אומרת לבין מה שאני אומרת הוא שהסעיף לא מוגדר בדיוק כפי שהחוק טוען. כשמתקבלת חקירה לא יודעים את הסעיף. רק אחרי שהילד מעיד אפשר לקבוע</w:t>
      </w:r>
      <w:r>
        <w:rPr>
          <w:rFonts w:cs="David"/>
          <w:sz w:val="24"/>
          <w:rtl/>
        </w:rPr>
        <w:t xml:space="preserve"> מה הוא הסעיף.</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מה היא התוצאה הסופית?</w:t>
      </w:r>
    </w:p>
    <w:p w:rsidR="00000000" w:rsidRDefault="00412C4F">
      <w:pPr>
        <w:rPr>
          <w:rFonts w:cs="David"/>
          <w:sz w:val="24"/>
          <w:rtl/>
        </w:rPr>
      </w:pPr>
    </w:p>
    <w:p w:rsidR="00000000" w:rsidRDefault="00412C4F">
      <w:pPr>
        <w:rPr>
          <w:rFonts w:cs="David"/>
          <w:sz w:val="24"/>
          <w:rtl/>
        </w:rPr>
      </w:pP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התוצאה הסופית היא שחקרנו עוד  53 ילדים, אחרי סינון של מאות ילדים אחרים שהמשטרה הפנתה אלינו.</w:t>
      </w:r>
    </w:p>
    <w:p w:rsidR="00000000" w:rsidRDefault="00412C4F">
      <w:pPr>
        <w:rPr>
          <w:rFonts w:cs="David"/>
          <w:sz w:val="24"/>
          <w:rtl/>
        </w:rPr>
      </w:pPr>
    </w:p>
    <w:p w:rsidR="00000000" w:rsidRDefault="00412C4F">
      <w:pPr>
        <w:pStyle w:val="8"/>
        <w:rPr>
          <w:rFonts w:cs="David"/>
          <w:sz w:val="24"/>
          <w:rtl/>
        </w:rPr>
      </w:pPr>
      <w:r>
        <w:rPr>
          <w:rFonts w:cs="David"/>
          <w:sz w:val="24"/>
          <w:rtl/>
        </w:rPr>
        <w:t>סוזי בן-ברוך:</w:t>
      </w:r>
    </w:p>
    <w:p w:rsidR="00000000" w:rsidRDefault="00412C4F">
      <w:pPr>
        <w:rPr>
          <w:rFonts w:cs="David"/>
          <w:sz w:val="24"/>
          <w:rtl/>
        </w:rPr>
      </w:pPr>
    </w:p>
    <w:p w:rsidR="00000000" w:rsidRDefault="00412C4F">
      <w:pPr>
        <w:ind w:firstLine="567"/>
        <w:rPr>
          <w:rFonts w:cs="David"/>
          <w:sz w:val="24"/>
          <w:rtl/>
        </w:rPr>
      </w:pPr>
      <w:r>
        <w:rPr>
          <w:rFonts w:cs="David"/>
          <w:sz w:val="24"/>
          <w:rtl/>
        </w:rPr>
        <w:t>העדות שקובעת את סעיף העבירה זאת העדות של האמא שהוכתה כך או אחרת. הסעיף נ</w:t>
      </w:r>
      <w:r>
        <w:rPr>
          <w:rFonts w:cs="David"/>
          <w:sz w:val="24"/>
          <w:rtl/>
        </w:rPr>
        <w:t>קבע על פי עדות האמא, לא על פי עדות הילד. עדות הילד רק מסייעת לנושא הזה. הסעיף ידוע מראש. קיים איזה שהוא קו דק בין חבלה חמורה לניסיון לרצח. זה עניין של נסיבות המקרה. ניסיון לרצח כבר קיים בחקיקה. עם סעיף חבלה חמורה אפשר לשחק לכאן או לכאן. לפי שני הסעיפים האל</w:t>
      </w:r>
      <w:r>
        <w:rPr>
          <w:rFonts w:cs="David"/>
          <w:sz w:val="24"/>
          <w:rtl/>
        </w:rPr>
        <w:t>ה אין שום עדות שנלקחה.</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כולנו בעד להאריך את הצו. אנחנו נקיים עוד דיון.</w:t>
      </w: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צריך לפתוח את היריעה כדי שנוכל לקבל מושג במה דברים אמורים, לא להסתמך על הצהרת מדיניות. היום עומד בראש הנושא אדם אחד, שדרך אגב לא חולש על כל הנושא. אל</w:t>
      </w:r>
      <w:r>
        <w:rPr>
          <w:rFonts w:cs="David"/>
          <w:sz w:val="24"/>
          <w:rtl/>
        </w:rPr>
        <w:t xml:space="preserve">ימות במשפחה נמצאת תחת אחריותה של דמות אחרת. </w:t>
      </w:r>
    </w:p>
    <w:p w:rsidR="00000000" w:rsidRDefault="00412C4F">
      <w:pPr>
        <w:rPr>
          <w:rFonts w:cs="David"/>
          <w:sz w:val="24"/>
          <w:rtl/>
        </w:rPr>
      </w:pPr>
    </w:p>
    <w:p w:rsidR="00000000" w:rsidRDefault="00412C4F">
      <w:pPr>
        <w:rPr>
          <w:rFonts w:cs="David"/>
          <w:sz w:val="24"/>
          <w:u w:val="single"/>
          <w:rtl/>
        </w:rPr>
      </w:pPr>
      <w:r>
        <w:rPr>
          <w:rFonts w:cs="David"/>
          <w:sz w:val="24"/>
          <w:u w:val="single"/>
          <w:rtl/>
        </w:rPr>
        <w:t>סוזי בן-ברוך:</w:t>
      </w:r>
    </w:p>
    <w:p w:rsidR="00000000" w:rsidRDefault="00412C4F">
      <w:pPr>
        <w:rPr>
          <w:rFonts w:cs="David"/>
          <w:sz w:val="24"/>
          <w:rtl/>
        </w:rPr>
      </w:pPr>
    </w:p>
    <w:p w:rsidR="00000000" w:rsidRDefault="00412C4F">
      <w:pPr>
        <w:ind w:firstLine="567"/>
        <w:rPr>
          <w:rFonts w:cs="David"/>
          <w:sz w:val="24"/>
          <w:rtl/>
        </w:rPr>
      </w:pPr>
      <w:r>
        <w:rPr>
          <w:rFonts w:cs="David"/>
          <w:sz w:val="24"/>
          <w:rtl/>
        </w:rPr>
        <w:t>היא כתבה את ההנחיה.</w:t>
      </w: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אנחנו צריכים לקבל הערכה אמיתית על המצב, לא הערכה שהיא תלוית מדיניות. </w:t>
      </w:r>
    </w:p>
    <w:p w:rsidR="00000000" w:rsidRDefault="00412C4F">
      <w:pPr>
        <w:rPr>
          <w:rFonts w:cs="David"/>
          <w:sz w:val="24"/>
          <w:rtl/>
        </w:rPr>
      </w:pPr>
    </w:p>
    <w:p w:rsidR="00000000" w:rsidRDefault="00412C4F">
      <w:pPr>
        <w:rPr>
          <w:rFonts w:cs="David"/>
          <w:sz w:val="24"/>
          <w:u w:val="single"/>
          <w:rtl/>
        </w:rPr>
      </w:pPr>
      <w:r>
        <w:rPr>
          <w:rFonts w:cs="David"/>
          <w:sz w:val="24"/>
          <w:u w:val="single"/>
          <w:rtl/>
        </w:rPr>
        <w:t>סוזי בן-ברוך:</w:t>
      </w:r>
    </w:p>
    <w:p w:rsidR="00000000" w:rsidRDefault="00412C4F">
      <w:pPr>
        <w:rPr>
          <w:rFonts w:cs="David"/>
          <w:sz w:val="24"/>
          <w:rtl/>
        </w:rPr>
      </w:pPr>
    </w:p>
    <w:p w:rsidR="00000000" w:rsidRDefault="00412C4F">
      <w:pPr>
        <w:ind w:firstLine="567"/>
        <w:rPr>
          <w:rFonts w:cs="David"/>
          <w:sz w:val="24"/>
          <w:rtl/>
        </w:rPr>
      </w:pPr>
      <w:r>
        <w:rPr>
          <w:rFonts w:cs="David"/>
          <w:sz w:val="24"/>
          <w:rtl/>
        </w:rPr>
        <w:t>אם אתם רוצים לפתוח את היריעה, אז אני מתנגדת ברמה העקרונית.  רוב סעיפי הא</w:t>
      </w:r>
      <w:r>
        <w:rPr>
          <w:rFonts w:cs="David"/>
          <w:sz w:val="24"/>
          <w:rtl/>
        </w:rPr>
        <w:t xml:space="preserve">ישום זה בתקיפה בנסיבות מחמירות, שהסנקציה היא 6 שנות מאסר. רוב הסעיפים הולכים לכיוון הזה. הסעיף הזה לא נמצא במניין הסעיפים שבחרנו. זה הסעיף שהיה צריך להוסיף. </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בישיבה שנקיים על  הנתונים נבין מה פחות או יותר קורה.</w:t>
      </w:r>
    </w:p>
    <w:p w:rsidR="00000000" w:rsidRDefault="00412C4F">
      <w:pPr>
        <w:rPr>
          <w:rFonts w:cs="David"/>
          <w:sz w:val="24"/>
          <w:rtl/>
        </w:rPr>
      </w:pPr>
    </w:p>
    <w:p w:rsidR="00000000" w:rsidRDefault="00412C4F">
      <w:pPr>
        <w:rPr>
          <w:rFonts w:cs="David"/>
          <w:sz w:val="24"/>
          <w:u w:val="single"/>
          <w:rtl/>
        </w:rPr>
      </w:pPr>
      <w:r>
        <w:rPr>
          <w:rFonts w:cs="David"/>
          <w:sz w:val="24"/>
          <w:u w:val="single"/>
          <w:rtl/>
        </w:rPr>
        <w:t>סוזי בן-ברוך:</w:t>
      </w:r>
    </w:p>
    <w:p w:rsidR="00000000" w:rsidRDefault="00412C4F">
      <w:pPr>
        <w:rPr>
          <w:rFonts w:cs="David"/>
          <w:sz w:val="24"/>
          <w:rtl/>
        </w:rPr>
      </w:pPr>
    </w:p>
    <w:p w:rsidR="00000000" w:rsidRDefault="00412C4F">
      <w:pPr>
        <w:ind w:firstLine="567"/>
        <w:rPr>
          <w:rFonts w:cs="David"/>
          <w:sz w:val="24"/>
          <w:rtl/>
        </w:rPr>
      </w:pPr>
      <w:r>
        <w:rPr>
          <w:rFonts w:cs="David"/>
          <w:sz w:val="24"/>
          <w:rtl/>
        </w:rPr>
        <w:t>יש דינמיק</w:t>
      </w:r>
      <w:r>
        <w:rPr>
          <w:rFonts w:cs="David"/>
          <w:sz w:val="24"/>
          <w:rtl/>
        </w:rPr>
        <w:t>ה מסויימת בחקירה. אני צריכה להחליט איזה סעיף על פי סוג הפגיעה והנסיבות.</w:t>
      </w:r>
    </w:p>
    <w:p w:rsidR="00000000" w:rsidRDefault="00412C4F">
      <w:pPr>
        <w:rPr>
          <w:rFonts w:cs="David"/>
          <w:sz w:val="24"/>
          <w:rtl/>
        </w:rPr>
      </w:pPr>
    </w:p>
    <w:p w:rsidR="00000000" w:rsidRDefault="00412C4F">
      <w:pPr>
        <w:rPr>
          <w:rFonts w:cs="David"/>
          <w:sz w:val="24"/>
          <w:u w:val="single"/>
          <w:rtl/>
        </w:rPr>
      </w:pPr>
      <w:r>
        <w:rPr>
          <w:rFonts w:cs="David"/>
          <w:sz w:val="24"/>
          <w:u w:val="single"/>
          <w:rtl/>
        </w:rPr>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את אומרת שהחוקרים באופן עקרוני מגיעים ל382. </w:t>
      </w:r>
    </w:p>
    <w:p w:rsidR="00000000" w:rsidRDefault="00412C4F">
      <w:pPr>
        <w:rPr>
          <w:rFonts w:cs="David"/>
          <w:sz w:val="24"/>
          <w:rtl/>
        </w:rPr>
      </w:pPr>
    </w:p>
    <w:p w:rsidR="00000000" w:rsidRDefault="00412C4F">
      <w:pPr>
        <w:rPr>
          <w:rFonts w:cs="David"/>
          <w:sz w:val="24"/>
          <w:rtl/>
        </w:rPr>
      </w:pPr>
    </w:p>
    <w:p w:rsidR="00000000" w:rsidRDefault="00412C4F">
      <w:pPr>
        <w:rPr>
          <w:rFonts w:cs="David"/>
          <w:sz w:val="24"/>
          <w:rtl/>
        </w:rPr>
      </w:pPr>
    </w:p>
    <w:p w:rsidR="00000000" w:rsidRDefault="00412C4F">
      <w:pPr>
        <w:rPr>
          <w:rFonts w:cs="David"/>
          <w:sz w:val="24"/>
          <w:u w:val="single"/>
          <w:rtl/>
        </w:rPr>
      </w:pPr>
      <w:r>
        <w:rPr>
          <w:rFonts w:cs="David"/>
          <w:sz w:val="24"/>
          <w:u w:val="single"/>
          <w:rtl/>
        </w:rPr>
        <w:t>סוזי בן-ברוך:</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אלא אם כן יש ניסיון לרצח, יש רצח, יש עבירה חמורה באמת.  סעיף 382 הוא סעיף מאוד נוח, הוא פותח יריעה.  </w:t>
      </w:r>
      <w:r>
        <w:rPr>
          <w:rFonts w:cs="David"/>
          <w:sz w:val="24"/>
          <w:rtl/>
        </w:rPr>
        <w:t>אם צריך ללכת לחומרה אז אפשר לשנות את הסעיף.  אם משנים את הסעיף ל329, אז זה השלב..</w:t>
      </w:r>
    </w:p>
    <w:p w:rsidR="00000000" w:rsidRDefault="00412C4F">
      <w:pPr>
        <w:rPr>
          <w:rFonts w:cs="David"/>
          <w:sz w:val="24"/>
          <w:rtl/>
        </w:rPr>
      </w:pPr>
    </w:p>
    <w:p w:rsidR="00000000" w:rsidRDefault="00412C4F">
      <w:pPr>
        <w:rPr>
          <w:rFonts w:cs="David"/>
          <w:sz w:val="24"/>
          <w:u w:val="single"/>
          <w:rtl/>
        </w:rPr>
      </w:pPr>
      <w:r>
        <w:rPr>
          <w:rFonts w:cs="David"/>
          <w:sz w:val="24"/>
          <w:u w:val="single"/>
          <w:rtl/>
        </w:rPr>
        <w:t>דבורה הורוביץ:</w:t>
      </w:r>
    </w:p>
    <w:p w:rsidR="00000000" w:rsidRDefault="00412C4F">
      <w:pPr>
        <w:rPr>
          <w:rFonts w:cs="David"/>
          <w:sz w:val="24"/>
          <w:rtl/>
        </w:rPr>
      </w:pPr>
    </w:p>
    <w:p w:rsidR="00000000" w:rsidRDefault="00412C4F">
      <w:pPr>
        <w:ind w:firstLine="567"/>
        <w:rPr>
          <w:rFonts w:cs="David"/>
          <w:sz w:val="24"/>
          <w:rtl/>
        </w:rPr>
      </w:pPr>
      <w:r>
        <w:rPr>
          <w:rFonts w:cs="David"/>
          <w:sz w:val="24"/>
          <w:rtl/>
        </w:rPr>
        <w:t xml:space="preserve">אנחנו מבקשים את הארכת ההקצאה של האוצר בחצי שנה נוספת. </w:t>
      </w:r>
    </w:p>
    <w:p w:rsidR="00000000" w:rsidRDefault="00412C4F">
      <w:pPr>
        <w:rPr>
          <w:rFonts w:cs="David"/>
          <w:sz w:val="24"/>
          <w:rtl/>
        </w:rPr>
      </w:pPr>
    </w:p>
    <w:p w:rsidR="00000000" w:rsidRDefault="00412C4F">
      <w:pPr>
        <w:rPr>
          <w:rFonts w:cs="David"/>
          <w:sz w:val="24"/>
          <w:u w:val="single"/>
          <w:rtl/>
        </w:rPr>
      </w:pPr>
      <w:r>
        <w:rPr>
          <w:rFonts w:cs="David"/>
          <w:sz w:val="24"/>
          <w:u w:val="single"/>
          <w:rtl/>
        </w:rPr>
        <w:lastRenderedPageBreak/>
        <w:t>היו"ר מיכאל איתן:</w:t>
      </w:r>
    </w:p>
    <w:p w:rsidR="00000000" w:rsidRDefault="00412C4F">
      <w:pPr>
        <w:rPr>
          <w:rFonts w:cs="David"/>
          <w:sz w:val="24"/>
          <w:rtl/>
        </w:rPr>
      </w:pPr>
    </w:p>
    <w:p w:rsidR="00000000" w:rsidRDefault="00412C4F">
      <w:pPr>
        <w:ind w:firstLine="567"/>
        <w:rPr>
          <w:rFonts w:cs="David"/>
          <w:sz w:val="24"/>
          <w:rtl/>
        </w:rPr>
      </w:pPr>
      <w:r>
        <w:rPr>
          <w:rFonts w:cs="David"/>
          <w:sz w:val="24"/>
          <w:rtl/>
        </w:rPr>
        <w:t>זה צו של הוועדה, לא של השר. מכוח הצו אנחנו יכולים להאריך. מי בעד?</w:t>
      </w:r>
    </w:p>
    <w:p w:rsidR="00000000" w:rsidRDefault="00412C4F">
      <w:pPr>
        <w:ind w:firstLine="567"/>
        <w:rPr>
          <w:rFonts w:cs="David"/>
          <w:sz w:val="24"/>
          <w:rtl/>
        </w:rPr>
      </w:pPr>
    </w:p>
    <w:p w:rsidR="00000000" w:rsidRDefault="00412C4F">
      <w:pPr>
        <w:jc w:val="center"/>
        <w:rPr>
          <w:rFonts w:cs="David"/>
          <w:sz w:val="24"/>
          <w:rtl/>
        </w:rPr>
      </w:pPr>
      <w:r>
        <w:rPr>
          <w:rFonts w:cs="David"/>
          <w:sz w:val="24"/>
          <w:rtl/>
        </w:rPr>
        <w:t xml:space="preserve">ה צ ב ע ה </w:t>
      </w:r>
    </w:p>
    <w:p w:rsidR="00000000" w:rsidRDefault="00412C4F">
      <w:pPr>
        <w:rPr>
          <w:rFonts w:cs="David"/>
          <w:sz w:val="24"/>
          <w:rtl/>
        </w:rPr>
      </w:pPr>
    </w:p>
    <w:p w:rsidR="00000000" w:rsidRDefault="00412C4F">
      <w:pPr>
        <w:rPr>
          <w:rFonts w:cs="David"/>
          <w:sz w:val="24"/>
          <w:rtl/>
        </w:rPr>
      </w:pPr>
    </w:p>
    <w:p w:rsidR="00000000" w:rsidRDefault="00412C4F">
      <w:pPr>
        <w:jc w:val="center"/>
        <w:rPr>
          <w:rFonts w:cs="David"/>
          <w:sz w:val="24"/>
          <w:rtl/>
        </w:rPr>
      </w:pPr>
      <w:r>
        <w:rPr>
          <w:rFonts w:cs="David"/>
          <w:sz w:val="24"/>
          <w:rtl/>
        </w:rPr>
        <w:t>בע</w:t>
      </w:r>
      <w:r>
        <w:rPr>
          <w:rFonts w:cs="David"/>
          <w:sz w:val="24"/>
          <w:rtl/>
        </w:rPr>
        <w:t>ד  - 2</w:t>
      </w:r>
    </w:p>
    <w:p w:rsidR="00000000" w:rsidRDefault="00412C4F">
      <w:pPr>
        <w:jc w:val="center"/>
        <w:rPr>
          <w:rFonts w:cs="David"/>
          <w:sz w:val="24"/>
          <w:rtl/>
        </w:rPr>
      </w:pPr>
      <w:r>
        <w:rPr>
          <w:rFonts w:cs="David"/>
          <w:sz w:val="24"/>
          <w:rtl/>
        </w:rPr>
        <w:t>נגד – 0</w:t>
      </w:r>
    </w:p>
    <w:p w:rsidR="00000000" w:rsidRDefault="00412C4F">
      <w:pPr>
        <w:rPr>
          <w:rFonts w:cs="David"/>
          <w:sz w:val="24"/>
          <w:rtl/>
        </w:rPr>
      </w:pPr>
    </w:p>
    <w:p w:rsidR="00000000" w:rsidRDefault="00412C4F">
      <w:pPr>
        <w:rPr>
          <w:rFonts w:cs="David"/>
          <w:sz w:val="24"/>
          <w:rtl/>
        </w:rPr>
      </w:pPr>
    </w:p>
    <w:p w:rsidR="00000000" w:rsidRDefault="00412C4F">
      <w:pPr>
        <w:rPr>
          <w:rFonts w:cs="David"/>
          <w:sz w:val="24"/>
          <w:rtl/>
        </w:rPr>
      </w:pPr>
    </w:p>
    <w:p w:rsidR="00000000" w:rsidRDefault="00412C4F">
      <w:pPr>
        <w:rPr>
          <w:rFonts w:cs="David"/>
          <w:sz w:val="24"/>
          <w:rtl/>
        </w:rPr>
      </w:pPr>
    </w:p>
    <w:p w:rsidR="00000000" w:rsidRDefault="00412C4F">
      <w:pPr>
        <w:rPr>
          <w:rFonts w:cs="David"/>
          <w:sz w:val="24"/>
          <w:rtl/>
        </w:rPr>
      </w:pPr>
      <w:r>
        <w:rPr>
          <w:rFonts w:cs="David"/>
          <w:sz w:val="24"/>
          <w:rtl/>
        </w:rPr>
        <w:t xml:space="preserve">                                                                      אושר פה אחד</w:t>
      </w:r>
    </w:p>
    <w:p w:rsidR="00000000" w:rsidRDefault="00412C4F">
      <w:pPr>
        <w:rPr>
          <w:rFonts w:cs="David"/>
          <w:sz w:val="24"/>
          <w:rtl/>
        </w:rPr>
      </w:pPr>
    </w:p>
    <w:p w:rsidR="00000000" w:rsidRDefault="00412C4F">
      <w:pPr>
        <w:rPr>
          <w:rFonts w:cs="David"/>
          <w:sz w:val="24"/>
          <w:rtl/>
        </w:rPr>
      </w:pPr>
    </w:p>
    <w:p w:rsidR="00000000" w:rsidRDefault="00412C4F">
      <w:pPr>
        <w:rPr>
          <w:rFonts w:cs="David"/>
          <w:sz w:val="24"/>
          <w:rtl/>
        </w:rPr>
      </w:pPr>
    </w:p>
    <w:p w:rsidR="00000000" w:rsidRDefault="00412C4F">
      <w:pPr>
        <w:rPr>
          <w:rFonts w:cs="David"/>
          <w:sz w:val="24"/>
          <w:u w:val="single"/>
          <w:rtl/>
        </w:rPr>
      </w:pPr>
      <w:r>
        <w:rPr>
          <w:rFonts w:cs="David"/>
          <w:sz w:val="24"/>
          <w:u w:val="single"/>
          <w:rtl/>
        </w:rPr>
        <w:t>הישיבה ננעלה בשעה 12:20</w:t>
      </w:r>
    </w:p>
    <w:p w:rsidR="00000000" w:rsidRDefault="00412C4F">
      <w:pPr>
        <w:rPr>
          <w:rFonts w:cs="David"/>
          <w:sz w:val="24"/>
          <w:rtl/>
        </w:rPr>
      </w:pPr>
    </w:p>
    <w:p w:rsidR="00000000" w:rsidRDefault="00412C4F">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2C4F">
      <w:r>
        <w:separator/>
      </w:r>
    </w:p>
  </w:endnote>
  <w:endnote w:type="continuationSeparator" w:id="0">
    <w:p w:rsidR="00000000" w:rsidRDefault="00412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2C4F">
      <w:r>
        <w:separator/>
      </w:r>
    </w:p>
  </w:footnote>
  <w:footnote w:type="continuationSeparator" w:id="0">
    <w:p w:rsidR="00000000" w:rsidRDefault="00412C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C4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12C4F">
    <w:pPr>
      <w:pStyle w:val="a3"/>
      <w:ind w:right="360"/>
      <w:rPr>
        <w:rFonts w:cs="David"/>
        <w:sz w:val="24"/>
        <w:rtl/>
      </w:rPr>
    </w:pPr>
    <w:r>
      <w:rPr>
        <w:rFonts w:cs="David"/>
        <w:sz w:val="24"/>
        <w:rtl/>
      </w:rPr>
      <w:t>ועדת חוקה, חוק ומשפט</w:t>
    </w:r>
  </w:p>
  <w:p w:rsidR="00000000" w:rsidRDefault="00412C4F">
    <w:pPr>
      <w:pStyle w:val="a3"/>
      <w:ind w:right="360"/>
      <w:rPr>
        <w:rStyle w:val="a7"/>
        <w:rFonts w:cs="David"/>
        <w:sz w:val="24"/>
        <w:rtl/>
      </w:rPr>
    </w:pPr>
    <w:r>
      <w:rPr>
        <w:rFonts w:cs="David"/>
        <w:sz w:val="24"/>
        <w:rtl/>
      </w:rPr>
      <w:t>24.5.2004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2C4F"/>
    <w:rsid w:val="00412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B1F9F2-92B5-4B40-B42E-A15B6B461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60FCD-919E-4E7B-985D-079BED7015D5}"/>
</file>

<file path=customXml/itemProps2.xml><?xml version="1.0" encoding="utf-8"?>
<ds:datastoreItem xmlns:ds="http://schemas.openxmlformats.org/officeDocument/2006/customXml" ds:itemID="{6FF280DD-E70B-442C-93E9-20E98D96CE59}"/>
</file>

<file path=customXml/itemProps3.xml><?xml version="1.0" encoding="utf-8"?>
<ds:datastoreItem xmlns:ds="http://schemas.openxmlformats.org/officeDocument/2006/customXml" ds:itemID="{52CB56CA-E3F7-42D0-85F3-EFE5A8F0EB76}"/>
</file>

<file path=docProps/app.xml><?xml version="1.0" encoding="utf-8"?>
<Properties xmlns="http://schemas.openxmlformats.org/officeDocument/2006/extended-properties" xmlns:vt="http://schemas.openxmlformats.org/officeDocument/2006/docPropsVTypes">
  <Template>Normal</Template>
  <TotalTime>0</TotalTime>
  <Pages>5</Pages>
  <Words>1005</Words>
  <Characters>5028</Characters>
  <Application>Microsoft Office Word</Application>
  <DocSecurity>0</DocSecurity>
  <Lines>41</Lines>
  <Paragraphs>12</Paragraphs>
  <ScaleCrop>false</ScaleCrop>
  <Company>כנסת</Company>
  <LinksUpToDate>false</LinksUpToDate>
  <CharactersWithSpaces>6021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דיווח על יישום הוראת השעה: חוק לתיקון דיני הראיות (הגנת ילדים) – אישור הצו</dc:title>
  <dc:subject/>
  <dc:creator>תמר שפנייר</dc:creator>
  <cp:keywords/>
  <dc:description/>
  <cp:lastModifiedBy>רינה דבורה קדרון</cp:lastModifiedBy>
  <cp:revision>2</cp:revision>
  <cp:lastPrinted>2004-06-30T11:45:00Z</cp:lastPrinted>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226</vt:i4>
  </property>
  <property fmtid="{D5CDD505-2E9C-101B-9397-08002B2CF9AE}" pid="5" name="Nose">
    <vt:lpwstr>':מחלקת הפרוטוקולים:ועדת חוקה'_x000d__x000d_</vt:lpwstr>
  </property>
  <property fmtid="{D5CDD505-2E9C-101B-9397-08002B2CF9AE}" pid="6" name="TaarichYeshiva">
    <vt:filetime>2004-05-22T21:00:00Z</vt:filetime>
  </property>
  <property fmtid="{D5CDD505-2E9C-101B-9397-08002B2CF9AE}" pid="7" name="סימוכין">
    <vt:i4>2398404</vt:i4>
  </property>
  <property fmtid="{D5CDD505-2E9C-101B-9397-08002B2CF9AE}" pid="8" name="שעת ישיבה">
    <vt:lpwstr>11:30</vt:lpwstr>
  </property>
  <property fmtid="{D5CDD505-2E9C-101B-9397-08002B2CF9AE}" pid="9" name="תאריך המסמך">
    <vt:filetime>2004-07-04T21:00:00Z</vt:filetime>
  </property>
  <property fmtid="{D5CDD505-2E9C-101B-9397-08002B2CF9AE}" pid="10" name="Int_ModifyDate">
    <vt:lpwstr>06/07/2004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66869</vt:r8>
  </property>
  <property fmtid="{D5CDD505-2E9C-101B-9397-08002B2CF9AE}" pid="14" name="SanhedrinDocumentType">
    <vt:r8>167</vt:r8>
  </property>
</Properties>
</file>