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157E8">
      <w:pPr>
        <w:jc w:val="both"/>
        <w:rPr>
          <w:rFonts w:cs="David"/>
          <w:b/>
          <w:bCs/>
          <w:sz w:val="24"/>
          <w:szCs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szCs w:val="24"/>
          <w:rtl/>
        </w:rPr>
        <w:t xml:space="preserve">הכנסת השש עשרה </w:t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  <w:t>נוסח לא מתוקן</w:t>
      </w:r>
    </w:p>
    <w:p w:rsidR="00000000" w:rsidRDefault="001157E8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מושב שלישי</w:t>
      </w:r>
    </w:p>
    <w:p w:rsidR="00000000" w:rsidRDefault="001157E8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1157E8">
      <w:pPr>
        <w:jc w:val="center"/>
        <w:rPr>
          <w:rFonts w:cs="David"/>
          <w:b/>
          <w:bCs/>
          <w:sz w:val="24"/>
          <w:szCs w:val="24"/>
          <w:rtl/>
        </w:rPr>
      </w:pPr>
    </w:p>
    <w:p w:rsidR="00000000" w:rsidRDefault="001157E8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פרוטוקול מס' 492</w:t>
      </w:r>
    </w:p>
    <w:p w:rsidR="00000000" w:rsidRDefault="001157E8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מישיבת ועדת החוקה חוק ומשפט</w:t>
      </w:r>
    </w:p>
    <w:p w:rsidR="00000000" w:rsidRDefault="001157E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יום ראשון, כ"ז באייר התשס"ה (5 ביוני 2005), שעה 10:00</w:t>
      </w:r>
    </w:p>
    <w:p w:rsidR="00000000" w:rsidRDefault="001157E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157E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157E8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 xml:space="preserve">סדר היום 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1. תקנות הסנגוריה הציבורית (חו</w:t>
      </w:r>
      <w:r>
        <w:rPr>
          <w:rFonts w:cs="David"/>
          <w:sz w:val="24"/>
          <w:szCs w:val="24"/>
          <w:rtl/>
        </w:rPr>
        <w:t>בת תשלום של זכאים לייצוג)(תיקון) התשס"ה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2. נוסח סעיף 22א' וסעיף 23 לחוק הסנגוריה הציבורית</w:t>
      </w:r>
    </w:p>
    <w:p w:rsidR="00000000" w:rsidRDefault="001157E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157E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157E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157E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157E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157E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157E8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נכחו: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</w:p>
    <w:p w:rsidR="00000000" w:rsidRDefault="001157E8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חברי הוועדה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 xml:space="preserve">מיכאל איתן – היו"ר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רוני בר-און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 xml:space="preserve">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יועצת משפטית</w:t>
      </w:r>
      <w:r>
        <w:rPr>
          <w:rFonts w:cs="David"/>
          <w:sz w:val="24"/>
          <w:szCs w:val="24"/>
          <w:rtl/>
        </w:rPr>
        <w:t>:     עו"ד אפרת רוזן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 xml:space="preserve">מנהלת הועדה </w:t>
      </w:r>
      <w:r>
        <w:rPr>
          <w:rFonts w:cs="David"/>
          <w:sz w:val="24"/>
          <w:szCs w:val="24"/>
          <w:rtl/>
        </w:rPr>
        <w:t xml:space="preserve">:       דורית ואג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נרשם על-ידי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חבר המתרגמים בע"מ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lastRenderedPageBreak/>
        <w:t xml:space="preserve"> </w:t>
      </w:r>
      <w:r>
        <w:rPr>
          <w:rFonts w:cs="David"/>
          <w:b/>
          <w:bCs/>
          <w:sz w:val="24"/>
          <w:szCs w:val="24"/>
          <w:u w:val="single"/>
          <w:rtl/>
        </w:rPr>
        <w:t>תקנות הסנגוריה הציבורית (חובת תשלום של זכאים לייצוג)(תיקון) התשס"ה</w:t>
      </w:r>
    </w:p>
    <w:p w:rsidR="00000000" w:rsidRDefault="001157E8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- מיכאל איתן</w:t>
      </w:r>
      <w:r>
        <w:rPr>
          <w:rFonts w:cs="David"/>
          <w:sz w:val="24"/>
          <w:szCs w:val="24"/>
          <w:rtl/>
        </w:rPr>
        <w:t>: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בוקר טוב, במה אנחנו עוסקים עכשיו?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 xml:space="preserve">אפרת  רוזן  </w:t>
      </w:r>
      <w:r>
        <w:rPr>
          <w:rFonts w:cs="David"/>
          <w:sz w:val="24"/>
          <w:szCs w:val="24"/>
          <w:rtl/>
        </w:rPr>
        <w:t>: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אישור תקנות הסנגוריה הציבורית.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במסגרת חוק  - הסעיף קבע שחובת תשלום של זכאים לי</w:t>
      </w:r>
      <w:r>
        <w:rPr>
          <w:rFonts w:cs="David"/>
          <w:sz w:val="24"/>
          <w:szCs w:val="24"/>
          <w:rtl/>
        </w:rPr>
        <w:t xml:space="preserve">יצוג, כל פטור יינתן לפי הנחיות שקובעת הסנגוריה –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- מיכאל איתן</w:t>
      </w:r>
      <w:r>
        <w:rPr>
          <w:rFonts w:cs="David"/>
          <w:sz w:val="24"/>
          <w:szCs w:val="24"/>
          <w:rtl/>
        </w:rPr>
        <w:t>: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באישור ועדת החוקה?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 xml:space="preserve">אפרת  רוזן  </w:t>
      </w:r>
      <w:r>
        <w:rPr>
          <w:rFonts w:cs="David"/>
          <w:sz w:val="24"/>
          <w:szCs w:val="24"/>
          <w:rtl/>
        </w:rPr>
        <w:t>: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התקנות הן באישור ועדת החוקה, והתקנות האלה בעצם באות להשלים את החקיקה.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- מיכאל איתן</w:t>
      </w:r>
      <w:r>
        <w:rPr>
          <w:rFonts w:cs="David"/>
          <w:sz w:val="24"/>
          <w:szCs w:val="24"/>
          <w:rtl/>
        </w:rPr>
        <w:t>: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 xml:space="preserve">תיקון תקנה 1 – </w:t>
      </w:r>
      <w:r>
        <w:rPr>
          <w:rFonts w:cs="David"/>
          <w:sz w:val="24"/>
          <w:szCs w:val="24"/>
          <w:rtl/>
        </w:rPr>
        <w:tab/>
        <w:t xml:space="preserve"> בתקנה 1(ב) לתקנות הסנגוריה הציבורית </w:t>
      </w:r>
      <w:r>
        <w:rPr>
          <w:rFonts w:cs="David"/>
          <w:sz w:val="24"/>
          <w:szCs w:val="24"/>
          <w:rtl/>
        </w:rPr>
        <w:t>(חובת תשלום של זכאים לייצוג) התש"ס-2000 (להלן- התקנות העיקריות), בסופה יבוא "זולת אם נפרס התשלום נדחה או שניתן לגביו פטור לפי הנחיות הסנגור הציבורי הארצי מכוח תקנה 2. "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במקום תקנה 2 יבוא-  "הסנגור הציבורי הארצי רשאי לקבוע הנחיות לעניין אופן ביצוע התשלום,</w:t>
      </w:r>
      <w:r>
        <w:rPr>
          <w:rFonts w:cs="David"/>
          <w:sz w:val="24"/>
          <w:szCs w:val="24"/>
          <w:rtl/>
        </w:rPr>
        <w:t xml:space="preserve"> לרבות דחיית מועדו, פריסתו או אפשרות מתן פטור ממנו; פטור מתשלום יינתן במקרים חריגים שבהם בהתחשב בהכנותיו, ברכושו ובחובותיו המוכרחים של המבקש, אין ביכולתו לשלמו."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ענבר רובינשטיין</w:t>
      </w:r>
      <w:r>
        <w:rPr>
          <w:rFonts w:cs="David"/>
          <w:sz w:val="24"/>
          <w:szCs w:val="24"/>
          <w:rtl/>
        </w:rPr>
        <w:t>: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מה שבעצם קרה, שהייתה סמכות לבתי המשפט, לשופטים לתת פטורים, ותיקנו את הסמכו</w:t>
      </w:r>
      <w:r>
        <w:rPr>
          <w:rFonts w:cs="David"/>
          <w:sz w:val="24"/>
          <w:szCs w:val="24"/>
          <w:rtl/>
        </w:rPr>
        <w:t xml:space="preserve">ת של השופטים, העבירו את הסמכות לסנגור הארצי.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- מיכאל איתן</w:t>
      </w:r>
      <w:r>
        <w:rPr>
          <w:rFonts w:cs="David"/>
          <w:sz w:val="24"/>
          <w:szCs w:val="24"/>
          <w:rtl/>
        </w:rPr>
        <w:t>: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יש עוד משהו להגיד על זה?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נביא את זה להצבעה.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תקנות הסנגוריה הציבורית, אנחנו בזמנו הייתה סמכות למתן פטור מהתשלום שהנאשם משלם, המיוצג משלם לסנגוריה הציבורית, זה היה בסמכות בית המשפט, הע</w:t>
      </w:r>
      <w:r>
        <w:rPr>
          <w:rFonts w:cs="David"/>
          <w:sz w:val="24"/>
          <w:szCs w:val="24"/>
          <w:rtl/>
        </w:rPr>
        <w:t xml:space="preserve">ברנו את זה לסמכות – האוצר ביקש שזה יעבור לסמכות הסנגוריה הציבורית. היה על זה דיון ארוך מאוד כאן בוועדה , עלו כל מיני נושאים. אבל אז הסוף היה שהותקנו איזה שהן תקנות, שהיום אנחנו צריכים לאשר אותן.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התקנה שנקבעה היא מצורפת כאן, נוסח תקנות הסנגוריה הציבורית,</w:t>
      </w:r>
      <w:r>
        <w:rPr>
          <w:rFonts w:cs="David"/>
          <w:sz w:val="24"/>
          <w:szCs w:val="24"/>
          <w:rtl/>
        </w:rPr>
        <w:t xml:space="preserve"> חובת תשלום של הזכאים לייצוג, כאן יש סעיף אחד – נאשם מחוסר אמצעים שהכנסתו אינה עולה על מחצית הסכום הקבוע בתקנה 2(א)(1) לתקנות הסנגוריה הציבורית (ייצוג נאשמים מחוסרי אמצעים) התשנ"ו-1996 – 110 שקלים חדשים.   (2) לגבי נאשם מחוסר אמצעים שהכנסתו עולה על הסכום ה</w:t>
      </w:r>
      <w:r>
        <w:rPr>
          <w:rFonts w:cs="David"/>
          <w:sz w:val="24"/>
          <w:szCs w:val="24"/>
          <w:rtl/>
        </w:rPr>
        <w:t xml:space="preserve">אמור בפסקה (1) – 274 שקלים חדשים. 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לגבי נאשם שבית המשפט הורה למנות לו סניגור לפי סעיף 18(ב) –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 xml:space="preserve">רוני בר-און </w:t>
      </w:r>
      <w:r>
        <w:rPr>
          <w:rFonts w:cs="David"/>
          <w:sz w:val="24"/>
          <w:szCs w:val="24"/>
          <w:rtl/>
        </w:rPr>
        <w:t>: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סעיף 2 שונה,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- מיכאל איתן</w:t>
      </w:r>
      <w:r>
        <w:rPr>
          <w:rFonts w:cs="David"/>
          <w:sz w:val="24"/>
          <w:szCs w:val="24"/>
          <w:rtl/>
        </w:rPr>
        <w:t>: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כן, עכשיו סעיף 2 שונה,  אנחנו בזה צריכים לאשר. זה מקובל על כולם.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מי בעד?   מי נגד?     סיימנו את היש</w:t>
      </w:r>
      <w:r>
        <w:rPr>
          <w:rFonts w:cs="David"/>
          <w:sz w:val="24"/>
          <w:szCs w:val="24"/>
          <w:rtl/>
        </w:rPr>
        <w:t xml:space="preserve">יבה. </w:t>
      </w: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David"/>
          <w:sz w:val="24"/>
          <w:szCs w:val="24"/>
          <w:rtl/>
        </w:rPr>
      </w:pPr>
    </w:p>
    <w:p w:rsidR="00000000" w:rsidRDefault="001157E8">
      <w:pPr>
        <w:jc w:val="both"/>
        <w:rPr>
          <w:rFonts w:cs="Miriam"/>
          <w:b/>
          <w:bCs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 xml:space="preserve">הישיבה ננעלה בשעה 10:15 </w:t>
      </w:r>
    </w:p>
    <w:sectPr w:rsidR="00000000">
      <w:headerReference w:type="default" r:id="rId6"/>
      <w:footerReference w:type="default" r:id="rId7"/>
      <w:pgSz w:w="11906" w:h="16838"/>
      <w:pgMar w:top="1440" w:right="1797" w:bottom="1440" w:left="1797" w:header="709" w:footer="709" w:gutter="0"/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157E8">
      <w:pPr>
        <w:rPr>
          <w:rFonts w:cs="Miriam"/>
          <w:rtl/>
        </w:rPr>
      </w:pPr>
      <w:r>
        <w:rPr>
          <w:rFonts w:cs="Miriam"/>
        </w:rPr>
        <w:separator/>
      </w:r>
    </w:p>
  </w:endnote>
  <w:endnote w:type="continuationSeparator" w:id="0">
    <w:p w:rsidR="00000000" w:rsidRDefault="001157E8">
      <w:pPr>
        <w:rPr>
          <w:rFonts w:cs="Miriam"/>
          <w:rtl/>
        </w:rPr>
      </w:pPr>
      <w:r>
        <w:rPr>
          <w:rFonts w:cs="Miriam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57E8">
    <w:pPr>
      <w:pStyle w:val="a5"/>
      <w:framePr w:wrap="auto" w:vAnchor="text" w:hAnchor="text" w:y="1"/>
      <w:rPr>
        <w:rStyle w:val="a7"/>
        <w:rFonts w:cs="Miriam"/>
        <w:rtl/>
      </w:rPr>
    </w:pPr>
    <w:r>
      <w:rPr>
        <w:rStyle w:val="a7"/>
        <w:rFonts w:cs="Miriam"/>
      </w:rPr>
      <w:fldChar w:fldCharType="begin"/>
    </w:r>
    <w:r>
      <w:rPr>
        <w:rStyle w:val="a7"/>
        <w:rFonts w:cs="Miriam"/>
      </w:rPr>
      <w:instrText xml:space="preserve">PAGE  </w:instrText>
    </w:r>
    <w:r>
      <w:rPr>
        <w:rStyle w:val="a7"/>
        <w:rFonts w:cs="Miriam"/>
      </w:rPr>
      <w:fldChar w:fldCharType="separate"/>
    </w:r>
    <w:r>
      <w:rPr>
        <w:rStyle w:val="a7"/>
        <w:rFonts w:cs="Miriam"/>
        <w:noProof/>
        <w:rtl/>
      </w:rPr>
      <w:t>2</w:t>
    </w:r>
    <w:r>
      <w:rPr>
        <w:rStyle w:val="a7"/>
        <w:rFonts w:cs="Miriam"/>
      </w:rPr>
      <w:fldChar w:fldCharType="end"/>
    </w:r>
  </w:p>
  <w:p w:rsidR="00000000" w:rsidRDefault="001157E8">
    <w:pPr>
      <w:pStyle w:val="a5"/>
      <w:ind w:right="360"/>
      <w:rPr>
        <w:rFonts w:cs="Miriam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157E8">
      <w:pPr>
        <w:rPr>
          <w:rFonts w:cs="Miriam"/>
          <w:rtl/>
        </w:rPr>
      </w:pPr>
      <w:r>
        <w:rPr>
          <w:rFonts w:cs="Miriam"/>
        </w:rPr>
        <w:separator/>
      </w:r>
    </w:p>
  </w:footnote>
  <w:footnote w:type="continuationSeparator" w:id="0">
    <w:p w:rsidR="00000000" w:rsidRDefault="001157E8">
      <w:pPr>
        <w:rPr>
          <w:rFonts w:cs="Miriam"/>
          <w:rtl/>
        </w:rPr>
      </w:pPr>
      <w:r>
        <w:rPr>
          <w:rFonts w:cs="Miriam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57E8">
    <w:pPr>
      <w:pStyle w:val="a3"/>
      <w:framePr w:wrap="auto" w:vAnchor="text" w:hAnchor="text" w:y="1"/>
      <w:rPr>
        <w:rStyle w:val="a7"/>
        <w:rFonts w:cs="Miriam"/>
        <w:rtl/>
      </w:rPr>
    </w:pPr>
    <w:r>
      <w:rPr>
        <w:rStyle w:val="a7"/>
        <w:rFonts w:cs="Miriam"/>
      </w:rPr>
      <w:fldChar w:fldCharType="begin"/>
    </w:r>
    <w:r>
      <w:rPr>
        <w:rStyle w:val="a7"/>
        <w:rFonts w:cs="Miriam"/>
      </w:rPr>
      <w:instrText xml:space="preserve">PAGE  </w:instrText>
    </w:r>
    <w:r>
      <w:rPr>
        <w:rStyle w:val="a7"/>
        <w:rFonts w:cs="Miriam"/>
      </w:rPr>
      <w:fldChar w:fldCharType="separate"/>
    </w:r>
    <w:r>
      <w:rPr>
        <w:rStyle w:val="a7"/>
        <w:rFonts w:cs="Miriam"/>
        <w:noProof/>
        <w:rtl/>
      </w:rPr>
      <w:t>2</w:t>
    </w:r>
    <w:r>
      <w:rPr>
        <w:rStyle w:val="a7"/>
        <w:rFonts w:cs="Miriam"/>
      </w:rPr>
      <w:fldChar w:fldCharType="end"/>
    </w:r>
  </w:p>
  <w:p w:rsidR="00000000" w:rsidRDefault="001157E8">
    <w:pPr>
      <w:pStyle w:val="a3"/>
      <w:ind w:right="360"/>
      <w:rPr>
        <w:rFonts w:cs="Miriam"/>
        <w:rtl/>
      </w:rPr>
    </w:pPr>
    <w:r>
      <w:rPr>
        <w:rFonts w:cs="Miriam"/>
        <w:rtl/>
      </w:rPr>
      <w:t>ועדת החוקה, חוק ומשפט</w:t>
    </w:r>
  </w:p>
  <w:p w:rsidR="00000000" w:rsidRDefault="001157E8">
    <w:pPr>
      <w:pStyle w:val="a3"/>
      <w:ind w:right="360"/>
      <w:rPr>
        <w:rFonts w:cs="Miriam"/>
        <w:rtl/>
      </w:rPr>
    </w:pPr>
    <w:r>
      <w:rPr>
        <w:rFonts w:cs="Miriam"/>
        <w:rtl/>
      </w:rPr>
      <w:t xml:space="preserve">5.6.2005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57E8"/>
    <w:rsid w:val="00115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33F6AD9-DA90-4B47-8DDC-52E22BBAF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ind w:right="720"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EE0925-2E54-4CC6-992A-3E9FC59D5A4B}"/>
</file>

<file path=customXml/itemProps2.xml><?xml version="1.0" encoding="utf-8"?>
<ds:datastoreItem xmlns:ds="http://schemas.openxmlformats.org/officeDocument/2006/customXml" ds:itemID="{FDC2CAE6-1FEF-4479-9C0D-5DB5660CA0F7}"/>
</file>

<file path=customXml/itemProps3.xml><?xml version="1.0" encoding="utf-8"?>
<ds:datastoreItem xmlns:ds="http://schemas.openxmlformats.org/officeDocument/2006/customXml" ds:itemID="{118396A8-8F91-40EB-B916-34465995AD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2110</Characters>
  <Application>Microsoft Office Word</Application>
  <DocSecurity>0</DocSecurity>
  <Lines>17</Lines>
  <Paragraphs>5</Paragraphs>
  <ScaleCrop>false</ScaleCrop>
  <Company>knesset</Company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הסנגוריה הציבורית (חובת תשלום של זכאים לייצוג)(תיקון) התשס"ה; נוסח סעיף 22א' וסעיף 23 לחוק הסנגוריה הציבורית</dc:title>
  <dc:subject/>
  <dc:creator>USER</dc:creator>
  <cp:keywords/>
  <dc:description/>
  <cp:lastModifiedBy>רינה דבורה קדרון</cp:lastModifiedBy>
  <cp:revision>2</cp:revision>
  <dcterms:created xsi:type="dcterms:W3CDTF">2017-04-19T11:30:00Z</dcterms:created>
  <dcterms:modified xsi:type="dcterms:W3CDTF">2017-04-19T11:30:00Z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389.000000000000</vt:lpwstr>
  </property>
  <property fmtid="{D5CDD505-2E9C-101B-9397-08002B2CF9AE}" pid="3" name="AutoNumber">
    <vt:lpwstr>100716905</vt:lpwstr>
  </property>
  <property fmtid="{D5CDD505-2E9C-101B-9397-08002B2CF9AE}" pid="4" name="SDDocDate">
    <vt:lpwstr>2005-07-11T08:00:00Z</vt:lpwstr>
  </property>
  <property fmtid="{D5CDD505-2E9C-101B-9397-08002B2CF9AE}" pid="5" name="SDHebDate">
    <vt:lpwstr>ד' בתמוז, התשס"ה</vt:lpwstr>
  </property>
  <property fmtid="{D5CDD505-2E9C-101B-9397-08002B2CF9AE}" pid="6" name="SDCategories">
    <vt:lpwstr>:דף הבית:נושאים:פרוטוקולי וועדות פרלמטריות:החוקה, חוק ומשפט;#</vt:lpwstr>
  </property>
  <property fmtid="{D5CDD505-2E9C-101B-9397-08002B2CF9AE}" pid="7" name="MisYeshiva">
    <vt:lpwstr>492.000000000000</vt:lpwstr>
  </property>
  <property fmtid="{D5CDD505-2E9C-101B-9397-08002B2CF9AE}" pid="8" name="SDAuthor">
    <vt:lpwstr>תמר שפנייר</vt:lpwstr>
  </property>
  <property fmtid="{D5CDD505-2E9C-101B-9397-08002B2CF9AE}" pid="9" name="TaarichYeshiva">
    <vt:lpwstr>2005-06-05T08:00:00Z</vt:lpwstr>
  </property>
  <property fmtid="{D5CDD505-2E9C-101B-9397-08002B2CF9AE}" pid="10" name="שעת ישיבה">
    <vt:lpwstr>9:30</vt:lpwstr>
  </property>
  <property fmtid="{D5CDD505-2E9C-101B-9397-08002B2CF9AE}" pid="11" name="GetLastModified">
    <vt:lpwstr>7/11/2005 11:19:44 AM</vt:lpwstr>
  </property>
  <property fmtid="{D5CDD505-2E9C-101B-9397-08002B2CF9AE}" pid="12" name="ContentTypeId">
    <vt:lpwstr>0x010100F931E205BBB08441AEFFEBF8ABB23DF1</vt:lpwstr>
  </property>
  <property fmtid="{D5CDD505-2E9C-101B-9397-08002B2CF9AE}" pid="13" name="SanhedrinItemID">
    <vt:r8>101460</vt:r8>
  </property>
  <property fmtid="{D5CDD505-2E9C-101B-9397-08002B2CF9AE}" pid="14" name="SanhedrinDocumentType">
    <vt:r8>167</vt:r8>
  </property>
</Properties>
</file>