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103F">
      <w:pPr>
        <w:pStyle w:val="5"/>
        <w:tabs>
          <w:tab w:val="left" w:pos="1221"/>
        </w:tabs>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103F">
      <w:pPr>
        <w:rPr>
          <w:rFonts w:cs="David"/>
          <w:b/>
          <w:bCs/>
          <w:sz w:val="24"/>
          <w:rtl/>
        </w:rPr>
      </w:pPr>
      <w:r>
        <w:rPr>
          <w:rFonts w:cs="David"/>
          <w:b/>
          <w:bCs/>
          <w:sz w:val="24"/>
          <w:rtl/>
        </w:rPr>
        <w:t>מושב שלישי</w:t>
      </w:r>
    </w:p>
    <w:p w:rsidR="00000000" w:rsidRDefault="00D3103F">
      <w:pPr>
        <w:rPr>
          <w:rFonts w:cs="David"/>
          <w:b/>
          <w:bCs/>
          <w:sz w:val="24"/>
          <w:rtl/>
        </w:rPr>
      </w:pPr>
    </w:p>
    <w:p w:rsidR="00000000" w:rsidRDefault="00D3103F">
      <w:pPr>
        <w:rPr>
          <w:rFonts w:cs="David"/>
          <w:b/>
          <w:bCs/>
          <w:sz w:val="24"/>
          <w:rtl/>
        </w:rPr>
      </w:pPr>
    </w:p>
    <w:p w:rsidR="00000000" w:rsidRDefault="00D3103F">
      <w:pPr>
        <w:jc w:val="center"/>
        <w:rPr>
          <w:rFonts w:cs="David"/>
          <w:sz w:val="24"/>
          <w:rtl/>
        </w:rPr>
      </w:pPr>
      <w:r>
        <w:rPr>
          <w:rFonts w:cs="David"/>
          <w:sz w:val="24"/>
          <w:rtl/>
        </w:rPr>
        <w:t>פרוטוקול מס' 530</w:t>
      </w:r>
    </w:p>
    <w:p w:rsidR="00000000" w:rsidRDefault="00D3103F">
      <w:pPr>
        <w:jc w:val="center"/>
        <w:rPr>
          <w:rFonts w:cs="David"/>
          <w:b/>
          <w:bCs/>
          <w:sz w:val="24"/>
          <w:rtl/>
        </w:rPr>
      </w:pPr>
      <w:r>
        <w:rPr>
          <w:rFonts w:cs="David"/>
          <w:b/>
          <w:bCs/>
          <w:sz w:val="24"/>
          <w:rtl/>
        </w:rPr>
        <w:t>מישיבת ועדת החוקה, חוק ומשפט</w:t>
      </w:r>
    </w:p>
    <w:p w:rsidR="00000000" w:rsidRDefault="00D3103F">
      <w:pPr>
        <w:pStyle w:val="8"/>
        <w:rPr>
          <w:rFonts w:cs="David"/>
          <w:sz w:val="24"/>
          <w:rtl/>
        </w:rPr>
      </w:pPr>
      <w:r>
        <w:rPr>
          <w:rFonts w:cs="David"/>
          <w:sz w:val="24"/>
          <w:rtl/>
        </w:rPr>
        <w:t>יום שני, ד' בתמוז התשס"ה (11 ביולי 2005), שעה 13:00</w:t>
      </w:r>
    </w:p>
    <w:p w:rsidR="00000000" w:rsidRDefault="00D3103F">
      <w:pPr>
        <w:rPr>
          <w:rFonts w:cs="David"/>
          <w:b/>
          <w:bCs/>
          <w:sz w:val="24"/>
          <w:rtl/>
        </w:rPr>
      </w:pPr>
    </w:p>
    <w:p w:rsidR="00000000" w:rsidRDefault="00D3103F">
      <w:pPr>
        <w:tabs>
          <w:tab w:val="left" w:pos="1221"/>
        </w:tabs>
        <w:rPr>
          <w:rFonts w:cs="David"/>
          <w:b/>
          <w:bCs/>
          <w:sz w:val="24"/>
          <w:u w:val="single"/>
          <w:rtl/>
        </w:rPr>
      </w:pPr>
    </w:p>
    <w:p w:rsidR="00000000" w:rsidRDefault="00D3103F">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הנזיקין (מס' 10) (אחריות עובדי הציבור), התשס"ה-2005.</w:t>
      </w:r>
    </w:p>
    <w:p w:rsidR="00000000" w:rsidRDefault="00D3103F">
      <w:pPr>
        <w:rPr>
          <w:rFonts w:cs="David"/>
          <w:b/>
          <w:bCs/>
          <w:sz w:val="24"/>
          <w:rtl/>
        </w:rPr>
      </w:pPr>
      <w:r>
        <w:rPr>
          <w:rFonts w:cs="David"/>
          <w:b/>
          <w:bCs/>
          <w:sz w:val="24"/>
          <w:rtl/>
        </w:rPr>
        <w:t xml:space="preserve"> </w:t>
      </w:r>
    </w:p>
    <w:p w:rsidR="00000000" w:rsidRDefault="00D3103F">
      <w:pPr>
        <w:rPr>
          <w:rFonts w:cs="David"/>
          <w:sz w:val="24"/>
          <w:rtl/>
        </w:rPr>
      </w:pPr>
    </w:p>
    <w:p w:rsidR="00000000" w:rsidRDefault="00D3103F">
      <w:pPr>
        <w:rPr>
          <w:rFonts w:cs="David"/>
          <w:sz w:val="24"/>
          <w:rtl/>
        </w:rPr>
      </w:pPr>
    </w:p>
    <w:p w:rsidR="00000000" w:rsidRDefault="00D3103F">
      <w:pPr>
        <w:rPr>
          <w:rFonts w:cs="David"/>
          <w:b/>
          <w:bCs/>
          <w:sz w:val="24"/>
          <w:u w:val="single"/>
          <w:rtl/>
        </w:rPr>
      </w:pPr>
      <w:r>
        <w:rPr>
          <w:rFonts w:cs="David"/>
          <w:b/>
          <w:bCs/>
          <w:sz w:val="24"/>
          <w:u w:val="single"/>
          <w:rtl/>
        </w:rPr>
        <w:t>נכחו</w:t>
      </w:r>
      <w:r>
        <w:rPr>
          <w:rFonts w:cs="David"/>
          <w:sz w:val="24"/>
          <w:rtl/>
        </w:rPr>
        <w:t>:</w:t>
      </w:r>
    </w:p>
    <w:p w:rsidR="00000000" w:rsidRDefault="00D3103F">
      <w:pPr>
        <w:rPr>
          <w:rFonts w:cs="David"/>
          <w:sz w:val="24"/>
          <w:rtl/>
        </w:rPr>
      </w:pPr>
    </w:p>
    <w:p w:rsidR="00000000" w:rsidRDefault="00D3103F">
      <w:pPr>
        <w:tabs>
          <w:tab w:val="left" w:pos="1788"/>
        </w:tabs>
        <w:rPr>
          <w:rFonts w:cs="David"/>
          <w:b/>
          <w:bCs/>
          <w:sz w:val="24"/>
          <w:rtl/>
        </w:rPr>
      </w:pPr>
      <w:r>
        <w:rPr>
          <w:rFonts w:cs="David"/>
          <w:b/>
          <w:bCs/>
          <w:sz w:val="24"/>
          <w:u w:val="single"/>
          <w:rtl/>
        </w:rPr>
        <w:t>חברי הוועדה</w:t>
      </w:r>
      <w:r>
        <w:rPr>
          <w:rFonts w:cs="David"/>
          <w:sz w:val="24"/>
          <w:rtl/>
        </w:rPr>
        <w:t>: מיכאל א</w:t>
      </w:r>
      <w:r>
        <w:rPr>
          <w:rFonts w:cs="David"/>
          <w:sz w:val="24"/>
          <w:rtl/>
        </w:rPr>
        <w:t>יתן-היו"ר</w:t>
      </w:r>
    </w:p>
    <w:p w:rsidR="00000000" w:rsidRDefault="00D3103F">
      <w:pPr>
        <w:rPr>
          <w:rFonts w:cs="David"/>
          <w:sz w:val="24"/>
          <w:rtl/>
        </w:rPr>
      </w:pPr>
      <w:r>
        <w:rPr>
          <w:rFonts w:cs="David"/>
          <w:sz w:val="24"/>
          <w:rtl/>
        </w:rPr>
        <w:t xml:space="preserve">                        רשף חן</w:t>
      </w:r>
    </w:p>
    <w:p w:rsidR="00000000" w:rsidRDefault="00D3103F">
      <w:pPr>
        <w:rPr>
          <w:rFonts w:cs="David"/>
          <w:sz w:val="24"/>
          <w:rtl/>
        </w:rPr>
      </w:pPr>
      <w:r>
        <w:rPr>
          <w:rFonts w:cs="David"/>
          <w:sz w:val="24"/>
          <w:rtl/>
        </w:rPr>
        <w:t xml:space="preserve">                       יצחק לוי</w:t>
      </w:r>
    </w:p>
    <w:p w:rsidR="00000000" w:rsidRDefault="00D3103F">
      <w:pPr>
        <w:rPr>
          <w:rFonts w:cs="David"/>
          <w:sz w:val="24"/>
          <w:rtl/>
        </w:rPr>
      </w:pPr>
    </w:p>
    <w:p w:rsidR="00000000" w:rsidRDefault="00D3103F">
      <w:pPr>
        <w:tabs>
          <w:tab w:val="left" w:pos="1788"/>
          <w:tab w:val="left" w:pos="3631"/>
        </w:tabs>
        <w:rPr>
          <w:rFonts w:cs="David"/>
          <w:sz w:val="24"/>
          <w:rtl/>
        </w:rPr>
      </w:pPr>
      <w:r>
        <w:rPr>
          <w:rFonts w:cs="David"/>
          <w:b/>
          <w:bCs/>
          <w:sz w:val="24"/>
          <w:u w:val="single"/>
          <w:rtl/>
        </w:rPr>
        <w:t>מוזמנים</w:t>
      </w:r>
      <w:r>
        <w:rPr>
          <w:rFonts w:cs="David"/>
          <w:sz w:val="24"/>
          <w:rtl/>
        </w:rPr>
        <w:t>:        תמר קלהורה,עו"ד             מחלקת ייעוץ וחקיקה, משרד המשפטים</w:t>
      </w:r>
    </w:p>
    <w:p w:rsidR="00000000" w:rsidRDefault="00D3103F">
      <w:pPr>
        <w:tabs>
          <w:tab w:val="left" w:pos="1788"/>
          <w:tab w:val="left" w:pos="3631"/>
        </w:tabs>
        <w:rPr>
          <w:rFonts w:cs="David"/>
          <w:sz w:val="24"/>
          <w:rtl/>
        </w:rPr>
      </w:pPr>
      <w:r>
        <w:rPr>
          <w:rFonts w:cs="David"/>
          <w:sz w:val="24"/>
          <w:rtl/>
        </w:rPr>
        <w:t xml:space="preserve">                        פרופ' ישראל גלעד </w:t>
      </w:r>
    </w:p>
    <w:p w:rsidR="00000000" w:rsidRDefault="00D3103F">
      <w:pPr>
        <w:tabs>
          <w:tab w:val="left" w:pos="1788"/>
          <w:tab w:val="left" w:pos="3631"/>
        </w:tabs>
        <w:rPr>
          <w:rFonts w:cs="David"/>
          <w:sz w:val="24"/>
          <w:rtl/>
        </w:rPr>
      </w:pPr>
      <w:r>
        <w:rPr>
          <w:rFonts w:cs="David"/>
          <w:sz w:val="24"/>
          <w:rtl/>
        </w:rPr>
        <w:t xml:space="preserve">                        נג'ין כליף                            ש</w:t>
      </w:r>
      <w:r>
        <w:rPr>
          <w:rFonts w:cs="David"/>
          <w:sz w:val="24"/>
          <w:rtl/>
        </w:rPr>
        <w:t>תי"ל</w:t>
      </w:r>
    </w:p>
    <w:p w:rsidR="00000000" w:rsidRDefault="00D3103F">
      <w:pPr>
        <w:rPr>
          <w:rFonts w:cs="David"/>
          <w:sz w:val="24"/>
          <w:rtl/>
        </w:rPr>
      </w:pPr>
    </w:p>
    <w:p w:rsidR="00000000" w:rsidRDefault="00D3103F">
      <w:pPr>
        <w:rPr>
          <w:rFonts w:cs="David"/>
          <w:sz w:val="24"/>
          <w:rtl/>
        </w:rPr>
      </w:pPr>
    </w:p>
    <w:p w:rsidR="00000000" w:rsidRDefault="00D3103F">
      <w:pPr>
        <w:rPr>
          <w:rFonts w:cs="David"/>
          <w:sz w:val="24"/>
          <w:rtl/>
        </w:rPr>
      </w:pPr>
    </w:p>
    <w:p w:rsidR="00000000" w:rsidRDefault="00D3103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D3103F">
      <w:pPr>
        <w:rPr>
          <w:rFonts w:cs="David"/>
          <w:sz w:val="24"/>
          <w:rtl/>
        </w:rPr>
      </w:pPr>
    </w:p>
    <w:p w:rsidR="00000000" w:rsidRDefault="00D3103F">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D3103F">
      <w:pPr>
        <w:rPr>
          <w:rFonts w:cs="David"/>
          <w:sz w:val="24"/>
          <w:rtl/>
        </w:rPr>
      </w:pPr>
    </w:p>
    <w:p w:rsidR="00000000" w:rsidRDefault="00D3103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D3103F">
      <w:pPr>
        <w:rPr>
          <w:rFonts w:cs="David"/>
          <w:b/>
          <w:bCs/>
          <w:sz w:val="24"/>
          <w:rtl/>
        </w:rPr>
      </w:pPr>
    </w:p>
    <w:p w:rsidR="00000000" w:rsidRDefault="00D3103F">
      <w:pPr>
        <w:rPr>
          <w:rFonts w:cs="David"/>
          <w:sz w:val="24"/>
          <w:rtl/>
        </w:rPr>
      </w:pPr>
      <w:r>
        <w:rPr>
          <w:rFonts w:cs="David"/>
          <w:sz w:val="24"/>
          <w:rtl/>
        </w:rPr>
        <w:br w:type="page"/>
      </w:r>
    </w:p>
    <w:p w:rsidR="00000000" w:rsidRDefault="00D3103F">
      <w:pPr>
        <w:jc w:val="center"/>
        <w:rPr>
          <w:rFonts w:cs="David"/>
          <w:sz w:val="24"/>
          <w:rtl/>
        </w:rPr>
      </w:pPr>
      <w:r>
        <w:rPr>
          <w:rFonts w:cs="David"/>
          <w:sz w:val="24"/>
          <w:rtl/>
        </w:rPr>
        <w:t>הצעת חוק לתיקון פקודת הנזיקין (מס' 10)</w:t>
      </w:r>
    </w:p>
    <w:p w:rsidR="00000000" w:rsidRDefault="00D3103F">
      <w:pPr>
        <w:pStyle w:val="7"/>
        <w:rPr>
          <w:rFonts w:cs="David"/>
          <w:sz w:val="24"/>
          <w:rtl/>
        </w:rPr>
      </w:pPr>
      <w:r>
        <w:rPr>
          <w:rFonts w:cs="David"/>
          <w:sz w:val="24"/>
          <w:rtl/>
        </w:rPr>
        <w:t>(אחריות עובדי הציבור), התשס"ה-2005</w:t>
      </w:r>
    </w:p>
    <w:p w:rsidR="00000000" w:rsidRDefault="00D3103F">
      <w:pPr>
        <w:rPr>
          <w:rFonts w:cs="David"/>
          <w:sz w:val="24"/>
          <w:rtl/>
        </w:rPr>
      </w:pPr>
    </w:p>
    <w:p w:rsidR="00000000" w:rsidRDefault="00D3103F">
      <w:pPr>
        <w:rPr>
          <w:rFonts w:cs="David"/>
          <w:sz w:val="24"/>
          <w:rtl/>
        </w:rPr>
      </w:pPr>
    </w:p>
    <w:p w:rsidR="00000000" w:rsidRDefault="00D3103F">
      <w:pPr>
        <w:rPr>
          <w:rFonts w:cs="David"/>
          <w:sz w:val="24"/>
          <w:u w:val="single"/>
          <w:rtl/>
        </w:rPr>
      </w:pPr>
      <w:r>
        <w:rPr>
          <w:rFonts w:cs="David"/>
          <w:sz w:val="24"/>
          <w:u w:val="single"/>
          <w:rtl/>
        </w:rPr>
        <w:t>היו"ר מיכאל איתן:</w:t>
      </w:r>
    </w:p>
    <w:p w:rsidR="00000000" w:rsidRDefault="00D3103F">
      <w:pPr>
        <w:rPr>
          <w:rFonts w:cs="David"/>
          <w:sz w:val="24"/>
          <w:rtl/>
        </w:rPr>
      </w:pPr>
    </w:p>
    <w:p w:rsidR="00000000" w:rsidRDefault="00D3103F">
      <w:pPr>
        <w:ind w:firstLine="567"/>
        <w:rPr>
          <w:rFonts w:cs="David"/>
          <w:sz w:val="24"/>
          <w:rtl/>
        </w:rPr>
      </w:pPr>
      <w:r>
        <w:rPr>
          <w:rFonts w:cs="David"/>
          <w:sz w:val="24"/>
          <w:rtl/>
        </w:rPr>
        <w:t>הצעת חוק לתיקון פקודת הנזיקין (מס' 10) (אחריות עובדי הציבור), התשס"ה-2005. אנחנו</w:t>
      </w:r>
      <w:r>
        <w:rPr>
          <w:rFonts w:cs="David"/>
          <w:sz w:val="24"/>
          <w:rtl/>
        </w:rPr>
        <w:t xml:space="preserve"> מדברים על מצב שבו תהיה חלוקה של אחריות של המדינה ושל עובדי המדינה. לאחר דיונים די ממושכים הגענו לנוסח מוסכם. אני מבקש להביא אותו להצבעה בקריאה שנייה ושלישית. </w:t>
      </w:r>
    </w:p>
    <w:p w:rsidR="00000000" w:rsidRDefault="00D3103F">
      <w:pPr>
        <w:rPr>
          <w:rFonts w:cs="David"/>
          <w:sz w:val="24"/>
          <w:rtl/>
        </w:rPr>
      </w:pPr>
    </w:p>
    <w:p w:rsidR="00000000" w:rsidRDefault="00D3103F">
      <w:pPr>
        <w:rPr>
          <w:rFonts w:cs="David"/>
          <w:sz w:val="24"/>
          <w:u w:val="single"/>
          <w:rtl/>
        </w:rPr>
      </w:pPr>
      <w:r>
        <w:rPr>
          <w:rFonts w:cs="David"/>
          <w:sz w:val="24"/>
          <w:u w:val="single"/>
          <w:rtl/>
        </w:rPr>
        <w:t>רשף חן:</w:t>
      </w:r>
    </w:p>
    <w:p w:rsidR="00000000" w:rsidRDefault="00D3103F">
      <w:pPr>
        <w:rPr>
          <w:rFonts w:cs="David"/>
          <w:sz w:val="24"/>
          <w:rtl/>
        </w:rPr>
      </w:pPr>
    </w:p>
    <w:p w:rsidR="00000000" w:rsidRDefault="00D3103F">
      <w:pPr>
        <w:ind w:firstLine="567"/>
        <w:rPr>
          <w:rFonts w:cs="David"/>
          <w:sz w:val="24"/>
          <w:rtl/>
        </w:rPr>
      </w:pPr>
      <w:r>
        <w:rPr>
          <w:rFonts w:cs="David"/>
          <w:sz w:val="24"/>
          <w:rtl/>
        </w:rPr>
        <w:t>המצב הוא שאפשר להגיש נגד עובד הציבור תובענה רק אם זה נעשה בשוויון נפש או בכוונה.</w:t>
      </w:r>
    </w:p>
    <w:p w:rsidR="00000000" w:rsidRDefault="00D3103F">
      <w:pPr>
        <w:rPr>
          <w:rFonts w:cs="David"/>
          <w:sz w:val="24"/>
          <w:rtl/>
        </w:rPr>
      </w:pPr>
    </w:p>
    <w:p w:rsidR="00000000" w:rsidRDefault="00D3103F">
      <w:pPr>
        <w:rPr>
          <w:rFonts w:cs="David"/>
          <w:sz w:val="24"/>
          <w:u w:val="single"/>
          <w:rtl/>
        </w:rPr>
      </w:pPr>
      <w:r>
        <w:rPr>
          <w:rFonts w:cs="David"/>
          <w:sz w:val="24"/>
          <w:u w:val="single"/>
          <w:rtl/>
        </w:rPr>
        <w:t>היו"</w:t>
      </w:r>
      <w:r>
        <w:rPr>
          <w:rFonts w:cs="David"/>
          <w:sz w:val="24"/>
          <w:u w:val="single"/>
          <w:rtl/>
        </w:rPr>
        <w:t>ר מיכאל איתן:</w:t>
      </w:r>
    </w:p>
    <w:p w:rsidR="00000000" w:rsidRDefault="00D3103F">
      <w:pPr>
        <w:rPr>
          <w:rFonts w:cs="David"/>
          <w:sz w:val="24"/>
          <w:rtl/>
        </w:rPr>
      </w:pPr>
    </w:p>
    <w:p w:rsidR="00000000" w:rsidRDefault="00D3103F">
      <w:pPr>
        <w:pStyle w:val="a8"/>
        <w:rPr>
          <w:rFonts w:cs="David"/>
          <w:sz w:val="24"/>
          <w:rtl/>
        </w:rPr>
      </w:pPr>
      <w:r>
        <w:rPr>
          <w:rFonts w:cs="David"/>
          <w:sz w:val="24"/>
          <w:rtl/>
        </w:rPr>
        <w:t xml:space="preserve">        מצד אחד אנחנו רוצים למנוע מצב שיאיימו על פקידי ציבור, ומצד שני לא ליצור מצב שתהיה הפקרות, כלומר שהפקידים יוכלו להתעלל באזרחים כי הם יקבלו חסינות . היו על זה הרבה מאוד דיונים. הקו שהגענו הוא מאוד עדין ונכון.  אמרנו שהאדם, שנוהג בשוויו</w:t>
      </w:r>
      <w:r>
        <w:rPr>
          <w:rFonts w:cs="David"/>
          <w:sz w:val="24"/>
          <w:rtl/>
        </w:rPr>
        <w:t xml:space="preserve">ן נפש לגבי תוצאות שליליות שהוא יגרום, יהיה אחראי. לקחנו את המושג של הפזיזות הפלילית. אמרנו שאם זה מעשה רשלנות גרידא, בלי כוונה מינימאלית אנחנו עדיין שמים אותו תחת חסות המדינה, אבל אם זה מצב שבו בן אדם אומר שהוא לא חותם על הרשיון, והוא יודע שהוא יגרום לנזק </w:t>
      </w:r>
      <w:r>
        <w:rPr>
          <w:rFonts w:cs="David"/>
          <w:sz w:val="24"/>
          <w:rtl/>
        </w:rPr>
        <w:t xml:space="preserve">של 100 טון פירות שיתקלקל, אז אומרים לו "אדוני, ידעת שאתה הולך לגרום נזק אז תהיה אחראי". </w:t>
      </w:r>
    </w:p>
    <w:p w:rsidR="00000000" w:rsidRDefault="00D3103F">
      <w:pPr>
        <w:tabs>
          <w:tab w:val="left" w:pos="1079"/>
        </w:tabs>
        <w:rPr>
          <w:rFonts w:cs="David"/>
          <w:sz w:val="24"/>
          <w:rtl/>
        </w:rPr>
      </w:pPr>
    </w:p>
    <w:p w:rsidR="00000000" w:rsidRDefault="00D3103F">
      <w:pPr>
        <w:tabs>
          <w:tab w:val="left" w:pos="1079"/>
        </w:tabs>
        <w:rPr>
          <w:rFonts w:cs="David"/>
          <w:sz w:val="24"/>
          <w:u w:val="single"/>
          <w:rtl/>
        </w:rPr>
      </w:pPr>
      <w:r>
        <w:rPr>
          <w:rFonts w:cs="David"/>
          <w:sz w:val="24"/>
          <w:u w:val="single"/>
          <w:rtl/>
        </w:rPr>
        <w:t>רשף חן:</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 xml:space="preserve">        למה עובד המדינה לא אחראי על הרשלנות כלפי המדינה?</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u w:val="single"/>
          <w:rtl/>
        </w:rPr>
        <w:t>היו"ר מיכאל איתן:</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 xml:space="preserve">       זה לא שייך.</w:t>
      </w:r>
    </w:p>
    <w:p w:rsidR="00000000" w:rsidRDefault="00D3103F">
      <w:pPr>
        <w:tabs>
          <w:tab w:val="left" w:pos="1079"/>
        </w:tabs>
        <w:rPr>
          <w:rFonts w:cs="David"/>
          <w:sz w:val="24"/>
          <w:rtl/>
        </w:rPr>
      </w:pPr>
    </w:p>
    <w:p w:rsidR="00000000" w:rsidRDefault="00D3103F">
      <w:pPr>
        <w:tabs>
          <w:tab w:val="left" w:pos="1079"/>
        </w:tabs>
        <w:rPr>
          <w:rFonts w:cs="David"/>
          <w:sz w:val="24"/>
          <w:u w:val="single"/>
          <w:rtl/>
        </w:rPr>
      </w:pPr>
      <w:r>
        <w:rPr>
          <w:rFonts w:cs="David"/>
          <w:sz w:val="24"/>
          <w:u w:val="single"/>
          <w:rtl/>
        </w:rPr>
        <w:t>מרב ישראלי:</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 xml:space="preserve">       יש הוראה לגבי רשלנות חמורה. כלפי צד ג' ה</w:t>
      </w:r>
      <w:r>
        <w:rPr>
          <w:rFonts w:cs="David"/>
          <w:sz w:val="24"/>
          <w:rtl/>
        </w:rPr>
        <w:t>וא לא אחראי, אלא אם כן הוא פעל בכוונה או בשוויון נפש. אם הוא התרשל כלפי המדינה גם לגבי נזק שהוא גרם לה וגם לגבי שיפוי, זה כמו ביטוח מקצועי.</w:t>
      </w:r>
    </w:p>
    <w:p w:rsidR="00000000" w:rsidRDefault="00D3103F">
      <w:pPr>
        <w:tabs>
          <w:tab w:val="left" w:pos="1079"/>
        </w:tabs>
        <w:rPr>
          <w:rFonts w:cs="David"/>
          <w:sz w:val="24"/>
          <w:rtl/>
        </w:rPr>
      </w:pPr>
    </w:p>
    <w:p w:rsidR="00000000" w:rsidRDefault="00D3103F">
      <w:pPr>
        <w:tabs>
          <w:tab w:val="left" w:pos="1079"/>
        </w:tabs>
        <w:rPr>
          <w:rFonts w:cs="David"/>
          <w:sz w:val="24"/>
          <w:u w:val="single"/>
          <w:rtl/>
        </w:rPr>
      </w:pPr>
      <w:r>
        <w:rPr>
          <w:rFonts w:cs="David"/>
          <w:sz w:val="24"/>
          <w:u w:val="single"/>
          <w:rtl/>
        </w:rPr>
        <w:t>רשף חן:</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 xml:space="preserve">       זאת אומרת, המדינה נותנת לו ביטוח.</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u w:val="single"/>
          <w:rtl/>
        </w:rPr>
        <w:t>מרב ישראלי:</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 xml:space="preserve">      בדיוק.</w:t>
      </w:r>
    </w:p>
    <w:p w:rsidR="00000000" w:rsidRDefault="00D3103F">
      <w:pPr>
        <w:tabs>
          <w:tab w:val="left" w:pos="1079"/>
        </w:tabs>
        <w:rPr>
          <w:rFonts w:cs="David"/>
          <w:sz w:val="24"/>
          <w:rtl/>
        </w:rPr>
      </w:pPr>
    </w:p>
    <w:p w:rsidR="00000000" w:rsidRDefault="00D3103F">
      <w:pPr>
        <w:tabs>
          <w:tab w:val="left" w:pos="1079"/>
        </w:tabs>
        <w:rPr>
          <w:rFonts w:cs="David"/>
          <w:sz w:val="24"/>
          <w:u w:val="single"/>
          <w:rtl/>
        </w:rPr>
      </w:pPr>
    </w:p>
    <w:p w:rsidR="00000000" w:rsidRDefault="00D3103F">
      <w:pPr>
        <w:tabs>
          <w:tab w:val="left" w:pos="1079"/>
        </w:tabs>
        <w:rPr>
          <w:rFonts w:cs="David"/>
          <w:sz w:val="24"/>
          <w:u w:val="single"/>
          <w:rtl/>
        </w:rPr>
      </w:pPr>
    </w:p>
    <w:p w:rsidR="00000000" w:rsidRDefault="00D3103F">
      <w:pPr>
        <w:tabs>
          <w:tab w:val="left" w:pos="1079"/>
        </w:tabs>
        <w:rPr>
          <w:rFonts w:cs="David"/>
          <w:sz w:val="24"/>
          <w:u w:val="single"/>
          <w:rtl/>
        </w:rPr>
      </w:pPr>
    </w:p>
    <w:p w:rsidR="00000000" w:rsidRDefault="00D3103F">
      <w:pPr>
        <w:tabs>
          <w:tab w:val="left" w:pos="1079"/>
        </w:tabs>
        <w:rPr>
          <w:rFonts w:cs="David"/>
          <w:sz w:val="24"/>
          <w:u w:val="single"/>
          <w:rtl/>
        </w:rPr>
      </w:pPr>
    </w:p>
    <w:p w:rsidR="00000000" w:rsidRDefault="00D3103F">
      <w:pPr>
        <w:tabs>
          <w:tab w:val="left" w:pos="1079"/>
        </w:tabs>
        <w:rPr>
          <w:rFonts w:cs="David"/>
          <w:sz w:val="24"/>
          <w:u w:val="single"/>
          <w:rtl/>
        </w:rPr>
      </w:pPr>
    </w:p>
    <w:p w:rsidR="00000000" w:rsidRDefault="00D3103F">
      <w:pPr>
        <w:tabs>
          <w:tab w:val="left" w:pos="1079"/>
        </w:tabs>
        <w:rPr>
          <w:rFonts w:cs="David"/>
          <w:sz w:val="24"/>
          <w:u w:val="single"/>
          <w:rtl/>
        </w:rPr>
      </w:pPr>
    </w:p>
    <w:p w:rsidR="00000000" w:rsidRDefault="00D3103F">
      <w:pPr>
        <w:tabs>
          <w:tab w:val="left" w:pos="1079"/>
        </w:tabs>
        <w:rPr>
          <w:rFonts w:cs="David"/>
          <w:sz w:val="24"/>
          <w:u w:val="single"/>
          <w:rtl/>
        </w:rPr>
      </w:pPr>
    </w:p>
    <w:p w:rsidR="00000000" w:rsidRDefault="00D3103F">
      <w:pPr>
        <w:tabs>
          <w:tab w:val="left" w:pos="1079"/>
        </w:tabs>
        <w:rPr>
          <w:rFonts w:cs="David"/>
          <w:sz w:val="24"/>
          <w:u w:val="single"/>
          <w:rtl/>
        </w:rPr>
      </w:pPr>
      <w:r>
        <w:rPr>
          <w:rFonts w:cs="David"/>
          <w:sz w:val="24"/>
          <w:u w:val="single"/>
          <w:rtl/>
        </w:rPr>
        <w:t>היו"ר מיכאל איתן:</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 xml:space="preserve">       ברשל</w:t>
      </w:r>
      <w:r>
        <w:rPr>
          <w:rFonts w:cs="David"/>
          <w:sz w:val="24"/>
          <w:rtl/>
        </w:rPr>
        <w:t>נות חמורה היא חוזרת אליו והוא ישלם. מי בעד העברת החוק?</w:t>
      </w:r>
    </w:p>
    <w:p w:rsidR="00000000" w:rsidRDefault="00D3103F">
      <w:pPr>
        <w:tabs>
          <w:tab w:val="left" w:pos="1079"/>
        </w:tabs>
        <w:rPr>
          <w:rFonts w:cs="David"/>
          <w:sz w:val="24"/>
          <w:rtl/>
        </w:rPr>
      </w:pPr>
    </w:p>
    <w:p w:rsidR="00000000" w:rsidRDefault="00D3103F">
      <w:pPr>
        <w:tabs>
          <w:tab w:val="left" w:pos="1079"/>
        </w:tabs>
        <w:jc w:val="center"/>
        <w:rPr>
          <w:rFonts w:cs="David"/>
          <w:sz w:val="24"/>
          <w:rtl/>
        </w:rPr>
      </w:pPr>
      <w:r>
        <w:rPr>
          <w:rFonts w:cs="David"/>
          <w:sz w:val="24"/>
          <w:rtl/>
        </w:rPr>
        <w:t>ה צ ב ע ה</w:t>
      </w:r>
    </w:p>
    <w:p w:rsidR="00000000" w:rsidRDefault="00D3103F">
      <w:pPr>
        <w:tabs>
          <w:tab w:val="left" w:pos="1079"/>
        </w:tabs>
        <w:jc w:val="center"/>
        <w:rPr>
          <w:rFonts w:cs="David"/>
          <w:sz w:val="24"/>
          <w:rtl/>
        </w:rPr>
      </w:pPr>
      <w:r>
        <w:rPr>
          <w:rFonts w:cs="David"/>
          <w:sz w:val="24"/>
          <w:rtl/>
        </w:rPr>
        <w:t>בעד – פה אחד</w:t>
      </w:r>
    </w:p>
    <w:p w:rsidR="00000000" w:rsidRDefault="00D3103F">
      <w:pPr>
        <w:tabs>
          <w:tab w:val="left" w:pos="1079"/>
        </w:tabs>
        <w:jc w:val="center"/>
        <w:rPr>
          <w:rFonts w:cs="David"/>
          <w:sz w:val="24"/>
          <w:rtl/>
        </w:rPr>
      </w:pPr>
      <w:r>
        <w:rPr>
          <w:rFonts w:cs="David"/>
          <w:sz w:val="24"/>
          <w:rtl/>
        </w:rPr>
        <w:t>אושר</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 xml:space="preserve">       תודה רבה, הישיבה נעולה.</w:t>
      </w:r>
    </w:p>
    <w:p w:rsidR="00000000" w:rsidRDefault="00D3103F">
      <w:pPr>
        <w:tabs>
          <w:tab w:val="left" w:pos="1079"/>
        </w:tabs>
        <w:rPr>
          <w:rFonts w:cs="David"/>
          <w:sz w:val="24"/>
          <w:rtl/>
        </w:rPr>
      </w:pPr>
    </w:p>
    <w:p w:rsidR="00000000" w:rsidRDefault="00D3103F">
      <w:pPr>
        <w:tabs>
          <w:tab w:val="left" w:pos="1079"/>
        </w:tabs>
        <w:rPr>
          <w:rFonts w:cs="David"/>
          <w:sz w:val="24"/>
          <w:rtl/>
        </w:rPr>
      </w:pPr>
      <w:r>
        <w:rPr>
          <w:rFonts w:cs="David"/>
          <w:sz w:val="24"/>
          <w:rtl/>
        </w:rPr>
        <w:t>הישיבה ננעלה בשעה 13:20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103F">
      <w:r>
        <w:separator/>
      </w:r>
    </w:p>
  </w:endnote>
  <w:endnote w:type="continuationSeparator" w:id="0">
    <w:p w:rsidR="00000000" w:rsidRDefault="00D31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103F">
      <w:r>
        <w:separator/>
      </w:r>
    </w:p>
  </w:footnote>
  <w:footnote w:type="continuationSeparator" w:id="0">
    <w:p w:rsidR="00000000" w:rsidRDefault="00D31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03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D3103F">
    <w:pPr>
      <w:pStyle w:val="a3"/>
      <w:ind w:right="360"/>
      <w:rPr>
        <w:rFonts w:cs="David"/>
        <w:sz w:val="24"/>
        <w:rtl/>
      </w:rPr>
    </w:pPr>
    <w:r>
      <w:rPr>
        <w:rFonts w:cs="David"/>
        <w:sz w:val="24"/>
        <w:rtl/>
      </w:rPr>
      <w:t>ועדת החוקה, חוק ומשפט</w:t>
    </w:r>
  </w:p>
  <w:p w:rsidR="00000000" w:rsidRDefault="00D3103F">
    <w:pPr>
      <w:pStyle w:val="a3"/>
      <w:ind w:right="360"/>
      <w:rPr>
        <w:rStyle w:val="a7"/>
        <w:rFonts w:cs="David"/>
        <w:sz w:val="24"/>
        <w:rtl/>
      </w:rPr>
    </w:pPr>
    <w:r>
      <w:rPr>
        <w:rFonts w:cs="David"/>
        <w:sz w:val="24"/>
        <w:rtl/>
      </w:rPr>
      <w:t>11.7.2005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844ED"/>
    <w:multiLevelType w:val="hybridMultilevel"/>
    <w:tmpl w:val="0FA8F2E0"/>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103F"/>
    <w:rsid w:val="00D310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EFE66E-ADCF-4287-9D0C-750CE45BD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079"/>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7B2B1-3217-46E0-8C94-0A5A01CD9559}"/>
</file>

<file path=customXml/itemProps2.xml><?xml version="1.0" encoding="utf-8"?>
<ds:datastoreItem xmlns:ds="http://schemas.openxmlformats.org/officeDocument/2006/customXml" ds:itemID="{9CDEE36A-2F16-401E-9C0D-CD44B5609F74}"/>
</file>

<file path=customXml/itemProps3.xml><?xml version="1.0" encoding="utf-8"?>
<ds:datastoreItem xmlns:ds="http://schemas.openxmlformats.org/officeDocument/2006/customXml" ds:itemID="{D488135B-D067-4351-AFD5-65E1477E7989}"/>
</file>

<file path=docProps/app.xml><?xml version="1.0" encoding="utf-8"?>
<Properties xmlns="http://schemas.openxmlformats.org/officeDocument/2006/extended-properties" xmlns:vt="http://schemas.openxmlformats.org/officeDocument/2006/docPropsVTypes">
  <Template>Normal</Template>
  <TotalTime>0</TotalTime>
  <Pages>3</Pages>
  <Words>366</Words>
  <Characters>1833</Characters>
  <Application>Microsoft Office Word</Application>
  <DocSecurity>0</DocSecurity>
  <Lines>15</Lines>
  <Paragraphs>4</Paragraphs>
  <ScaleCrop>false</ScaleCrop>
  <Company>כנסת</Company>
  <LinksUpToDate>false</LinksUpToDate>
  <CharactersWithSpaces>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(מס' 10) (אחריות עובדי הציבור)</dc:title>
  <dc:subject/>
  <dc:creator>knesset</dc:creator>
  <cp:keywords/>
  <dc:description/>
  <cp:lastModifiedBy>רינה דבורה קדרון</cp:lastModifiedBy>
  <cp:revision>2</cp:revision>
  <cp:lastPrinted>1999-07-13T09:50:00Z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100800205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530.000000000000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13:00</vt:lpwstr>
  </property>
  <property fmtid="{D5CDD505-2E9C-101B-9397-08002B2CF9AE}" pid="11" name="GetLastModified">
    <vt:lpwstr>7/21/2005 1:17:58 PM</vt:lpwstr>
  </property>
  <property fmtid="{D5CDD505-2E9C-101B-9397-08002B2CF9AE}" pid="12" name="ContentTypeId">
    <vt:lpwstr>0x010100F931E205BBB08441AEFFEBF8ABB23DF1</vt:lpwstr>
  </property>
  <property fmtid="{D5CDD505-2E9C-101B-9397-08002B2CF9AE}" pid="13" name="SanhedrinItemID">
    <vt:r8>107255</vt:r8>
  </property>
  <property fmtid="{D5CDD505-2E9C-101B-9397-08002B2CF9AE}" pid="14" name="SanhedrinDocumentType">
    <vt:r8>167</vt:r8>
  </property>
</Properties>
</file>