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1D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71D7">
      <w:pPr>
        <w:rPr>
          <w:rFonts w:cs="David"/>
          <w:b/>
          <w:bCs/>
          <w:sz w:val="24"/>
          <w:rtl/>
        </w:rPr>
      </w:pPr>
      <w:r>
        <w:rPr>
          <w:rFonts w:cs="David"/>
          <w:b/>
          <w:bCs/>
          <w:sz w:val="24"/>
          <w:rtl/>
        </w:rPr>
        <w:t>מושב שלישי</w:t>
      </w:r>
    </w:p>
    <w:p w:rsidR="00000000" w:rsidRDefault="000271D7">
      <w:pPr>
        <w:rPr>
          <w:rFonts w:cs="David"/>
          <w:b/>
          <w:bCs/>
          <w:sz w:val="24"/>
          <w:rtl/>
        </w:rPr>
      </w:pPr>
    </w:p>
    <w:p w:rsidR="00000000" w:rsidRDefault="000271D7">
      <w:pPr>
        <w:rPr>
          <w:rFonts w:cs="David"/>
          <w:b/>
          <w:bCs/>
          <w:sz w:val="24"/>
          <w:rtl/>
        </w:rPr>
      </w:pPr>
    </w:p>
    <w:p w:rsidR="00000000" w:rsidRDefault="000271D7">
      <w:pPr>
        <w:rPr>
          <w:rFonts w:cs="David"/>
          <w:b/>
          <w:bCs/>
          <w:sz w:val="24"/>
          <w:rtl/>
        </w:rPr>
      </w:pPr>
    </w:p>
    <w:p w:rsidR="00000000" w:rsidRDefault="000271D7">
      <w:pPr>
        <w:rPr>
          <w:rFonts w:cs="David"/>
          <w:b/>
          <w:bCs/>
          <w:sz w:val="24"/>
          <w:rtl/>
        </w:rPr>
      </w:pPr>
    </w:p>
    <w:p w:rsidR="00000000" w:rsidRDefault="000271D7">
      <w:pPr>
        <w:pStyle w:val="1"/>
        <w:rPr>
          <w:rFonts w:cs="David"/>
          <w:sz w:val="24"/>
          <w:rtl/>
        </w:rPr>
      </w:pPr>
      <w:r>
        <w:rPr>
          <w:rFonts w:cs="David"/>
          <w:sz w:val="24"/>
          <w:rtl/>
        </w:rPr>
        <w:t>פרוטוקול מס'  558</w:t>
      </w:r>
    </w:p>
    <w:p w:rsidR="00000000" w:rsidRDefault="000271D7">
      <w:pPr>
        <w:pStyle w:val="7"/>
        <w:rPr>
          <w:rFonts w:cs="David"/>
          <w:sz w:val="24"/>
          <w:rtl/>
        </w:rPr>
      </w:pPr>
      <w:r>
        <w:rPr>
          <w:rFonts w:cs="David"/>
          <w:sz w:val="24"/>
          <w:rtl/>
        </w:rPr>
        <w:t xml:space="preserve">מישיבת </w:t>
      </w:r>
      <w:r>
        <w:rPr>
          <w:rFonts w:cs="David"/>
          <w:sz w:val="24"/>
          <w:rtl/>
        </w:rPr>
        <w:t>ועדת  החוקה, חוק ומשפט</w:t>
      </w:r>
    </w:p>
    <w:p w:rsidR="00000000" w:rsidRDefault="000271D7">
      <w:pPr>
        <w:pStyle w:val="8"/>
        <w:rPr>
          <w:rFonts w:cs="David"/>
          <w:sz w:val="24"/>
          <w:u w:val="single"/>
          <w:rtl/>
        </w:rPr>
      </w:pPr>
      <w:r>
        <w:rPr>
          <w:rFonts w:cs="David"/>
          <w:sz w:val="24"/>
          <w:u w:val="single"/>
          <w:rtl/>
        </w:rPr>
        <w:t>מיום רביעי, כ' בתמוז, התשס"ה (27 ביולי, 2005) בשעה 17:00</w:t>
      </w:r>
    </w:p>
    <w:p w:rsidR="00000000" w:rsidRDefault="000271D7">
      <w:pPr>
        <w:pStyle w:val="8"/>
        <w:rPr>
          <w:rFonts w:cs="David"/>
          <w:sz w:val="24"/>
          <w:rtl/>
        </w:rPr>
      </w:pPr>
    </w:p>
    <w:p w:rsidR="00000000" w:rsidRDefault="000271D7">
      <w:pPr>
        <w:pStyle w:val="8"/>
        <w:rPr>
          <w:rFonts w:cs="David"/>
          <w:sz w:val="24"/>
          <w:rtl/>
        </w:rPr>
      </w:pPr>
    </w:p>
    <w:p w:rsidR="00000000" w:rsidRDefault="000271D7">
      <w:pPr>
        <w:pStyle w:val="8"/>
        <w:jc w:val="both"/>
        <w:rPr>
          <w:rFonts w:cs="David"/>
          <w:b w:val="0"/>
          <w:bCs w:val="0"/>
          <w:sz w:val="24"/>
          <w:rtl/>
        </w:rPr>
      </w:pPr>
      <w:r>
        <w:rPr>
          <w:rFonts w:cs="David"/>
          <w:b w:val="0"/>
          <w:bCs w:val="0"/>
          <w:sz w:val="24"/>
          <w:u w:val="single"/>
          <w:rtl/>
        </w:rPr>
        <w:t>סדר היום</w:t>
      </w:r>
      <w:r>
        <w:rPr>
          <w:rFonts w:cs="David"/>
          <w:sz w:val="24"/>
          <w:rtl/>
        </w:rPr>
        <w:t>:</w:t>
      </w:r>
    </w:p>
    <w:p w:rsidR="00000000" w:rsidRDefault="000271D7">
      <w:pPr>
        <w:rPr>
          <w:rFonts w:cs="David"/>
          <w:b/>
          <w:bCs/>
          <w:sz w:val="24"/>
          <w:rtl/>
        </w:rPr>
      </w:pPr>
    </w:p>
    <w:p w:rsidR="00000000" w:rsidRDefault="000271D7">
      <w:pPr>
        <w:pStyle w:val="21"/>
        <w:jc w:val="both"/>
        <w:rPr>
          <w:rFonts w:cs="David"/>
          <w:sz w:val="24"/>
          <w:u w:val="none"/>
          <w:rtl/>
        </w:rPr>
      </w:pPr>
      <w:r>
        <w:rPr>
          <w:rFonts w:cs="David"/>
          <w:sz w:val="24"/>
          <w:u w:val="none"/>
          <w:rtl/>
        </w:rPr>
        <w:t xml:space="preserve">חוק שיפוט בענייני התרת נישואין </w:t>
      </w:r>
    </w:p>
    <w:p w:rsidR="00000000" w:rsidRDefault="000271D7">
      <w:pPr>
        <w:pStyle w:val="21"/>
        <w:jc w:val="both"/>
        <w:rPr>
          <w:rFonts w:cs="David"/>
          <w:sz w:val="24"/>
          <w:u w:val="none"/>
          <w:rtl/>
        </w:rPr>
      </w:pPr>
      <w:r>
        <w:rPr>
          <w:rFonts w:cs="David"/>
          <w:sz w:val="24"/>
          <w:u w:val="none"/>
          <w:rtl/>
        </w:rPr>
        <w:t xml:space="preserve">(מקרים מיוחדים וסמכות בינלאומית)(תיקוני חקיקה), התשס"ה-2005 </w:t>
      </w:r>
    </w:p>
    <w:p w:rsidR="00000000" w:rsidRDefault="000271D7">
      <w:pPr>
        <w:rPr>
          <w:rFonts w:cs="David"/>
          <w:sz w:val="24"/>
          <w:rtl/>
        </w:rPr>
      </w:pPr>
    </w:p>
    <w:p w:rsidR="00000000" w:rsidRDefault="000271D7">
      <w:pPr>
        <w:rPr>
          <w:rFonts w:cs="David"/>
          <w:sz w:val="24"/>
          <w:rtl/>
        </w:rPr>
      </w:pPr>
    </w:p>
    <w:p w:rsidR="00000000" w:rsidRDefault="000271D7">
      <w:pPr>
        <w:rPr>
          <w:rFonts w:cs="David"/>
          <w:b/>
          <w:bCs/>
          <w:sz w:val="24"/>
          <w:u w:val="single"/>
          <w:rtl/>
        </w:rPr>
      </w:pPr>
      <w:r>
        <w:rPr>
          <w:rFonts w:cs="David"/>
          <w:b/>
          <w:bCs/>
          <w:sz w:val="24"/>
          <w:u w:val="single"/>
          <w:rtl/>
        </w:rPr>
        <w:t>נכחו</w:t>
      </w:r>
      <w:r>
        <w:rPr>
          <w:rFonts w:cs="David"/>
          <w:sz w:val="24"/>
          <w:rtl/>
        </w:rPr>
        <w:t>:</w:t>
      </w:r>
    </w:p>
    <w:p w:rsidR="00000000" w:rsidRDefault="000271D7">
      <w:pPr>
        <w:rPr>
          <w:rFonts w:cs="David"/>
          <w:sz w:val="24"/>
          <w:rtl/>
        </w:rPr>
      </w:pPr>
    </w:p>
    <w:p w:rsidR="00000000" w:rsidRDefault="000271D7">
      <w:pPr>
        <w:tabs>
          <w:tab w:val="left" w:pos="1788"/>
        </w:tabs>
        <w:rPr>
          <w:rFonts w:cs="David"/>
          <w:sz w:val="24"/>
          <w:rtl/>
        </w:rPr>
      </w:pPr>
      <w:r>
        <w:rPr>
          <w:rFonts w:cs="David"/>
          <w:b/>
          <w:bCs/>
          <w:sz w:val="24"/>
          <w:u w:val="single"/>
          <w:rtl/>
        </w:rPr>
        <w:t>חברי הוועדה</w:t>
      </w:r>
      <w:r>
        <w:rPr>
          <w:rFonts w:cs="David"/>
          <w:sz w:val="24"/>
          <w:rtl/>
        </w:rPr>
        <w:t>:</w:t>
      </w:r>
    </w:p>
    <w:p w:rsidR="00000000" w:rsidRDefault="000271D7">
      <w:pPr>
        <w:rPr>
          <w:rFonts w:cs="David"/>
          <w:sz w:val="24"/>
          <w:rtl/>
        </w:rPr>
      </w:pPr>
      <w:r>
        <w:rPr>
          <w:rFonts w:cs="David"/>
          <w:sz w:val="24"/>
          <w:rtl/>
        </w:rPr>
        <w:t>מיכאל איתן – היו"ר</w:t>
      </w:r>
    </w:p>
    <w:p w:rsidR="00000000" w:rsidRDefault="000271D7">
      <w:pPr>
        <w:rPr>
          <w:rFonts w:cs="David"/>
          <w:sz w:val="24"/>
          <w:rtl/>
        </w:rPr>
      </w:pPr>
      <w:r>
        <w:rPr>
          <w:rFonts w:cs="David"/>
          <w:sz w:val="24"/>
          <w:rtl/>
        </w:rPr>
        <w:t>רשף חן</w:t>
      </w:r>
    </w:p>
    <w:p w:rsidR="00000000" w:rsidRDefault="000271D7">
      <w:pPr>
        <w:rPr>
          <w:rFonts w:cs="David"/>
          <w:sz w:val="24"/>
          <w:rtl/>
        </w:rPr>
      </w:pPr>
      <w:r>
        <w:rPr>
          <w:rFonts w:cs="David"/>
          <w:sz w:val="24"/>
          <w:rtl/>
        </w:rPr>
        <w:t>אליעזר כהן</w:t>
      </w:r>
    </w:p>
    <w:p w:rsidR="00000000" w:rsidRDefault="000271D7">
      <w:pPr>
        <w:rPr>
          <w:rFonts w:cs="David"/>
          <w:sz w:val="24"/>
          <w:rtl/>
        </w:rPr>
      </w:pPr>
      <w:r>
        <w:rPr>
          <w:rFonts w:cs="David"/>
          <w:sz w:val="24"/>
          <w:rtl/>
        </w:rPr>
        <w:t>יצחק לוי</w:t>
      </w:r>
    </w:p>
    <w:p w:rsidR="00000000" w:rsidRDefault="000271D7">
      <w:pPr>
        <w:rPr>
          <w:rFonts w:cs="David"/>
          <w:sz w:val="24"/>
          <w:rtl/>
        </w:rPr>
      </w:pPr>
      <w:r>
        <w:rPr>
          <w:rFonts w:cs="David"/>
          <w:sz w:val="24"/>
          <w:rtl/>
        </w:rPr>
        <w:t>יו</w:t>
      </w:r>
      <w:r>
        <w:rPr>
          <w:rFonts w:cs="David"/>
          <w:sz w:val="24"/>
          <w:rtl/>
        </w:rPr>
        <w:t>לי תמיר</w:t>
      </w:r>
    </w:p>
    <w:p w:rsidR="00000000" w:rsidRDefault="000271D7">
      <w:pPr>
        <w:rPr>
          <w:rFonts w:cs="David"/>
          <w:sz w:val="24"/>
          <w:rtl/>
        </w:rPr>
      </w:pPr>
    </w:p>
    <w:p w:rsidR="00000000" w:rsidRDefault="000271D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271D7">
      <w:pPr>
        <w:tabs>
          <w:tab w:val="left" w:pos="1788"/>
          <w:tab w:val="left" w:pos="3631"/>
        </w:tabs>
        <w:rPr>
          <w:rFonts w:cs="David"/>
          <w:sz w:val="24"/>
          <w:rtl/>
        </w:rPr>
      </w:pPr>
      <w:r>
        <w:rPr>
          <w:rFonts w:cs="David"/>
          <w:sz w:val="24"/>
          <w:rtl/>
        </w:rPr>
        <w:t>פרץ סגל</w:t>
      </w:r>
    </w:p>
    <w:p w:rsidR="00000000" w:rsidRDefault="000271D7">
      <w:pPr>
        <w:tabs>
          <w:tab w:val="left" w:pos="1788"/>
          <w:tab w:val="left" w:pos="3631"/>
        </w:tabs>
        <w:rPr>
          <w:rFonts w:cs="David"/>
          <w:sz w:val="24"/>
          <w:rtl/>
        </w:rPr>
      </w:pPr>
      <w:r>
        <w:rPr>
          <w:rFonts w:cs="David"/>
          <w:sz w:val="24"/>
          <w:rtl/>
        </w:rPr>
        <w:t>אברהם שיינפלד – דיין בבית הדין הרבני</w:t>
      </w:r>
    </w:p>
    <w:p w:rsidR="00000000" w:rsidRDefault="000271D7">
      <w:pPr>
        <w:tabs>
          <w:tab w:val="left" w:pos="1788"/>
          <w:tab w:val="left" w:pos="3631"/>
        </w:tabs>
        <w:rPr>
          <w:rFonts w:cs="David"/>
          <w:sz w:val="24"/>
          <w:rtl/>
        </w:rPr>
      </w:pPr>
    </w:p>
    <w:p w:rsidR="00000000" w:rsidRDefault="000271D7">
      <w:pPr>
        <w:tabs>
          <w:tab w:val="left" w:pos="1788"/>
          <w:tab w:val="left" w:pos="3631"/>
        </w:tabs>
        <w:rPr>
          <w:rFonts w:cs="David"/>
          <w:sz w:val="24"/>
          <w:rtl/>
        </w:rPr>
      </w:pPr>
    </w:p>
    <w:p w:rsidR="00000000" w:rsidRDefault="000271D7">
      <w:pPr>
        <w:tabs>
          <w:tab w:val="left" w:pos="1930"/>
        </w:tabs>
        <w:rPr>
          <w:rFonts w:cs="David"/>
          <w:sz w:val="24"/>
          <w:rtl/>
        </w:rPr>
      </w:pPr>
      <w:r>
        <w:rPr>
          <w:rFonts w:cs="David"/>
          <w:b/>
          <w:bCs/>
          <w:sz w:val="24"/>
          <w:u w:val="single"/>
          <w:rtl/>
        </w:rPr>
        <w:t>יועצת משפטית:</w:t>
      </w:r>
      <w:r>
        <w:rPr>
          <w:rFonts w:cs="David"/>
          <w:sz w:val="24"/>
          <w:rtl/>
        </w:rPr>
        <w:t xml:space="preserve"> סיגל קוגוט</w:t>
      </w:r>
    </w:p>
    <w:p w:rsidR="00000000" w:rsidRDefault="000271D7">
      <w:pPr>
        <w:tabs>
          <w:tab w:val="left" w:pos="1930"/>
        </w:tabs>
        <w:rPr>
          <w:rFonts w:cs="David"/>
          <w:sz w:val="24"/>
          <w:rtl/>
        </w:rPr>
      </w:pPr>
      <w:r>
        <w:rPr>
          <w:rFonts w:cs="David"/>
          <w:sz w:val="24"/>
          <w:rtl/>
        </w:rPr>
        <w:t xml:space="preserve">                           תמי סלע</w:t>
      </w:r>
    </w:p>
    <w:p w:rsidR="00000000" w:rsidRDefault="000271D7">
      <w:pPr>
        <w:tabs>
          <w:tab w:val="left" w:pos="1930"/>
        </w:tabs>
        <w:rPr>
          <w:rFonts w:cs="David"/>
          <w:b/>
          <w:bCs/>
          <w:sz w:val="24"/>
          <w:u w:val="single"/>
          <w:rtl/>
        </w:rPr>
      </w:pPr>
    </w:p>
    <w:p w:rsidR="00000000" w:rsidRDefault="000271D7">
      <w:pPr>
        <w:tabs>
          <w:tab w:val="left" w:pos="1930"/>
        </w:tabs>
        <w:rPr>
          <w:rFonts w:cs="David"/>
          <w:sz w:val="24"/>
          <w:rtl/>
        </w:rPr>
      </w:pPr>
    </w:p>
    <w:p w:rsidR="00000000" w:rsidRDefault="000271D7">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0271D7">
      <w:pPr>
        <w:rPr>
          <w:rFonts w:cs="David"/>
          <w:sz w:val="24"/>
          <w:rtl/>
        </w:rPr>
      </w:pPr>
    </w:p>
    <w:p w:rsidR="00000000" w:rsidRDefault="000271D7">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pStyle w:val="21"/>
        <w:rPr>
          <w:rFonts w:cs="David"/>
          <w:sz w:val="24"/>
          <w:rtl/>
        </w:rPr>
      </w:pPr>
      <w:r>
        <w:rPr>
          <w:rFonts w:cs="David"/>
          <w:sz w:val="24"/>
          <w:rtl/>
        </w:rPr>
        <w:t xml:space="preserve">חוק שיפוט בענייני התרת נישואין </w:t>
      </w:r>
    </w:p>
    <w:p w:rsidR="00000000" w:rsidRDefault="000271D7">
      <w:pPr>
        <w:pStyle w:val="21"/>
        <w:rPr>
          <w:rFonts w:cs="David"/>
          <w:sz w:val="24"/>
          <w:rtl/>
        </w:rPr>
      </w:pPr>
      <w:r>
        <w:rPr>
          <w:rFonts w:cs="David"/>
          <w:sz w:val="24"/>
          <w:rtl/>
        </w:rPr>
        <w:t>(מקרים מיוחדים וסמכות בינלאומית)(תיקו</w:t>
      </w:r>
      <w:r>
        <w:rPr>
          <w:rFonts w:cs="David"/>
          <w:sz w:val="24"/>
          <w:rtl/>
        </w:rPr>
        <w:t xml:space="preserve">ני חקיקה), התשס"ה-2005 </w:t>
      </w:r>
    </w:p>
    <w:p w:rsidR="00000000" w:rsidRDefault="000271D7">
      <w:pPr>
        <w:rPr>
          <w:rFonts w:cs="David"/>
          <w:sz w:val="24"/>
          <w:u w:val="single"/>
          <w:rtl/>
        </w:rPr>
      </w:pP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r>
        <w:rPr>
          <w:rFonts w:cs="David"/>
          <w:sz w:val="24"/>
          <w:rtl/>
        </w:rPr>
        <w:t> </w:t>
      </w:r>
    </w:p>
    <w:p w:rsidR="00000000" w:rsidRDefault="000271D7">
      <w:pPr>
        <w:pStyle w:val="21"/>
        <w:jc w:val="both"/>
        <w:rPr>
          <w:rFonts w:cs="David"/>
          <w:b w:val="0"/>
          <w:bCs w:val="0"/>
          <w:sz w:val="24"/>
          <w:u w:val="none"/>
          <w:rtl/>
        </w:rPr>
      </w:pPr>
      <w:r>
        <w:rPr>
          <w:rFonts w:cs="David"/>
          <w:b w:val="0"/>
          <w:bCs w:val="0"/>
          <w:sz w:val="24"/>
          <w:u w:val="none"/>
          <w:rtl/>
        </w:rPr>
        <w:lastRenderedPageBreak/>
        <w:tab/>
        <w:t>שלום לכולם, אני פותח את ישיבת הוועדה. על סדר היום - חוק שיפוט בענייני התרת נישואין (מקרים מיוחדים וסמכות בינלאומית)(תיקוני חקיקה), התשס"ה-2005.</w:t>
      </w:r>
    </w:p>
    <w:p w:rsidR="00000000" w:rsidRDefault="000271D7">
      <w:pPr>
        <w:pStyle w:val="21"/>
        <w:jc w:val="both"/>
        <w:rPr>
          <w:rFonts w:cs="David"/>
          <w:b w:val="0"/>
          <w:bCs w:val="0"/>
          <w:sz w:val="24"/>
          <w:u w:val="none"/>
          <w:rtl/>
        </w:rPr>
      </w:pPr>
    </w:p>
    <w:p w:rsidR="00000000" w:rsidRDefault="000271D7">
      <w:pPr>
        <w:pStyle w:val="21"/>
        <w:jc w:val="both"/>
        <w:rPr>
          <w:rFonts w:cs="David"/>
          <w:b w:val="0"/>
          <w:bCs w:val="0"/>
          <w:sz w:val="24"/>
          <w:u w:val="none"/>
          <w:rtl/>
        </w:rPr>
      </w:pPr>
      <w:r>
        <w:rPr>
          <w:rFonts w:cs="David"/>
          <w:b w:val="0"/>
          <w:bCs w:val="0"/>
          <w:sz w:val="24"/>
          <w:u w:val="none"/>
          <w:rtl/>
        </w:rPr>
        <w:t xml:space="preserve">בסעיף 1 יש שינוי? </w:t>
      </w:r>
    </w:p>
    <w:p w:rsidR="00000000" w:rsidRDefault="000271D7">
      <w:pPr>
        <w:rPr>
          <w:rFonts w:cs="David"/>
          <w:sz w:val="24"/>
          <w:rtl/>
        </w:rPr>
      </w:pP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p>
    <w:p w:rsidR="00000000" w:rsidRDefault="000271D7">
      <w:pPr>
        <w:rPr>
          <w:rFonts w:cs="David"/>
          <w:sz w:val="24"/>
          <w:rtl/>
        </w:rPr>
      </w:pPr>
      <w:r>
        <w:rPr>
          <w:rFonts w:cs="David"/>
          <w:sz w:val="24"/>
          <w:rtl/>
        </w:rPr>
        <w:tab/>
        <w:t>בתוך הסעיף – בעמוד 1 אין שינו</w:t>
      </w:r>
      <w:r>
        <w:rPr>
          <w:rFonts w:cs="David"/>
          <w:sz w:val="24"/>
          <w:rtl/>
        </w:rPr>
        <w:t xml:space="preserve">י. עמוד 2 – אין שינוי. </w:t>
      </w:r>
    </w:p>
    <w:p w:rsidR="00000000" w:rsidRDefault="000271D7">
      <w:pPr>
        <w:rPr>
          <w:rFonts w:cs="David"/>
          <w:sz w:val="24"/>
          <w:rtl/>
        </w:rPr>
      </w:pP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p>
    <w:p w:rsidR="00000000" w:rsidRDefault="000271D7">
      <w:pPr>
        <w:rPr>
          <w:rFonts w:cs="David"/>
          <w:sz w:val="24"/>
          <w:rtl/>
        </w:rPr>
      </w:pPr>
      <w:r>
        <w:rPr>
          <w:rFonts w:cs="David"/>
          <w:sz w:val="24"/>
          <w:rtl/>
        </w:rPr>
        <w:tab/>
        <w:t xml:space="preserve">נלך לפי סעיפים – סעיף קטן (2) – אין שינוי.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עכשיו יש את הסעיפים החדשים – בסעיף 3, לבקשת הרב שיינפלד – עשינו את אותו רעיון בצורה קצת שונה. היה כתוב בנוסח הקודם: "לפחות אחד מבני הזוג הוא יהודי" וכ</w:t>
      </w:r>
      <w:r>
        <w:rPr>
          <w:rFonts w:cs="David"/>
          <w:sz w:val="24"/>
          <w:rtl/>
        </w:rPr>
        <w:t>תבנו: "...ואחד מבני הזוג הוא יהודי", ואחרי הסוגריים כתבנו: "או ששני בני הזוג הם בני דתות מוכרות שונות". הרעיון היה – בני דתות מוכרות שונות, אבל כשכתבנו לפחות אחד היה מי שהבין שאולי זה גם יחול על שני יהודים, שני מוסלמים, על אף שסעיף 1 לחוק אומר שהוא לא יחול</w:t>
      </w:r>
      <w:r>
        <w:rPr>
          <w:rFonts w:cs="David"/>
          <w:sz w:val="24"/>
          <w:rtl/>
        </w:rPr>
        <w:t xml:space="preserve"> על שני יהודים, שני מוסלמים, שני נוצרים. אבל ליתר ביטחון – הבהרנו.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u w:val="single"/>
          <w:rtl/>
        </w:rPr>
        <w:t>יצחק לוי:</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 xml:space="preserve"> אבל זו רק הבהרה.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 xml:space="preserve">רק הבהרה.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 xml:space="preserve"> אז בכל אופן אני אקרא: </w:t>
      </w:r>
    </w:p>
    <w:p w:rsidR="00000000" w:rsidRDefault="000271D7">
      <w:pPr>
        <w:rPr>
          <w:rFonts w:cs="David"/>
          <w:sz w:val="24"/>
          <w:rtl/>
        </w:rPr>
      </w:pPr>
      <w:r>
        <w:rPr>
          <w:rFonts w:cs="David"/>
          <w:sz w:val="24"/>
          <w:rtl/>
        </w:rPr>
        <w:t>"3(א) הוגשה לבית המשפט בקשה להתרת נישואין ואחד מבני הזוג הוא יהודי, מוסלמי, דרו</w:t>
      </w:r>
      <w:r>
        <w:rPr>
          <w:rFonts w:cs="David"/>
          <w:sz w:val="24"/>
          <w:rtl/>
        </w:rPr>
        <w:t xml:space="preserve">זי או בן אחת העדות הנוצריות המקיימות בישראל בית דין דתי, או התעורר ספק ביחס להשתייכותו של אחד מבני הזוג לעדה דתית כאמור... או ששני בני הזוג הם בני דתות מוכרות שונות,  יפנה סגן נשיא בית המשפט בכתב, לראש בית הדין הנוגע בדבר, כדי שיקבע אם יש צורך בגירושין על </w:t>
      </w:r>
      <w:r>
        <w:rPr>
          <w:rFonts w:cs="David"/>
          <w:sz w:val="24"/>
          <w:rtl/>
        </w:rPr>
        <w:t>פי הדין הדתי שלפיו הוא דן, ולו מספק, על מנת שבן הזוג שעליו חל אותו דין דתי יוכל להינשא מחדש (בחוק זה – פניה)."</w:t>
      </w:r>
    </w:p>
    <w:p w:rsidR="00000000" w:rsidRDefault="000271D7">
      <w:pPr>
        <w:rPr>
          <w:rFonts w:cs="David"/>
          <w:sz w:val="24"/>
          <w:rtl/>
        </w:rPr>
      </w:pPr>
    </w:p>
    <w:p w:rsidR="00000000" w:rsidRDefault="000271D7">
      <w:pPr>
        <w:rPr>
          <w:rFonts w:cs="David"/>
          <w:sz w:val="24"/>
          <w:rtl/>
        </w:rPr>
      </w:pPr>
      <w:r>
        <w:rPr>
          <w:rFonts w:cs="David"/>
          <w:sz w:val="24"/>
          <w:rtl/>
        </w:rPr>
        <w:t xml:space="preserve">  </w:t>
      </w:r>
    </w:p>
    <w:p w:rsidR="00000000" w:rsidRDefault="000271D7">
      <w:pPr>
        <w:rPr>
          <w:rFonts w:cs="David"/>
          <w:sz w:val="24"/>
          <w:u w:val="single"/>
          <w:rtl/>
        </w:rPr>
      </w:pPr>
      <w:r>
        <w:rPr>
          <w:rFonts w:cs="David"/>
          <w:sz w:val="24"/>
          <w:u w:val="single"/>
          <w:rtl/>
        </w:rPr>
        <w:t>סיגל קוגוט:</w:t>
      </w:r>
      <w:r>
        <w:rPr>
          <w:rFonts w:cs="David"/>
          <w:sz w:val="24"/>
          <w:u w:val="single"/>
          <w:rtl/>
        </w:rPr>
        <w:tab/>
      </w:r>
    </w:p>
    <w:p w:rsidR="00000000" w:rsidRDefault="000271D7">
      <w:pPr>
        <w:rPr>
          <w:rFonts w:cs="David"/>
          <w:sz w:val="24"/>
          <w:rtl/>
        </w:rPr>
      </w:pPr>
    </w:p>
    <w:p w:rsidR="00000000" w:rsidRDefault="000271D7">
      <w:pPr>
        <w:rPr>
          <w:rFonts w:cs="David"/>
          <w:sz w:val="24"/>
          <w:rtl/>
        </w:rPr>
      </w:pPr>
      <w:r>
        <w:rPr>
          <w:rFonts w:cs="David"/>
          <w:sz w:val="24"/>
          <w:rtl/>
        </w:rPr>
        <w:tab/>
        <w:t xml:space="preserve">זה השינוי. ביתר – אין שינוי, זה כמו הנוסח שהונח.  בין הגרסאות שהיו נותרה הגרסה שלא מוסיפה שום דבר, גרסה א'.  היא זו שמופיעה. </w:t>
      </w:r>
    </w:p>
    <w:p w:rsidR="00000000" w:rsidRDefault="000271D7">
      <w:pPr>
        <w:rPr>
          <w:rFonts w:cs="David"/>
          <w:sz w:val="24"/>
          <w:rtl/>
        </w:rPr>
      </w:pP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xml:space="preserve">עכשיו אנחנו עוברים  לתיקון חוק שיפוט בתי דין רבניים. השינוי הוא בעמוד 7 – ראשית, שינינו את כותרת השוליים. מחקנו שם את המילים "כדין תורה", וגם מסעיף 4 א(א) מחקנו "בתביעה לגירושין כדין תורה". הרעיון הוא שברישה לא יהיה "כדין תורה" כי בפסק הדין, הגט יהיה </w:t>
      </w:r>
      <w:r>
        <w:rPr>
          <w:rFonts w:cs="David"/>
          <w:sz w:val="24"/>
          <w:rtl/>
        </w:rPr>
        <w:t xml:space="preserve">תקף כלפי כולי עלמא, למעט הנסיבות הכתובות עכשיו בסעיף (ב), שזה השינוי. </w:t>
      </w:r>
    </w:p>
    <w:p w:rsidR="00000000" w:rsidRDefault="000271D7">
      <w:pPr>
        <w:rPr>
          <w:rFonts w:cs="David"/>
          <w:sz w:val="24"/>
          <w:rtl/>
        </w:rPr>
      </w:pPr>
      <w:r>
        <w:rPr>
          <w:rFonts w:cs="David"/>
          <w:sz w:val="24"/>
          <w:rtl/>
        </w:rPr>
        <w:t xml:space="preserve">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lastRenderedPageBreak/>
        <w:tab/>
        <w:t xml:space="preserve"> אני יודע את הפרינציפ, שהרחבנו את הזיקה , אבל אני לא יודע בדיוק לאיזה מקרים הרחבנו. </w:t>
      </w:r>
    </w:p>
    <w:p w:rsidR="00000000" w:rsidRDefault="000271D7">
      <w:pPr>
        <w:rPr>
          <w:rFonts w:cs="David"/>
          <w:sz w:val="24"/>
          <w:rtl/>
        </w:rPr>
      </w:pPr>
    </w:p>
    <w:p w:rsidR="00000000" w:rsidRDefault="000271D7">
      <w:pPr>
        <w:rPr>
          <w:rFonts w:cs="David"/>
          <w:sz w:val="24"/>
          <w:rtl/>
        </w:rPr>
      </w:pPr>
      <w:r>
        <w:rPr>
          <w:rFonts w:cs="David"/>
          <w:sz w:val="24"/>
          <w:rtl/>
        </w:rPr>
        <w:t>הגענו ל- (ב) – "(ב) הוגשה לבית דין רבני תביעה לפי סעיף קטן (א):</w:t>
      </w:r>
    </w:p>
    <w:p w:rsidR="00000000" w:rsidRDefault="000271D7">
      <w:pPr>
        <w:rPr>
          <w:rFonts w:cs="David"/>
          <w:sz w:val="24"/>
          <w:rtl/>
        </w:rPr>
      </w:pPr>
      <w:r>
        <w:rPr>
          <w:rFonts w:cs="David"/>
          <w:sz w:val="24"/>
          <w:rtl/>
        </w:rPr>
        <w:t>(1) לא ה</w:t>
      </w:r>
      <w:r>
        <w:rPr>
          <w:rFonts w:cs="David"/>
          <w:sz w:val="24"/>
          <w:rtl/>
        </w:rPr>
        <w:t>יה בכך כדי למנוע מבית מפשט מוסמך במדינת חוץ לדון בתביעה לגירושין אזרחיים בין בני הזוג;</w:t>
      </w:r>
    </w:p>
    <w:p w:rsidR="00000000" w:rsidRDefault="000271D7">
      <w:pPr>
        <w:rPr>
          <w:rFonts w:cs="David"/>
          <w:sz w:val="24"/>
          <w:rtl/>
        </w:rPr>
      </w:pPr>
      <w:r>
        <w:rPr>
          <w:rFonts w:cs="David"/>
          <w:sz w:val="24"/>
          <w:rtl/>
        </w:rPr>
        <w:t>(2) הוגשה תביעה לגירושין אזרחיים בין בני הזוג לבית משפט מוסמך במדינת חוץ בטרם ניתן גט פיטורין, לא יהיה בית הדין מוסמך לדון ולהכריע בגירושין האזרחיים. "</w:t>
      </w:r>
    </w:p>
    <w:p w:rsidR="00000000" w:rsidRDefault="000271D7">
      <w:pPr>
        <w:rPr>
          <w:rFonts w:cs="David"/>
          <w:sz w:val="24"/>
          <w:rtl/>
        </w:rPr>
      </w:pP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רשף חן:</w:t>
      </w:r>
    </w:p>
    <w:p w:rsidR="00000000" w:rsidRDefault="000271D7">
      <w:pPr>
        <w:rPr>
          <w:rFonts w:cs="David"/>
          <w:sz w:val="24"/>
          <w:rtl/>
        </w:rPr>
      </w:pPr>
    </w:p>
    <w:p w:rsidR="00000000" w:rsidRDefault="000271D7">
      <w:pPr>
        <w:rPr>
          <w:rFonts w:cs="David"/>
          <w:sz w:val="24"/>
          <w:rtl/>
        </w:rPr>
      </w:pPr>
      <w:r>
        <w:rPr>
          <w:rFonts w:cs="David"/>
          <w:sz w:val="24"/>
          <w:rtl/>
        </w:rPr>
        <w:tab/>
        <w:t>זה מ</w:t>
      </w:r>
      <w:r>
        <w:rPr>
          <w:rFonts w:cs="David"/>
          <w:sz w:val="24"/>
          <w:rtl/>
        </w:rPr>
        <w:t xml:space="preserve">בהיר שלגט שלו אין לו נפקות? לא ברור לי שזה מבהיר את זה. אם הוא לא ידון בגירושין אזרחיים, הוא ימשיך לדון - -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תמי סלע:</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הוא גם לא יכריע.</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u w:val="single"/>
          <w:rtl/>
        </w:rPr>
        <w:t>רשף חן:</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 xml:space="preserve">להמשיך ולתת גט הוא יוכל. </w:t>
      </w:r>
    </w:p>
    <w:p w:rsidR="00000000" w:rsidRDefault="000271D7">
      <w:pPr>
        <w:rPr>
          <w:rFonts w:cs="David"/>
          <w:sz w:val="24"/>
          <w:rtl/>
        </w:rPr>
      </w:pPr>
    </w:p>
    <w:p w:rsidR="00000000" w:rsidRDefault="000271D7">
      <w:pPr>
        <w:rPr>
          <w:rFonts w:cs="David"/>
          <w:sz w:val="24"/>
          <w:u w:val="single"/>
          <w:rtl/>
        </w:rPr>
      </w:pPr>
      <w:r>
        <w:rPr>
          <w:rFonts w:cs="David"/>
          <w:sz w:val="24"/>
          <w:u w:val="single"/>
          <w:rtl/>
        </w:rPr>
        <w:t>סיגל קוגוט</w:t>
      </w:r>
      <w:r>
        <w:rPr>
          <w:rFonts w:cs="David"/>
          <w:u w:val="single"/>
        </w:rPr>
        <w:t>:</w:t>
      </w:r>
    </w:p>
    <w:p w:rsidR="00000000" w:rsidRDefault="000271D7">
      <w:pPr>
        <w:rPr>
          <w:rFonts w:cs="David"/>
          <w:sz w:val="24"/>
          <w:rtl/>
        </w:rPr>
      </w:pPr>
    </w:p>
    <w:p w:rsidR="00000000" w:rsidRDefault="000271D7">
      <w:pPr>
        <w:rPr>
          <w:rFonts w:cs="David"/>
          <w:sz w:val="24"/>
          <w:rtl/>
        </w:rPr>
      </w:pPr>
      <w:r>
        <w:rPr>
          <w:rFonts w:cs="David"/>
          <w:sz w:val="24"/>
          <w:rtl/>
        </w:rPr>
        <w:tab/>
        <w:t xml:space="preserve">נכון. </w:t>
      </w:r>
    </w:p>
    <w:p w:rsidR="00000000" w:rsidRDefault="000271D7">
      <w:pPr>
        <w:rPr>
          <w:rFonts w:cs="David"/>
          <w:sz w:val="24"/>
          <w:rtl/>
        </w:rPr>
      </w:pPr>
    </w:p>
    <w:p w:rsidR="00000000" w:rsidRDefault="000271D7">
      <w:pPr>
        <w:rPr>
          <w:rFonts w:cs="David"/>
          <w:sz w:val="24"/>
          <w:u w:val="single"/>
          <w:rtl/>
        </w:rPr>
      </w:pPr>
      <w:r>
        <w:rPr>
          <w:rFonts w:cs="David"/>
          <w:sz w:val="24"/>
          <w:u w:val="single"/>
          <w:rtl/>
        </w:rPr>
        <w:t>תמי סלע:</w:t>
      </w:r>
    </w:p>
    <w:p w:rsidR="00000000" w:rsidRDefault="000271D7">
      <w:pPr>
        <w:rPr>
          <w:rFonts w:cs="David"/>
          <w:sz w:val="24"/>
          <w:rtl/>
        </w:rPr>
      </w:pPr>
    </w:p>
    <w:p w:rsidR="00000000" w:rsidRDefault="000271D7">
      <w:pPr>
        <w:rPr>
          <w:rFonts w:cs="David"/>
          <w:sz w:val="24"/>
          <w:rtl/>
        </w:rPr>
      </w:pPr>
      <w:r>
        <w:rPr>
          <w:rFonts w:cs="David"/>
          <w:sz w:val="24"/>
          <w:rtl/>
        </w:rPr>
        <w:tab/>
        <w:t xml:space="preserve">היתה נוסחה יותר מובהקת, אבל - - </w:t>
      </w:r>
    </w:p>
    <w:p w:rsidR="00000000" w:rsidRDefault="000271D7">
      <w:pPr>
        <w:rPr>
          <w:rFonts w:cs="David"/>
          <w:sz w:val="24"/>
          <w:u w:val="single"/>
          <w:rtl/>
        </w:rPr>
      </w:pPr>
    </w:p>
    <w:p w:rsidR="00000000" w:rsidRDefault="000271D7">
      <w:pPr>
        <w:rPr>
          <w:rFonts w:cs="David"/>
          <w:sz w:val="24"/>
          <w:u w:val="single"/>
          <w:rtl/>
        </w:rPr>
      </w:pPr>
      <w:r>
        <w:rPr>
          <w:rFonts w:cs="David"/>
          <w:sz w:val="24"/>
          <w:u w:val="single"/>
          <w:rtl/>
        </w:rPr>
        <w:t>סיגל קוגו</w:t>
      </w:r>
      <w:r>
        <w:rPr>
          <w:rFonts w:cs="David"/>
          <w:sz w:val="24"/>
          <w:u w:val="single"/>
          <w:rtl/>
        </w:rPr>
        <w:t>ט:</w:t>
      </w:r>
    </w:p>
    <w:p w:rsidR="00000000" w:rsidRDefault="000271D7">
      <w:pPr>
        <w:rPr>
          <w:rFonts w:cs="David"/>
          <w:sz w:val="24"/>
          <w:rtl/>
        </w:rPr>
      </w:pPr>
    </w:p>
    <w:p w:rsidR="00000000" w:rsidRDefault="000271D7">
      <w:pPr>
        <w:rPr>
          <w:rFonts w:cs="David"/>
          <w:sz w:val="24"/>
          <w:rtl/>
        </w:rPr>
      </w:pPr>
      <w:r>
        <w:rPr>
          <w:rFonts w:cs="David"/>
          <w:sz w:val="24"/>
          <w:rtl/>
        </w:rPr>
        <w:tab/>
        <w:t xml:space="preserve">ברור שהיה משהו יותר ברור, אבל עדיין זה מספיק ברור. </w:t>
      </w:r>
    </w:p>
    <w:p w:rsidR="00000000" w:rsidRDefault="000271D7">
      <w:pPr>
        <w:rPr>
          <w:rFonts w:cs="David"/>
          <w:sz w:val="24"/>
          <w:rtl/>
        </w:rPr>
      </w:pPr>
    </w:p>
    <w:p w:rsidR="00000000" w:rsidRDefault="000271D7">
      <w:pPr>
        <w:rPr>
          <w:rFonts w:cs="David"/>
          <w:sz w:val="24"/>
          <w:u w:val="single"/>
          <w:rtl/>
        </w:rPr>
      </w:pPr>
      <w:r>
        <w:rPr>
          <w:rFonts w:cs="David"/>
          <w:sz w:val="24"/>
          <w:u w:val="single"/>
          <w:rtl/>
        </w:rPr>
        <w:t>רשף חן:</w:t>
      </w:r>
    </w:p>
    <w:p w:rsidR="00000000" w:rsidRDefault="000271D7">
      <w:pPr>
        <w:rPr>
          <w:rFonts w:cs="David"/>
          <w:sz w:val="24"/>
          <w:rtl/>
        </w:rPr>
      </w:pPr>
    </w:p>
    <w:p w:rsidR="00000000" w:rsidRDefault="000271D7">
      <w:pPr>
        <w:rPr>
          <w:rFonts w:cs="David"/>
          <w:sz w:val="24"/>
          <w:rtl/>
        </w:rPr>
      </w:pPr>
      <w:r>
        <w:rPr>
          <w:rFonts w:cs="David"/>
          <w:sz w:val="24"/>
          <w:rtl/>
        </w:rPr>
        <w:tab/>
        <w:t>יש פשרה, ויש פשרה שהיא לא להחליט.</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p>
    <w:p w:rsidR="00000000" w:rsidRDefault="000271D7">
      <w:pPr>
        <w:rPr>
          <w:rFonts w:cs="David"/>
          <w:sz w:val="24"/>
          <w:rtl/>
        </w:rPr>
      </w:pPr>
      <w:r>
        <w:rPr>
          <w:rFonts w:cs="David"/>
          <w:sz w:val="24"/>
          <w:rtl/>
        </w:rPr>
        <w:tab/>
        <w:t xml:space="preserve">לא, לא. </w:t>
      </w:r>
    </w:p>
    <w:p w:rsidR="00000000" w:rsidRDefault="000271D7">
      <w:pPr>
        <w:rPr>
          <w:rFonts w:cs="David"/>
          <w:sz w:val="24"/>
          <w:rtl/>
        </w:rPr>
      </w:pP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 xml:space="preserve"> אני אגיד לך מה ההבדל: בגדול, יש מצב שבו אתה אומר למישהו: אסור לך לקחת, כי אז תהיה גנב, ויש מצב שאומרים: אס</w:t>
      </w:r>
      <w:r>
        <w:rPr>
          <w:rFonts w:cs="David"/>
          <w:sz w:val="24"/>
          <w:rtl/>
        </w:rPr>
        <w:t>ור לך לקחת. כלומר, יש כל מיני ביטויים.  הביטוי כאן לא רוצה לפגוע במעמדו ובכבודו של בית הדין הרבני, למרות שכתוב כאן במפורש, ולא ליצור מצב של אפליה בין התרת הדין הדתי והדין האזרחי, למרות שהוא עושה את זה בלי להגיד את זה.זו היתה הבעיה שלנו בניסוח. היינו צריכים</w:t>
      </w:r>
      <w:r>
        <w:rPr>
          <w:rFonts w:cs="David"/>
          <w:sz w:val="24"/>
          <w:rtl/>
        </w:rPr>
        <w:t xml:space="preserve"> לעשות את זה בלי לפגוע בעיקרון שאין - -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רשף חן:</w:t>
      </w:r>
    </w:p>
    <w:p w:rsidR="00000000" w:rsidRDefault="000271D7">
      <w:pPr>
        <w:rPr>
          <w:rFonts w:cs="David"/>
          <w:sz w:val="24"/>
          <w:rtl/>
        </w:rPr>
      </w:pPr>
    </w:p>
    <w:p w:rsidR="00000000" w:rsidRDefault="000271D7">
      <w:pPr>
        <w:rPr>
          <w:rFonts w:cs="David"/>
          <w:sz w:val="24"/>
          <w:rtl/>
        </w:rPr>
      </w:pPr>
      <w:r>
        <w:rPr>
          <w:rFonts w:cs="David"/>
          <w:sz w:val="24"/>
          <w:rtl/>
        </w:rPr>
        <w:tab/>
        <w:t>הבעיה היחידה היא שאחר כך בית המשפט שבא לפרש -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p>
    <w:p w:rsidR="00000000" w:rsidRDefault="000271D7">
      <w:pPr>
        <w:rPr>
          <w:rFonts w:cs="David"/>
          <w:sz w:val="24"/>
          <w:rtl/>
        </w:rPr>
      </w:pPr>
      <w:r>
        <w:rPr>
          <w:rFonts w:cs="David"/>
          <w:sz w:val="24"/>
          <w:rtl/>
        </w:rPr>
        <w:lastRenderedPageBreak/>
        <w:tab/>
        <w:t>אל תדאג, בתי הדין בישראל לא נוטים חסד בפרשנות שלהם דווקא לצד של בתי הדין הרבניים. אני עוד לא ראיתי שבאו החוגים הליברליים בישראל והתקו</w:t>
      </w:r>
      <w:r>
        <w:rPr>
          <w:rFonts w:cs="David"/>
          <w:sz w:val="24"/>
          <w:rtl/>
        </w:rPr>
        <w:t xml:space="preserve">ממו מול שערי בתי המשפט שהם נותנים עודף סמכויות לבתי הדין הרבניים. ההפך – אני רואה.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רשף חן:</w:t>
      </w:r>
    </w:p>
    <w:p w:rsidR="00000000" w:rsidRDefault="000271D7">
      <w:pPr>
        <w:rPr>
          <w:rFonts w:cs="David"/>
          <w:sz w:val="24"/>
          <w:rtl/>
        </w:rPr>
      </w:pPr>
    </w:p>
    <w:p w:rsidR="00000000" w:rsidRDefault="000271D7">
      <w:pPr>
        <w:rPr>
          <w:rFonts w:cs="David"/>
          <w:sz w:val="24"/>
          <w:rtl/>
        </w:rPr>
      </w:pPr>
      <w:r>
        <w:rPr>
          <w:rFonts w:cs="David"/>
          <w:sz w:val="24"/>
          <w:rtl/>
        </w:rPr>
        <w:tab/>
        <w:t xml:space="preserve">מה החשש שלי? - החשש שלי הוא שהוא לא ידון ולא יכריע בגירושין האזרחיים. הוא ימשיך לדון ולהכריע  -  - </w:t>
      </w:r>
    </w:p>
    <w:p w:rsidR="00000000" w:rsidRDefault="000271D7">
      <w:pPr>
        <w:rPr>
          <w:rFonts w:cs="David"/>
          <w:sz w:val="24"/>
          <w:rtl/>
        </w:rPr>
      </w:pPr>
    </w:p>
    <w:p w:rsidR="00000000" w:rsidRDefault="000271D7">
      <w:pPr>
        <w:rPr>
          <w:rFonts w:cs="David"/>
          <w:sz w:val="24"/>
          <w:u w:val="single"/>
          <w:rtl/>
        </w:rPr>
      </w:pPr>
      <w:r>
        <w:rPr>
          <w:rFonts w:cs="David"/>
          <w:sz w:val="24"/>
          <w:u w:val="single"/>
          <w:rtl/>
        </w:rPr>
        <w:t>קריאה:</w:t>
      </w:r>
    </w:p>
    <w:p w:rsidR="00000000" w:rsidRDefault="000271D7">
      <w:pPr>
        <w:rPr>
          <w:rFonts w:cs="David"/>
          <w:sz w:val="24"/>
          <w:rtl/>
        </w:rPr>
      </w:pPr>
    </w:p>
    <w:p w:rsidR="00000000" w:rsidRDefault="000271D7">
      <w:pPr>
        <w:rPr>
          <w:rFonts w:cs="David"/>
          <w:sz w:val="24"/>
          <w:rtl/>
        </w:rPr>
      </w:pPr>
      <w:r>
        <w:rPr>
          <w:rFonts w:cs="David"/>
          <w:sz w:val="24"/>
          <w:rtl/>
        </w:rPr>
        <w:tab/>
        <w:t xml:space="preserve">הוא לא ידון כי הוא לא מוסמך לדון. </w:t>
      </w:r>
    </w:p>
    <w:p w:rsidR="00000000" w:rsidRDefault="000271D7">
      <w:pPr>
        <w:rPr>
          <w:rFonts w:cs="David"/>
          <w:sz w:val="24"/>
          <w:rtl/>
        </w:rPr>
      </w:pPr>
    </w:p>
    <w:p w:rsidR="00000000" w:rsidRDefault="000271D7">
      <w:pPr>
        <w:rPr>
          <w:rFonts w:cs="David"/>
          <w:sz w:val="24"/>
          <w:u w:val="single"/>
          <w:rtl/>
        </w:rPr>
      </w:pPr>
      <w:r>
        <w:rPr>
          <w:rFonts w:cs="David"/>
          <w:sz w:val="24"/>
          <w:u w:val="single"/>
          <w:rtl/>
        </w:rPr>
        <w:t>רשף חן:</w:t>
      </w:r>
    </w:p>
    <w:p w:rsidR="00000000" w:rsidRDefault="000271D7">
      <w:pPr>
        <w:rPr>
          <w:rFonts w:cs="David"/>
          <w:sz w:val="24"/>
          <w:rtl/>
        </w:rPr>
      </w:pPr>
    </w:p>
    <w:p w:rsidR="00000000" w:rsidRDefault="000271D7">
      <w:pPr>
        <w:rPr>
          <w:rFonts w:cs="David"/>
          <w:sz w:val="24"/>
          <w:rtl/>
        </w:rPr>
      </w:pPr>
      <w:r>
        <w:rPr>
          <w:rFonts w:cs="David"/>
          <w:sz w:val="24"/>
          <w:rtl/>
        </w:rPr>
        <w:tab/>
        <w:t>ועדי</w:t>
      </w:r>
      <w:r>
        <w:rPr>
          <w:rFonts w:cs="David"/>
          <w:sz w:val="24"/>
          <w:rtl/>
        </w:rPr>
        <w:t xml:space="preserve">ין לא ענינו לשאלה האם לגט הזה יש נפקות או אין לו - - הגירושין.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p>
    <w:p w:rsidR="00000000" w:rsidRDefault="000271D7">
      <w:pPr>
        <w:rPr>
          <w:rFonts w:cs="David"/>
          <w:sz w:val="24"/>
          <w:rtl/>
        </w:rPr>
      </w:pPr>
      <w:r>
        <w:rPr>
          <w:rFonts w:cs="David"/>
          <w:sz w:val="24"/>
          <w:rtl/>
        </w:rPr>
        <w:tab/>
        <w:t xml:space="preserve">אם כתוב "לא מוסמך להכריע.." - -  אפשר יהיה לטעון את זה, אבל זו טענה שתידחה. </w:t>
      </w:r>
    </w:p>
    <w:p w:rsidR="00000000" w:rsidRDefault="000271D7">
      <w:pPr>
        <w:rPr>
          <w:rFonts w:cs="David"/>
          <w:sz w:val="24"/>
          <w:rtl/>
        </w:rPr>
      </w:pP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p>
    <w:p w:rsidR="00000000" w:rsidRDefault="000271D7">
      <w:pPr>
        <w:rPr>
          <w:rFonts w:cs="David"/>
          <w:sz w:val="24"/>
          <w:rtl/>
        </w:rPr>
      </w:pPr>
      <w:r>
        <w:rPr>
          <w:rFonts w:cs="David"/>
          <w:sz w:val="24"/>
          <w:rtl/>
        </w:rPr>
        <w:tab/>
        <w:t xml:space="preserve"> סליחה, יש לי שאלה אליך: רצית להיות שופט, ואתה שופט בבית המשפט המחוזי ומבקשי</w:t>
      </w:r>
      <w:r>
        <w:rPr>
          <w:rFonts w:cs="David"/>
          <w:sz w:val="24"/>
          <w:rtl/>
        </w:rPr>
        <w:t xml:space="preserve">ם ממך פסק דין הצהרתי שלפיו, מה שעשה בית המשפט הוא עשה כשהוא לא מוסמך ולכן זה לא תקף. תיתן צו או לא? </w:t>
      </w:r>
    </w:p>
    <w:p w:rsidR="00000000" w:rsidRDefault="000271D7">
      <w:pPr>
        <w:rPr>
          <w:rFonts w:cs="David"/>
          <w:sz w:val="24"/>
          <w:rtl/>
        </w:rPr>
      </w:pPr>
      <w:r>
        <w:rPr>
          <w:szCs w:val="22"/>
          <w:rtl/>
        </w:rPr>
        <w:t> </w:t>
      </w:r>
    </w:p>
    <w:p w:rsidR="00000000" w:rsidRDefault="000271D7">
      <w:pPr>
        <w:rPr>
          <w:rFonts w:cs="David"/>
          <w:sz w:val="24"/>
          <w:rtl/>
        </w:rPr>
      </w:pPr>
      <w:r>
        <w:rPr>
          <w:rFonts w:cs="David"/>
          <w:sz w:val="24"/>
          <w:u w:val="single"/>
          <w:rtl/>
        </w:rPr>
        <w:t>רשף חן:</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 xml:space="preserve"> אני לא בטוח. אנחנו באנו לכאן ואמרנו שאפשר יהיה לנקוט בהליך של גירושין אזרחים. אז כבר הגדרנו מה זה "גירושין אזרחיים", ומשתמשים כל הזמן בביטוי </w:t>
      </w:r>
      <w:r>
        <w:rPr>
          <w:rFonts w:cs="David"/>
          <w:sz w:val="24"/>
          <w:rtl/>
        </w:rPr>
        <w:t xml:space="preserve"> "התרת נישואין".</w:t>
      </w:r>
    </w:p>
    <w:p w:rsidR="00000000" w:rsidRDefault="000271D7">
      <w:pPr>
        <w:rPr>
          <w:rFonts w:cs="David"/>
          <w:sz w:val="24"/>
          <w:rtl/>
        </w:rPr>
      </w:pP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p>
    <w:p w:rsidR="00000000" w:rsidRDefault="000271D7">
      <w:pPr>
        <w:rPr>
          <w:rFonts w:cs="David"/>
          <w:sz w:val="24"/>
          <w:rtl/>
        </w:rPr>
      </w:pPr>
      <w:r>
        <w:rPr>
          <w:rFonts w:cs="David"/>
          <w:sz w:val="24"/>
          <w:rtl/>
        </w:rPr>
        <w:tab/>
        <w:t xml:space="preserve">לא. בחוק הזה אנחנו משתמשים ב "גירושין". </w:t>
      </w:r>
    </w:p>
    <w:p w:rsidR="00000000" w:rsidRDefault="000271D7">
      <w:pPr>
        <w:rPr>
          <w:rFonts w:cs="David"/>
          <w:sz w:val="24"/>
          <w:rtl/>
        </w:rPr>
      </w:pPr>
    </w:p>
    <w:p w:rsidR="00000000" w:rsidRDefault="000271D7">
      <w:pPr>
        <w:rPr>
          <w:rFonts w:cs="David"/>
          <w:sz w:val="24"/>
          <w:u w:val="single"/>
          <w:rtl/>
        </w:rPr>
      </w:pPr>
      <w:r>
        <w:rPr>
          <w:rFonts w:cs="David"/>
          <w:sz w:val="24"/>
          <w:u w:val="single"/>
          <w:rtl/>
        </w:rPr>
        <w:t>רשף חן:</w:t>
      </w:r>
    </w:p>
    <w:p w:rsidR="00000000" w:rsidRDefault="000271D7">
      <w:pPr>
        <w:rPr>
          <w:rFonts w:cs="David"/>
          <w:sz w:val="24"/>
          <w:rtl/>
        </w:rPr>
      </w:pPr>
    </w:p>
    <w:p w:rsidR="00000000" w:rsidRDefault="000271D7">
      <w:pPr>
        <w:rPr>
          <w:rFonts w:cs="David"/>
          <w:sz w:val="24"/>
          <w:rtl/>
        </w:rPr>
      </w:pPr>
      <w:r>
        <w:rPr>
          <w:rFonts w:cs="David"/>
          <w:sz w:val="24"/>
          <w:rtl/>
        </w:rPr>
        <w:tab/>
        <w:t xml:space="preserve">אנחנו לא אומרים פה בשום מקום שהוא לא יהיה מוסמך להתיר את הנישואין - -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p>
    <w:p w:rsidR="00000000" w:rsidRDefault="000271D7">
      <w:pPr>
        <w:rPr>
          <w:rFonts w:cs="David"/>
          <w:sz w:val="24"/>
          <w:rtl/>
        </w:rPr>
      </w:pPr>
      <w:r>
        <w:rPr>
          <w:rFonts w:cs="David"/>
          <w:sz w:val="24"/>
          <w:rtl/>
        </w:rPr>
        <w:tab/>
        <w:t>כי אז לא היתה הסכמה. הנוסח הזה הוא אותה גברת בשינוי אדרת. נכון שמבחינה אנליטית – מה ש</w:t>
      </w:r>
      <w:r>
        <w:rPr>
          <w:rFonts w:cs="David"/>
          <w:sz w:val="24"/>
          <w:rtl/>
        </w:rPr>
        <w:t xml:space="preserve">אתה אומר זה יותר מדויק.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u w:val="single"/>
          <w:rtl/>
        </w:rPr>
        <w:t>רשף חן:</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 xml:space="preserve"> אני מסיר את דעתי מפני דעתי. אם את אומרת שמה שאנחנו אומרים פה הוא ברור מספיק – זה מקובל עלי. </w:t>
      </w:r>
    </w:p>
    <w:p w:rsidR="00000000" w:rsidRDefault="000271D7">
      <w:pPr>
        <w:rPr>
          <w:rFonts w:cs="David"/>
          <w:sz w:val="24"/>
          <w:rtl/>
        </w:rPr>
      </w:pPr>
      <w:r>
        <w:rPr>
          <w:rFonts w:cs="David"/>
          <w:sz w:val="24"/>
          <w:rtl/>
        </w:rPr>
        <w:t> </w:t>
      </w:r>
    </w:p>
    <w:p w:rsidR="00000000" w:rsidRDefault="000271D7">
      <w:pPr>
        <w:rPr>
          <w:rFonts w:cs="David"/>
          <w:sz w:val="24"/>
          <w:u w:val="single"/>
          <w:rtl/>
        </w:rPr>
      </w:pPr>
      <w:r>
        <w:rPr>
          <w:rFonts w:cs="David"/>
          <w:sz w:val="24"/>
          <w:u w:val="single"/>
          <w:rtl/>
        </w:rPr>
        <w:t>סיגל קוגוט:</w:t>
      </w:r>
    </w:p>
    <w:p w:rsidR="00000000" w:rsidRDefault="000271D7">
      <w:pPr>
        <w:rPr>
          <w:rFonts w:cs="David"/>
          <w:sz w:val="24"/>
          <w:rtl/>
        </w:rPr>
      </w:pPr>
    </w:p>
    <w:p w:rsidR="00000000" w:rsidRDefault="000271D7">
      <w:pPr>
        <w:rPr>
          <w:rFonts w:cs="David"/>
          <w:sz w:val="24"/>
          <w:rtl/>
        </w:rPr>
      </w:pPr>
      <w:r>
        <w:rPr>
          <w:rFonts w:cs="David"/>
          <w:sz w:val="24"/>
          <w:rtl/>
        </w:rPr>
        <w:tab/>
        <w:t>לדעתי זה מספיק ברור, אם כי מה שאתה אומר זה מה שהיה מלכתחילה. אבל בדיעבד זה נוסח מספיק ברור.</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ab/>
        <w:t>אלה הם השינוי</w:t>
      </w:r>
      <w:r>
        <w:rPr>
          <w:rFonts w:cs="David"/>
          <w:sz w:val="24"/>
          <w:rtl/>
        </w:rPr>
        <w:t xml:space="preserve">ים. ההסתייגויות נותרו בעינן, חוץ משרת המשפטים שוויתרה על ההסתייגות שלה. לחברת הכנסת יולי תמיר יש  – הסתייגות דיבור.  לחבר הכנסת רשף חן יש </w:t>
      </w:r>
      <w:r>
        <w:rPr>
          <w:rFonts w:cs="David"/>
          <w:sz w:val="24"/>
          <w:rtl/>
        </w:rPr>
        <w:lastRenderedPageBreak/>
        <w:t>הסתייגויות מהותיות.  לחבר הכנסת משה גפני יש הסתייגות – הוא רוצה לדבר אחרון מבין המסתייגים. גם לחבר הכנסת יצחק לוי הסתי</w:t>
      </w:r>
      <w:r>
        <w:rPr>
          <w:rFonts w:cs="David"/>
          <w:sz w:val="24"/>
          <w:rtl/>
        </w:rPr>
        <w:t>יגות דיבור - ראשון.</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u w:val="single"/>
          <w:rtl/>
        </w:rPr>
        <w:t>היו"ר מיכאל איתן:</w:t>
      </w:r>
    </w:p>
    <w:p w:rsidR="00000000" w:rsidRDefault="000271D7">
      <w:pPr>
        <w:rPr>
          <w:rFonts w:cs="David"/>
          <w:sz w:val="24"/>
          <w:rtl/>
        </w:rPr>
      </w:pPr>
    </w:p>
    <w:p w:rsidR="00000000" w:rsidRDefault="000271D7">
      <w:pPr>
        <w:rPr>
          <w:rFonts w:cs="David"/>
          <w:sz w:val="24"/>
          <w:rtl/>
        </w:rPr>
      </w:pPr>
      <w:r>
        <w:rPr>
          <w:rFonts w:cs="David"/>
          <w:sz w:val="24"/>
          <w:rtl/>
        </w:rPr>
        <w:tab/>
        <w:t xml:space="preserve">מי בעד העברת החוק, עם ההסתייגויות, לקריאה שניה ושלישית?  אני מודה לכם,  החוק אושר פה אחד. הישיבה נעולה. </w:t>
      </w:r>
    </w:p>
    <w:p w:rsidR="00000000" w:rsidRDefault="000271D7">
      <w:pPr>
        <w:rPr>
          <w:rFonts w:cs="David"/>
          <w:sz w:val="24"/>
          <w:rtl/>
        </w:rPr>
      </w:pP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 </w:t>
      </w:r>
    </w:p>
    <w:p w:rsidR="00000000" w:rsidRDefault="000271D7">
      <w:pPr>
        <w:rPr>
          <w:rFonts w:cs="David"/>
          <w:sz w:val="24"/>
          <w:rtl/>
        </w:rPr>
      </w:pPr>
      <w:r>
        <w:rPr>
          <w:rFonts w:cs="David"/>
          <w:sz w:val="24"/>
          <w:rtl/>
        </w:rPr>
        <w:t>הישיבה ננעלה בשעה 17:20</w:t>
      </w: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p w:rsidR="00000000" w:rsidRDefault="000271D7">
      <w:pPr>
        <w:tabs>
          <w:tab w:val="left" w:pos="1930"/>
        </w:tabs>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1D7">
      <w:r>
        <w:separator/>
      </w:r>
    </w:p>
  </w:endnote>
  <w:endnote w:type="continuationSeparator" w:id="0">
    <w:p w:rsidR="00000000" w:rsidRDefault="0002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1D7">
      <w:r>
        <w:separator/>
      </w:r>
    </w:p>
  </w:footnote>
  <w:footnote w:type="continuationSeparator" w:id="0">
    <w:p w:rsidR="00000000" w:rsidRDefault="00027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1D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271D7">
    <w:pPr>
      <w:pStyle w:val="a3"/>
      <w:ind w:right="360"/>
      <w:rPr>
        <w:rStyle w:val="a7"/>
        <w:rFonts w:cs="David"/>
        <w:sz w:val="24"/>
        <w:rtl/>
      </w:rPr>
    </w:pPr>
    <w:r>
      <w:rPr>
        <w:rStyle w:val="a7"/>
        <w:rFonts w:cs="David"/>
        <w:sz w:val="24"/>
        <w:rtl/>
      </w:rPr>
      <w:t>ועדת החוקה, חוק ומשפט</w:t>
    </w:r>
  </w:p>
  <w:p w:rsidR="00000000" w:rsidRDefault="000271D7">
    <w:pPr>
      <w:pStyle w:val="a3"/>
      <w:ind w:right="360"/>
      <w:rPr>
        <w:rStyle w:val="a7"/>
        <w:rFonts w:cs="David"/>
        <w:sz w:val="24"/>
        <w:rtl/>
      </w:rPr>
    </w:pPr>
    <w:r>
      <w:rPr>
        <w:rStyle w:val="a7"/>
        <w:rFonts w:cs="David"/>
        <w:sz w:val="24"/>
        <w:rtl/>
      </w:rPr>
      <w:t>27.07.05</w:t>
    </w:r>
  </w:p>
  <w:p w:rsidR="00000000" w:rsidRDefault="000271D7">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1D7"/>
    <w:rsid w:val="00027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713572-6BA4-45B6-A8BD-8D487521D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6C3657-7489-4421-8CCB-C65D407CCD3D}"/>
</file>

<file path=customXml/itemProps2.xml><?xml version="1.0" encoding="utf-8"?>
<ds:datastoreItem xmlns:ds="http://schemas.openxmlformats.org/officeDocument/2006/customXml" ds:itemID="{E5A6F5A6-2800-4487-B320-39F510E1C376}"/>
</file>

<file path=customXml/itemProps3.xml><?xml version="1.0" encoding="utf-8"?>
<ds:datastoreItem xmlns:ds="http://schemas.openxmlformats.org/officeDocument/2006/customXml" ds:itemID="{6D5C3785-4430-44F1-ADCF-29EB73618959}"/>
</file>

<file path=docProps/app.xml><?xml version="1.0" encoding="utf-8"?>
<Properties xmlns="http://schemas.openxmlformats.org/officeDocument/2006/extended-properties" xmlns:vt="http://schemas.openxmlformats.org/officeDocument/2006/docPropsVTypes">
  <Template>Normal</Template>
  <TotalTime>0</TotalTime>
  <Pages>5</Pages>
  <Words>939</Words>
  <Characters>4700</Characters>
  <Application>Microsoft Office Word</Application>
  <DocSecurity>0</DocSecurity>
  <Lines>39</Lines>
  <Paragraphs>11</Paragraphs>
  <ScaleCrop>false</ScaleCrop>
  <Company>כנסת</Company>
  <LinksUpToDate>false</LinksUpToDate>
  <CharactersWithSpaces>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שיפוט בענייני התרת נישואין </dc:title>
  <dc:subject/>
  <dc:creator>knesset</dc:creator>
  <cp:keywords/>
  <dc:description/>
  <cp:lastModifiedBy>רינה דבורה קדרון</cp:lastModifiedBy>
  <cp:revision>2</cp:revision>
  <cp:lastPrinted>1999-07-13T09:50:00Z</cp:lastPrinted>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101222305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558.000000000000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17:00</vt:lpwstr>
  </property>
  <property fmtid="{D5CDD505-2E9C-101B-9397-08002B2CF9AE}" pid="11" name="ContentTypeId">
    <vt:lpwstr>0x010100F931E205BBB08441AEFFEBF8ABB23DF1</vt:lpwstr>
  </property>
  <property fmtid="{D5CDD505-2E9C-101B-9397-08002B2CF9AE}" pid="12" name="SanhedrinItemID">
    <vt:r8>116572</vt:r8>
  </property>
  <property fmtid="{D5CDD505-2E9C-101B-9397-08002B2CF9AE}" pid="13" name="SanhedrinDocumentType">
    <vt:r8>167</vt:r8>
  </property>
</Properties>
</file>