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25D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25DA">
      <w:pPr>
        <w:rPr>
          <w:rFonts w:cs="David"/>
          <w:b/>
          <w:bCs/>
          <w:sz w:val="24"/>
          <w:rtl/>
        </w:rPr>
      </w:pPr>
      <w:r>
        <w:rPr>
          <w:rFonts w:cs="David"/>
          <w:b/>
          <w:bCs/>
          <w:sz w:val="24"/>
          <w:rtl/>
        </w:rPr>
        <w:t>מושב שלישי</w:t>
      </w:r>
    </w:p>
    <w:p w:rsidR="00000000" w:rsidRDefault="00B425DA">
      <w:pPr>
        <w:rPr>
          <w:rFonts w:cs="David"/>
          <w:b/>
          <w:bCs/>
          <w:sz w:val="24"/>
          <w:rtl/>
        </w:rPr>
      </w:pPr>
    </w:p>
    <w:p w:rsidR="00000000" w:rsidRDefault="00B425DA">
      <w:pPr>
        <w:rPr>
          <w:rFonts w:cs="David"/>
          <w:b/>
          <w:bCs/>
          <w:sz w:val="24"/>
          <w:rtl/>
        </w:rPr>
      </w:pPr>
    </w:p>
    <w:p w:rsidR="00000000" w:rsidRDefault="00B425DA">
      <w:pPr>
        <w:rPr>
          <w:rFonts w:cs="David"/>
          <w:b/>
          <w:bCs/>
          <w:sz w:val="24"/>
          <w:rtl/>
        </w:rPr>
      </w:pPr>
    </w:p>
    <w:p w:rsidR="00000000" w:rsidRDefault="00B425DA">
      <w:pPr>
        <w:rPr>
          <w:rFonts w:cs="David"/>
          <w:b/>
          <w:bCs/>
          <w:sz w:val="24"/>
          <w:rtl/>
        </w:rPr>
      </w:pPr>
    </w:p>
    <w:p w:rsidR="00000000" w:rsidRDefault="00B425DA">
      <w:pPr>
        <w:pStyle w:val="1"/>
        <w:rPr>
          <w:rFonts w:cs="David"/>
          <w:sz w:val="24"/>
          <w:rtl/>
        </w:rPr>
      </w:pPr>
      <w:r>
        <w:rPr>
          <w:rFonts w:cs="David"/>
          <w:sz w:val="24"/>
          <w:rtl/>
        </w:rPr>
        <w:t>פרוטוקול מס'</w:t>
      </w:r>
    </w:p>
    <w:p w:rsidR="00000000" w:rsidRDefault="00B425DA">
      <w:pPr>
        <w:rPr>
          <w:rFonts w:cs="David"/>
          <w:b/>
          <w:bCs/>
          <w:sz w:val="24"/>
          <w:rtl/>
        </w:rPr>
      </w:pPr>
    </w:p>
    <w:p w:rsidR="00000000" w:rsidRDefault="00B425DA">
      <w:pPr>
        <w:pStyle w:val="7"/>
        <w:rPr>
          <w:rFonts w:cs="David"/>
          <w:sz w:val="24"/>
          <w:rtl/>
        </w:rPr>
      </w:pPr>
      <w:r>
        <w:rPr>
          <w:rFonts w:cs="David"/>
          <w:sz w:val="24"/>
          <w:rtl/>
        </w:rPr>
        <w:t>מישיבת ועדת הכספים</w:t>
      </w:r>
    </w:p>
    <w:p w:rsidR="00000000" w:rsidRDefault="00B425DA">
      <w:pPr>
        <w:pStyle w:val="8"/>
        <w:rPr>
          <w:rFonts w:cs="David"/>
          <w:sz w:val="24"/>
          <w:rtl/>
        </w:rPr>
      </w:pPr>
      <w:r>
        <w:rPr>
          <w:rFonts w:cs="David"/>
          <w:sz w:val="24"/>
          <w:rtl/>
        </w:rPr>
        <w:t>יום רביעי, ט"ז באייר התשס"ה   (25 במאי 2005), שעה 08:45</w:t>
      </w:r>
    </w:p>
    <w:p w:rsidR="00000000" w:rsidRDefault="00B425DA">
      <w:pPr>
        <w:tabs>
          <w:tab w:val="left" w:pos="1221"/>
        </w:tabs>
        <w:rPr>
          <w:rFonts w:cs="David"/>
          <w:b/>
          <w:bCs/>
          <w:sz w:val="24"/>
          <w:u w:val="single"/>
          <w:rtl/>
        </w:rPr>
      </w:pPr>
    </w:p>
    <w:p w:rsidR="00000000" w:rsidRDefault="00B425DA">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הצעת  חוק הסדרת העיסוק בייעוץ השקעות ובניהול תיקי  השקעות  (תיקון מס' 8), התשס"ה-2005.</w:t>
      </w:r>
    </w:p>
    <w:p w:rsidR="00000000" w:rsidRDefault="00B425DA">
      <w:pPr>
        <w:rPr>
          <w:rFonts w:cs="David"/>
          <w:sz w:val="24"/>
          <w:rtl/>
        </w:rPr>
      </w:pPr>
    </w:p>
    <w:p w:rsidR="00000000" w:rsidRDefault="00B425DA">
      <w:pPr>
        <w:rPr>
          <w:rFonts w:cs="David"/>
          <w:sz w:val="24"/>
          <w:rtl/>
        </w:rPr>
      </w:pPr>
    </w:p>
    <w:p w:rsidR="00000000" w:rsidRDefault="00B425DA">
      <w:pPr>
        <w:rPr>
          <w:rFonts w:cs="David"/>
          <w:b/>
          <w:bCs/>
          <w:sz w:val="24"/>
          <w:u w:val="single"/>
          <w:rtl/>
        </w:rPr>
      </w:pPr>
      <w:r>
        <w:rPr>
          <w:rFonts w:cs="David"/>
          <w:b/>
          <w:bCs/>
          <w:sz w:val="24"/>
          <w:u w:val="single"/>
          <w:rtl/>
        </w:rPr>
        <w:t>נכחו</w:t>
      </w:r>
      <w:r>
        <w:rPr>
          <w:rFonts w:cs="David"/>
          <w:sz w:val="24"/>
          <w:rtl/>
        </w:rPr>
        <w:t>:</w:t>
      </w:r>
    </w:p>
    <w:p w:rsidR="00000000" w:rsidRDefault="00B425DA">
      <w:pPr>
        <w:rPr>
          <w:rFonts w:cs="David"/>
          <w:sz w:val="24"/>
          <w:rtl/>
        </w:rPr>
      </w:pPr>
    </w:p>
    <w:p w:rsidR="00000000" w:rsidRDefault="00B425D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w:t>
      </w:r>
      <w:r>
        <w:rPr>
          <w:rFonts w:cs="David"/>
          <w:sz w:val="24"/>
          <w:rtl/>
        </w:rPr>
        <w:t>ן  -  היו"ר</w:t>
      </w:r>
    </w:p>
    <w:p w:rsidR="00000000" w:rsidRDefault="00B425DA">
      <w:pPr>
        <w:tabs>
          <w:tab w:val="left" w:pos="1788"/>
        </w:tabs>
        <w:rPr>
          <w:rFonts w:cs="David"/>
          <w:sz w:val="24"/>
          <w:rtl/>
        </w:rPr>
      </w:pPr>
      <w:r>
        <w:rPr>
          <w:rFonts w:cs="David"/>
          <w:sz w:val="24"/>
          <w:rtl/>
        </w:rPr>
        <w:tab/>
        <w:t>חיים אורון</w:t>
      </w:r>
    </w:p>
    <w:p w:rsidR="00000000" w:rsidRDefault="00B425DA">
      <w:pPr>
        <w:rPr>
          <w:rFonts w:cs="David"/>
          <w:sz w:val="24"/>
          <w:rtl/>
        </w:rPr>
      </w:pPr>
      <w:r>
        <w:rPr>
          <w:rFonts w:cs="David"/>
          <w:sz w:val="24"/>
          <w:rtl/>
        </w:rPr>
        <w:tab/>
      </w:r>
      <w:r>
        <w:rPr>
          <w:rFonts w:cs="David"/>
          <w:sz w:val="24"/>
          <w:rtl/>
        </w:rPr>
        <w:tab/>
      </w:r>
      <w:r>
        <w:rPr>
          <w:rFonts w:cs="David"/>
          <w:sz w:val="24"/>
          <w:rtl/>
        </w:rPr>
        <w:tab/>
        <w:t xml:space="preserve">  אברהם שוחט</w:t>
      </w:r>
    </w:p>
    <w:p w:rsidR="00000000" w:rsidRDefault="00B425DA">
      <w:pPr>
        <w:rPr>
          <w:rFonts w:cs="David"/>
          <w:sz w:val="24"/>
          <w:rtl/>
        </w:rPr>
      </w:pPr>
    </w:p>
    <w:p w:rsidR="00000000" w:rsidRDefault="00B425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רשות ניירות ערך:</w:t>
      </w:r>
    </w:p>
    <w:p w:rsidR="00000000" w:rsidRDefault="00B425DA">
      <w:pPr>
        <w:tabs>
          <w:tab w:val="left" w:pos="1788"/>
          <w:tab w:val="left" w:pos="3631"/>
        </w:tabs>
        <w:rPr>
          <w:rFonts w:cs="David"/>
          <w:sz w:val="24"/>
          <w:rtl/>
        </w:rPr>
      </w:pPr>
      <w:r>
        <w:rPr>
          <w:rFonts w:cs="David"/>
          <w:sz w:val="24"/>
          <w:rtl/>
        </w:rPr>
        <w:tab/>
        <w:t>משה טרי</w:t>
      </w:r>
      <w:r>
        <w:rPr>
          <w:rFonts w:cs="David"/>
          <w:sz w:val="24"/>
          <w:rtl/>
        </w:rPr>
        <w:tab/>
        <w:t>-</w:t>
      </w:r>
      <w:r>
        <w:rPr>
          <w:rFonts w:cs="David"/>
          <w:sz w:val="24"/>
          <w:rtl/>
        </w:rPr>
        <w:tab/>
        <w:t>יו"ר</w:t>
      </w:r>
    </w:p>
    <w:p w:rsidR="00000000" w:rsidRDefault="00B425DA">
      <w:pPr>
        <w:tabs>
          <w:tab w:val="left" w:pos="1788"/>
          <w:tab w:val="left" w:pos="3631"/>
        </w:tabs>
        <w:rPr>
          <w:rFonts w:cs="David"/>
          <w:sz w:val="24"/>
          <w:rtl/>
        </w:rPr>
      </w:pPr>
      <w:r>
        <w:rPr>
          <w:rFonts w:cs="David"/>
          <w:sz w:val="24"/>
          <w:rtl/>
        </w:rPr>
        <w:tab/>
        <w:t>לייזה חיימוביץ</w:t>
      </w:r>
    </w:p>
    <w:p w:rsidR="00000000" w:rsidRDefault="00B425DA">
      <w:pPr>
        <w:tabs>
          <w:tab w:val="left" w:pos="1788"/>
          <w:tab w:val="left" w:pos="3631"/>
        </w:tabs>
        <w:rPr>
          <w:rFonts w:cs="David"/>
          <w:sz w:val="24"/>
          <w:rtl/>
        </w:rPr>
      </w:pPr>
      <w:r>
        <w:rPr>
          <w:rFonts w:cs="David"/>
          <w:sz w:val="24"/>
          <w:rtl/>
        </w:rPr>
        <w:tab/>
        <w:t>איטה שוחט</w:t>
      </w:r>
    </w:p>
    <w:p w:rsidR="00000000" w:rsidRDefault="00B425DA">
      <w:pPr>
        <w:tabs>
          <w:tab w:val="left" w:pos="1788"/>
          <w:tab w:val="left" w:pos="3631"/>
        </w:tabs>
        <w:rPr>
          <w:rFonts w:cs="David"/>
          <w:sz w:val="24"/>
          <w:rtl/>
        </w:rPr>
      </w:pPr>
      <w:r>
        <w:rPr>
          <w:rFonts w:cs="David"/>
          <w:sz w:val="24"/>
          <w:rtl/>
        </w:rPr>
        <w:tab/>
        <w:t>שרה קנדלר</w:t>
      </w:r>
    </w:p>
    <w:p w:rsidR="00000000" w:rsidRDefault="00B425DA">
      <w:pPr>
        <w:tabs>
          <w:tab w:val="left" w:pos="1788"/>
          <w:tab w:val="left" w:pos="3631"/>
        </w:tabs>
        <w:rPr>
          <w:rFonts w:cs="David"/>
          <w:sz w:val="24"/>
          <w:rtl/>
        </w:rPr>
      </w:pPr>
      <w:r>
        <w:rPr>
          <w:rFonts w:cs="David"/>
          <w:sz w:val="24"/>
          <w:rtl/>
        </w:rPr>
        <w:tab/>
        <w:t>דניאל רימון</w:t>
      </w:r>
    </w:p>
    <w:p w:rsidR="00000000" w:rsidRDefault="00B425DA">
      <w:pPr>
        <w:tabs>
          <w:tab w:val="left" w:pos="1788"/>
          <w:tab w:val="left" w:pos="3631"/>
        </w:tabs>
        <w:rPr>
          <w:rFonts w:cs="David"/>
          <w:sz w:val="24"/>
          <w:rtl/>
        </w:rPr>
      </w:pPr>
      <w:r>
        <w:rPr>
          <w:rFonts w:cs="David"/>
          <w:sz w:val="24"/>
          <w:rtl/>
        </w:rPr>
        <w:tab/>
        <w:t>שמוליק האוזר</w:t>
      </w:r>
    </w:p>
    <w:p w:rsidR="00000000" w:rsidRDefault="00B425DA">
      <w:pPr>
        <w:tabs>
          <w:tab w:val="left" w:pos="1788"/>
          <w:tab w:val="left" w:pos="3631"/>
        </w:tabs>
        <w:rPr>
          <w:rFonts w:cs="David"/>
          <w:sz w:val="24"/>
          <w:rtl/>
        </w:rPr>
      </w:pPr>
      <w:r>
        <w:rPr>
          <w:rFonts w:cs="David"/>
          <w:sz w:val="24"/>
          <w:rtl/>
        </w:rPr>
        <w:tab/>
        <w:t>אורי קציר</w:t>
      </w:r>
    </w:p>
    <w:p w:rsidR="00000000" w:rsidRDefault="00B425DA">
      <w:pPr>
        <w:tabs>
          <w:tab w:val="left" w:pos="1788"/>
          <w:tab w:val="left" w:pos="3631"/>
        </w:tabs>
        <w:rPr>
          <w:rFonts w:cs="David"/>
          <w:sz w:val="24"/>
          <w:rtl/>
        </w:rPr>
      </w:pPr>
      <w:r>
        <w:rPr>
          <w:rFonts w:cs="David"/>
          <w:sz w:val="24"/>
          <w:rtl/>
        </w:rPr>
        <w:tab/>
        <w:t>אלחנן הר-מור</w:t>
      </w:r>
    </w:p>
    <w:p w:rsidR="00000000" w:rsidRDefault="00B425DA">
      <w:pPr>
        <w:tabs>
          <w:tab w:val="left" w:pos="1788"/>
          <w:tab w:val="left" w:pos="3631"/>
        </w:tabs>
        <w:rPr>
          <w:rFonts w:cs="David"/>
          <w:sz w:val="24"/>
          <w:rtl/>
        </w:rPr>
      </w:pPr>
    </w:p>
    <w:p w:rsidR="00000000" w:rsidRDefault="00B425DA">
      <w:pPr>
        <w:tabs>
          <w:tab w:val="left" w:pos="1788"/>
          <w:tab w:val="left" w:pos="3631"/>
        </w:tabs>
        <w:rPr>
          <w:rFonts w:cs="David"/>
          <w:sz w:val="24"/>
          <w:rtl/>
        </w:rPr>
      </w:pPr>
      <w:r>
        <w:rPr>
          <w:rFonts w:cs="David"/>
          <w:sz w:val="24"/>
          <w:rtl/>
        </w:rPr>
        <w:tab/>
        <w:t>מרים אילני</w:t>
      </w:r>
      <w:r>
        <w:rPr>
          <w:rFonts w:cs="David"/>
          <w:sz w:val="24"/>
          <w:rtl/>
        </w:rPr>
        <w:tab/>
        <w:t>-</w:t>
      </w:r>
      <w:r>
        <w:rPr>
          <w:rFonts w:cs="David"/>
          <w:sz w:val="24"/>
          <w:rtl/>
        </w:rPr>
        <w:tab/>
        <w:t>משרד המשפטים</w:t>
      </w:r>
    </w:p>
    <w:p w:rsidR="00000000" w:rsidRDefault="00B425DA">
      <w:pPr>
        <w:tabs>
          <w:tab w:val="left" w:pos="1788"/>
          <w:tab w:val="left" w:pos="3631"/>
        </w:tabs>
        <w:rPr>
          <w:rFonts w:cs="David"/>
          <w:sz w:val="24"/>
          <w:rtl/>
        </w:rPr>
      </w:pPr>
      <w:r>
        <w:rPr>
          <w:rFonts w:cs="David"/>
          <w:sz w:val="24"/>
          <w:rtl/>
        </w:rPr>
        <w:tab/>
        <w:t>ספיר אשר</w:t>
      </w:r>
      <w:r>
        <w:rPr>
          <w:rFonts w:cs="David"/>
          <w:sz w:val="24"/>
          <w:rtl/>
        </w:rPr>
        <w:tab/>
        <w:t>-</w:t>
      </w:r>
      <w:r>
        <w:rPr>
          <w:rFonts w:cs="David"/>
          <w:sz w:val="24"/>
          <w:rtl/>
        </w:rPr>
        <w:tab/>
        <w:t>יו"</w:t>
      </w:r>
      <w:r>
        <w:rPr>
          <w:szCs w:val="22"/>
          <w:rtl/>
        </w:rPr>
        <w:t>ר</w:t>
      </w:r>
      <w:r>
        <w:rPr>
          <w:rFonts w:cs="David"/>
          <w:sz w:val="24"/>
          <w:rtl/>
        </w:rPr>
        <w:t xml:space="preserve"> חטיבה פיננסית, איגוד לשכות המסחר</w:t>
      </w:r>
    </w:p>
    <w:p w:rsidR="00000000" w:rsidRDefault="00B425DA">
      <w:pPr>
        <w:tabs>
          <w:tab w:val="left" w:pos="1788"/>
          <w:tab w:val="left" w:pos="3631"/>
        </w:tabs>
        <w:rPr>
          <w:rFonts w:cs="David"/>
          <w:sz w:val="24"/>
          <w:rtl/>
        </w:rPr>
      </w:pPr>
      <w:r>
        <w:rPr>
          <w:rFonts w:cs="David"/>
          <w:sz w:val="24"/>
          <w:rtl/>
        </w:rPr>
        <w:tab/>
      </w:r>
    </w:p>
    <w:p w:rsidR="00000000" w:rsidRDefault="00B425DA">
      <w:pPr>
        <w:rPr>
          <w:rFonts w:cs="David"/>
          <w:sz w:val="24"/>
          <w:rtl/>
        </w:rPr>
      </w:pPr>
    </w:p>
    <w:p w:rsidR="00000000" w:rsidRDefault="00B425DA">
      <w:pPr>
        <w:rPr>
          <w:rFonts w:cs="David"/>
          <w:sz w:val="24"/>
          <w:rtl/>
        </w:rPr>
      </w:pPr>
    </w:p>
    <w:p w:rsidR="00000000" w:rsidRDefault="00B425DA">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 xml:space="preserve">:     </w:t>
      </w:r>
      <w:r>
        <w:rPr>
          <w:rFonts w:cs="David"/>
          <w:sz w:val="24"/>
          <w:rtl/>
        </w:rPr>
        <w:t>שגית אפיק</w:t>
      </w:r>
    </w:p>
    <w:p w:rsidR="00000000" w:rsidRDefault="00B425DA">
      <w:pPr>
        <w:rPr>
          <w:rFonts w:cs="David"/>
          <w:sz w:val="24"/>
          <w:rtl/>
        </w:rPr>
      </w:pPr>
    </w:p>
    <w:p w:rsidR="00000000" w:rsidRDefault="00B425DA">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B425DA">
      <w:pPr>
        <w:rPr>
          <w:rFonts w:cs="David"/>
          <w:sz w:val="24"/>
          <w:rtl/>
        </w:rPr>
      </w:pPr>
    </w:p>
    <w:p w:rsidR="00000000" w:rsidRDefault="00B425DA">
      <w:pPr>
        <w:tabs>
          <w:tab w:val="left" w:pos="1930"/>
        </w:tabs>
        <w:rPr>
          <w:rFonts w:cs="David"/>
          <w:sz w:val="24"/>
          <w:rtl/>
        </w:rPr>
      </w:pPr>
      <w:r>
        <w:rPr>
          <w:rFonts w:cs="David"/>
          <w:b/>
          <w:bCs/>
          <w:sz w:val="24"/>
          <w:u w:val="single"/>
          <w:rtl/>
        </w:rPr>
        <w:t>קצרנית</w:t>
      </w:r>
      <w:r>
        <w:rPr>
          <w:rFonts w:cs="David"/>
          <w:sz w:val="24"/>
          <w:rtl/>
        </w:rPr>
        <w:t>:                 חנה כהן</w:t>
      </w:r>
    </w:p>
    <w:p w:rsidR="00000000" w:rsidRDefault="00B425DA">
      <w:pPr>
        <w:rPr>
          <w:rFonts w:cs="David"/>
          <w:b/>
          <w:bCs/>
          <w:sz w:val="24"/>
          <w:rtl/>
        </w:rPr>
      </w:pPr>
    </w:p>
    <w:p w:rsidR="00000000" w:rsidRDefault="00B425DA">
      <w:pPr>
        <w:jc w:val="center"/>
        <w:rPr>
          <w:rFonts w:cs="David"/>
          <w:sz w:val="24"/>
          <w:u w:val="single"/>
          <w:rtl/>
        </w:rPr>
      </w:pPr>
      <w:r>
        <w:rPr>
          <w:rFonts w:cs="David"/>
          <w:sz w:val="24"/>
          <w:rtl/>
        </w:rPr>
        <w:br w:type="page"/>
      </w:r>
      <w:r>
        <w:rPr>
          <w:rFonts w:cs="David"/>
          <w:sz w:val="24"/>
          <w:u w:val="single"/>
          <w:rtl/>
        </w:rPr>
        <w:lastRenderedPageBreak/>
        <w:t>הצעת  חוק הסדרת העיסוק בייעוץ השקעות</w:t>
      </w:r>
    </w:p>
    <w:p w:rsidR="00000000" w:rsidRDefault="00B425DA">
      <w:pPr>
        <w:jc w:val="center"/>
        <w:rPr>
          <w:rFonts w:cs="David"/>
          <w:sz w:val="24"/>
          <w:u w:val="single"/>
          <w:rtl/>
        </w:rPr>
      </w:pPr>
      <w:r>
        <w:rPr>
          <w:rFonts w:cs="David"/>
          <w:sz w:val="24"/>
          <w:u w:val="single"/>
          <w:rtl/>
        </w:rPr>
        <w:t xml:space="preserve"> ובניהול תיקי  השקעות  (תיקון מס' 8), התשס"ה-2005.</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rPr>
          <w:rFonts w:cs="David"/>
          <w:sz w:val="24"/>
          <w:rtl/>
        </w:rPr>
      </w:pPr>
      <w:r>
        <w:rPr>
          <w:rFonts w:cs="David"/>
          <w:sz w:val="24"/>
          <w:rtl/>
        </w:rPr>
        <w:tab/>
        <w:t>בוקר טוב, רבותי, אני מתנצל על האיחור בפתיחת הישיבה. אנ</w:t>
      </w:r>
      <w:r>
        <w:rPr>
          <w:rFonts w:cs="David"/>
          <w:sz w:val="24"/>
          <w:rtl/>
        </w:rPr>
        <w:t xml:space="preserve">י מבקש לסיים את הדיון בהצעת חוק  הסדרת העיסוק בייעוץ השקעות ובניהול תיקי  השקעות  (תיקון מס' 8), התשס"ה-2005.  אותם אנשים שהיו בדיון אתמול נמצאים כאן גם היום, אבל  הבטחתי לאפשר למר אשר ספיר לטעון את טענתו. </w:t>
      </w:r>
    </w:p>
    <w:p w:rsidR="00000000" w:rsidRDefault="00B425DA">
      <w:pPr>
        <w:rPr>
          <w:rFonts w:cs="David"/>
          <w:sz w:val="24"/>
          <w:rtl/>
        </w:rPr>
      </w:pPr>
    </w:p>
    <w:p w:rsidR="00000000" w:rsidRDefault="00B425DA">
      <w:pPr>
        <w:rPr>
          <w:rFonts w:cs="David"/>
          <w:sz w:val="24"/>
          <w:rtl/>
        </w:rPr>
      </w:pPr>
      <w:r>
        <w:rPr>
          <w:rFonts w:cs="David"/>
          <w:sz w:val="24"/>
          <w:u w:val="single"/>
          <w:rtl/>
        </w:rPr>
        <w:t>אשר ספיר:</w:t>
      </w:r>
    </w:p>
    <w:p w:rsidR="00000000" w:rsidRDefault="00B425DA">
      <w:pPr>
        <w:rPr>
          <w:rFonts w:cs="David"/>
          <w:sz w:val="24"/>
          <w:rtl/>
        </w:rPr>
      </w:pPr>
    </w:p>
    <w:p w:rsidR="00000000" w:rsidRDefault="00B425DA">
      <w:pPr>
        <w:rPr>
          <w:rFonts w:cs="David"/>
          <w:sz w:val="24"/>
          <w:rtl/>
        </w:rPr>
      </w:pPr>
      <w:r>
        <w:rPr>
          <w:rFonts w:cs="David"/>
          <w:sz w:val="24"/>
          <w:rtl/>
        </w:rPr>
        <w:tab/>
        <w:t>אני רוצה להסביר את הבעיה האמיתית שנו</w:t>
      </w:r>
      <w:r>
        <w:rPr>
          <w:rFonts w:cs="David"/>
          <w:sz w:val="24"/>
          <w:rtl/>
        </w:rPr>
        <w:t>צרה בגין חובת דיווח ללקוחות גם על קרנות נאמנות. היות שתרבות ההשקעה של הישראלי עדיין לא מפותחת, הוא מסתכל על הדברים דרך החור של הפני. ברגע שבנקים לא מדווחים ואנחנו צריכים לדווח, זה דוחף את הלקוחות שלנו לבנקים, במקום להוציא את זה מהבנקים, כפי שוועדת בכר המלי</w:t>
      </w:r>
      <w:r>
        <w:rPr>
          <w:rFonts w:cs="David"/>
          <w:sz w:val="24"/>
          <w:rtl/>
        </w:rPr>
        <w:t>צה. זאת משום שכשיועץ בבנק אומר לו לקנות קרן של בנק, הוא לא חייב בשום דיווח על כמה זה עולה לו, ואנחנו - בתור מנהלי תיקים - צריכים לדווח ללקוח, שלא לדבר על כך שזו אופרציה מאוד מורכבת.  נניח שנתגבר על זה, אבל עצם זה שאין כאן מידתיות ובנק לא חייב לדווח ללקוח ו</w:t>
      </w:r>
      <w:r>
        <w:rPr>
          <w:rFonts w:cs="David"/>
          <w:sz w:val="24"/>
          <w:rtl/>
        </w:rPr>
        <w:t>אני כן חייב, הלקוח פתאום רואה הבדל. לך תסביר לו שהבנק לא מדווח לו, אבל כן לוקח לו. אם זה היה בא ביחד, אין בעיה, אבל היות שזה לא בא יחד ובנק לא מדווח, למה שנתחיל להתווכח עם לקוחות על הדברים האלה?</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rPr>
          <w:rFonts w:cs="David"/>
          <w:sz w:val="24"/>
          <w:rtl/>
        </w:rPr>
      </w:pPr>
      <w:r>
        <w:rPr>
          <w:rFonts w:cs="David"/>
          <w:sz w:val="24"/>
          <w:rtl/>
        </w:rPr>
        <w:tab/>
        <w:t xml:space="preserve">עדיין לא שכנעת אותי אחרת מאתמול. </w:t>
      </w:r>
    </w:p>
    <w:p w:rsidR="00000000" w:rsidRDefault="00B425DA">
      <w:pPr>
        <w:rPr>
          <w:rFonts w:cs="David"/>
          <w:sz w:val="24"/>
          <w:rtl/>
        </w:rPr>
      </w:pPr>
    </w:p>
    <w:p w:rsidR="00000000" w:rsidRDefault="00B425DA">
      <w:pPr>
        <w:rPr>
          <w:rFonts w:cs="David"/>
          <w:sz w:val="24"/>
          <w:rtl/>
        </w:rPr>
      </w:pPr>
      <w:r>
        <w:rPr>
          <w:rFonts w:cs="David"/>
          <w:sz w:val="24"/>
          <w:u w:val="single"/>
          <w:rtl/>
        </w:rPr>
        <w:t xml:space="preserve">חיים </w:t>
      </w:r>
      <w:r>
        <w:rPr>
          <w:rFonts w:cs="David"/>
          <w:sz w:val="24"/>
          <w:u w:val="single"/>
          <w:rtl/>
        </w:rPr>
        <w:t>אורון:</w:t>
      </w:r>
    </w:p>
    <w:p w:rsidR="00000000" w:rsidRDefault="00B425DA">
      <w:pPr>
        <w:rPr>
          <w:rFonts w:cs="David"/>
          <w:sz w:val="24"/>
          <w:rtl/>
        </w:rPr>
      </w:pPr>
    </w:p>
    <w:p w:rsidR="00000000" w:rsidRDefault="00B425DA">
      <w:pPr>
        <w:rPr>
          <w:rFonts w:cs="David"/>
          <w:sz w:val="24"/>
          <w:rtl/>
        </w:rPr>
      </w:pPr>
      <w:r>
        <w:rPr>
          <w:rFonts w:cs="David"/>
          <w:sz w:val="24"/>
          <w:rtl/>
        </w:rPr>
        <w:tab/>
        <w:t xml:space="preserve"> אני קורא את הנייר שהרשות הניחה בפנינו ואני מודה שזה משכנע אותי. כלומר, הטענה שלך כאילו מדובר באותה סחורה, אינה עומדת במבחן המציאות. אתה רוצה שהכנסת תקבל את ההנחה שהחוק מופר, שהבנק הוא לא רק יועץ השקעות, אלא בעצם מוכר את הסחורה שלו. הבנק חייב לקיי</w:t>
      </w:r>
      <w:r>
        <w:rPr>
          <w:rFonts w:cs="David"/>
          <w:sz w:val="24"/>
          <w:rtl/>
        </w:rPr>
        <w:t>ם את ההפרדה הזאת, הוא לא יכול לנהל תיק בצורה אחרת. בעצם אתה אומר לנו, לכנסת, שנדע שזה המצב. בשיחות לא פורמליות אמרתם שהחומה הסינית יותר נמוכה ממה שאתם חושבים. כנראה שזה יהיה חלק מרכזי בדיונים על דוח בכר. אתה בעצם אומר לאמץ את המצב הזה ושנכיר שבעצם אין הבדל</w:t>
      </w:r>
      <w:r>
        <w:rPr>
          <w:rFonts w:cs="David"/>
          <w:sz w:val="24"/>
          <w:rtl/>
        </w:rPr>
        <w:t xml:space="preserve"> בין הבנקים לביניכם. לא השתכנעתי שאפשר לעשות את זה בחקיקה ראשית. </w:t>
      </w:r>
    </w:p>
    <w:p w:rsidR="00000000" w:rsidRDefault="00B425DA">
      <w:pPr>
        <w:rPr>
          <w:rFonts w:cs="David"/>
          <w:sz w:val="24"/>
          <w:rtl/>
        </w:rPr>
      </w:pPr>
    </w:p>
    <w:p w:rsidR="00000000" w:rsidRDefault="00B425DA">
      <w:pPr>
        <w:ind w:firstLine="567"/>
        <w:rPr>
          <w:rFonts w:cs="David"/>
          <w:sz w:val="24"/>
          <w:rtl/>
        </w:rPr>
      </w:pPr>
      <w:r>
        <w:rPr>
          <w:rFonts w:cs="David"/>
          <w:sz w:val="24"/>
          <w:rtl/>
        </w:rPr>
        <w:t>אני גם קורא את השתלשלות העניינים. זה היה בעצם סוג של פשרה, אחרי עוד פשרה ועוד פשרה, ואני שותף כאן לכוונה של רשות ניירות הערך  לעשות גילוי נאות עד כמה שניתן על המרכיב של דמי הניהול מול המרכי</w:t>
      </w:r>
      <w:r>
        <w:rPr>
          <w:rFonts w:cs="David"/>
          <w:sz w:val="24"/>
          <w:rtl/>
        </w:rPr>
        <w:t xml:space="preserve">ב של הרווחים מהסחורה. כנראה שזה לא נוח לכולם, אבל אני מניח שזה המהלך הנכון.  אני מודה שהיום אני יותר בטוח בעמדתי להצביע בעד הצעת החוק. </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rPr>
          <w:rFonts w:cs="David"/>
          <w:sz w:val="24"/>
          <w:rtl/>
        </w:rPr>
      </w:pPr>
      <w:r>
        <w:rPr>
          <w:rFonts w:cs="David"/>
          <w:sz w:val="24"/>
          <w:rtl/>
        </w:rPr>
        <w:tab/>
        <w:t xml:space="preserve">אני חושב שאין כאן ויכוח. </w:t>
      </w:r>
    </w:p>
    <w:p w:rsidR="00000000" w:rsidRDefault="00B425DA">
      <w:pPr>
        <w:rPr>
          <w:rFonts w:cs="David"/>
          <w:sz w:val="24"/>
          <w:rtl/>
        </w:rPr>
      </w:pPr>
    </w:p>
    <w:p w:rsidR="00000000" w:rsidRDefault="00B425DA">
      <w:pPr>
        <w:rPr>
          <w:rFonts w:cs="David"/>
          <w:sz w:val="24"/>
          <w:u w:val="single"/>
          <w:rtl/>
        </w:rPr>
      </w:pPr>
      <w:r>
        <w:rPr>
          <w:rFonts w:cs="David"/>
          <w:sz w:val="24"/>
          <w:u w:val="single"/>
          <w:rtl/>
        </w:rPr>
        <w:t>משה טרי:</w:t>
      </w:r>
    </w:p>
    <w:p w:rsidR="00000000" w:rsidRDefault="00B425DA">
      <w:pPr>
        <w:rPr>
          <w:rFonts w:cs="David"/>
          <w:sz w:val="24"/>
          <w:rtl/>
        </w:rPr>
      </w:pPr>
    </w:p>
    <w:p w:rsidR="00000000" w:rsidRDefault="00B425DA">
      <w:pPr>
        <w:rPr>
          <w:rFonts w:cs="David"/>
          <w:sz w:val="24"/>
          <w:rtl/>
        </w:rPr>
      </w:pPr>
      <w:r>
        <w:rPr>
          <w:rFonts w:cs="David"/>
          <w:sz w:val="24"/>
          <w:rtl/>
        </w:rPr>
        <w:tab/>
        <w:t>אנחנו לא מנותקים ממה שקורה באמת. מצד אחד, אתה אומר: מה שאתם ד</w:t>
      </w:r>
      <w:r>
        <w:rPr>
          <w:rFonts w:cs="David"/>
          <w:sz w:val="24"/>
          <w:rtl/>
        </w:rPr>
        <w:t xml:space="preserve">ורשים מאתנו, מקובל. </w:t>
      </w:r>
    </w:p>
    <w:p w:rsidR="00000000" w:rsidRDefault="00B425DA">
      <w:pPr>
        <w:rPr>
          <w:rFonts w:cs="David"/>
          <w:sz w:val="24"/>
          <w:rtl/>
        </w:rPr>
      </w:pPr>
    </w:p>
    <w:p w:rsidR="00000000" w:rsidRDefault="00B425DA">
      <w:pPr>
        <w:rPr>
          <w:rFonts w:cs="David"/>
          <w:sz w:val="24"/>
          <w:u w:val="single"/>
          <w:rtl/>
        </w:rPr>
      </w:pPr>
      <w:r>
        <w:rPr>
          <w:rFonts w:cs="David"/>
          <w:sz w:val="24"/>
          <w:u w:val="single"/>
          <w:rtl/>
        </w:rPr>
        <w:t>אשר ספיר:</w:t>
      </w:r>
    </w:p>
    <w:p w:rsidR="00000000" w:rsidRDefault="00B425DA">
      <w:pPr>
        <w:rPr>
          <w:rFonts w:cs="David"/>
          <w:sz w:val="24"/>
          <w:rtl/>
        </w:rPr>
      </w:pPr>
    </w:p>
    <w:p w:rsidR="00000000" w:rsidRDefault="00B425DA">
      <w:pPr>
        <w:rPr>
          <w:rFonts w:cs="David"/>
          <w:sz w:val="24"/>
          <w:rtl/>
        </w:rPr>
      </w:pPr>
      <w:r>
        <w:rPr>
          <w:rFonts w:cs="David"/>
          <w:sz w:val="24"/>
          <w:rtl/>
        </w:rPr>
        <w:tab/>
        <w:t>כן, אם גם הבנקים יהיו כך.</w:t>
      </w:r>
    </w:p>
    <w:p w:rsidR="00000000" w:rsidRDefault="00B425DA">
      <w:pPr>
        <w:rPr>
          <w:rFonts w:cs="David"/>
          <w:sz w:val="24"/>
          <w:rtl/>
        </w:rPr>
      </w:pPr>
      <w:r>
        <w:rPr>
          <w:rFonts w:cs="David"/>
          <w:sz w:val="24"/>
          <w:rtl/>
        </w:rPr>
        <w:br w:type="page"/>
      </w:r>
    </w:p>
    <w:p w:rsidR="00000000" w:rsidRDefault="00B425DA">
      <w:pPr>
        <w:rPr>
          <w:rFonts w:cs="David"/>
          <w:sz w:val="24"/>
          <w:rtl/>
        </w:rPr>
      </w:pPr>
      <w:r>
        <w:rPr>
          <w:rFonts w:cs="David"/>
          <w:sz w:val="24"/>
          <w:u w:val="single"/>
          <w:rtl/>
        </w:rPr>
        <w:t>משה טרי:</w:t>
      </w:r>
    </w:p>
    <w:p w:rsidR="00000000" w:rsidRDefault="00B425DA">
      <w:pPr>
        <w:rPr>
          <w:rFonts w:cs="David"/>
          <w:sz w:val="24"/>
          <w:rtl/>
        </w:rPr>
      </w:pPr>
    </w:p>
    <w:p w:rsidR="00000000" w:rsidRDefault="00B425DA">
      <w:pPr>
        <w:rPr>
          <w:rFonts w:cs="David"/>
          <w:sz w:val="24"/>
          <w:rtl/>
        </w:rPr>
      </w:pPr>
      <w:r>
        <w:rPr>
          <w:rFonts w:cs="David"/>
          <w:sz w:val="24"/>
          <w:rtl/>
        </w:rPr>
        <w:tab/>
        <w:t xml:space="preserve">החוק הזה חל על כל היועצים, כולל היועצים של הבנקים. זה חל גם על חברות ניהול התיקים של הבנקים. זה שהוא קונה בבנק כל מיני דברים, זה לא ניהול. זה יחול גם על חברות הניהול של הבנקים, אז מה </w:t>
      </w:r>
      <w:r>
        <w:rPr>
          <w:rFonts w:cs="David"/>
          <w:sz w:val="24"/>
          <w:rtl/>
        </w:rPr>
        <w:t xml:space="preserve">הבדל?  </w:t>
      </w:r>
    </w:p>
    <w:p w:rsidR="00000000" w:rsidRDefault="00B425DA">
      <w:pPr>
        <w:rPr>
          <w:rFonts w:cs="David"/>
          <w:sz w:val="24"/>
          <w:rtl/>
        </w:rPr>
      </w:pPr>
    </w:p>
    <w:p w:rsidR="00000000" w:rsidRDefault="00B425DA">
      <w:pPr>
        <w:rPr>
          <w:rFonts w:cs="David"/>
          <w:sz w:val="24"/>
          <w:rtl/>
        </w:rPr>
      </w:pPr>
      <w:r>
        <w:rPr>
          <w:rFonts w:cs="David"/>
          <w:sz w:val="24"/>
          <w:u w:val="single"/>
          <w:rtl/>
        </w:rPr>
        <w:t>אשר ספיר:</w:t>
      </w:r>
    </w:p>
    <w:p w:rsidR="00000000" w:rsidRDefault="00B425DA">
      <w:pPr>
        <w:rPr>
          <w:rFonts w:cs="David"/>
          <w:sz w:val="24"/>
          <w:rtl/>
        </w:rPr>
      </w:pPr>
    </w:p>
    <w:p w:rsidR="00000000" w:rsidRDefault="00B425DA">
      <w:pPr>
        <w:rPr>
          <w:rFonts w:cs="David"/>
          <w:sz w:val="24"/>
          <w:rtl/>
        </w:rPr>
      </w:pPr>
      <w:r>
        <w:rPr>
          <w:rFonts w:cs="David"/>
          <w:sz w:val="24"/>
          <w:rtl/>
        </w:rPr>
        <w:tab/>
        <w:t>הוא יגיד למשל לקנות לאומי פיא -  -  -</w:t>
      </w:r>
    </w:p>
    <w:p w:rsidR="00000000" w:rsidRDefault="00B425DA">
      <w:pPr>
        <w:rPr>
          <w:rFonts w:cs="David"/>
          <w:sz w:val="24"/>
          <w:rtl/>
        </w:rPr>
      </w:pPr>
    </w:p>
    <w:p w:rsidR="00000000" w:rsidRDefault="00B425DA">
      <w:pPr>
        <w:rPr>
          <w:rFonts w:cs="David"/>
          <w:sz w:val="24"/>
          <w:rtl/>
        </w:rPr>
      </w:pPr>
      <w:r>
        <w:rPr>
          <w:rFonts w:cs="David"/>
          <w:sz w:val="24"/>
          <w:u w:val="single"/>
          <w:rtl/>
        </w:rPr>
        <w:t>משה טרי:</w:t>
      </w:r>
    </w:p>
    <w:p w:rsidR="00000000" w:rsidRDefault="00B425DA">
      <w:pPr>
        <w:rPr>
          <w:rFonts w:cs="David"/>
          <w:sz w:val="24"/>
          <w:rtl/>
        </w:rPr>
      </w:pPr>
    </w:p>
    <w:p w:rsidR="00000000" w:rsidRDefault="00B425DA">
      <w:pPr>
        <w:ind w:firstLine="567"/>
        <w:rPr>
          <w:rFonts w:cs="David"/>
          <w:sz w:val="24"/>
          <w:rtl/>
        </w:rPr>
      </w:pPr>
      <w:r>
        <w:rPr>
          <w:rFonts w:cs="David"/>
          <w:sz w:val="24"/>
          <w:rtl/>
        </w:rPr>
        <w:t>במיוחד לאחר הרפורמה של ועדת בכר, אתה תתחרה עם חברות הניהול של הבנקים ושם יהיה גילוי מלא.</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ind w:firstLine="567"/>
        <w:rPr>
          <w:rFonts w:cs="David"/>
          <w:sz w:val="24"/>
          <w:rtl/>
        </w:rPr>
      </w:pPr>
      <w:r>
        <w:rPr>
          <w:rFonts w:cs="David"/>
          <w:sz w:val="24"/>
          <w:rtl/>
        </w:rPr>
        <w:t>מי בעד אישור הצעת חוק הסדרת העיסוק בייעוץ השקעות ובניהול תיקי השקעות (תיקון מ</w:t>
      </w:r>
      <w:r>
        <w:rPr>
          <w:rFonts w:cs="David"/>
          <w:sz w:val="24"/>
          <w:rtl/>
        </w:rPr>
        <w:t>ס' 8), התשס"ה-2005, עם הדפים שהוספו וצורפו להצעת החוק - התיקונים-הסכמות שהונחו לפנינו?</w:t>
      </w:r>
    </w:p>
    <w:p w:rsidR="00000000" w:rsidRDefault="00B425DA">
      <w:pPr>
        <w:rPr>
          <w:rFonts w:cs="David"/>
          <w:sz w:val="24"/>
          <w:rtl/>
        </w:rPr>
      </w:pPr>
    </w:p>
    <w:p w:rsidR="00000000" w:rsidRDefault="00B425DA">
      <w:pPr>
        <w:rPr>
          <w:rFonts w:cs="David"/>
          <w:sz w:val="24"/>
          <w:u w:val="single"/>
          <w:rtl/>
        </w:rPr>
      </w:pPr>
      <w:r>
        <w:rPr>
          <w:rFonts w:cs="David"/>
          <w:sz w:val="24"/>
          <w:u w:val="single"/>
          <w:rtl/>
        </w:rPr>
        <w:t>לייזה חיימוביץ:</w:t>
      </w:r>
    </w:p>
    <w:p w:rsidR="00000000" w:rsidRDefault="00B425DA">
      <w:pPr>
        <w:rPr>
          <w:rFonts w:cs="David"/>
          <w:sz w:val="24"/>
          <w:rtl/>
        </w:rPr>
      </w:pPr>
    </w:p>
    <w:p w:rsidR="00000000" w:rsidRDefault="00B425DA">
      <w:pPr>
        <w:rPr>
          <w:rFonts w:cs="David"/>
          <w:sz w:val="24"/>
          <w:rtl/>
        </w:rPr>
      </w:pPr>
      <w:r>
        <w:rPr>
          <w:rFonts w:cs="David"/>
          <w:sz w:val="24"/>
          <w:rtl/>
        </w:rPr>
        <w:tab/>
        <w:t>לגבי הדברים המובנים - אופציות וחוזים עתידיים – שאינם בלתי סחירים  - סעיף 16 לחוק בדבר איסור העדפה לא יחול עליהם. זה נאמר אתמול לפרוטוקול והיום אני רוצ</w:t>
      </w:r>
      <w:r>
        <w:rPr>
          <w:rFonts w:cs="David"/>
          <w:sz w:val="24"/>
          <w:rtl/>
        </w:rPr>
        <w:t xml:space="preserve">ה להדגיש שבמסגרת התיקון של בכר אנחנו גם נכתוב את זה באופן ברור יותר. </w:t>
      </w:r>
    </w:p>
    <w:p w:rsidR="00000000" w:rsidRDefault="00B425DA">
      <w:pPr>
        <w:rPr>
          <w:rFonts w:cs="David"/>
          <w:sz w:val="24"/>
          <w:rtl/>
        </w:rPr>
      </w:pPr>
    </w:p>
    <w:p w:rsidR="00000000" w:rsidRDefault="00B425DA">
      <w:pPr>
        <w:rPr>
          <w:rFonts w:cs="David"/>
          <w:sz w:val="24"/>
          <w:rtl/>
        </w:rPr>
      </w:pPr>
      <w:r>
        <w:rPr>
          <w:rFonts w:cs="David"/>
          <w:sz w:val="24"/>
          <w:u w:val="single"/>
          <w:rtl/>
        </w:rPr>
        <w:t>דניאל רימון:</w:t>
      </w:r>
    </w:p>
    <w:p w:rsidR="00000000" w:rsidRDefault="00B425DA">
      <w:pPr>
        <w:rPr>
          <w:rFonts w:cs="David"/>
          <w:sz w:val="24"/>
          <w:rtl/>
        </w:rPr>
      </w:pPr>
    </w:p>
    <w:p w:rsidR="00000000" w:rsidRDefault="00B425DA">
      <w:pPr>
        <w:ind w:firstLine="567"/>
        <w:rPr>
          <w:rFonts w:cs="David"/>
          <w:sz w:val="24"/>
          <w:rtl/>
        </w:rPr>
      </w:pPr>
      <w:r>
        <w:rPr>
          <w:rFonts w:cs="David"/>
          <w:sz w:val="24"/>
          <w:rtl/>
        </w:rPr>
        <w:t>התבקשנו על ידי חבר הכנסת רצאבי להבטיח שתפורסם הודעה באתר הרשות בעניין הדחייה של תחילתו של סעיף 48 ל-1 בפברואר 2006.</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ind w:firstLine="567"/>
        <w:rPr>
          <w:rFonts w:cs="David"/>
          <w:sz w:val="24"/>
          <w:rtl/>
        </w:rPr>
      </w:pPr>
      <w:r>
        <w:rPr>
          <w:rFonts w:cs="David"/>
          <w:sz w:val="24"/>
          <w:rtl/>
        </w:rPr>
        <w:t>מי בעד אישור הצעת החוק?</w:t>
      </w:r>
    </w:p>
    <w:p w:rsidR="00000000" w:rsidRDefault="00B425DA">
      <w:pPr>
        <w:ind w:firstLine="567"/>
        <w:rPr>
          <w:rFonts w:cs="David"/>
          <w:sz w:val="24"/>
          <w:rtl/>
        </w:rPr>
      </w:pPr>
      <w:r>
        <w:rPr>
          <w:rFonts w:cs="David"/>
          <w:sz w:val="24"/>
          <w:rtl/>
        </w:rPr>
        <w:t xml:space="preserve"> </w:t>
      </w:r>
    </w:p>
    <w:p w:rsidR="00000000" w:rsidRDefault="00B425DA">
      <w:pPr>
        <w:pStyle w:val="9"/>
        <w:rPr>
          <w:rFonts w:cs="David"/>
          <w:sz w:val="24"/>
          <w:rtl/>
        </w:rPr>
      </w:pPr>
      <w:r>
        <w:rPr>
          <w:rFonts w:cs="David"/>
          <w:sz w:val="24"/>
          <w:rtl/>
        </w:rPr>
        <w:t>הצבעה</w:t>
      </w:r>
    </w:p>
    <w:p w:rsidR="00000000" w:rsidRDefault="00B425DA">
      <w:pPr>
        <w:rPr>
          <w:rFonts w:cs="David"/>
          <w:sz w:val="24"/>
          <w:rtl/>
        </w:rPr>
      </w:pPr>
    </w:p>
    <w:p w:rsidR="00000000" w:rsidRDefault="00B425DA">
      <w:pPr>
        <w:jc w:val="center"/>
        <w:rPr>
          <w:rFonts w:cs="David"/>
          <w:sz w:val="24"/>
          <w:rtl/>
        </w:rPr>
      </w:pPr>
      <w:r>
        <w:rPr>
          <w:rFonts w:cs="David"/>
          <w:sz w:val="24"/>
          <w:rtl/>
        </w:rPr>
        <w:t>הר</w:t>
      </w:r>
      <w:r>
        <w:rPr>
          <w:rFonts w:cs="David"/>
          <w:sz w:val="24"/>
          <w:rtl/>
        </w:rPr>
        <w:t>וב – בעד</w:t>
      </w:r>
    </w:p>
    <w:p w:rsidR="00000000" w:rsidRDefault="00B425DA">
      <w:pPr>
        <w:rPr>
          <w:rFonts w:cs="David"/>
          <w:sz w:val="24"/>
          <w:rtl/>
        </w:rPr>
      </w:pPr>
    </w:p>
    <w:p w:rsidR="00000000" w:rsidRDefault="00B425DA">
      <w:pPr>
        <w:ind w:firstLine="567"/>
        <w:rPr>
          <w:rFonts w:cs="David"/>
          <w:sz w:val="24"/>
          <w:rtl/>
        </w:rPr>
      </w:pPr>
      <w:r>
        <w:rPr>
          <w:rFonts w:cs="David"/>
          <w:sz w:val="24"/>
          <w:rtl/>
        </w:rPr>
        <w:t xml:space="preserve">ההצעה אושרה פה אחד. </w:t>
      </w:r>
    </w:p>
    <w:p w:rsidR="00000000" w:rsidRDefault="00B425DA">
      <w:pPr>
        <w:rPr>
          <w:rFonts w:cs="David"/>
          <w:sz w:val="24"/>
          <w:rtl/>
        </w:rPr>
      </w:pPr>
    </w:p>
    <w:p w:rsidR="00000000" w:rsidRDefault="00B425DA">
      <w:pPr>
        <w:rPr>
          <w:rFonts w:cs="David"/>
          <w:sz w:val="24"/>
          <w:rtl/>
        </w:rPr>
      </w:pPr>
      <w:r>
        <w:rPr>
          <w:rFonts w:cs="David"/>
          <w:sz w:val="24"/>
          <w:u w:val="single"/>
          <w:rtl/>
        </w:rPr>
        <w:t>חיים אורון:</w:t>
      </w:r>
    </w:p>
    <w:p w:rsidR="00000000" w:rsidRDefault="00B425DA">
      <w:pPr>
        <w:rPr>
          <w:rFonts w:cs="David"/>
          <w:sz w:val="24"/>
          <w:rtl/>
        </w:rPr>
      </w:pPr>
    </w:p>
    <w:p w:rsidR="00000000" w:rsidRDefault="00B425DA">
      <w:pPr>
        <w:rPr>
          <w:rFonts w:cs="David"/>
          <w:sz w:val="24"/>
          <w:rtl/>
        </w:rPr>
      </w:pPr>
      <w:r>
        <w:rPr>
          <w:rFonts w:cs="David"/>
          <w:sz w:val="24"/>
          <w:rtl/>
        </w:rPr>
        <w:tab/>
        <w:t xml:space="preserve"> אני מבקש להכניס שתי הסתייגויות. </w:t>
      </w:r>
    </w:p>
    <w:p w:rsidR="00000000" w:rsidRDefault="00B425DA">
      <w:pPr>
        <w:rPr>
          <w:rFonts w:cs="David"/>
          <w:sz w:val="24"/>
          <w:rtl/>
        </w:rPr>
      </w:pPr>
    </w:p>
    <w:p w:rsidR="00000000" w:rsidRDefault="00B425DA">
      <w:pPr>
        <w:rPr>
          <w:rFonts w:cs="David"/>
          <w:sz w:val="24"/>
          <w:rtl/>
        </w:rPr>
      </w:pPr>
      <w:r>
        <w:rPr>
          <w:rFonts w:cs="David"/>
          <w:sz w:val="24"/>
          <w:u w:val="single"/>
          <w:rtl/>
        </w:rPr>
        <w:t>היו"ר יעקב ליצמן:</w:t>
      </w:r>
    </w:p>
    <w:p w:rsidR="00000000" w:rsidRDefault="00B425DA">
      <w:pPr>
        <w:rPr>
          <w:rFonts w:cs="David"/>
          <w:sz w:val="24"/>
          <w:rtl/>
        </w:rPr>
      </w:pPr>
    </w:p>
    <w:p w:rsidR="00000000" w:rsidRDefault="00B425DA">
      <w:pPr>
        <w:rPr>
          <w:rFonts w:cs="David"/>
          <w:sz w:val="24"/>
          <w:rtl/>
        </w:rPr>
      </w:pPr>
      <w:r>
        <w:rPr>
          <w:rFonts w:cs="David"/>
          <w:sz w:val="24"/>
          <w:rtl/>
        </w:rPr>
        <w:tab/>
        <w:t xml:space="preserve">אני מודה לכולם, הישיבה נעולה. </w:t>
      </w:r>
    </w:p>
    <w:p w:rsidR="00000000" w:rsidRDefault="00B425DA">
      <w:pPr>
        <w:rPr>
          <w:rFonts w:cs="David"/>
          <w:sz w:val="24"/>
          <w:rtl/>
        </w:rPr>
      </w:pPr>
    </w:p>
    <w:p w:rsidR="00000000" w:rsidRDefault="00B425D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25DA">
      <w:r>
        <w:separator/>
      </w:r>
    </w:p>
  </w:endnote>
  <w:endnote w:type="continuationSeparator" w:id="0">
    <w:p w:rsidR="00000000" w:rsidRDefault="00B42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25DA">
      <w:r>
        <w:separator/>
      </w:r>
    </w:p>
  </w:footnote>
  <w:footnote w:type="continuationSeparator" w:id="0">
    <w:p w:rsidR="00000000" w:rsidRDefault="00B42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25D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w:t>
    </w:r>
    <w:r>
      <w:rPr>
        <w:rStyle w:val="a7"/>
        <w:rFonts w:cs="David"/>
      </w:rPr>
      <w:fldChar w:fldCharType="end"/>
    </w:r>
  </w:p>
  <w:p w:rsidR="00000000" w:rsidRDefault="00B425DA">
    <w:pPr>
      <w:pStyle w:val="a3"/>
      <w:ind w:right="360"/>
      <w:rPr>
        <w:rFonts w:cs="David"/>
        <w:sz w:val="24"/>
        <w:rtl/>
      </w:rPr>
    </w:pPr>
    <w:r>
      <w:rPr>
        <w:rFonts w:cs="David"/>
        <w:sz w:val="24"/>
        <w:rtl/>
      </w:rPr>
      <w:t>ועדת הכספים</w:t>
    </w:r>
  </w:p>
  <w:p w:rsidR="00000000" w:rsidRDefault="00B425DA">
    <w:pPr>
      <w:pStyle w:val="a3"/>
      <w:ind w:right="360"/>
      <w:rPr>
        <w:rStyle w:val="a7"/>
        <w:rFonts w:cs="David"/>
        <w:sz w:val="24"/>
        <w:rtl/>
      </w:rPr>
    </w:pPr>
    <w:r>
      <w:rPr>
        <w:rFonts w:cs="David"/>
        <w:sz w:val="24"/>
        <w:rtl/>
      </w:rPr>
      <w:t>25.5.2005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5DA"/>
    <w:rsid w:val="00B42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1F7892-034A-4CBC-9102-174381E29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F6E3B-F89E-448E-8011-08B32EBC92E9}"/>
</file>

<file path=customXml/itemProps2.xml><?xml version="1.0" encoding="utf-8"?>
<ds:datastoreItem xmlns:ds="http://schemas.openxmlformats.org/officeDocument/2006/customXml" ds:itemID="{1DC77821-5168-4A41-8BFD-2CD7C17F434A}"/>
</file>

<file path=customXml/itemProps3.xml><?xml version="1.0" encoding="utf-8"?>
<ds:datastoreItem xmlns:ds="http://schemas.openxmlformats.org/officeDocument/2006/customXml" ds:itemID="{FE42847C-19EF-4952-B576-55BF23C2E7AB}"/>
</file>

<file path=docProps/app.xml><?xml version="1.0" encoding="utf-8"?>
<Properties xmlns="http://schemas.openxmlformats.org/officeDocument/2006/extended-properties" xmlns:vt="http://schemas.openxmlformats.org/officeDocument/2006/docPropsVTypes">
  <Template>Normal.dotm</Template>
  <TotalTime>0</TotalTime>
  <Pages>2</Pages>
  <Words>664</Words>
  <Characters>3324</Characters>
  <Application>Microsoft Office Word</Application>
  <DocSecurity>0</DocSecurity>
  <Lines>27</Lines>
  <Paragraphs>7</Paragraphs>
  <ScaleCrop>false</ScaleCrop>
  <Company>כנסת</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הסדרת העיסוק בייעוץ השקעות ובניהול תיקי  השקעות  (תיקון מס' 8)</dc:title>
  <dc:subject/>
  <dc:creator>knesset</dc:creator>
  <cp:keywords/>
  <dc:description/>
  <cp:lastModifiedBy>רינה דבורה קדרון</cp:lastModifiedBy>
  <cp:revision>2</cp:revision>
  <cp:lastPrinted>2005-05-25T15:35:00Z</cp:lastPrinted>
  <dcterms:created xsi:type="dcterms:W3CDTF">2017-07-10T11:24:00Z</dcterms:created>
  <dcterms:modified xsi:type="dcterms:W3CDTF">2017-07-10T11:24:00Z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100136905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חנה כהן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8:45</vt:lpwstr>
  </property>
  <property fmtid="{D5CDD505-2E9C-101B-9397-08002B2CF9AE}" pid="12" name="GetLastModified">
    <vt:lpwstr>26/05/2005 08:46:44</vt:lpwstr>
  </property>
  <property fmtid="{D5CDD505-2E9C-101B-9397-08002B2CF9AE}" pid="13" name="ContentTypeId">
    <vt:lpwstr>0x010100F931E205BBB08441AEFFEBF8ABB23DF1</vt:lpwstr>
  </property>
  <property fmtid="{D5CDD505-2E9C-101B-9397-08002B2CF9AE}" pid="14" name="SanhedrinItemID">
    <vt:r8>100696</vt:r8>
  </property>
  <property fmtid="{D5CDD505-2E9C-101B-9397-08002B2CF9AE}" pid="15" name="SanhedrinDocumentType">
    <vt:r8>167</vt:r8>
  </property>
</Properties>
</file>