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3526">
      <w:pPr>
        <w:jc w:val="right"/>
        <w:rPr>
          <w:rFonts w:cs="Guttman David"/>
          <w:sz w:val="20"/>
          <w:rtl/>
        </w:rPr>
      </w:pPr>
      <w:bookmarkStart w:id="0" w:name="_GoBack"/>
      <w:bookmarkEnd w:id="0"/>
      <w:r>
        <w:rPr>
          <w:rFonts w:cs="Guttman David"/>
          <w:sz w:val="20"/>
          <w:rtl/>
        </w:rPr>
        <w:t>פרוטוקולים/כלכלה/2823</w:t>
      </w:r>
    </w:p>
    <w:p w:rsidR="00000000" w:rsidRDefault="00493526">
      <w:pPr>
        <w:jc w:val="right"/>
        <w:rPr>
          <w:rFonts w:cs="Guttman David"/>
          <w:sz w:val="20"/>
          <w:rtl/>
        </w:rPr>
      </w:pPr>
      <w:r>
        <w:rPr>
          <w:rFonts w:cs="Guttman David"/>
          <w:sz w:val="20"/>
          <w:rtl/>
        </w:rPr>
        <w:tab/>
        <w:t>ירושלים, י"ז באדר, תשס"א</w:t>
      </w:r>
    </w:p>
    <w:p w:rsidR="00000000" w:rsidRDefault="00493526">
      <w:pPr>
        <w:jc w:val="right"/>
        <w:rPr>
          <w:rFonts w:cs="Guttman David"/>
          <w:sz w:val="20"/>
          <w:rtl/>
          <w:lang w:val="es"/>
        </w:rPr>
      </w:pPr>
      <w:r>
        <w:rPr>
          <w:rFonts w:cs="Guttman David"/>
          <w:sz w:val="20"/>
          <w:rtl/>
          <w:lang w:val="es"/>
        </w:rPr>
        <w:t>12 במרץ, 2001</w:t>
      </w:r>
    </w:p>
    <w:p w:rsidR="00000000" w:rsidRDefault="00493526">
      <w:pPr>
        <w:jc w:val="right"/>
        <w:rPr>
          <w:rFonts w:cs="Guttman David"/>
          <w:sz w:val="20"/>
          <w:rtl/>
        </w:rPr>
      </w:pPr>
    </w:p>
    <w:tbl>
      <w:tblPr>
        <w:tblW w:w="0" w:type="auto"/>
        <w:jc w:val="right"/>
        <w:tblLayout w:type="fixed"/>
        <w:tblLook w:val="0000" w:firstRow="0" w:lastRow="0" w:firstColumn="0" w:lastColumn="0" w:noHBand="0" w:noVBand="0"/>
      </w:tblPr>
      <w:tblGrid>
        <w:gridCol w:w="6344"/>
        <w:gridCol w:w="2262"/>
      </w:tblGrid>
      <w:tr w:rsidR="00000000">
        <w:tblPrEx>
          <w:tblCellMar>
            <w:top w:w="0" w:type="dxa"/>
            <w:bottom w:w="0" w:type="dxa"/>
          </w:tblCellMar>
        </w:tblPrEx>
        <w:trPr>
          <w:jc w:val="right"/>
        </w:trPr>
        <w:tc>
          <w:tcPr>
            <w:tcW w:w="6344" w:type="dxa"/>
            <w:tcBorders>
              <w:top w:val="nil"/>
              <w:left w:val="nil"/>
              <w:bottom w:val="nil"/>
              <w:right w:val="nil"/>
            </w:tcBorders>
          </w:tcPr>
          <w:p w:rsidR="00000000" w:rsidRDefault="00493526">
            <w:pPr>
              <w:rPr>
                <w:rFonts w:cs="Guttman David"/>
                <w:sz w:val="20"/>
                <w:rtl/>
              </w:rPr>
            </w:pPr>
          </w:p>
        </w:tc>
        <w:tc>
          <w:tcPr>
            <w:tcW w:w="2262" w:type="dxa"/>
            <w:tcBorders>
              <w:top w:val="nil"/>
              <w:left w:val="nil"/>
              <w:bottom w:val="nil"/>
              <w:right w:val="nil"/>
            </w:tcBorders>
          </w:tcPr>
          <w:p w:rsidR="00000000" w:rsidRDefault="00493526">
            <w:pPr>
              <w:pStyle w:val="5"/>
              <w:rPr>
                <w:rFonts w:cs="Guttman David"/>
                <w:sz w:val="20"/>
                <w:rtl/>
              </w:rPr>
            </w:pPr>
            <w:r>
              <w:rPr>
                <w:rFonts w:cs="Guttman David"/>
                <w:sz w:val="20"/>
                <w:rtl/>
              </w:rPr>
              <w:t>הכנסת החמש-עשרה</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493526">
            <w:pPr>
              <w:rPr>
                <w:rFonts w:cs="Guttman David"/>
                <w:sz w:val="20"/>
                <w:rtl/>
              </w:rPr>
            </w:pPr>
          </w:p>
        </w:tc>
        <w:tc>
          <w:tcPr>
            <w:tcW w:w="2262" w:type="dxa"/>
            <w:tcBorders>
              <w:top w:val="nil"/>
              <w:left w:val="nil"/>
              <w:bottom w:val="nil"/>
              <w:right w:val="nil"/>
            </w:tcBorders>
          </w:tcPr>
          <w:p w:rsidR="00000000" w:rsidRDefault="00493526">
            <w:pPr>
              <w:jc w:val="center"/>
              <w:rPr>
                <w:rFonts w:cs="Guttman David"/>
                <w:b/>
                <w:bCs/>
                <w:sz w:val="20"/>
                <w:rtl/>
              </w:rPr>
            </w:pPr>
            <w:r>
              <w:rPr>
                <w:rFonts w:cs="Guttman David"/>
                <w:b/>
                <w:bCs/>
                <w:sz w:val="20"/>
                <w:rtl/>
              </w:rPr>
              <w:t>מושב שלישי</w:t>
            </w:r>
          </w:p>
        </w:tc>
      </w:tr>
      <w:tr w:rsidR="00000000">
        <w:tblPrEx>
          <w:tblCellMar>
            <w:top w:w="0" w:type="dxa"/>
            <w:bottom w:w="0" w:type="dxa"/>
          </w:tblCellMar>
        </w:tblPrEx>
        <w:trPr>
          <w:jc w:val="right"/>
        </w:trPr>
        <w:tc>
          <w:tcPr>
            <w:tcW w:w="6344" w:type="dxa"/>
            <w:tcBorders>
              <w:top w:val="nil"/>
              <w:left w:val="nil"/>
              <w:bottom w:val="nil"/>
              <w:right w:val="nil"/>
            </w:tcBorders>
          </w:tcPr>
          <w:p w:rsidR="00000000" w:rsidRDefault="00493526">
            <w:pPr>
              <w:jc w:val="right"/>
              <w:rPr>
                <w:rFonts w:cs="Guttman David"/>
                <w:sz w:val="20"/>
                <w:rtl/>
              </w:rPr>
            </w:pPr>
            <w:r>
              <w:rPr>
                <w:rFonts w:cs="Guttman David"/>
                <w:sz w:val="20"/>
                <w:rtl/>
              </w:rPr>
              <w:t>נוסח לא מתוקן</w:t>
            </w:r>
          </w:p>
        </w:tc>
        <w:tc>
          <w:tcPr>
            <w:tcW w:w="2262" w:type="dxa"/>
            <w:tcBorders>
              <w:top w:val="nil"/>
              <w:left w:val="nil"/>
              <w:bottom w:val="nil"/>
              <w:right w:val="nil"/>
            </w:tcBorders>
          </w:tcPr>
          <w:p w:rsidR="00000000" w:rsidRDefault="00493526">
            <w:pPr>
              <w:jc w:val="center"/>
              <w:rPr>
                <w:rFonts w:cs="Guttman David"/>
                <w:b/>
                <w:bCs/>
                <w:sz w:val="20"/>
                <w:rtl/>
              </w:rPr>
            </w:pPr>
          </w:p>
        </w:tc>
      </w:tr>
    </w:tbl>
    <w:p w:rsidR="00000000" w:rsidRDefault="00493526">
      <w:pPr>
        <w:rPr>
          <w:rFonts w:cs="Guttman David"/>
          <w:sz w:val="20"/>
          <w:rtl/>
        </w:rPr>
      </w:pPr>
    </w:p>
    <w:p w:rsidR="00000000" w:rsidRDefault="00493526">
      <w:pPr>
        <w:jc w:val="center"/>
        <w:rPr>
          <w:rFonts w:cs="Guttman David"/>
          <w:b/>
          <w:bCs/>
          <w:sz w:val="20"/>
          <w:rtl/>
        </w:rPr>
      </w:pPr>
      <w:r>
        <w:rPr>
          <w:rFonts w:cs="Guttman David"/>
          <w:b/>
          <w:bCs/>
          <w:sz w:val="20"/>
          <w:rtl/>
        </w:rPr>
        <w:t>פרוטוקול מס' 255</w:t>
      </w:r>
    </w:p>
    <w:p w:rsidR="00000000" w:rsidRDefault="00493526">
      <w:pPr>
        <w:jc w:val="center"/>
        <w:rPr>
          <w:rFonts w:cs="Guttman David"/>
          <w:b/>
          <w:bCs/>
          <w:sz w:val="20"/>
          <w:rtl/>
        </w:rPr>
      </w:pPr>
      <w:r>
        <w:rPr>
          <w:rFonts w:cs="Guttman David"/>
          <w:b/>
          <w:bCs/>
          <w:sz w:val="20"/>
          <w:rtl/>
        </w:rPr>
        <w:t>מישיבת ועדת הכלכלה</w:t>
      </w:r>
    </w:p>
    <w:p w:rsidR="00000000" w:rsidRDefault="00493526">
      <w:pPr>
        <w:jc w:val="center"/>
        <w:rPr>
          <w:rFonts w:cs="Guttman David"/>
          <w:sz w:val="20"/>
          <w:u w:val="single"/>
          <w:rtl/>
        </w:rPr>
      </w:pPr>
      <w:r>
        <w:rPr>
          <w:rFonts w:cs="Guttman David"/>
          <w:b/>
          <w:bCs/>
          <w:sz w:val="20"/>
          <w:u w:val="single"/>
          <w:rtl/>
        </w:rPr>
        <w:t>‏יום שני, י' באדר התשס"א (5 במרץ, 2001), שעה 13:25</w:t>
      </w:r>
    </w:p>
    <w:p w:rsidR="00000000" w:rsidRDefault="00493526">
      <w:pPr>
        <w:rPr>
          <w:rFonts w:cs="Guttman David"/>
          <w:sz w:val="20"/>
          <w:rtl/>
        </w:rPr>
      </w:pPr>
    </w:p>
    <w:p w:rsidR="00000000" w:rsidRDefault="00493526">
      <w:pPr>
        <w:rPr>
          <w:rFonts w:cs="Guttman David"/>
          <w:b/>
          <w:bCs/>
          <w:sz w:val="20"/>
          <w:u w:val="single"/>
          <w:rtl/>
        </w:rPr>
      </w:pPr>
      <w:r>
        <w:rPr>
          <w:rFonts w:cs="Guttman David"/>
          <w:b/>
          <w:bCs/>
          <w:sz w:val="20"/>
          <w:u w:val="single"/>
          <w:rtl/>
        </w:rPr>
        <w:t>נוכחים:</w:t>
      </w:r>
    </w:p>
    <w:p w:rsidR="00000000" w:rsidRDefault="00493526">
      <w:pPr>
        <w:rPr>
          <w:rFonts w:cs="Guttman David"/>
          <w:sz w:val="20"/>
          <w:rtl/>
        </w:rPr>
      </w:pPr>
      <w:r>
        <w:rPr>
          <w:rFonts w:cs="Guttman David"/>
          <w:b/>
          <w:bCs/>
          <w:sz w:val="20"/>
          <w:u w:val="single"/>
          <w:rtl/>
        </w:rPr>
        <w:t>חברי הוועדה:</w:t>
      </w:r>
    </w:p>
    <w:p w:rsidR="00000000" w:rsidRDefault="00493526">
      <w:pPr>
        <w:rPr>
          <w:rFonts w:cs="Guttman David"/>
          <w:sz w:val="20"/>
          <w:rtl/>
        </w:rPr>
      </w:pPr>
      <w:r>
        <w:rPr>
          <w:rFonts w:cs="Guttman David"/>
          <w:sz w:val="20"/>
          <w:rtl/>
        </w:rPr>
        <w:t>אברהם פורז - היו"ר</w:t>
      </w:r>
    </w:p>
    <w:p w:rsidR="00000000" w:rsidRDefault="00493526">
      <w:pPr>
        <w:rPr>
          <w:rFonts w:cs="Guttman David"/>
          <w:sz w:val="20"/>
          <w:rtl/>
        </w:rPr>
      </w:pPr>
      <w:r>
        <w:rPr>
          <w:rFonts w:cs="Guttman David"/>
          <w:sz w:val="20"/>
          <w:rtl/>
        </w:rPr>
        <w:t>רומן ברונפמן</w:t>
      </w:r>
    </w:p>
    <w:p w:rsidR="00000000" w:rsidRDefault="00493526">
      <w:pPr>
        <w:rPr>
          <w:rFonts w:cs="Guttman David"/>
          <w:sz w:val="20"/>
          <w:rtl/>
        </w:rPr>
      </w:pPr>
      <w:r>
        <w:rPr>
          <w:rFonts w:cs="Guttman David"/>
          <w:sz w:val="20"/>
          <w:rtl/>
        </w:rPr>
        <w:t>יצחק גאגולה</w:t>
      </w:r>
    </w:p>
    <w:p w:rsidR="00000000" w:rsidRDefault="00493526">
      <w:pPr>
        <w:rPr>
          <w:rFonts w:cs="Guttman David"/>
          <w:sz w:val="20"/>
          <w:rtl/>
        </w:rPr>
      </w:pPr>
      <w:r>
        <w:rPr>
          <w:rFonts w:cs="Guttman David"/>
          <w:sz w:val="20"/>
          <w:rtl/>
        </w:rPr>
        <w:t>נחום לנגנטל</w:t>
      </w:r>
    </w:p>
    <w:p w:rsidR="00000000" w:rsidRDefault="00493526">
      <w:pPr>
        <w:rPr>
          <w:rFonts w:cs="Guttman David"/>
          <w:sz w:val="20"/>
          <w:rtl/>
        </w:rPr>
      </w:pPr>
      <w:r>
        <w:rPr>
          <w:rFonts w:cs="Guttman David"/>
          <w:sz w:val="20"/>
          <w:rtl/>
        </w:rPr>
        <w:t>אבשלום וילן (מ"מ)</w:t>
      </w:r>
    </w:p>
    <w:p w:rsidR="00000000" w:rsidRDefault="00493526">
      <w:pPr>
        <w:tabs>
          <w:tab w:val="left" w:pos="6499"/>
          <w:tab w:val="left" w:pos="7803"/>
        </w:tabs>
        <w:jc w:val="left"/>
        <w:rPr>
          <w:rFonts w:cs="Guttman David"/>
          <w:sz w:val="20"/>
          <w:rtl/>
        </w:rPr>
      </w:pPr>
      <w:r>
        <w:rPr>
          <w:rFonts w:cs="Guttman David"/>
          <w:sz w:val="20"/>
          <w:rtl/>
        </w:rPr>
        <w:t>יורי שטרן (מ"מ)</w:t>
      </w:r>
      <w:r>
        <w:rPr>
          <w:rFonts w:cs="Guttman David"/>
          <w:sz w:val="20"/>
          <w:rtl/>
        </w:rPr>
        <w:tab/>
      </w:r>
    </w:p>
    <w:p w:rsidR="00000000" w:rsidRDefault="00493526">
      <w:pPr>
        <w:jc w:val="left"/>
        <w:rPr>
          <w:rFonts w:cs="Guttman David"/>
          <w:sz w:val="20"/>
          <w:rtl/>
        </w:rPr>
      </w:pPr>
      <w:r>
        <w:rPr>
          <w:rFonts w:cs="Guttman David"/>
          <w:b/>
          <w:bCs/>
          <w:sz w:val="20"/>
          <w:u w:val="single"/>
          <w:rtl/>
        </w:rPr>
        <w:t>מוזמנים:</w:t>
      </w:r>
    </w:p>
    <w:p w:rsidR="00000000" w:rsidRDefault="00493526">
      <w:pPr>
        <w:tabs>
          <w:tab w:val="left" w:pos="4523"/>
          <w:tab w:val="left" w:pos="6513"/>
          <w:tab w:val="left" w:pos="7817"/>
        </w:tabs>
        <w:jc w:val="left"/>
        <w:rPr>
          <w:rFonts w:cs="Guttman David"/>
          <w:sz w:val="20"/>
          <w:rtl/>
        </w:rPr>
      </w:pPr>
      <w:r>
        <w:rPr>
          <w:rFonts w:cs="Guttman David"/>
          <w:sz w:val="20"/>
          <w:rtl/>
        </w:rPr>
        <w:t>המשנה ליועץ המשפטי</w:t>
      </w:r>
      <w:r>
        <w:rPr>
          <w:rFonts w:cs="Guttman David"/>
          <w:sz w:val="20"/>
          <w:rtl/>
        </w:rPr>
        <w:t xml:space="preserve"> לממשלה, משרד המשפטים</w:t>
      </w:r>
      <w:r>
        <w:rPr>
          <w:rFonts w:cs="Guttman David"/>
          <w:sz w:val="20"/>
          <w:rtl/>
        </w:rPr>
        <w:tab/>
        <w:t>עו"ד דוידה לחמן-מסר</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יועמ"ש, משרד האוצר</w:t>
      </w:r>
      <w:r>
        <w:rPr>
          <w:rFonts w:cs="Guttman David"/>
          <w:sz w:val="20"/>
          <w:rtl/>
        </w:rPr>
        <w:tab/>
        <w:t>עו"ד ימימה מזוז</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לשכה משפטית, משרד האוצר</w:t>
      </w:r>
      <w:r>
        <w:rPr>
          <w:rFonts w:cs="Guttman David"/>
          <w:sz w:val="20"/>
          <w:rtl/>
        </w:rPr>
        <w:tab/>
        <w:t>עו"ד מיכל עקביה</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רשם האגודות השיתופיות</w:t>
      </w:r>
      <w:r>
        <w:rPr>
          <w:rFonts w:cs="Guttman David"/>
          <w:sz w:val="20"/>
          <w:rtl/>
        </w:rPr>
        <w:tab/>
        <w:t>עו"ד טל בר-און</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מנהלת אגף חקלאי, מינהל מקרקעי ישראל</w:t>
      </w:r>
      <w:r>
        <w:rPr>
          <w:rFonts w:cs="Guttman David"/>
          <w:sz w:val="20"/>
          <w:rtl/>
        </w:rPr>
        <w:tab/>
        <w:t>אפרת שטראוס</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הסוכנות היהודית</w:t>
      </w:r>
      <w:r>
        <w:rPr>
          <w:rFonts w:cs="Guttman David"/>
          <w:sz w:val="20"/>
          <w:rtl/>
        </w:rPr>
        <w:tab/>
        <w:t>אורי אילש</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יועץ לגזבר, הסוכנות הי</w:t>
      </w:r>
      <w:r>
        <w:rPr>
          <w:rFonts w:cs="Guttman David"/>
          <w:sz w:val="20"/>
          <w:rtl/>
        </w:rPr>
        <w:t>הודית</w:t>
      </w:r>
      <w:r>
        <w:rPr>
          <w:rFonts w:cs="Guttman David"/>
          <w:sz w:val="20"/>
          <w:rtl/>
        </w:rPr>
        <w:tab/>
        <w:t>אייל פרנקל</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גזבר, הסוכנות היהודית</w:t>
      </w:r>
      <w:r>
        <w:rPr>
          <w:rFonts w:cs="Guttman David"/>
          <w:sz w:val="20"/>
          <w:rtl/>
        </w:rPr>
        <w:tab/>
        <w:t>חיים צ'סלר</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לשכה משפטית, הסוכנות היהודית</w:t>
      </w:r>
      <w:r>
        <w:rPr>
          <w:rFonts w:cs="Guttman David"/>
          <w:sz w:val="20"/>
          <w:rtl/>
        </w:rPr>
        <w:tab/>
        <w:t>עו"ד משה שיף</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הסוכנות היהודית</w:t>
      </w:r>
      <w:r>
        <w:rPr>
          <w:rFonts w:cs="Guttman David"/>
          <w:sz w:val="20"/>
          <w:rtl/>
        </w:rPr>
        <w:tab/>
        <w:t>אבינועם בר-יוסף</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הסוכנות היהודית</w:t>
      </w:r>
      <w:r>
        <w:rPr>
          <w:rFonts w:cs="Guttman David"/>
          <w:sz w:val="20"/>
          <w:rtl/>
        </w:rPr>
        <w:tab/>
        <w:t>רועי נתן</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בנק לאומי, איגוד הבנקים</w:t>
      </w:r>
      <w:r>
        <w:rPr>
          <w:rFonts w:cs="Guttman David"/>
          <w:sz w:val="20"/>
          <w:rtl/>
        </w:rPr>
        <w:tab/>
        <w:t>עו"ד חני אבירם</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סקטור החקלאות, בנק לאומי, איגוד הבנקים</w:t>
      </w:r>
      <w:r>
        <w:rPr>
          <w:rFonts w:cs="Guttman David"/>
          <w:sz w:val="20"/>
          <w:rtl/>
        </w:rPr>
        <w:tab/>
        <w:t>לאה חקלאי</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סקטור החקלאו</w:t>
      </w:r>
      <w:r>
        <w:rPr>
          <w:rFonts w:cs="Guttman David"/>
          <w:sz w:val="20"/>
          <w:rtl/>
        </w:rPr>
        <w:t>ת, בנק לאומי, איגוד הבנקים</w:t>
      </w:r>
      <w:r>
        <w:rPr>
          <w:rFonts w:cs="Guttman David"/>
          <w:sz w:val="20"/>
          <w:rtl/>
        </w:rPr>
        <w:tab/>
        <w:t>ורדה ניר</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בנק חקלאות, איגוד הבנקים</w:t>
      </w:r>
      <w:r>
        <w:rPr>
          <w:rFonts w:cs="Guttman David"/>
          <w:sz w:val="20"/>
          <w:rtl/>
        </w:rPr>
        <w:tab/>
        <w:t>עו"ד נח לוי</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בנק חקלאות, איגוד הבנקים</w:t>
      </w:r>
      <w:r>
        <w:rPr>
          <w:rFonts w:cs="Guttman David"/>
          <w:sz w:val="20"/>
          <w:rtl/>
        </w:rPr>
        <w:tab/>
        <w:t>משה סיטון</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בנק הפועלים, איגוד הבנקים</w:t>
      </w:r>
      <w:r>
        <w:rPr>
          <w:rFonts w:cs="Guttman David"/>
          <w:sz w:val="20"/>
          <w:rtl/>
        </w:rPr>
        <w:tab/>
        <w:t>עו"ד ציפי פורן</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סגן מנהל מחלקת אשראי, בנק הפועלים, איגוד הבנקים</w:t>
      </w:r>
      <w:r>
        <w:rPr>
          <w:rFonts w:cs="Guttman David"/>
          <w:sz w:val="20"/>
          <w:rtl/>
        </w:rPr>
        <w:tab/>
        <w:t>נסים שטרית</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יו"ר הדירקטוריון, המנהלה להסדרים במגזר החקל</w:t>
      </w:r>
      <w:r>
        <w:rPr>
          <w:rFonts w:cs="Guttman David"/>
          <w:sz w:val="20"/>
          <w:rtl/>
        </w:rPr>
        <w:t>אי</w:t>
      </w:r>
      <w:r>
        <w:rPr>
          <w:rFonts w:cs="Guttman David"/>
          <w:sz w:val="20"/>
          <w:rtl/>
        </w:rPr>
        <w:tab/>
        <w:t>שולמית ולנשטיין</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מנכ"ל המנהלה להסדרים במגזר החקלאי</w:t>
      </w:r>
      <w:r>
        <w:rPr>
          <w:rFonts w:cs="Guttman David"/>
          <w:sz w:val="20"/>
          <w:rtl/>
        </w:rPr>
        <w:tab/>
        <w:t>חיים בהומי</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איגוד המושבים</w:t>
      </w:r>
      <w:r>
        <w:rPr>
          <w:rFonts w:cs="Guttman David"/>
          <w:sz w:val="20"/>
          <w:rtl/>
        </w:rPr>
        <w:tab/>
        <w:t>שמואל לויט</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תנועת משקי הפועל מזרחי, איגוד המושבים</w:t>
      </w:r>
      <w:r>
        <w:rPr>
          <w:rFonts w:cs="Guttman David"/>
          <w:sz w:val="20"/>
          <w:rtl/>
        </w:rPr>
        <w:tab/>
        <w:t>מנחם גרינפלד</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איגוד המושבים</w:t>
      </w:r>
      <w:r>
        <w:rPr>
          <w:rFonts w:cs="Guttman David"/>
          <w:sz w:val="20"/>
          <w:rtl/>
        </w:rPr>
        <w:tab/>
        <w:t>בנימין אושר</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מנכ"ל איגוד  המושבים</w:t>
      </w:r>
      <w:r>
        <w:rPr>
          <w:rFonts w:cs="Guttman David"/>
          <w:sz w:val="20"/>
          <w:rtl/>
        </w:rPr>
        <w:tab/>
        <w:t>מוטי מגער</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האיחוד החקלאי, המחלקה להתיישבות</w:t>
      </w:r>
      <w:r>
        <w:rPr>
          <w:rFonts w:cs="Guttman David"/>
          <w:sz w:val="20"/>
          <w:rtl/>
        </w:rPr>
        <w:tab/>
        <w:t>ירון סולומון</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יועץ מש</w:t>
      </w:r>
      <w:r>
        <w:rPr>
          <w:rFonts w:cs="Guttman David"/>
          <w:sz w:val="20"/>
          <w:rtl/>
        </w:rPr>
        <w:t>פטי, שירותי אשראי מסחרי</w:t>
      </w:r>
      <w:r>
        <w:rPr>
          <w:rFonts w:cs="Guttman David"/>
          <w:sz w:val="20"/>
          <w:rtl/>
        </w:rPr>
        <w:tab/>
        <w:t>עו"ד עמרם גולן</w:t>
      </w:r>
      <w:r>
        <w:rPr>
          <w:rFonts w:cs="Guttman David"/>
          <w:sz w:val="20"/>
          <w:rtl/>
        </w:rPr>
        <w:tab/>
      </w:r>
    </w:p>
    <w:p w:rsidR="00000000" w:rsidRDefault="00493526">
      <w:pPr>
        <w:tabs>
          <w:tab w:val="left" w:pos="4523"/>
          <w:tab w:val="left" w:pos="6513"/>
          <w:tab w:val="left" w:pos="7817"/>
        </w:tabs>
        <w:jc w:val="left"/>
        <w:rPr>
          <w:rFonts w:cs="Guttman David"/>
          <w:sz w:val="20"/>
          <w:rtl/>
        </w:rPr>
      </w:pPr>
      <w:r>
        <w:rPr>
          <w:rFonts w:cs="Guttman David"/>
          <w:sz w:val="20"/>
          <w:rtl/>
        </w:rPr>
        <w:t>שירותי אשראי מסחרי</w:t>
      </w:r>
      <w:r>
        <w:rPr>
          <w:rFonts w:cs="Guttman David"/>
          <w:sz w:val="20"/>
          <w:rtl/>
        </w:rPr>
        <w:tab/>
        <w:t>לירון חלף</w:t>
      </w:r>
      <w:r>
        <w:rPr>
          <w:rFonts w:cs="Guttman David"/>
          <w:sz w:val="20"/>
          <w:rtl/>
        </w:rPr>
        <w:tab/>
      </w:r>
    </w:p>
    <w:p w:rsidR="00000000" w:rsidRDefault="00493526">
      <w:pPr>
        <w:jc w:val="left"/>
        <w:rPr>
          <w:rFonts w:cs="Guttman David"/>
          <w:sz w:val="20"/>
          <w:rtl/>
        </w:rPr>
      </w:pPr>
    </w:p>
    <w:p w:rsidR="00000000" w:rsidRDefault="00493526">
      <w:pPr>
        <w:rPr>
          <w:rFonts w:cs="Guttman David"/>
          <w:sz w:val="20"/>
          <w:rtl/>
        </w:rPr>
      </w:pPr>
      <w:r>
        <w:rPr>
          <w:rFonts w:cs="Guttman David"/>
          <w:b/>
          <w:bCs/>
          <w:sz w:val="20"/>
          <w:u w:val="single"/>
          <w:rtl/>
        </w:rPr>
        <w:t>יועצת משפטית</w:t>
      </w:r>
      <w:r>
        <w:rPr>
          <w:rFonts w:cs="Guttman David"/>
          <w:sz w:val="20"/>
          <w:u w:val="single"/>
          <w:rtl/>
        </w:rPr>
        <w:t>:</w:t>
      </w:r>
      <w:r>
        <w:rPr>
          <w:rFonts w:cs="Guttman David"/>
          <w:sz w:val="20"/>
          <w:rtl/>
        </w:rPr>
        <w:tab/>
        <w:t>אתי בנדלר</w:t>
      </w:r>
    </w:p>
    <w:p w:rsidR="00000000" w:rsidRDefault="00493526">
      <w:pPr>
        <w:rPr>
          <w:rFonts w:cs="Guttman David"/>
          <w:sz w:val="20"/>
          <w:rtl/>
        </w:rPr>
      </w:pPr>
      <w:r>
        <w:rPr>
          <w:rFonts w:cs="Guttman David"/>
          <w:b/>
          <w:bCs/>
          <w:sz w:val="20"/>
          <w:u w:val="single"/>
          <w:rtl/>
        </w:rPr>
        <w:t>מנהלת הוועדה:</w:t>
      </w:r>
      <w:r>
        <w:rPr>
          <w:rFonts w:cs="Guttman David"/>
          <w:sz w:val="20"/>
          <w:rtl/>
        </w:rPr>
        <w:tab/>
        <w:t>לאה ורון</w:t>
      </w:r>
    </w:p>
    <w:p w:rsidR="00000000" w:rsidRDefault="00493526">
      <w:pPr>
        <w:tabs>
          <w:tab w:val="left" w:pos="1728"/>
        </w:tabs>
        <w:rPr>
          <w:rFonts w:cs="Guttman David"/>
          <w:sz w:val="20"/>
          <w:rtl/>
        </w:rPr>
      </w:pPr>
      <w:r>
        <w:rPr>
          <w:rFonts w:cs="Guttman David"/>
          <w:b/>
          <w:bCs/>
          <w:sz w:val="20"/>
          <w:u w:val="single"/>
          <w:rtl/>
        </w:rPr>
        <w:lastRenderedPageBreak/>
        <w:t>רשמה:</w:t>
      </w:r>
      <w:r>
        <w:rPr>
          <w:rFonts w:cs="Guttman David"/>
          <w:sz w:val="20"/>
          <w:rtl/>
        </w:rPr>
        <w:tab/>
        <w:t>אירית שלהבת</w:t>
      </w:r>
    </w:p>
    <w:p w:rsidR="00000000" w:rsidRDefault="00493526">
      <w:pPr>
        <w:rPr>
          <w:rFonts w:cs="Guttman David"/>
          <w:sz w:val="20"/>
          <w:rtl/>
        </w:rPr>
      </w:pPr>
    </w:p>
    <w:p w:rsidR="00000000" w:rsidRDefault="00493526">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תקנות הסדרים במגזר החקלאי המשפחתי (דרכי חלוקת החובות וייעוד התמורות</w:t>
      </w:r>
    </w:p>
    <w:p w:rsidR="00000000" w:rsidRDefault="00493526">
      <w:pPr>
        <w:tabs>
          <w:tab w:val="left" w:pos="1134"/>
          <w:tab w:val="left" w:pos="1418"/>
        </w:tabs>
        <w:ind w:left="1418" w:hanging="1418"/>
        <w:rPr>
          <w:rFonts w:cs="Guttman David"/>
          <w:sz w:val="20"/>
          <w:rtl/>
        </w:rPr>
      </w:pPr>
      <w:r>
        <w:rPr>
          <w:rFonts w:cs="Guttman David"/>
          <w:sz w:val="20"/>
          <w:rtl/>
        </w:rPr>
        <w:tab/>
      </w:r>
      <w:r>
        <w:rPr>
          <w:rFonts w:cs="Guttman David"/>
          <w:sz w:val="20"/>
          <w:rtl/>
        </w:rPr>
        <w:tab/>
        <w:t xml:space="preserve"> ממימוש נכסים), התש"ס-1999. </w:t>
      </w:r>
    </w:p>
    <w:p w:rsidR="00000000" w:rsidRDefault="00493526">
      <w:pPr>
        <w:rPr>
          <w:rFonts w:cs="Guttman David"/>
          <w:sz w:val="20"/>
          <w:rtl/>
        </w:rPr>
      </w:pPr>
    </w:p>
    <w:p w:rsidR="00000000" w:rsidRDefault="00493526">
      <w:pPr>
        <w:pStyle w:val="aa"/>
        <w:rPr>
          <w:rFonts w:cs="Guttman David"/>
          <w:sz w:val="20"/>
          <w:rtl/>
        </w:rPr>
      </w:pPr>
      <w:r>
        <w:rPr>
          <w:rFonts w:cs="Guttman David"/>
          <w:sz w:val="20"/>
          <w:rtl/>
        </w:rPr>
        <w:t>תקנות</w:t>
      </w:r>
      <w:r>
        <w:rPr>
          <w:rFonts w:cs="Guttman David"/>
          <w:sz w:val="20"/>
          <w:rtl/>
        </w:rPr>
        <w:t xml:space="preserve"> הסדרים במגזר החקלאי המשפחתי (דרכי חלוקת החובות </w:t>
      </w:r>
    </w:p>
    <w:p w:rsidR="00000000" w:rsidRDefault="00493526">
      <w:pPr>
        <w:pStyle w:val="aa"/>
        <w:rPr>
          <w:rFonts w:cs="Guttman David"/>
          <w:sz w:val="20"/>
          <w:rtl/>
        </w:rPr>
      </w:pPr>
      <w:r>
        <w:rPr>
          <w:rFonts w:cs="Guttman David"/>
          <w:sz w:val="20"/>
          <w:rtl/>
        </w:rPr>
        <w:t>וייעוד התמורות ממימוש נכסים), התש"ס-1999</w:t>
      </w:r>
    </w:p>
    <w:p w:rsidR="00000000" w:rsidRDefault="00493526">
      <w:pPr>
        <w:rPr>
          <w:rFonts w:cs="Guttman David"/>
          <w:sz w:val="20"/>
          <w:rtl/>
        </w:rPr>
      </w:pP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על סדר יומנו תקנות הסדרים במגזר החקלאי המשפחתי (דרכי חלוקת החובות וייעוד התמורות ממימוש נכסים), התש"ס-1999. אני רוצה להזכיר לחברים המשתתפים את ת</w:t>
      </w:r>
      <w:r>
        <w:rPr>
          <w:rFonts w:cs="Guttman David"/>
          <w:sz w:val="20"/>
          <w:rtl/>
        </w:rPr>
        <w:t xml:space="preserve">קציר הפרקים הקודמים. </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יורי שטרן:</w:t>
      </w:r>
    </w:p>
    <w:p w:rsidR="00000000" w:rsidRDefault="00493526">
      <w:pPr>
        <w:rPr>
          <w:rFonts w:cs="Guttman David"/>
          <w:sz w:val="20"/>
          <w:rtl/>
        </w:rPr>
      </w:pPr>
    </w:p>
    <w:p w:rsidR="00000000" w:rsidRDefault="00493526">
      <w:pPr>
        <w:rPr>
          <w:rFonts w:cs="Guttman David"/>
          <w:sz w:val="20"/>
          <w:rtl/>
        </w:rPr>
      </w:pPr>
      <w:r>
        <w:rPr>
          <w:rFonts w:cs="Guttman David"/>
          <w:sz w:val="20"/>
          <w:rtl/>
        </w:rPr>
        <w:tab/>
        <w:t>הדימוי הוא טוב אבל אין מספיק דרמה.</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הפרק הראשון: הוגשו תקנות על-ידי שר האוצר, שנתנו לסוכנות היהודית, לגבי התחייבותה לרישום משכנתה, מעמד דומה לשעבוד של ממש.</w:t>
      </w:r>
    </w:p>
    <w:p w:rsidR="00000000" w:rsidRDefault="00493526">
      <w:pPr>
        <w:rPr>
          <w:rFonts w:cs="Guttman David"/>
          <w:sz w:val="20"/>
          <w:rtl/>
        </w:rPr>
      </w:pPr>
    </w:p>
    <w:p w:rsidR="00000000" w:rsidRDefault="00493526">
      <w:pPr>
        <w:rPr>
          <w:rFonts w:cs="Guttman David"/>
          <w:sz w:val="20"/>
          <w:rtl/>
        </w:rPr>
      </w:pPr>
      <w:r>
        <w:rPr>
          <w:rFonts w:cs="Guttman David"/>
          <w:sz w:val="20"/>
          <w:rtl/>
        </w:rPr>
        <w:tab/>
        <w:t>הפרק השני: הוגשו על-ידי שר האוצר תקנות, שב</w:t>
      </w:r>
      <w:r>
        <w:rPr>
          <w:rFonts w:cs="Guttman David"/>
          <w:sz w:val="20"/>
          <w:rtl/>
        </w:rPr>
        <w:t>עצם מבטלות את התקנות הראשונות ואומרות שהתחייבות לרישום משכנתה היא שעבוד מדרגה לא מועדפת, ולכן הבטחונות שיש לבנקים עדיפים.</w:t>
      </w:r>
    </w:p>
    <w:p w:rsidR="00000000" w:rsidRDefault="00493526">
      <w:pPr>
        <w:rPr>
          <w:rFonts w:cs="Guttman David"/>
          <w:sz w:val="20"/>
          <w:rtl/>
        </w:rPr>
      </w:pPr>
    </w:p>
    <w:p w:rsidR="00000000" w:rsidRDefault="00493526">
      <w:pPr>
        <w:rPr>
          <w:rFonts w:cs="Guttman David"/>
          <w:sz w:val="20"/>
          <w:rtl/>
        </w:rPr>
      </w:pPr>
      <w:r>
        <w:rPr>
          <w:rFonts w:cs="Guttman David"/>
          <w:sz w:val="20"/>
          <w:rtl/>
        </w:rPr>
        <w:tab/>
        <w:t>הפרק השלישי: התקיימה הצבעה בכנסת והתקנות אושרו כפי שהציע משרד האוצר בפעם השניה. קרי: שהתחייבות לרישום משכנתה איננה שעבוד מועדף.</w:t>
      </w:r>
    </w:p>
    <w:p w:rsidR="00000000" w:rsidRDefault="00493526">
      <w:pPr>
        <w:rPr>
          <w:rFonts w:cs="Guttman David"/>
          <w:sz w:val="20"/>
          <w:rtl/>
        </w:rPr>
      </w:pPr>
    </w:p>
    <w:p w:rsidR="00000000" w:rsidRDefault="00493526">
      <w:pPr>
        <w:rPr>
          <w:rFonts w:cs="Guttman David"/>
          <w:sz w:val="20"/>
          <w:rtl/>
        </w:rPr>
      </w:pPr>
      <w:r>
        <w:rPr>
          <w:rFonts w:cs="Guttman David"/>
          <w:sz w:val="20"/>
          <w:rtl/>
        </w:rPr>
        <w:tab/>
        <w:t>הפ</w:t>
      </w:r>
      <w:r>
        <w:rPr>
          <w:rFonts w:cs="Guttman David"/>
          <w:sz w:val="20"/>
          <w:rtl/>
        </w:rPr>
        <w:t>רק הרביעי: התבקשה רביזיה בהחלטה הזאת.</w:t>
      </w:r>
    </w:p>
    <w:p w:rsidR="00000000" w:rsidRDefault="00493526">
      <w:pPr>
        <w:rPr>
          <w:rFonts w:cs="Guttman David"/>
          <w:sz w:val="20"/>
          <w:rtl/>
        </w:rPr>
      </w:pPr>
    </w:p>
    <w:p w:rsidR="00000000" w:rsidRDefault="00493526">
      <w:pPr>
        <w:rPr>
          <w:rFonts w:cs="Guttman David"/>
          <w:sz w:val="20"/>
          <w:rtl/>
        </w:rPr>
      </w:pPr>
      <w:r>
        <w:rPr>
          <w:rFonts w:cs="Guttman David"/>
          <w:sz w:val="20"/>
          <w:rtl/>
        </w:rPr>
        <w:tab/>
        <w:t>הפרק החמישי: התקיימה הצבעה על הבקשה והוחלט לקיים רביזיה.</w:t>
      </w:r>
    </w:p>
    <w:p w:rsidR="00000000" w:rsidRDefault="00493526">
      <w:pPr>
        <w:rPr>
          <w:rFonts w:cs="Guttman David"/>
          <w:sz w:val="20"/>
          <w:rtl/>
        </w:rPr>
      </w:pPr>
    </w:p>
    <w:p w:rsidR="00000000" w:rsidRDefault="00493526">
      <w:pPr>
        <w:rPr>
          <w:rFonts w:cs="Guttman David"/>
          <w:sz w:val="20"/>
          <w:rtl/>
        </w:rPr>
      </w:pPr>
      <w:r>
        <w:rPr>
          <w:rFonts w:cs="Guttman David"/>
          <w:sz w:val="20"/>
          <w:rtl/>
        </w:rPr>
        <w:tab/>
        <w:t>כרגע אנחנו נמצאים מחדש במצב שהתקנות לא אושרו ואנחנו צריכים לקבל החלטה.</w:t>
      </w:r>
    </w:p>
    <w:p w:rsidR="00000000" w:rsidRDefault="00493526">
      <w:pPr>
        <w:rPr>
          <w:rFonts w:cs="Guttman David"/>
          <w:sz w:val="20"/>
          <w:rtl/>
        </w:rPr>
      </w:pPr>
    </w:p>
    <w:p w:rsidR="00000000" w:rsidRDefault="00493526">
      <w:pPr>
        <w:rPr>
          <w:rFonts w:cs="Guttman David"/>
          <w:sz w:val="20"/>
          <w:rtl/>
        </w:rPr>
      </w:pPr>
      <w:r>
        <w:rPr>
          <w:rFonts w:cs="Guttman David"/>
          <w:sz w:val="20"/>
          <w:rtl/>
        </w:rPr>
        <w:tab/>
        <w:t>אני חושב שלאור העובדה שוועדת הכלכלה נזקקה לעניין הזה אינספור פעמים, ולאור העובדה שאנ</w:t>
      </w:r>
      <w:r>
        <w:rPr>
          <w:rFonts w:cs="Guttman David"/>
          <w:sz w:val="20"/>
          <w:rtl/>
        </w:rPr>
        <w:t>חנו היום בשלב הסופי, אנחנו נעשה את הדבר הבא: אנחנו ניתן לשני אנשים לטעון בפנינו, אחד שחושב כך ואחד שחושב אחרת, ובתום הדברים האלה תתקיים הצבעה.</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נחום לנגנטל:</w:t>
      </w:r>
    </w:p>
    <w:p w:rsidR="00000000" w:rsidRDefault="00493526">
      <w:pPr>
        <w:rPr>
          <w:rFonts w:cs="Guttman David"/>
          <w:sz w:val="20"/>
          <w:rtl/>
        </w:rPr>
      </w:pPr>
      <w:r>
        <w:rPr>
          <w:rFonts w:cs="Guttman David"/>
          <w:sz w:val="20"/>
          <w:rtl/>
        </w:rPr>
        <w:tab/>
      </w:r>
    </w:p>
    <w:p w:rsidR="00000000" w:rsidRDefault="00493526">
      <w:pPr>
        <w:rPr>
          <w:rFonts w:cs="Guttman David"/>
          <w:sz w:val="20"/>
          <w:rtl/>
        </w:rPr>
      </w:pPr>
      <w:r>
        <w:rPr>
          <w:rFonts w:cs="Guttman David"/>
          <w:sz w:val="20"/>
          <w:rtl/>
        </w:rPr>
        <w:tab/>
        <w:t>בלי רשות דיבור של חברי כנסת.</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יורי שטרן:</w:t>
      </w:r>
    </w:p>
    <w:p w:rsidR="00000000" w:rsidRDefault="00493526">
      <w:pPr>
        <w:rPr>
          <w:rFonts w:cs="Guttman David"/>
          <w:sz w:val="20"/>
          <w:rtl/>
        </w:rPr>
      </w:pPr>
    </w:p>
    <w:p w:rsidR="00000000" w:rsidRDefault="00493526">
      <w:pPr>
        <w:rPr>
          <w:rFonts w:cs="Guttman David"/>
          <w:sz w:val="20"/>
          <w:rtl/>
        </w:rPr>
      </w:pPr>
      <w:r>
        <w:rPr>
          <w:rFonts w:cs="Guttman David"/>
          <w:sz w:val="20"/>
          <w:rtl/>
        </w:rPr>
        <w:tab/>
        <w:t>אני אחד מאלה שביקשו את הרביזיה ומותר לי לדבר.</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 xml:space="preserve">היו"ר </w:t>
      </w:r>
      <w:r>
        <w:rPr>
          <w:rFonts w:cs="Guttman David"/>
          <w:sz w:val="20"/>
          <w:u w:val="single"/>
          <w:rtl/>
        </w:rPr>
        <w:t>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lastRenderedPageBreak/>
        <w:tab/>
        <w:t>רבותי חברי הכנסת, אם תרצו בכל זאת לומר מלה אחת או שניים, לשכנע אחד את השני, אני לא חושב שאני אוכל לשלול את זה. אציע ליועצת המשפטית של משרד האוצר להסביר את התקנות, כפי שהוכנו על-ידי שר האוצר ואחר-כך אתן למישהו מטעם הסוכנות להסביר למה לא צריך ל</w:t>
      </w:r>
      <w:r>
        <w:rPr>
          <w:rFonts w:cs="Guttman David"/>
          <w:sz w:val="20"/>
          <w:rtl/>
        </w:rPr>
        <w:t>קבל את התקנות.</w:t>
      </w:r>
    </w:p>
    <w:p w:rsidR="00000000" w:rsidRDefault="00493526">
      <w:pPr>
        <w:rPr>
          <w:rFonts w:cs="Guttman David"/>
          <w:sz w:val="20"/>
          <w:rtl/>
        </w:rPr>
      </w:pPr>
    </w:p>
    <w:p w:rsidR="00000000" w:rsidRDefault="00493526">
      <w:pPr>
        <w:rPr>
          <w:rFonts w:cs="Guttman David"/>
          <w:sz w:val="20"/>
          <w:rtl/>
        </w:rPr>
      </w:pPr>
      <w:r>
        <w:rPr>
          <w:rFonts w:cs="Guttman David"/>
          <w:sz w:val="20"/>
          <w:rtl/>
        </w:rPr>
        <w:tab/>
        <w:t>שכחתי להזכיר עוד פרק אחד שהיה באמצע. אחרי שהתקבלה הרביזיה ניסיתי לפשר בין הסוכנות לבין הבנקים. שמעתי את הטיעונים של שני הצדדים והחלטתי ששניהם צודקים, ואם מישהו יגיד לי שהחלטה כזאת היא אידיוטית אומר לו שגם הוא צודק. פשוט שניים אוחזים בטלית,</w:t>
      </w:r>
      <w:r>
        <w:rPr>
          <w:rFonts w:cs="Guttman David"/>
          <w:sz w:val="20"/>
          <w:rtl/>
        </w:rPr>
        <w:t xml:space="preserve"> זה אומר: כולה שלי, וזה אומר: כולה שלי, ואתם יודעים מה התוצאה הסופית. הצעתי להם שמחצית מהחובות של הסוכנות ייחשבו כמועדפים, כאילו נרשמה לגביהם משכנתה, ומחציתם ייחשבו כחוב רגיל. עד כמה שהבנתי אנחנו מדברים פה על סדר גודל של קצת יותר מ-100 מיליון שקל. במלים אח</w:t>
      </w:r>
      <w:r>
        <w:rPr>
          <w:rFonts w:cs="Guttman David"/>
          <w:sz w:val="20"/>
          <w:rtl/>
        </w:rPr>
        <w:t>רות, שתהיה פה איזה חלוקה.</w:t>
      </w:r>
    </w:p>
    <w:p w:rsidR="00000000" w:rsidRDefault="00493526">
      <w:pPr>
        <w:rPr>
          <w:rFonts w:cs="Guttman David"/>
          <w:sz w:val="20"/>
          <w:rtl/>
        </w:rPr>
      </w:pPr>
    </w:p>
    <w:p w:rsidR="00000000" w:rsidRDefault="00493526">
      <w:pPr>
        <w:rPr>
          <w:rFonts w:cs="Guttman David"/>
          <w:sz w:val="20"/>
          <w:rtl/>
        </w:rPr>
      </w:pPr>
      <w:r>
        <w:rPr>
          <w:rFonts w:cs="Guttman David"/>
          <w:sz w:val="20"/>
          <w:rtl/>
        </w:rPr>
        <w:tab/>
        <w:t>להצעתי זאת, של ה"יחלוקו", הסוכנות נתנה תשובה חיובית ואילו הבנקים נתנו תשובה שלילית.</w:t>
      </w:r>
    </w:p>
    <w:p w:rsidR="00000000" w:rsidRDefault="00493526">
      <w:pPr>
        <w:rPr>
          <w:rFonts w:cs="Guttman David"/>
          <w:sz w:val="20"/>
          <w:rtl/>
        </w:rPr>
      </w:pPr>
    </w:p>
    <w:p w:rsidR="00000000" w:rsidRDefault="00493526">
      <w:pPr>
        <w:rPr>
          <w:rFonts w:cs="Guttman David"/>
          <w:sz w:val="20"/>
          <w:rtl/>
        </w:rPr>
      </w:pPr>
      <w:r>
        <w:rPr>
          <w:rFonts w:cs="Guttman David"/>
          <w:sz w:val="20"/>
          <w:rtl/>
        </w:rPr>
        <w:tab/>
        <w:t>גברת מזוז, היועצת המשפטית של משרד האוצר, למה צריך לאשר את התקנות של שר האוצר?</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יורי שטרן:</w:t>
      </w:r>
    </w:p>
    <w:p w:rsidR="00000000" w:rsidRDefault="00493526">
      <w:pPr>
        <w:rPr>
          <w:rFonts w:cs="Guttman David"/>
          <w:sz w:val="20"/>
          <w:rtl/>
        </w:rPr>
      </w:pPr>
    </w:p>
    <w:p w:rsidR="00000000" w:rsidRDefault="00493526">
      <w:pPr>
        <w:rPr>
          <w:rFonts w:cs="Guttman David"/>
          <w:sz w:val="20"/>
          <w:rtl/>
        </w:rPr>
      </w:pPr>
      <w:r>
        <w:rPr>
          <w:rFonts w:cs="Guttman David"/>
          <w:sz w:val="20"/>
          <w:rtl/>
        </w:rPr>
        <w:tab/>
        <w:t>בכל זאת אני מבקש לומר שתי מלים, כמי שביקש את הרביז</w:t>
      </w:r>
      <w:r>
        <w:rPr>
          <w:rFonts w:cs="Guttman David"/>
          <w:sz w:val="20"/>
          <w:rtl/>
        </w:rPr>
        <w:t>יה.</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אמרו לי שחברי הכנסת שמחון וגאגולה הם שביקשו רביזיה.</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יצחק גאגולה:</w:t>
      </w:r>
    </w:p>
    <w:p w:rsidR="00000000" w:rsidRDefault="00493526">
      <w:pPr>
        <w:rPr>
          <w:rFonts w:cs="Guttman David"/>
          <w:sz w:val="20"/>
          <w:rtl/>
        </w:rPr>
      </w:pPr>
    </w:p>
    <w:p w:rsidR="00000000" w:rsidRDefault="00493526">
      <w:pPr>
        <w:rPr>
          <w:rFonts w:cs="Guttman David"/>
          <w:sz w:val="20"/>
          <w:rtl/>
        </w:rPr>
      </w:pPr>
      <w:r>
        <w:rPr>
          <w:rFonts w:cs="Guttman David"/>
          <w:sz w:val="20"/>
          <w:rtl/>
        </w:rPr>
        <w:tab/>
        <w:t>אני מוותר על זכות הדיבור.</w:t>
      </w:r>
    </w:p>
    <w:p w:rsidR="00000000" w:rsidRDefault="00493526">
      <w:pPr>
        <w:rPr>
          <w:rFonts w:cs="Guttman David"/>
          <w:sz w:val="20"/>
          <w:u w:val="single"/>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 xml:space="preserve">בואו נשמור לפחות על סדרי הדיון, כמו שאני מבקש. גברת מזוז תסביר למה צריך לאשר את התקנות כמו שהן, אנשי הסוכנות יסבירו </w:t>
      </w:r>
      <w:r>
        <w:rPr>
          <w:rFonts w:cs="Guttman David"/>
          <w:sz w:val="20"/>
          <w:rtl/>
        </w:rPr>
        <w:t>מה שהם רוצים, אני אסביר את הצעת הפישור שלי, שאולי כדאי שתהיה הצעה של הוועדה, ובסופו של דבר נחליט ונצביע. גברת מזוז, בבקשה.</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ימימה מזוז:</w:t>
      </w:r>
    </w:p>
    <w:p w:rsidR="00000000" w:rsidRDefault="00493526">
      <w:pPr>
        <w:rPr>
          <w:rFonts w:cs="Guttman David"/>
          <w:sz w:val="20"/>
          <w:rtl/>
        </w:rPr>
      </w:pPr>
      <w:r>
        <w:rPr>
          <w:rFonts w:cs="Guttman David"/>
          <w:sz w:val="20"/>
          <w:rtl/>
        </w:rPr>
        <w:tab/>
      </w:r>
    </w:p>
    <w:p w:rsidR="00000000" w:rsidRDefault="00493526">
      <w:pPr>
        <w:pStyle w:val="22"/>
        <w:rPr>
          <w:rFonts w:cs="Guttman David"/>
          <w:sz w:val="20"/>
          <w:rtl/>
        </w:rPr>
      </w:pPr>
      <w:r>
        <w:rPr>
          <w:rFonts w:cs="Guttman David"/>
          <w:sz w:val="20"/>
          <w:rtl/>
        </w:rPr>
        <w:tab/>
        <w:t>בפנייה האחרונה שלנו לוועדה ביקשנו לאשר את התקנות ללא מתן עדיפות לסוכנות. אנחנו עומדים על דעתנו זו, שכך צריך לאשר את ה</w:t>
      </w:r>
      <w:r>
        <w:rPr>
          <w:rFonts w:cs="Guttman David"/>
          <w:sz w:val="20"/>
          <w:rtl/>
        </w:rPr>
        <w:t>תקנות. אני רוצה להסביר.</w:t>
      </w:r>
    </w:p>
    <w:p w:rsidR="00000000" w:rsidRDefault="00493526">
      <w:pPr>
        <w:rPr>
          <w:rFonts w:cs="Guttman David"/>
          <w:sz w:val="20"/>
          <w:rtl/>
        </w:rPr>
      </w:pPr>
    </w:p>
    <w:p w:rsidR="00000000" w:rsidRDefault="00493526">
      <w:pPr>
        <w:rPr>
          <w:rFonts w:cs="Guttman David"/>
          <w:sz w:val="20"/>
          <w:rtl/>
        </w:rPr>
      </w:pPr>
      <w:r>
        <w:rPr>
          <w:rFonts w:cs="Guttman David"/>
          <w:sz w:val="20"/>
          <w:rtl/>
        </w:rPr>
        <w:t xml:space="preserve"> </w:t>
      </w:r>
      <w:r>
        <w:rPr>
          <w:rFonts w:cs="Guttman David"/>
          <w:sz w:val="20"/>
          <w:rtl/>
        </w:rPr>
        <w:tab/>
        <w:t>בזמנו דיברנו על האפשרות לתת עדיפות להתחייבות לרישום משכנתה. אנחנו מדברים על זכויות אחרות שיש לסוכנות - ויש להם, כי יש להם גם אגרות חוב בחלק מהמקומות או ברוב המקומות. גם הבנקים וגם הסוכנות אומרים שיש להם אגרות חוב. איפה שיש אגרת ח</w:t>
      </w:r>
      <w:r>
        <w:rPr>
          <w:rFonts w:cs="Guttman David"/>
          <w:sz w:val="20"/>
          <w:rtl/>
        </w:rPr>
        <w:t>וב מעמדם יהיה זהה למעמד הבנקים. השאלה היא רק לגבי התחייבות לרישום משכנתה.</w:t>
      </w:r>
    </w:p>
    <w:p w:rsidR="00000000" w:rsidRDefault="00493526">
      <w:pPr>
        <w:rPr>
          <w:rFonts w:cs="Guttman David"/>
          <w:sz w:val="20"/>
          <w:rtl/>
        </w:rPr>
      </w:pPr>
    </w:p>
    <w:p w:rsidR="00000000" w:rsidRDefault="00493526">
      <w:pPr>
        <w:rPr>
          <w:rFonts w:cs="Guttman David"/>
          <w:sz w:val="20"/>
          <w:rtl/>
        </w:rPr>
      </w:pPr>
      <w:r>
        <w:rPr>
          <w:rFonts w:cs="Guttman David"/>
          <w:sz w:val="20"/>
          <w:rtl/>
        </w:rPr>
        <w:tab/>
        <w:t>מבחינה משפטית אין מחלוקת - ואני מבינה שגם היתה הסכמה בוועדה, כך שלא צריך לדון בזה - שההתחייבות לרישום משכנתה היא לא זכות קניינית והיא לא צריכה להיות בכלל בסדר העדיפויות, על-פי מה ש</w:t>
      </w:r>
      <w:r>
        <w:rPr>
          <w:rFonts w:cs="Guttman David"/>
          <w:sz w:val="20"/>
          <w:rtl/>
        </w:rPr>
        <w:t>מפנה אותנו החוק בדין קדימה. היא לא היתה צריכה להיכנס מסיבות משפטיות.</w:t>
      </w:r>
    </w:p>
    <w:p w:rsidR="00000000" w:rsidRDefault="00493526">
      <w:pPr>
        <w:rPr>
          <w:rFonts w:cs="Guttman David"/>
          <w:sz w:val="20"/>
          <w:rtl/>
        </w:rPr>
      </w:pPr>
    </w:p>
    <w:p w:rsidR="00000000" w:rsidRDefault="00493526">
      <w:pPr>
        <w:rPr>
          <w:rFonts w:cs="Guttman David"/>
          <w:sz w:val="20"/>
          <w:rtl/>
        </w:rPr>
      </w:pPr>
      <w:r>
        <w:rPr>
          <w:rFonts w:cs="Guttman David"/>
          <w:sz w:val="20"/>
          <w:rtl/>
        </w:rPr>
        <w:tab/>
        <w:t>השאלה שעמדה היא האם ההסמכה שבחוק היא מספיק רחבה כדי לתת עדיפות להתחייבות לרישום משכנתה. בעניין הזה אני חושבת שההסמכה שבחוק פותחת פתח לשנות במשהו מסדרי הקדימה שנקבעו בפקודת פשיטת הרגל וב</w:t>
      </w:r>
      <w:r>
        <w:rPr>
          <w:rFonts w:cs="Guttman David"/>
          <w:sz w:val="20"/>
          <w:rtl/>
        </w:rPr>
        <w:t>חוק החברות אבל הפתח הוא צר והוא לא מאפשר להקנות מעמד של שעבוד למה שהוא לא בגדר שעבוד. לכן לטענת ההסמכה של החוק, פורמלית לדעתי אין אפשרות להכניס התחיבות לרישום משכנתה, בטח לא בעדיפות על אגרות חוב על-פיהן ניתן שעבוד צף.</w:t>
      </w:r>
    </w:p>
    <w:p w:rsidR="00000000" w:rsidRDefault="00493526">
      <w:pPr>
        <w:rPr>
          <w:rFonts w:cs="Guttman David"/>
          <w:sz w:val="20"/>
          <w:rtl/>
        </w:rPr>
      </w:pPr>
    </w:p>
    <w:p w:rsidR="00000000" w:rsidRDefault="00493526">
      <w:pPr>
        <w:rPr>
          <w:rFonts w:cs="Guttman David"/>
          <w:sz w:val="20"/>
          <w:rtl/>
        </w:rPr>
      </w:pPr>
    </w:p>
    <w:p w:rsidR="00000000" w:rsidRDefault="00493526">
      <w:pPr>
        <w:rPr>
          <w:rFonts w:cs="Guttman David"/>
          <w:sz w:val="20"/>
          <w:rtl/>
        </w:rPr>
      </w:pPr>
      <w:r>
        <w:rPr>
          <w:rFonts w:cs="Guttman David"/>
          <w:sz w:val="20"/>
          <w:rtl/>
        </w:rPr>
        <w:tab/>
        <w:t xml:space="preserve">לכן ברמה הפורמלית המשפטית לדעתי זה </w:t>
      </w:r>
      <w:r>
        <w:rPr>
          <w:rFonts w:cs="Guttman David"/>
          <w:sz w:val="20"/>
          <w:rtl/>
        </w:rPr>
        <w:t xml:space="preserve">די סגור. אין מעמד עדיף להתחייבות לרישום משכנתה וגם החוק לא מאפשר לנו, כי ההסמכה שבו היא לא רחבה מספיק בשביל לסטות סטייה כל-כך מהותית מדיני הקדימה שבחוקים הרלוונטיים. </w:t>
      </w:r>
    </w:p>
    <w:p w:rsidR="00000000" w:rsidRDefault="00493526">
      <w:pPr>
        <w:rPr>
          <w:rFonts w:cs="Guttman David"/>
          <w:sz w:val="20"/>
          <w:rtl/>
        </w:rPr>
      </w:pPr>
    </w:p>
    <w:p w:rsidR="00000000" w:rsidRDefault="00493526">
      <w:pPr>
        <w:rPr>
          <w:rFonts w:cs="Guttman David"/>
          <w:sz w:val="20"/>
          <w:rtl/>
        </w:rPr>
      </w:pPr>
      <w:r>
        <w:rPr>
          <w:rFonts w:cs="Guttman David"/>
          <w:sz w:val="20"/>
          <w:rtl/>
        </w:rPr>
        <w:tab/>
        <w:t>נטענה טענה מוסרית, האם לא צריך בכל זאת לתת לסוכנות, בגלל מעמדה המיוחד וההשקעה שהיא עשתה</w:t>
      </w:r>
      <w:r>
        <w:rPr>
          <w:rFonts w:cs="Guttman David"/>
          <w:sz w:val="20"/>
          <w:rtl/>
        </w:rPr>
        <w:t xml:space="preserve"> בישובים האלה, עדיפות. אני חושבת שגם בעניין הזה, גם אילו היתה לנו הסמכה אני חושבת שלא היה מקום לזה. אני רוצה להסביר.</w:t>
      </w:r>
    </w:p>
    <w:p w:rsidR="00000000" w:rsidRDefault="00493526">
      <w:pPr>
        <w:rPr>
          <w:rFonts w:cs="Guttman David"/>
          <w:sz w:val="20"/>
          <w:rtl/>
        </w:rPr>
      </w:pPr>
    </w:p>
    <w:p w:rsidR="00000000" w:rsidRDefault="00493526">
      <w:pPr>
        <w:rPr>
          <w:rFonts w:cs="Guttman David"/>
          <w:sz w:val="20"/>
          <w:rtl/>
        </w:rPr>
      </w:pPr>
      <w:r>
        <w:rPr>
          <w:rFonts w:cs="Guttman David"/>
          <w:sz w:val="20"/>
          <w:rtl/>
        </w:rPr>
        <w:tab/>
        <w:t>מעמדה של הסוכנות בקרקע הוא לא כשל נושה. מעמדה של הסוכנות הוא כמין בעלים, או זכות דומה לזה, חוכרת ראשית, אמנם בחוזים מתחדשים ל-3 שנים, אבל</w:t>
      </w:r>
      <w:r>
        <w:rPr>
          <w:rFonts w:cs="Guttman David"/>
          <w:sz w:val="20"/>
          <w:rtl/>
        </w:rPr>
        <w:t xml:space="preserve"> היא בעלת הזכות העיקרית בקרקע אחרי המחכירה - המדינה. ככזאת, היא זאת שנתנה לבנקים את האפשרות לרשום שעבודים על הקרקע, שעבודים על האגודה, ובהסכמתה השעבודים האלה ניתנו. </w:t>
      </w:r>
    </w:p>
    <w:p w:rsidR="00000000" w:rsidRDefault="00493526">
      <w:pPr>
        <w:rPr>
          <w:rFonts w:cs="Guttman David"/>
          <w:sz w:val="20"/>
          <w:rtl/>
        </w:rPr>
      </w:pPr>
    </w:p>
    <w:p w:rsidR="00000000" w:rsidRDefault="00493526">
      <w:pPr>
        <w:rPr>
          <w:rFonts w:cs="Guttman David"/>
          <w:sz w:val="20"/>
          <w:rtl/>
        </w:rPr>
      </w:pPr>
      <w:r>
        <w:rPr>
          <w:rFonts w:cs="Guttman David"/>
          <w:sz w:val="20"/>
          <w:rtl/>
        </w:rPr>
        <w:tab/>
        <w:t>הכספים שהסוכנות השקיעה כל השנים בישובים ניתנו מתוך כוונה לסייע לישובים ולא מתוך כוונה לה</w:t>
      </w:r>
      <w:r>
        <w:rPr>
          <w:rFonts w:cs="Guttman David"/>
          <w:sz w:val="20"/>
          <w:rtl/>
        </w:rPr>
        <w:t xml:space="preserve">יות נושה שלהם ולבוא ולגבות את החובות בעת צרה. נכון שהם התכוונו להעמיד כמענק אמנם רק את אותם 75% מההלוואה ולא את כל ההלוואה, ואת ה-25% הם כל הזמן רצו לגבות, אבל זה לא משנה מכך שבעצם במעמד שלהם הם לא פעלו כמלווים. </w:t>
      </w:r>
    </w:p>
    <w:p w:rsidR="00000000" w:rsidRDefault="00493526">
      <w:pPr>
        <w:rPr>
          <w:rFonts w:cs="Guttman David"/>
          <w:sz w:val="20"/>
          <w:rtl/>
        </w:rPr>
      </w:pPr>
    </w:p>
    <w:p w:rsidR="00000000" w:rsidRDefault="00493526">
      <w:pPr>
        <w:rPr>
          <w:rFonts w:cs="Guttman David"/>
          <w:sz w:val="20"/>
          <w:rtl/>
        </w:rPr>
      </w:pPr>
      <w:r>
        <w:rPr>
          <w:rFonts w:cs="Guttman David"/>
          <w:sz w:val="20"/>
          <w:rtl/>
        </w:rPr>
        <w:t xml:space="preserve"> </w:t>
      </w:r>
      <w:r>
        <w:rPr>
          <w:rFonts w:cs="Guttman David"/>
          <w:sz w:val="20"/>
          <w:rtl/>
        </w:rPr>
        <w:tab/>
        <w:t>לגבי הבנקים - זה עיסוקם. הם נתנו הלוואות</w:t>
      </w:r>
      <w:r>
        <w:rPr>
          <w:rFonts w:cs="Guttman David"/>
          <w:sz w:val="20"/>
          <w:rtl/>
        </w:rPr>
        <w:t>, קיבלו בטחונות ואיפה שהם קיבלו בטחונות ראויים הם הבטיחו לעצמם את גביית  החוב. מעבר למה שהחוק מנע מהם לגבות אין לנו סמכות לפגוע בהם עוד, בהתאם לזכויות שהובטחו.</w:t>
      </w:r>
    </w:p>
    <w:p w:rsidR="00000000" w:rsidRDefault="00493526">
      <w:pPr>
        <w:rPr>
          <w:rFonts w:cs="Guttman David"/>
          <w:sz w:val="20"/>
          <w:rtl/>
        </w:rPr>
      </w:pPr>
    </w:p>
    <w:p w:rsidR="00000000" w:rsidRDefault="00493526">
      <w:pPr>
        <w:rPr>
          <w:rFonts w:cs="Guttman David"/>
          <w:sz w:val="20"/>
          <w:rtl/>
        </w:rPr>
      </w:pPr>
      <w:r>
        <w:rPr>
          <w:rFonts w:cs="Guttman David"/>
          <w:sz w:val="20"/>
          <w:rtl/>
        </w:rPr>
        <w:tab/>
        <w:t>לגבי הסוכנות - אם היא לא הבטיחה את עצמה - ולא במקרה היא לא הבטיחה את עצמה אלא היא רצתה לסייע ל</w:t>
      </w:r>
      <w:r>
        <w:rPr>
          <w:rFonts w:cs="Guttman David"/>
          <w:sz w:val="20"/>
          <w:rtl/>
        </w:rPr>
        <w:t>ישוב, שהוא יוכל לקבל אשראי מהבנקים ונתנה את הסכמתה לאותם שעבודים - זה נראה לי אפילו קצת לא מוסרי שעכשיו כשבאים הבנקים לממש את זכותם, שהיא ויתרה לטובתם, תבוא הסוכנות ותגיד: לא, אני בכל זאת רוצה לשמור על עדיפותי.</w:t>
      </w:r>
    </w:p>
    <w:p w:rsidR="00000000" w:rsidRDefault="00493526">
      <w:pPr>
        <w:rPr>
          <w:rFonts w:cs="Guttman David"/>
          <w:sz w:val="20"/>
          <w:rtl/>
        </w:rPr>
      </w:pPr>
    </w:p>
    <w:p w:rsidR="00000000" w:rsidRDefault="00493526">
      <w:pPr>
        <w:rPr>
          <w:rFonts w:cs="Guttman David"/>
          <w:sz w:val="20"/>
          <w:rtl/>
        </w:rPr>
      </w:pPr>
      <w:r>
        <w:rPr>
          <w:rFonts w:cs="Guttman David"/>
          <w:sz w:val="20"/>
          <w:rtl/>
        </w:rPr>
        <w:tab/>
        <w:t>בנושא העיקרי שבו לסוכנות יש מעמד מיוחד, וזה</w:t>
      </w:r>
      <w:r>
        <w:rPr>
          <w:rFonts w:cs="Guttman David"/>
          <w:sz w:val="20"/>
          <w:rtl/>
        </w:rPr>
        <w:t xml:space="preserve"> הקרקע, בכל מקום שעדיין יש חוזה משולש לסוכנות יש עדיין מעמד בקרקע ואי אפשר לעשות שום עסקה בקרקע בלעדיה. חלק גדול מהתמורות המתוכננות אמורות לבוא מההרחבות במושבים, וההרחבות האלה ייעשו רק בהסכמת הסוכנות, וכידוע לכולם הסוכנות לא נותנת הסכמתה בנדיבות אלא רק לאח</w:t>
      </w:r>
      <w:r>
        <w:rPr>
          <w:rFonts w:cs="Guttman David"/>
          <w:sz w:val="20"/>
          <w:rtl/>
        </w:rPr>
        <w:t>ר שהיא גובה את חלקה, מה שהיא חושבת שהוא חלקה. היא יכולה לגבות את החוב אם היא תהיה יותר נדיבה ולא תגבה את ה-4% או 8% כפי שהיא נוהגת לעשות.</w:t>
      </w:r>
    </w:p>
    <w:p w:rsidR="00000000" w:rsidRDefault="00493526">
      <w:pPr>
        <w:rPr>
          <w:rFonts w:cs="Guttman David"/>
          <w:sz w:val="20"/>
          <w:rtl/>
        </w:rPr>
      </w:pPr>
    </w:p>
    <w:p w:rsidR="00000000" w:rsidRDefault="00493526">
      <w:pPr>
        <w:rPr>
          <w:rFonts w:cs="Guttman David"/>
          <w:sz w:val="20"/>
          <w:rtl/>
        </w:rPr>
      </w:pPr>
      <w:r>
        <w:rPr>
          <w:rFonts w:cs="Guttman David"/>
          <w:sz w:val="20"/>
          <w:rtl/>
        </w:rPr>
        <w:tab/>
        <w:t>מבחינת המימושים העתידיים, בהנחה שבאמת רובם יבואו מתמורות מעסקאות בקרקע - ואת זה יידעו אנשי המנהלה - אז הסוכנות עדיין</w:t>
      </w:r>
      <w:r>
        <w:rPr>
          <w:rFonts w:cs="Guttman David"/>
          <w:sz w:val="20"/>
          <w:rtl/>
        </w:rPr>
        <w:t xml:space="preserve"> תוכל לשים יד על חלק מהכספים האלה או להתנות את הסכמתה בפרעון החוב.</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גברת מזוז, אני מודה לך. מי ידבר מטעם הסוכנות?</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משה שיף:</w:t>
      </w:r>
    </w:p>
    <w:p w:rsidR="00000000" w:rsidRDefault="00493526">
      <w:pPr>
        <w:rPr>
          <w:rFonts w:cs="Guttman David"/>
          <w:sz w:val="20"/>
          <w:rtl/>
        </w:rPr>
      </w:pPr>
    </w:p>
    <w:p w:rsidR="00000000" w:rsidRDefault="00493526">
      <w:pPr>
        <w:rPr>
          <w:rFonts w:cs="Guttman David"/>
          <w:sz w:val="20"/>
          <w:rtl/>
        </w:rPr>
      </w:pPr>
      <w:r>
        <w:rPr>
          <w:rFonts w:cs="Guttman David"/>
          <w:sz w:val="20"/>
          <w:rtl/>
        </w:rPr>
        <w:tab/>
        <w:t xml:space="preserve">הקשבתי בקשב רב לדבריה של עו"ד מזוז. אני אתייחס כמובן לדבריה. אני אתייחס לקטע המשפטי, ובכל זאת כבוד הגזבר שלנו </w:t>
      </w:r>
      <w:r>
        <w:rPr>
          <w:rFonts w:cs="Guttman David"/>
          <w:sz w:val="20"/>
          <w:rtl/>
        </w:rPr>
        <w:t>פה והוא יוכל להרחיב.</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ידבר רק אחד מכם. אתה תגיד הכל והוא לא יאמר מלה; או שהוא ידבר ואתה לא תדבר.</w:t>
      </w:r>
    </w:p>
    <w:p w:rsidR="00000000" w:rsidRDefault="00493526">
      <w:pPr>
        <w:rPr>
          <w:rFonts w:cs="Guttman David"/>
          <w:sz w:val="20"/>
          <w:u w:val="single"/>
          <w:rtl/>
        </w:rPr>
      </w:pPr>
      <w:r>
        <w:rPr>
          <w:rFonts w:cs="Guttman David"/>
          <w:sz w:val="20"/>
          <w:u w:val="single"/>
          <w:rtl/>
        </w:rPr>
        <w:t>משה שיף:</w:t>
      </w:r>
    </w:p>
    <w:p w:rsidR="00000000" w:rsidRDefault="00493526">
      <w:pPr>
        <w:rPr>
          <w:rFonts w:cs="Guttman David"/>
          <w:sz w:val="20"/>
          <w:rtl/>
        </w:rPr>
      </w:pPr>
    </w:p>
    <w:p w:rsidR="00000000" w:rsidRDefault="00493526">
      <w:pPr>
        <w:rPr>
          <w:rFonts w:cs="Guttman David"/>
          <w:sz w:val="20"/>
          <w:rtl/>
        </w:rPr>
      </w:pPr>
      <w:r>
        <w:rPr>
          <w:rFonts w:cs="Guttman David"/>
          <w:sz w:val="20"/>
          <w:rtl/>
        </w:rPr>
        <w:tab/>
        <w:t>אנחנו מדברים על סמכות הוועדה להתקין את התקנות בנוסח שהסוכנות מבקשת, כאשר בעבר באמת הופיעה תקנה שקבעה שחובות בהתחייבות לרישום משכ</w:t>
      </w:r>
      <w:r>
        <w:rPr>
          <w:rFonts w:cs="Guttman David"/>
          <w:sz w:val="20"/>
          <w:rtl/>
        </w:rPr>
        <w:t>נתה יזכו לעדיפות על פני שעבודים צפים. זו המחלוקת שהיתה בינינו לבין הבנקים.</w:t>
      </w:r>
    </w:p>
    <w:p w:rsidR="00000000" w:rsidRDefault="00493526">
      <w:pPr>
        <w:rPr>
          <w:rFonts w:cs="Guttman David"/>
          <w:sz w:val="20"/>
          <w:rtl/>
        </w:rPr>
      </w:pPr>
    </w:p>
    <w:p w:rsidR="00000000" w:rsidRDefault="00493526">
      <w:pPr>
        <w:rPr>
          <w:rFonts w:cs="Guttman David"/>
          <w:sz w:val="20"/>
          <w:rtl/>
        </w:rPr>
      </w:pPr>
      <w:r>
        <w:rPr>
          <w:rFonts w:cs="Guttman David"/>
          <w:sz w:val="20"/>
          <w:rtl/>
        </w:rPr>
        <w:tab/>
        <w:t>סעיף 24 לחוק קובע שהתקנות יותקנו "בשים לב לכללים הקבועים בפקודת פשיטת הרגל ובפקודת החברות". הסעיף עצמו מתייחס במפורש "לרבות בעניין סדרי הקדימה בין הנושים השונים". הסעיף לא מבחין ב</w:t>
      </w:r>
      <w:r>
        <w:rPr>
          <w:rFonts w:cs="Guttman David"/>
          <w:sz w:val="20"/>
          <w:rtl/>
        </w:rPr>
        <w:t xml:space="preserve">ין נושים מובטחים ונושים לא מובטחים אלא הוא מדבר על "נושים שונים". </w:t>
      </w:r>
    </w:p>
    <w:p w:rsidR="00000000" w:rsidRDefault="00493526">
      <w:pPr>
        <w:rPr>
          <w:rFonts w:cs="Guttman David"/>
          <w:sz w:val="20"/>
          <w:rtl/>
        </w:rPr>
      </w:pPr>
    </w:p>
    <w:p w:rsidR="00000000" w:rsidRDefault="00493526">
      <w:pPr>
        <w:rPr>
          <w:rFonts w:cs="Guttman David"/>
          <w:sz w:val="20"/>
          <w:rtl/>
        </w:rPr>
      </w:pPr>
      <w:r>
        <w:rPr>
          <w:rFonts w:cs="Guttman David"/>
          <w:sz w:val="20"/>
          <w:rtl/>
        </w:rPr>
        <w:tab/>
        <w:t>לפיכך יש, לפי דעתי המקצועית, סמכות לוועדה הזאת לדון ולהחליט גם אחרת מדרך הנשייה הרגילה שקבועה בחוקים אחרים.</w:t>
      </w:r>
    </w:p>
    <w:p w:rsidR="00000000" w:rsidRDefault="00493526">
      <w:pPr>
        <w:rPr>
          <w:rFonts w:cs="Guttman David"/>
          <w:sz w:val="20"/>
          <w:rtl/>
        </w:rPr>
      </w:pPr>
    </w:p>
    <w:p w:rsidR="00000000" w:rsidRDefault="00493526">
      <w:pPr>
        <w:rPr>
          <w:rFonts w:cs="Guttman David"/>
          <w:sz w:val="20"/>
          <w:rtl/>
        </w:rPr>
      </w:pPr>
      <w:r>
        <w:rPr>
          <w:rFonts w:cs="Guttman David"/>
          <w:sz w:val="20"/>
          <w:rtl/>
        </w:rPr>
        <w:tab/>
        <w:t>בפני הוועדה הזאת ב-1998 וב-1999 היה מונח נוסח אחר, שמשרד האוצר סמך ידיו עליו,</w:t>
      </w:r>
      <w:r>
        <w:rPr>
          <w:rFonts w:cs="Guttman David"/>
          <w:sz w:val="20"/>
          <w:rtl/>
        </w:rPr>
        <w:t xml:space="preserve"> עם התקנה הזאת. לבוא היום ולהגיד שאין סמכות לוועדה - זה נראה לי בלתי סביר. הרי גם שר המשפטים דאז וגם שר האוצר דאז אישרו את נוסח התקנות ההוא. לבוא ולהגיד היום שאין סמכות לוועדה להחליט אחרת, זה נראה לי לא נכון ולא צודק.</w:t>
      </w:r>
    </w:p>
    <w:p w:rsidR="00000000" w:rsidRDefault="00493526">
      <w:pPr>
        <w:rPr>
          <w:rFonts w:cs="Guttman David"/>
          <w:sz w:val="20"/>
          <w:rtl/>
        </w:rPr>
      </w:pPr>
    </w:p>
    <w:p w:rsidR="00000000" w:rsidRDefault="00493526">
      <w:pPr>
        <w:rPr>
          <w:rFonts w:cs="Guttman David"/>
          <w:sz w:val="20"/>
          <w:rtl/>
        </w:rPr>
      </w:pPr>
      <w:r>
        <w:rPr>
          <w:rFonts w:cs="Guttman David"/>
          <w:sz w:val="20"/>
          <w:rtl/>
        </w:rPr>
        <w:tab/>
        <w:t xml:space="preserve">כולנו יושבים סביב אותו שולחן ואנחנו </w:t>
      </w:r>
      <w:r>
        <w:rPr>
          <w:rFonts w:cs="Guttman David"/>
          <w:sz w:val="20"/>
          <w:rtl/>
        </w:rPr>
        <w:t xml:space="preserve">יודעים למה השתנה נוסח התקנות. בישיבה הקודמת אמרה במפורש עו"ד מיכל עקביה, מהלשכה המשפטית במשרד האוצר, וזה נרשם בפרוטוקול, ש"נכון, במקור נתנו לסוכנות עדיפות אבל מאחר ולא הצלחנו במשך כמה שנים להעביר את התקנות, ולא משום שיקולים עקרוניים רבי-משקל, אז הורדנו את </w:t>
      </w:r>
      <w:r>
        <w:rPr>
          <w:rFonts w:cs="Guttman David"/>
          <w:sz w:val="20"/>
          <w:rtl/>
        </w:rPr>
        <w:t>זה". לא היה שום שיקול עקרוני ולא היתה בעיה לחוקק את זה. פשוט מאוד היה לחץ גדול מהבנקים ומשרד האוצר נכנע. אם משרד האוצר נכנע, זה לא אומר שלוועדה הזאת אין סמכות להחליט אחרת, עם כל הכבוד. אני חושב שזה לא צריך לבוא על גב הסוכנות, כאשר אנחנו יודעים את יחסה אל נ</w:t>
      </w:r>
      <w:r>
        <w:rPr>
          <w:rFonts w:cs="Guttman David"/>
          <w:sz w:val="20"/>
          <w:rtl/>
        </w:rPr>
        <w:t>ושא כספים, שהבנק הוא למעשה בנק שנותן כספים.</w:t>
      </w:r>
    </w:p>
    <w:p w:rsidR="00000000" w:rsidRDefault="00493526">
      <w:pPr>
        <w:rPr>
          <w:rFonts w:cs="Guttman David"/>
          <w:sz w:val="20"/>
          <w:rtl/>
        </w:rPr>
      </w:pPr>
    </w:p>
    <w:p w:rsidR="00000000" w:rsidRDefault="00493526">
      <w:pPr>
        <w:rPr>
          <w:rFonts w:cs="Guttman David"/>
          <w:sz w:val="20"/>
          <w:rtl/>
        </w:rPr>
      </w:pPr>
      <w:r>
        <w:rPr>
          <w:rFonts w:cs="Guttman David"/>
          <w:sz w:val="20"/>
          <w:rtl/>
        </w:rPr>
        <w:tab/>
        <w:t xml:space="preserve">כל מה שעומד מסביב לכל הנושא של הסדרים וסדרי קדימויות בנשייה, זה רק דבר אחד. רישום בא להגיד לאדם - פומביות. בדקתי ברשם האגודות וראיתי שיש רישום. הרי אין פה אחד מהבנקים שנתן כסף שלא ידע שהסוכנות היהודית הקימה את </w:t>
      </w:r>
      <w:r>
        <w:rPr>
          <w:rFonts w:cs="Guttman David"/>
          <w:sz w:val="20"/>
          <w:rtl/>
        </w:rPr>
        <w:t>הישוב, נתנה כספים לטובת הקמת הישוב וקיבלה התחייבות לרישום משכנתה. זה לא יעזור, יש החלטת מינהל בעניין הזה.</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דוידה לחמן-מסר:</w:t>
      </w:r>
    </w:p>
    <w:p w:rsidR="00000000" w:rsidRDefault="00493526">
      <w:pPr>
        <w:rPr>
          <w:rFonts w:cs="Guttman David"/>
          <w:sz w:val="20"/>
          <w:u w:val="single"/>
          <w:rtl/>
        </w:rPr>
      </w:pPr>
    </w:p>
    <w:p w:rsidR="00000000" w:rsidRDefault="00493526">
      <w:pPr>
        <w:rPr>
          <w:rFonts w:cs="Guttman David"/>
          <w:sz w:val="20"/>
          <w:rtl/>
        </w:rPr>
      </w:pPr>
      <w:r>
        <w:rPr>
          <w:rFonts w:cs="Guttman David"/>
          <w:sz w:val="20"/>
          <w:rtl/>
        </w:rPr>
        <w:tab/>
        <w:t>והסוכנות גם הסכימה לשעבוד.</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משה שיף:</w:t>
      </w:r>
    </w:p>
    <w:p w:rsidR="00000000" w:rsidRDefault="00493526">
      <w:pPr>
        <w:rPr>
          <w:rFonts w:cs="Guttman David"/>
          <w:sz w:val="20"/>
          <w:rtl/>
        </w:rPr>
      </w:pPr>
    </w:p>
    <w:p w:rsidR="00000000" w:rsidRDefault="00493526">
      <w:pPr>
        <w:rPr>
          <w:rFonts w:cs="Guttman David"/>
          <w:sz w:val="20"/>
          <w:rtl/>
        </w:rPr>
      </w:pPr>
      <w:r>
        <w:rPr>
          <w:rFonts w:cs="Guttman David"/>
          <w:sz w:val="20"/>
          <w:rtl/>
        </w:rPr>
        <w:tab/>
        <w:t>כל אחד מהבנקים ידע את זה כשהוא נתן כסף, עם כל הכבוד, שלסוכנות היהודית יש התחייבות לרישום משכ</w:t>
      </w:r>
      <w:r>
        <w:rPr>
          <w:rFonts w:cs="Guttman David"/>
          <w:sz w:val="20"/>
          <w:rtl/>
        </w:rPr>
        <w:t>נתה, יש הלוואות, ובכל זאת הוא הסכים לתת את הכסף. לבוא היום ולהגיד: אנחנו הסתמכנו על רישומים שנקבל עדיפות, זה פשוט מאוד לא נכון ולא הוגן לעשות. כל אחד מהם נתן את הכסף בכפוף לידיעה הזאת.</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אבשלום וילן:</w:t>
      </w:r>
    </w:p>
    <w:p w:rsidR="00000000" w:rsidRDefault="00493526">
      <w:pPr>
        <w:rPr>
          <w:rFonts w:cs="Guttman David"/>
          <w:sz w:val="20"/>
          <w:rtl/>
        </w:rPr>
      </w:pPr>
    </w:p>
    <w:p w:rsidR="00000000" w:rsidRDefault="00493526">
      <w:pPr>
        <w:rPr>
          <w:rFonts w:cs="Guttman David"/>
          <w:sz w:val="20"/>
          <w:rtl/>
        </w:rPr>
      </w:pPr>
      <w:r>
        <w:rPr>
          <w:rFonts w:cs="Guttman David"/>
          <w:sz w:val="20"/>
          <w:rtl/>
        </w:rPr>
        <w:tab/>
        <w:t>אתם הסכמתם לפשרה המוצעת שדיבר עליה חבר הכנסת פורז.</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ימי</w:t>
      </w:r>
      <w:r>
        <w:rPr>
          <w:rFonts w:cs="Guttman David"/>
          <w:sz w:val="20"/>
          <w:u w:val="single"/>
          <w:rtl/>
        </w:rPr>
        <w:t>מה מזוז:</w:t>
      </w:r>
    </w:p>
    <w:p w:rsidR="00000000" w:rsidRDefault="00493526">
      <w:pPr>
        <w:rPr>
          <w:rFonts w:cs="Guttman David"/>
          <w:sz w:val="20"/>
          <w:rtl/>
        </w:rPr>
      </w:pPr>
      <w:r>
        <w:rPr>
          <w:rFonts w:cs="Guttman David"/>
          <w:sz w:val="20"/>
          <w:rtl/>
        </w:rPr>
        <w:tab/>
      </w:r>
    </w:p>
    <w:p w:rsidR="00000000" w:rsidRDefault="00493526">
      <w:pPr>
        <w:rPr>
          <w:rFonts w:cs="Guttman David"/>
          <w:sz w:val="20"/>
          <w:rtl/>
        </w:rPr>
      </w:pPr>
      <w:r>
        <w:rPr>
          <w:rFonts w:cs="Guttman David"/>
          <w:sz w:val="20"/>
          <w:rtl/>
        </w:rPr>
        <w:tab/>
        <w:t>בכפוף לידיעה על מה שוויה של ההתחייבות לרישום משכנתה.</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אבשלום וילן:</w:t>
      </w:r>
    </w:p>
    <w:p w:rsidR="00000000" w:rsidRDefault="00493526">
      <w:pPr>
        <w:rPr>
          <w:rFonts w:cs="Guttman David"/>
          <w:sz w:val="20"/>
          <w:rtl/>
        </w:rPr>
      </w:pPr>
    </w:p>
    <w:p w:rsidR="00000000" w:rsidRDefault="00493526">
      <w:pPr>
        <w:rPr>
          <w:rFonts w:cs="Guttman David"/>
          <w:sz w:val="20"/>
          <w:rtl/>
        </w:rPr>
      </w:pPr>
      <w:r>
        <w:rPr>
          <w:rFonts w:cs="Guttman David"/>
          <w:sz w:val="20"/>
          <w:rtl/>
        </w:rPr>
        <w:tab/>
        <w:t>הם הסכימו לפשרה והאוצר לא דן בזה אפילו.</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משה שיף:</w:t>
      </w:r>
    </w:p>
    <w:p w:rsidR="00000000" w:rsidRDefault="00493526">
      <w:pPr>
        <w:rPr>
          <w:rFonts w:cs="Guttman David"/>
          <w:sz w:val="20"/>
          <w:rtl/>
        </w:rPr>
      </w:pPr>
    </w:p>
    <w:p w:rsidR="00000000" w:rsidRDefault="00493526">
      <w:pPr>
        <w:rPr>
          <w:rFonts w:cs="Guttman David"/>
          <w:sz w:val="20"/>
          <w:rtl/>
        </w:rPr>
      </w:pPr>
      <w:r>
        <w:rPr>
          <w:rFonts w:cs="Guttman David"/>
          <w:sz w:val="20"/>
          <w:rtl/>
        </w:rPr>
        <w:tab/>
        <w:t>היה דיון בפני יושב-ראש הוועדה והסוכנות היהודית הודיעה שהיא מוכנה לפשרה, וגם היום היא מוכנה לקבל את אותה פשרה שהוצעה אז.</w:t>
      </w:r>
    </w:p>
    <w:p w:rsidR="00000000" w:rsidRDefault="00493526">
      <w:pPr>
        <w:rPr>
          <w:rFonts w:cs="Guttman David"/>
          <w:sz w:val="20"/>
          <w:rtl/>
        </w:rPr>
      </w:pPr>
    </w:p>
    <w:p w:rsidR="00000000" w:rsidRDefault="00493526">
      <w:pPr>
        <w:rPr>
          <w:rFonts w:cs="Guttman David"/>
          <w:sz w:val="20"/>
          <w:rtl/>
        </w:rPr>
      </w:pPr>
      <w:r>
        <w:rPr>
          <w:rFonts w:cs="Guttman David"/>
          <w:sz w:val="20"/>
          <w:rtl/>
        </w:rPr>
        <w:tab/>
        <w:t>ל</w:t>
      </w:r>
      <w:r>
        <w:rPr>
          <w:rFonts w:cs="Guttman David"/>
          <w:sz w:val="20"/>
          <w:rtl/>
        </w:rPr>
        <w:t>גבי כל ההלוואות: אין מחלוקת לגבי התרומה של הסוכנות היהודית להתיישבות. נכון, הסוכנות מודה בכך שהיא בסוף השנה לא תיקח דיבידנד. אותם כספים שהיא תקבל, הסוכנות מודה, הגזבר פה יודה, היא תעביר לנושא של התיישבות, לנושא של עלייה ולנושא של חינוך יהודי, אין ספק.</w:t>
      </w:r>
    </w:p>
    <w:p w:rsidR="00000000" w:rsidRDefault="00493526">
      <w:pPr>
        <w:rPr>
          <w:rFonts w:cs="Guttman David"/>
          <w:sz w:val="20"/>
          <w:rtl/>
        </w:rPr>
      </w:pPr>
    </w:p>
    <w:p w:rsidR="00000000" w:rsidRDefault="00493526">
      <w:pPr>
        <w:rPr>
          <w:rFonts w:cs="Guttman David"/>
          <w:sz w:val="20"/>
          <w:rtl/>
        </w:rPr>
      </w:pPr>
      <w:r>
        <w:rPr>
          <w:rFonts w:cs="Guttman David"/>
          <w:sz w:val="20"/>
          <w:rtl/>
        </w:rPr>
        <w:tab/>
        <w:t>לג</w:t>
      </w:r>
      <w:r>
        <w:rPr>
          <w:rFonts w:cs="Guttman David"/>
          <w:sz w:val="20"/>
          <w:rtl/>
        </w:rPr>
        <w:t>בי זה שהבנקים נותנים הלוואות כי זה העסק שלהם, זה נכון. הסוכנות אמנם נתנה מענקים אבל היא גם נתנה הלוואות. הסוכנות לא מבקשת כספים שהיא נתנה כמענק. בסכומים שהסוכנות היהודית נתנה היו גם סכומים שניתנו כהלוואה, עם גדר של תנאי הלוואה. מדוע תיגרע זכותה מכל בנק אחר</w:t>
      </w:r>
      <w:r>
        <w:rPr>
          <w:rFonts w:cs="Guttman David"/>
          <w:sz w:val="20"/>
          <w:rtl/>
        </w:rPr>
        <w:t>? מה אני שונה כשאני נותן הלוואה לעומת בנקים בנושא הזה? יש תנאי הלוואה ואני מבקש שיעמדו בהם. אני לא מבקש החזרת מענקים, שקבעתי שהם מענקים. אני לא מבין למה להציג את זה בצורה כזאת.</w:t>
      </w:r>
    </w:p>
    <w:p w:rsidR="00000000" w:rsidRDefault="00493526">
      <w:pPr>
        <w:rPr>
          <w:rFonts w:cs="Guttman David"/>
          <w:sz w:val="20"/>
          <w:rtl/>
        </w:rPr>
      </w:pPr>
    </w:p>
    <w:p w:rsidR="00000000" w:rsidRDefault="00493526">
      <w:pPr>
        <w:rPr>
          <w:rFonts w:cs="Guttman David"/>
          <w:sz w:val="20"/>
          <w:rtl/>
        </w:rPr>
      </w:pPr>
      <w:r>
        <w:rPr>
          <w:rFonts w:cs="Guttman David"/>
          <w:sz w:val="20"/>
          <w:rtl/>
        </w:rPr>
        <w:tab/>
        <w:t>אני רוצה לחזור לנקודה הראשונה. אני חושב שזה גם צודק משפטית וגם צודק מוסרית שה</w:t>
      </w:r>
      <w:r>
        <w:rPr>
          <w:rFonts w:cs="Guttman David"/>
          <w:sz w:val="20"/>
          <w:rtl/>
        </w:rPr>
        <w:t>וועדה תחליט לתת עדיפות לחובות של התחייבות לרישום משכנתה. תודה רבה.</w:t>
      </w:r>
    </w:p>
    <w:p w:rsidR="00000000" w:rsidRDefault="00493526">
      <w:pPr>
        <w:rPr>
          <w:rFonts w:cs="Guttman David"/>
          <w:sz w:val="20"/>
          <w:u w:val="single"/>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האם מי מחברי הכנסת רוצה לומר משהו? רבותי, עכשיו אנחנו עוברים להצבעה. זה לא דיון ראשון בנושא. חברי הוועדה היו אמורים לדעת הכל מהדיונים הקודמים ולקרוא את הפרוטוקולים. אנח</w:t>
      </w:r>
      <w:r>
        <w:rPr>
          <w:rFonts w:cs="Guttman David"/>
          <w:sz w:val="20"/>
          <w:rtl/>
        </w:rPr>
        <w:t>נו לא מתחילים הכל עכשיו. נתנו עכשיו לשני הצדדים לטעון. האוצר מגן על הבנקים והסוכנות מגינה על עצמה.</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ימימה מזוז:</w:t>
      </w:r>
    </w:p>
    <w:p w:rsidR="00000000" w:rsidRDefault="00493526">
      <w:pPr>
        <w:rPr>
          <w:rFonts w:cs="Guttman David"/>
          <w:sz w:val="20"/>
          <w:rtl/>
        </w:rPr>
      </w:pPr>
      <w:r>
        <w:rPr>
          <w:rFonts w:cs="Guttman David"/>
          <w:sz w:val="20"/>
          <w:rtl/>
        </w:rPr>
        <w:tab/>
      </w:r>
    </w:p>
    <w:p w:rsidR="00000000" w:rsidRDefault="00493526">
      <w:pPr>
        <w:rPr>
          <w:rFonts w:cs="Guttman David"/>
          <w:sz w:val="20"/>
          <w:rtl/>
        </w:rPr>
      </w:pPr>
      <w:r>
        <w:rPr>
          <w:rFonts w:cs="Guttman David"/>
          <w:sz w:val="20"/>
          <w:rtl/>
        </w:rPr>
        <w:tab/>
        <w:t>אני רוצה להבהיר שהפנייה היחידה של שר האוצר היא בנוסח שמונח בפני הוועדה והוועדה מצביעה האם לאשר או לא לאשר את הפנייה הזאת.</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אתי בנדלר:</w:t>
      </w:r>
    </w:p>
    <w:p w:rsidR="00000000" w:rsidRDefault="00493526">
      <w:pPr>
        <w:rPr>
          <w:rFonts w:cs="Guttman David"/>
          <w:sz w:val="20"/>
          <w:rtl/>
        </w:rPr>
      </w:pPr>
    </w:p>
    <w:p w:rsidR="00000000" w:rsidRDefault="00493526">
      <w:pPr>
        <w:rPr>
          <w:rFonts w:cs="Guttman David"/>
          <w:sz w:val="20"/>
          <w:rtl/>
        </w:rPr>
      </w:pPr>
      <w:r>
        <w:rPr>
          <w:rFonts w:cs="Guttman David"/>
          <w:sz w:val="20"/>
          <w:rtl/>
        </w:rPr>
        <w:tab/>
        <w:t>היא י</w:t>
      </w:r>
      <w:r>
        <w:rPr>
          <w:rFonts w:cs="Guttman David"/>
          <w:sz w:val="20"/>
          <w:rtl/>
        </w:rPr>
        <w:t>כולה גם בדרך אחרת.</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 xml:space="preserve">אנחנו יודעים. רבותי, אני רוצה להסביר לגבי סדרי ההצבעה את הדברים הבאים. בפנינו עומדות תקנות של שר האוצר. אנחנו יכולים: א) לאשר את התקנות, ובזה נגמר העניין; ב) לא לאשר את התקנות, ואז התקנות חוזרות לשר האוצר והוא יחליט </w:t>
      </w:r>
      <w:r>
        <w:rPr>
          <w:rFonts w:cs="Guttman David"/>
          <w:sz w:val="20"/>
          <w:rtl/>
        </w:rPr>
        <w:t>מה שהוא רוצה; ג) אני ממליץ שאנחנו נאמר לשר האוצר שאם הוא מוכן לשנות את התקנות באופן שמחצית החוב של הסוכנות ייחשב כחוב מועדף, אז אוטומטית יש לו אישור מאיתנו והוא יכול לפרסם את התקנות. זה מה שנקרא: אישור בתנאים. זאת הצעתי.</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ימימה מזוז:</w:t>
      </w:r>
    </w:p>
    <w:p w:rsidR="00000000" w:rsidRDefault="00493526">
      <w:pPr>
        <w:rPr>
          <w:rFonts w:cs="Guttman David"/>
          <w:sz w:val="20"/>
          <w:rtl/>
        </w:rPr>
      </w:pPr>
      <w:r>
        <w:rPr>
          <w:rFonts w:cs="Guttman David"/>
          <w:sz w:val="20"/>
          <w:rtl/>
        </w:rPr>
        <w:tab/>
      </w:r>
    </w:p>
    <w:p w:rsidR="00000000" w:rsidRDefault="00493526">
      <w:pPr>
        <w:rPr>
          <w:rFonts w:cs="Guttman David"/>
          <w:sz w:val="20"/>
          <w:rtl/>
        </w:rPr>
      </w:pPr>
      <w:r>
        <w:rPr>
          <w:rFonts w:cs="Guttman David"/>
          <w:sz w:val="20"/>
          <w:rtl/>
        </w:rPr>
        <w:tab/>
        <w:t xml:space="preserve">אני רוצה להסביר את </w:t>
      </w:r>
      <w:r>
        <w:rPr>
          <w:rFonts w:cs="Guttman David"/>
          <w:sz w:val="20"/>
          <w:rtl/>
        </w:rPr>
        <w:t>ההצעה. אני הרי אצטרך להסביר את זה לשר האוצר.</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את לא צריכה להסביר את ההצעה. אם תהיה בעיה, אני אסביר לו.</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אבשלום וילן:</w:t>
      </w:r>
    </w:p>
    <w:p w:rsidR="00000000" w:rsidRDefault="00493526">
      <w:pPr>
        <w:rPr>
          <w:rFonts w:cs="Guttman David"/>
          <w:sz w:val="20"/>
          <w:rtl/>
        </w:rPr>
      </w:pPr>
    </w:p>
    <w:p w:rsidR="00000000" w:rsidRDefault="00493526">
      <w:pPr>
        <w:rPr>
          <w:rFonts w:cs="Guttman David"/>
          <w:sz w:val="20"/>
          <w:rtl/>
        </w:rPr>
      </w:pPr>
      <w:r>
        <w:rPr>
          <w:rFonts w:cs="Guttman David"/>
          <w:sz w:val="20"/>
          <w:rtl/>
        </w:rPr>
        <w:tab/>
        <w:t>עשינו את זה הרבה פעמים בוועדה וזה לגיטימי לגמרי.</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ימימה מזוז:</w:t>
      </w:r>
    </w:p>
    <w:p w:rsidR="00000000" w:rsidRDefault="00493526">
      <w:pPr>
        <w:rPr>
          <w:rFonts w:cs="Guttman David"/>
          <w:sz w:val="20"/>
          <w:rtl/>
        </w:rPr>
      </w:pPr>
      <w:r>
        <w:rPr>
          <w:rFonts w:cs="Guttman David"/>
          <w:sz w:val="20"/>
          <w:rtl/>
        </w:rPr>
        <w:tab/>
      </w:r>
    </w:p>
    <w:p w:rsidR="00000000" w:rsidRDefault="00493526">
      <w:pPr>
        <w:rPr>
          <w:rFonts w:cs="Guttman David"/>
          <w:sz w:val="20"/>
          <w:rtl/>
        </w:rPr>
      </w:pPr>
      <w:r>
        <w:rPr>
          <w:rFonts w:cs="Guttman David"/>
          <w:sz w:val="20"/>
          <w:rtl/>
        </w:rPr>
        <w:tab/>
        <w:t>בוודאי שזה לגיטימי להתנות את האישור. אני רוצה להבהיר</w:t>
      </w:r>
      <w:r>
        <w:rPr>
          <w:rFonts w:cs="Guttman David"/>
          <w:sz w:val="20"/>
          <w:rtl/>
        </w:rPr>
        <w:t>: האם ההצעה היא שמחצית מהחוב, בין אם יש כנגדו אגרת חוב ובין אם לא, ייחשב כמועדף? שזה לא יבוא בנוסף לאגרות חוב.</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גדר הוויכוח כאן היה לגבי אותם חובות שיש עליהם התחייבות לרישום משכנתה. לא היה ויכוח על דברים שאולי נרשמה משכנתה או שעבוד אחר.</w:t>
      </w:r>
      <w:r>
        <w:rPr>
          <w:rFonts w:cs="Guttman David"/>
          <w:sz w:val="20"/>
          <w:rtl/>
        </w:rPr>
        <w:t xml:space="preserve"> יש קבוצה של חובות שלגביהם נאמר שהבטוחה הקיימת, ככל שהיא בטוחה, היא התחייבות לרישום משכנתה. אנחנו אומרים: לגבי החובות האלה, שהבטוחה שעומדת כנגדם היא התחייבות לרישום משכנתה, יראו אותם כחוב מועדף, כאילו נרשמה המשכנתה, כדי מחצית.</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ימימה מזוז:</w:t>
      </w:r>
    </w:p>
    <w:p w:rsidR="00000000" w:rsidRDefault="00493526">
      <w:pPr>
        <w:rPr>
          <w:rFonts w:cs="Guttman David"/>
          <w:sz w:val="20"/>
          <w:rtl/>
        </w:rPr>
      </w:pPr>
      <w:r>
        <w:rPr>
          <w:rFonts w:cs="Guttman David"/>
          <w:sz w:val="20"/>
          <w:rtl/>
        </w:rPr>
        <w:tab/>
      </w:r>
    </w:p>
    <w:p w:rsidR="00000000" w:rsidRDefault="00493526">
      <w:pPr>
        <w:rPr>
          <w:rFonts w:cs="Guttman David"/>
          <w:sz w:val="20"/>
          <w:rtl/>
        </w:rPr>
      </w:pPr>
      <w:r>
        <w:rPr>
          <w:rFonts w:cs="Guttman David"/>
          <w:sz w:val="20"/>
          <w:rtl/>
        </w:rPr>
        <w:tab/>
        <w:t>זה בעדיפות גם</w:t>
      </w:r>
      <w:r>
        <w:rPr>
          <w:rFonts w:cs="Guttman David"/>
          <w:sz w:val="20"/>
          <w:rtl/>
        </w:rPr>
        <w:t>?</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כן.</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ימימה מזוז:</w:t>
      </w:r>
    </w:p>
    <w:p w:rsidR="00000000" w:rsidRDefault="00493526">
      <w:pPr>
        <w:rPr>
          <w:rFonts w:cs="Guttman David"/>
          <w:sz w:val="20"/>
          <w:rtl/>
        </w:rPr>
      </w:pPr>
      <w:r>
        <w:rPr>
          <w:rFonts w:cs="Guttman David"/>
          <w:sz w:val="20"/>
          <w:rtl/>
        </w:rPr>
        <w:tab/>
      </w:r>
    </w:p>
    <w:p w:rsidR="00000000" w:rsidRDefault="00493526">
      <w:pPr>
        <w:rPr>
          <w:rFonts w:cs="Guttman David"/>
          <w:sz w:val="20"/>
          <w:rtl/>
        </w:rPr>
      </w:pPr>
      <w:r>
        <w:rPr>
          <w:rFonts w:cs="Guttman David"/>
          <w:sz w:val="20"/>
          <w:rtl/>
        </w:rPr>
        <w:tab/>
        <w:t>כשעבוד צף או כמשכנתה?</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דוידה לחמן-מסר:</w:t>
      </w:r>
    </w:p>
    <w:p w:rsidR="00000000" w:rsidRDefault="00493526">
      <w:pPr>
        <w:rPr>
          <w:rFonts w:cs="Guttman David"/>
          <w:sz w:val="20"/>
          <w:u w:val="single"/>
          <w:rtl/>
        </w:rPr>
      </w:pPr>
    </w:p>
    <w:p w:rsidR="00000000" w:rsidRDefault="00493526">
      <w:pPr>
        <w:rPr>
          <w:rFonts w:cs="Guttman David"/>
          <w:sz w:val="20"/>
          <w:rtl/>
        </w:rPr>
      </w:pPr>
      <w:r>
        <w:rPr>
          <w:rFonts w:cs="Guttman David"/>
          <w:sz w:val="20"/>
          <w:rtl/>
        </w:rPr>
        <w:tab/>
        <w:t>הוא התכוון להגיד כמשכנתה או כשעבוד צף. האם אתה נותן להם מעמד מעל לשעבוד צף?</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לא. מעמד זהה. במלים אחרות, אנחנו פה עושים משפט שלמה, מחלקים חצי-חצי.</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אתי ב</w:t>
      </w:r>
      <w:r>
        <w:rPr>
          <w:rFonts w:cs="Guttman David"/>
          <w:sz w:val="20"/>
          <w:u w:val="single"/>
          <w:rtl/>
        </w:rPr>
        <w:t>נדלר:</w:t>
      </w:r>
    </w:p>
    <w:p w:rsidR="00000000" w:rsidRDefault="00493526">
      <w:pPr>
        <w:rPr>
          <w:rFonts w:cs="Guttman David"/>
          <w:sz w:val="20"/>
          <w:rtl/>
        </w:rPr>
      </w:pPr>
    </w:p>
    <w:p w:rsidR="00000000" w:rsidRDefault="00493526">
      <w:pPr>
        <w:rPr>
          <w:rFonts w:cs="Guttman David"/>
          <w:sz w:val="20"/>
          <w:rtl/>
        </w:rPr>
      </w:pPr>
      <w:r>
        <w:rPr>
          <w:rFonts w:cs="Guttman David"/>
          <w:sz w:val="20"/>
          <w:rtl/>
        </w:rPr>
        <w:tab/>
        <w:t>ומדברים רק על ה-25%. לא על החלק של ההלוואה העומדת.</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לא מדובר על דברים שלא עומדים בפנינו במחלוקת. אני מניח שיש אינספור נושאים התלויים ועומדים בכל מיני גזרות אחרות. כדי להבהיר את הצעתי: ההתחייבות לרישום משכנתה תהיה חוב מועדף כדי מ</w:t>
      </w:r>
      <w:r>
        <w:rPr>
          <w:rFonts w:cs="Guttman David"/>
          <w:sz w:val="20"/>
          <w:rtl/>
        </w:rPr>
        <w:t xml:space="preserve">חצית מהשיעור הכלול בהתחייבות הזאת. </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אתי בנדלר:</w:t>
      </w:r>
    </w:p>
    <w:p w:rsidR="00000000" w:rsidRDefault="00493526">
      <w:pPr>
        <w:rPr>
          <w:rFonts w:cs="Guttman David"/>
          <w:sz w:val="20"/>
          <w:rtl/>
        </w:rPr>
      </w:pPr>
    </w:p>
    <w:p w:rsidR="00000000" w:rsidRDefault="00493526">
      <w:pPr>
        <w:rPr>
          <w:rFonts w:cs="Guttman David"/>
          <w:sz w:val="20"/>
          <w:rtl/>
        </w:rPr>
      </w:pPr>
      <w:r>
        <w:rPr>
          <w:rFonts w:cs="Guttman David"/>
          <w:sz w:val="20"/>
          <w:rtl/>
        </w:rPr>
        <w:tab/>
        <w:t>חשוב שיהיה בפרוטוקול כחלק מההחלטה: מדובר על כך שהעדיפות תהיה ברמה של העדיפות הניתנת לשעבוד צף ומדובר על אותו חלק חוב שמהווה 25% מההלוואה. זה לא כולל את ה-75% של ההלוואה שמהווה הלוואה עומדת.</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w:t>
      </w:r>
      <w:r>
        <w:rPr>
          <w:rFonts w:cs="Guttman David"/>
          <w:sz w:val="20"/>
          <w:u w:val="single"/>
          <w:rtl/>
        </w:rPr>
        <w:t>ז:</w:t>
      </w:r>
    </w:p>
    <w:p w:rsidR="00000000" w:rsidRDefault="00493526">
      <w:pPr>
        <w:rPr>
          <w:rFonts w:cs="Guttman David"/>
          <w:sz w:val="20"/>
          <w:rtl/>
        </w:rPr>
      </w:pPr>
    </w:p>
    <w:p w:rsidR="00000000" w:rsidRDefault="00493526">
      <w:pPr>
        <w:rPr>
          <w:rFonts w:cs="Guttman David"/>
          <w:sz w:val="20"/>
          <w:rtl/>
        </w:rPr>
      </w:pPr>
      <w:r>
        <w:rPr>
          <w:rFonts w:cs="Guttman David"/>
          <w:sz w:val="20"/>
          <w:rtl/>
        </w:rPr>
        <w:tab/>
        <w:t>זה רק לגבי אותן הלוואות שלגביהן היתה התחייבות לרישום משכנתה.</w:t>
      </w:r>
    </w:p>
    <w:p w:rsidR="00000000" w:rsidRDefault="00493526">
      <w:pPr>
        <w:rPr>
          <w:rFonts w:cs="Guttman David"/>
          <w:sz w:val="20"/>
          <w:rtl/>
        </w:rPr>
      </w:pPr>
    </w:p>
    <w:p w:rsidR="00000000" w:rsidRDefault="00493526">
      <w:pPr>
        <w:rPr>
          <w:rFonts w:cs="Guttman David"/>
          <w:sz w:val="20"/>
          <w:rtl/>
        </w:rPr>
      </w:pPr>
      <w:r>
        <w:rPr>
          <w:rFonts w:cs="Guttman David"/>
          <w:sz w:val="20"/>
          <w:rtl/>
        </w:rPr>
        <w:tab/>
        <w:t xml:space="preserve">סדר ההצבעה יהיה כדלקמן: אנחנו נצביע קודם כל על הצעת שר האוצר. אם היא תידחה אז עומדות שתי הצבעות: הצעתי, על המחצית, וההצעה להחזיר לשר את התקנות ושיעשה מה שהוא רוצה. כמובן שאם הצעת שר האוצר </w:t>
      </w:r>
      <w:r>
        <w:rPr>
          <w:rFonts w:cs="Guttman David"/>
          <w:sz w:val="20"/>
          <w:rtl/>
        </w:rPr>
        <w:t>מתקבלת אז הצעתי נופלת ואין מה להצביע יותר.</w:t>
      </w:r>
    </w:p>
    <w:p w:rsidR="00000000" w:rsidRDefault="00493526">
      <w:pPr>
        <w:rPr>
          <w:rFonts w:cs="Guttman David"/>
          <w:sz w:val="20"/>
          <w:rtl/>
        </w:rPr>
      </w:pPr>
    </w:p>
    <w:p w:rsidR="00000000" w:rsidRDefault="00493526">
      <w:pPr>
        <w:rPr>
          <w:rFonts w:cs="Guttman David"/>
          <w:sz w:val="20"/>
          <w:rtl/>
        </w:rPr>
      </w:pPr>
    </w:p>
    <w:p w:rsidR="00000000" w:rsidRDefault="00493526">
      <w:pPr>
        <w:jc w:val="center"/>
        <w:rPr>
          <w:rFonts w:cs="Guttman David"/>
          <w:sz w:val="20"/>
          <w:rtl/>
        </w:rPr>
      </w:pPr>
      <w:r>
        <w:rPr>
          <w:rFonts w:cs="Guttman David"/>
          <w:b/>
          <w:bCs/>
          <w:sz w:val="20"/>
          <w:u w:val="single"/>
          <w:rtl/>
        </w:rPr>
        <w:t>הצבעה על תקנות הסדרים במגזר החקלאי המשפחתי (דרכי חלוקת החובות וייעוד התמורות ממימוש נכסים), התש"ס-1999 - הצעת שר האוצר</w:t>
      </w:r>
    </w:p>
    <w:p w:rsidR="00000000" w:rsidRDefault="00493526">
      <w:pPr>
        <w:jc w:val="center"/>
        <w:rPr>
          <w:rFonts w:cs="Guttman David"/>
          <w:sz w:val="20"/>
          <w:rtl/>
        </w:rPr>
      </w:pPr>
    </w:p>
    <w:p w:rsidR="00000000" w:rsidRDefault="00493526">
      <w:pPr>
        <w:jc w:val="center"/>
        <w:rPr>
          <w:rFonts w:cs="Guttman David"/>
          <w:sz w:val="20"/>
          <w:rtl/>
        </w:rPr>
      </w:pPr>
      <w:r>
        <w:rPr>
          <w:rFonts w:cs="Guttman David"/>
          <w:sz w:val="20"/>
          <w:rtl/>
        </w:rPr>
        <w:t>בעד - אין</w:t>
      </w:r>
    </w:p>
    <w:p w:rsidR="00000000" w:rsidRDefault="00493526">
      <w:pPr>
        <w:jc w:val="center"/>
        <w:rPr>
          <w:rFonts w:cs="Guttman David"/>
          <w:sz w:val="20"/>
          <w:rtl/>
        </w:rPr>
      </w:pPr>
      <w:r>
        <w:rPr>
          <w:rFonts w:cs="Guttman David"/>
          <w:sz w:val="20"/>
          <w:rtl/>
        </w:rPr>
        <w:t>נגד - 6</w:t>
      </w:r>
    </w:p>
    <w:p w:rsidR="00000000" w:rsidRDefault="00493526">
      <w:pPr>
        <w:jc w:val="center"/>
        <w:rPr>
          <w:rFonts w:cs="Guttman David"/>
          <w:sz w:val="20"/>
          <w:rtl/>
        </w:rPr>
      </w:pPr>
      <w:r>
        <w:rPr>
          <w:rFonts w:cs="Guttman David"/>
          <w:sz w:val="20"/>
          <w:rtl/>
        </w:rPr>
        <w:t>אין נמנעים</w:t>
      </w:r>
    </w:p>
    <w:p w:rsidR="00000000" w:rsidRDefault="00493526">
      <w:pPr>
        <w:jc w:val="center"/>
        <w:rPr>
          <w:rFonts w:cs="Guttman David"/>
          <w:sz w:val="20"/>
          <w:rtl/>
        </w:rPr>
      </w:pPr>
      <w:r>
        <w:rPr>
          <w:rFonts w:cs="Guttman David"/>
          <w:sz w:val="20"/>
          <w:rtl/>
        </w:rPr>
        <w:t>התקנות לא נתקבלו.</w:t>
      </w:r>
    </w:p>
    <w:p w:rsidR="00000000" w:rsidRDefault="00493526">
      <w:pPr>
        <w:rPr>
          <w:rFonts w:cs="Guttman David"/>
          <w:sz w:val="20"/>
          <w:rtl/>
        </w:rPr>
      </w:pPr>
    </w:p>
    <w:p w:rsidR="00000000" w:rsidRDefault="00493526">
      <w:pPr>
        <w:rPr>
          <w:rFonts w:cs="Guttman David"/>
          <w:sz w:val="20"/>
          <w:rtl/>
        </w:rPr>
      </w:pPr>
    </w:p>
    <w:p w:rsidR="00000000" w:rsidRDefault="00493526">
      <w:pPr>
        <w:pStyle w:val="6"/>
        <w:rPr>
          <w:rFonts w:cs="Guttman David"/>
          <w:sz w:val="20"/>
          <w:rtl/>
        </w:rPr>
      </w:pPr>
      <w:r>
        <w:rPr>
          <w:rFonts w:cs="Guttman David"/>
          <w:sz w:val="20"/>
          <w:rtl/>
        </w:rPr>
        <w:t>הצבעה על הצעת הפשרה של חבר הכנסת פורז, כפי</w:t>
      </w:r>
      <w:r>
        <w:rPr>
          <w:rFonts w:cs="Guttman David"/>
          <w:sz w:val="20"/>
          <w:rtl/>
        </w:rPr>
        <w:t xml:space="preserve"> שהוצגה קודם לכן</w:t>
      </w:r>
    </w:p>
    <w:p w:rsidR="00000000" w:rsidRDefault="00493526">
      <w:pPr>
        <w:jc w:val="center"/>
        <w:rPr>
          <w:rFonts w:cs="Guttman David"/>
          <w:sz w:val="20"/>
          <w:rtl/>
        </w:rPr>
      </w:pPr>
    </w:p>
    <w:p w:rsidR="00000000" w:rsidRDefault="00493526">
      <w:pPr>
        <w:jc w:val="center"/>
        <w:rPr>
          <w:rFonts w:cs="Guttman David"/>
          <w:sz w:val="20"/>
          <w:rtl/>
        </w:rPr>
      </w:pPr>
      <w:r>
        <w:rPr>
          <w:rFonts w:cs="Guttman David"/>
          <w:sz w:val="20"/>
          <w:rtl/>
        </w:rPr>
        <w:t>בעד - 6</w:t>
      </w:r>
    </w:p>
    <w:p w:rsidR="00000000" w:rsidRDefault="00493526">
      <w:pPr>
        <w:jc w:val="center"/>
        <w:rPr>
          <w:rFonts w:cs="Guttman David"/>
          <w:sz w:val="20"/>
          <w:rtl/>
        </w:rPr>
      </w:pPr>
      <w:r>
        <w:rPr>
          <w:rFonts w:cs="Guttman David"/>
          <w:sz w:val="20"/>
          <w:rtl/>
        </w:rPr>
        <w:t>אין מתנגדים</w:t>
      </w:r>
    </w:p>
    <w:p w:rsidR="00000000" w:rsidRDefault="00493526">
      <w:pPr>
        <w:jc w:val="center"/>
        <w:rPr>
          <w:rFonts w:cs="Guttman David"/>
          <w:sz w:val="20"/>
          <w:rtl/>
        </w:rPr>
      </w:pPr>
      <w:r>
        <w:rPr>
          <w:rFonts w:cs="Guttman David"/>
          <w:sz w:val="20"/>
          <w:rtl/>
        </w:rPr>
        <w:t>אין נמנעים</w:t>
      </w:r>
    </w:p>
    <w:p w:rsidR="00000000" w:rsidRDefault="00493526">
      <w:pPr>
        <w:jc w:val="center"/>
        <w:rPr>
          <w:rFonts w:cs="Guttman David"/>
          <w:sz w:val="20"/>
          <w:rtl/>
        </w:rPr>
      </w:pPr>
      <w:r>
        <w:rPr>
          <w:rFonts w:cs="Guttman David"/>
          <w:sz w:val="20"/>
          <w:rtl/>
        </w:rPr>
        <w:t>הצעתו של חבר הכנסת פורז נתקבלה.</w:t>
      </w:r>
    </w:p>
    <w:p w:rsidR="00000000" w:rsidRDefault="00493526">
      <w:pPr>
        <w:rPr>
          <w:rFonts w:cs="Guttman David"/>
          <w:sz w:val="20"/>
          <w:rtl/>
        </w:rPr>
      </w:pPr>
      <w:r>
        <w:rPr>
          <w:rFonts w:cs="Guttman David"/>
          <w:sz w:val="20"/>
          <w:rtl/>
        </w:rPr>
        <w:tab/>
      </w:r>
    </w:p>
    <w:p w:rsidR="00000000" w:rsidRDefault="00493526">
      <w:pPr>
        <w:rPr>
          <w:rFonts w:cs="Guttman David"/>
          <w:sz w:val="20"/>
          <w:rtl/>
        </w:rPr>
      </w:pPr>
      <w:r>
        <w:rPr>
          <w:rFonts w:cs="Guttman David"/>
          <w:sz w:val="20"/>
          <w:rtl/>
        </w:rPr>
        <w:t>(חבר הכנסת וילן הצביע במקום חברת הכנסת חזן)</w:t>
      </w:r>
    </w:p>
    <w:p w:rsidR="00000000" w:rsidRDefault="00493526">
      <w:pPr>
        <w:rPr>
          <w:rFonts w:cs="Guttman David"/>
          <w:sz w:val="20"/>
          <w:rtl/>
        </w:rPr>
      </w:pPr>
    </w:p>
    <w:p w:rsidR="00000000" w:rsidRDefault="00493526">
      <w:pPr>
        <w:rPr>
          <w:rFonts w:cs="Guttman David"/>
          <w:sz w:val="20"/>
          <w:u w:val="single"/>
          <w:rtl/>
        </w:rPr>
      </w:pPr>
      <w:r>
        <w:rPr>
          <w:rFonts w:cs="Guttman David"/>
          <w:sz w:val="20"/>
          <w:u w:val="single"/>
          <w:rtl/>
        </w:rPr>
        <w:t>היו"ר אברהם פורז:</w:t>
      </w:r>
    </w:p>
    <w:p w:rsidR="00000000" w:rsidRDefault="00493526">
      <w:pPr>
        <w:rPr>
          <w:rFonts w:cs="Guttman David"/>
          <w:sz w:val="20"/>
          <w:rtl/>
        </w:rPr>
      </w:pPr>
    </w:p>
    <w:p w:rsidR="00000000" w:rsidRDefault="00493526">
      <w:pPr>
        <w:rPr>
          <w:rFonts w:cs="Guttman David"/>
          <w:sz w:val="20"/>
          <w:rtl/>
        </w:rPr>
      </w:pPr>
      <w:r>
        <w:rPr>
          <w:rFonts w:cs="Guttman David"/>
          <w:sz w:val="20"/>
          <w:rtl/>
        </w:rPr>
        <w:tab/>
        <w:t>זאת הצעתנו לשר האוצר. עכשיו שיעשה מה שהוא רוצה. תודה רבה לכם.</w:t>
      </w:r>
    </w:p>
    <w:p w:rsidR="00000000" w:rsidRDefault="00493526">
      <w:pPr>
        <w:rPr>
          <w:rFonts w:cs="Guttman David"/>
          <w:sz w:val="20"/>
          <w:rtl/>
        </w:rPr>
      </w:pPr>
    </w:p>
    <w:p w:rsidR="00000000" w:rsidRDefault="00493526">
      <w:pPr>
        <w:pStyle w:val="7"/>
        <w:rPr>
          <w:rFonts w:cs="Guttman David"/>
          <w:sz w:val="20"/>
          <w:rtl/>
        </w:rPr>
      </w:pPr>
      <w:r>
        <w:rPr>
          <w:rFonts w:cs="Guttman David"/>
          <w:sz w:val="20"/>
          <w:rtl/>
        </w:rPr>
        <w:t>הישיבה ננעלה בשעה 13:50</w:t>
      </w:r>
    </w:p>
    <w:p w:rsidR="00000000" w:rsidRDefault="00493526">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3526">
      <w:pPr>
        <w:spacing w:line="240" w:lineRule="auto"/>
      </w:pPr>
      <w:r>
        <w:separator/>
      </w:r>
    </w:p>
  </w:endnote>
  <w:endnote w:type="continuationSeparator" w:id="0">
    <w:p w:rsidR="00000000" w:rsidRDefault="004935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526">
    <w:pPr>
      <w:pStyle w:val="a7"/>
      <w:rPr>
        <w:rFonts w:cs="Guttman David"/>
        <w:sz w:val="20"/>
        <w:rtl/>
      </w:rPr>
    </w:pPr>
  </w:p>
  <w:p w:rsidR="00000000" w:rsidRDefault="00493526">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526">
    <w:pPr>
      <w:pStyle w:val="a7"/>
      <w:rPr>
        <w:rFonts w:cs="Guttman David"/>
        <w:sz w:val="20"/>
        <w:rtl/>
      </w:rPr>
    </w:pPr>
  </w:p>
  <w:p w:rsidR="00000000" w:rsidRDefault="00493526">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3526">
      <w:pPr>
        <w:spacing w:line="240" w:lineRule="auto"/>
      </w:pPr>
      <w:r>
        <w:separator/>
      </w:r>
    </w:p>
  </w:footnote>
  <w:footnote w:type="continuationSeparator" w:id="0">
    <w:p w:rsidR="00000000" w:rsidRDefault="0049352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526">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2</w:t>
    </w:r>
    <w:r>
      <w:rPr>
        <w:rStyle w:val="a9"/>
      </w:rPr>
      <w:fldChar w:fldCharType="end"/>
    </w:r>
    <w:r>
      <w:rPr>
        <w:rStyle w:val="a9"/>
        <w:sz w:val="20"/>
        <w:rtl/>
      </w:rPr>
      <w:t>-</w:t>
    </w:r>
  </w:p>
  <w:p w:rsidR="00000000" w:rsidRDefault="00493526">
    <w:pPr>
      <w:pStyle w:val="a5"/>
      <w:rPr>
        <w:rFonts w:cs="Guttman David"/>
        <w:sz w:val="20"/>
        <w:rtl/>
      </w:rPr>
    </w:pPr>
    <w:r>
      <w:rPr>
        <w:rFonts w:cs="Guttman David"/>
        <w:sz w:val="20"/>
        <w:rtl/>
      </w:rPr>
      <w:t>ועדת  הכלכלה (255)</w:t>
    </w:r>
  </w:p>
  <w:p w:rsidR="00000000" w:rsidRDefault="00493526">
    <w:pPr>
      <w:pStyle w:val="a5"/>
      <w:rPr>
        <w:rFonts w:cs="Guttman David"/>
        <w:sz w:val="20"/>
        <w:rtl/>
      </w:rPr>
    </w:pPr>
    <w:r>
      <w:rPr>
        <w:rFonts w:cs="Guttman David"/>
        <w:sz w:val="20"/>
        <w:rtl/>
      </w:rPr>
      <w:t>‏5.3.2001</w:t>
    </w:r>
  </w:p>
  <w:p w:rsidR="00000000" w:rsidRDefault="00493526">
    <w:pPr>
      <w:pStyle w:val="a5"/>
      <w:rPr>
        <w:rFonts w:cs="Guttman David"/>
        <w:sz w:val="20"/>
        <w:rtl/>
      </w:rPr>
    </w:pPr>
  </w:p>
  <w:p w:rsidR="00000000" w:rsidRDefault="00493526">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3526">
    <w:pPr>
      <w:pStyle w:val="a5"/>
      <w:rPr>
        <w:rFonts w:cs="Guttman David"/>
        <w:sz w:val="20"/>
        <w:rtl/>
      </w:rPr>
    </w:pPr>
  </w:p>
  <w:p w:rsidR="00000000" w:rsidRDefault="00493526">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A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3526"/>
    <w:rsid w:val="00493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B8491F-1FB7-454C-8655-445A2ACBF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2399</Words>
  <Characters>11999</Characters>
  <Application>Microsoft Office Word</Application>
  <DocSecurity>0</DocSecurity>
  <Lines>99</Lines>
  <Paragraphs>28</Paragraphs>
  <ScaleCrop>false</ScaleCrop>
  <Company>knesset</Company>
  <LinksUpToDate>false</LinksUpToDate>
  <CharactersWithSpaces>14370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פרוטוקולים/כלכלה/2823</dc:title>
  <dc:subject>כלכלה 5.3.2001ב</dc:subject>
  <dc:creator>אירית שלהבת</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