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7DD">
      <w:pPr>
        <w:jc w:val="right"/>
        <w:rPr>
          <w:rFonts w:cs="Guttman David"/>
          <w:sz w:val="18"/>
          <w:rtl/>
        </w:rPr>
      </w:pPr>
      <w:bookmarkStart w:id="0" w:name="_GoBack"/>
      <w:bookmarkEnd w:id="0"/>
      <w:r>
        <w:rPr>
          <w:rFonts w:cs="Guttman David"/>
          <w:sz w:val="18"/>
          <w:rtl/>
        </w:rPr>
        <w:t>פרוטוקולים/ועדת הפנים/321</w:t>
      </w:r>
    </w:p>
    <w:p w:rsidR="00000000" w:rsidRDefault="006E47DD">
      <w:pPr>
        <w:jc w:val="right"/>
        <w:rPr>
          <w:rFonts w:cs="Guttman David"/>
          <w:sz w:val="18"/>
          <w:rtl/>
        </w:rPr>
      </w:pPr>
      <w:r>
        <w:rPr>
          <w:rFonts w:cs="Guttman David"/>
          <w:sz w:val="18"/>
          <w:rtl/>
        </w:rPr>
        <w:tab/>
        <w:t>ירושלים, כ"ט ב אדר ב, תש"ס</w:t>
      </w:r>
    </w:p>
    <w:p w:rsidR="00000000" w:rsidRDefault="006E47DD">
      <w:pPr>
        <w:jc w:val="right"/>
        <w:rPr>
          <w:rFonts w:cs="Guttman David"/>
          <w:sz w:val="18"/>
          <w:rtl/>
          <w:lang w:val="es"/>
        </w:rPr>
      </w:pPr>
      <w:r>
        <w:rPr>
          <w:rFonts w:cs="Guttman David"/>
          <w:sz w:val="18"/>
          <w:rtl/>
          <w:lang w:val="es"/>
        </w:rPr>
        <w:t>5 באפריל, 2000</w:t>
      </w:r>
    </w:p>
    <w:p w:rsidR="00000000" w:rsidRDefault="006E47DD">
      <w:pPr>
        <w:jc w:val="right"/>
        <w:rPr>
          <w:rFonts w:cs="Guttman David"/>
          <w:sz w:val="18"/>
          <w:rtl/>
        </w:rPr>
      </w:pPr>
    </w:p>
    <w:tbl>
      <w:tblPr>
        <w:bidiVisual/>
        <w:tblW w:w="0" w:type="auto"/>
        <w:jc w:val="right"/>
        <w:tblLook w:val="0000" w:firstRow="0" w:lastRow="0" w:firstColumn="0" w:lastColumn="0" w:noHBand="0" w:noVBand="0"/>
      </w:tblPr>
      <w:tblGrid>
        <w:gridCol w:w="1964"/>
        <w:gridCol w:w="6564"/>
      </w:tblGrid>
      <w:tr w:rsidR="006E47DD" w:rsidTr="006E47DD">
        <w:tblPrEx>
          <w:tblCellMar>
            <w:top w:w="0" w:type="dxa"/>
            <w:bottom w:w="0" w:type="dxa"/>
          </w:tblCellMar>
        </w:tblPrEx>
        <w:trPr>
          <w:jc w:val="right"/>
        </w:trPr>
        <w:tc>
          <w:tcPr>
            <w:tcW w:w="1978" w:type="dxa"/>
            <w:tcBorders>
              <w:top w:val="nil"/>
              <w:left w:val="nil"/>
              <w:bottom w:val="nil"/>
              <w:right w:val="nil"/>
            </w:tcBorders>
          </w:tcPr>
          <w:p w:rsidR="006E47DD" w:rsidRDefault="006E47DD">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6E47DD" w:rsidRDefault="006E47DD">
            <w:pPr>
              <w:rPr>
                <w:rFonts w:cs="Guttman David"/>
              </w:rPr>
            </w:pPr>
          </w:p>
        </w:tc>
      </w:tr>
      <w:tr w:rsidR="006E47DD" w:rsidTr="006E47DD">
        <w:tblPrEx>
          <w:tblCellMar>
            <w:top w:w="0" w:type="dxa"/>
            <w:bottom w:w="0" w:type="dxa"/>
          </w:tblCellMar>
        </w:tblPrEx>
        <w:trPr>
          <w:jc w:val="right"/>
        </w:trPr>
        <w:tc>
          <w:tcPr>
            <w:tcW w:w="1978" w:type="dxa"/>
            <w:tcBorders>
              <w:top w:val="nil"/>
              <w:left w:val="nil"/>
              <w:bottom w:val="nil"/>
              <w:right w:val="nil"/>
            </w:tcBorders>
          </w:tcPr>
          <w:p w:rsidR="006E47DD" w:rsidRDefault="006E47DD">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6E47DD" w:rsidRDefault="006E47DD">
            <w:pPr>
              <w:jc w:val="right"/>
              <w:rPr>
                <w:rFonts w:cs="Guttman David"/>
              </w:rPr>
            </w:pPr>
            <w:r>
              <w:rPr>
                <w:rFonts w:cs="Guttman David"/>
                <w:sz w:val="18"/>
                <w:rtl/>
              </w:rPr>
              <w:t>נוסח לא מתוקן</w:t>
            </w:r>
          </w:p>
        </w:tc>
      </w:tr>
    </w:tbl>
    <w:p w:rsidR="00000000" w:rsidRDefault="006E47DD">
      <w:pPr>
        <w:rPr>
          <w:rFonts w:cs="Guttman David"/>
          <w:sz w:val="18"/>
          <w:rtl/>
        </w:rPr>
      </w:pPr>
    </w:p>
    <w:p w:rsidR="00000000" w:rsidRDefault="006E47DD">
      <w:pPr>
        <w:rPr>
          <w:rFonts w:cs="Guttman David"/>
          <w:sz w:val="18"/>
          <w:rtl/>
        </w:rPr>
      </w:pPr>
    </w:p>
    <w:p w:rsidR="00000000" w:rsidRDefault="006E47DD">
      <w:pPr>
        <w:jc w:val="center"/>
        <w:rPr>
          <w:rFonts w:cs="Guttman David"/>
          <w:b/>
          <w:bCs/>
          <w:sz w:val="18"/>
          <w:rtl/>
        </w:rPr>
      </w:pPr>
      <w:r>
        <w:rPr>
          <w:rFonts w:cs="Guttman David"/>
          <w:b/>
          <w:bCs/>
          <w:sz w:val="18"/>
          <w:rtl/>
        </w:rPr>
        <w:t>פרוטוקול מס' 81</w:t>
      </w:r>
    </w:p>
    <w:p w:rsidR="00000000" w:rsidRDefault="006E47DD">
      <w:pPr>
        <w:jc w:val="center"/>
        <w:rPr>
          <w:rFonts w:cs="Guttman David"/>
          <w:b/>
          <w:bCs/>
          <w:sz w:val="18"/>
          <w:rtl/>
        </w:rPr>
      </w:pPr>
    </w:p>
    <w:p w:rsidR="00000000" w:rsidRDefault="006E47DD">
      <w:pPr>
        <w:jc w:val="center"/>
        <w:rPr>
          <w:rFonts w:cs="Guttman David"/>
          <w:b/>
          <w:bCs/>
          <w:sz w:val="18"/>
          <w:rtl/>
        </w:rPr>
      </w:pPr>
      <w:r>
        <w:rPr>
          <w:rFonts w:cs="Guttman David"/>
          <w:b/>
          <w:bCs/>
          <w:sz w:val="18"/>
          <w:rtl/>
        </w:rPr>
        <w:t>מישיבת ועדת הפנים ואיכות הסביבה</w:t>
      </w:r>
    </w:p>
    <w:p w:rsidR="00000000" w:rsidRDefault="006E47DD">
      <w:pPr>
        <w:jc w:val="center"/>
        <w:rPr>
          <w:rFonts w:cs="Guttman David"/>
          <w:sz w:val="18"/>
          <w:u w:val="single"/>
          <w:rtl/>
        </w:rPr>
      </w:pPr>
      <w:r>
        <w:rPr>
          <w:rFonts w:cs="Guttman David"/>
          <w:b/>
          <w:bCs/>
          <w:sz w:val="18"/>
          <w:u w:val="single"/>
          <w:rtl/>
        </w:rPr>
        <w:t>יום חמישי, ט' באדר ב' התש"ס (16 במרץ, 2000), שעה 11:20</w:t>
      </w:r>
    </w:p>
    <w:p w:rsidR="00000000" w:rsidRDefault="006E47DD">
      <w:pPr>
        <w:rPr>
          <w:rFonts w:cs="Guttman David"/>
          <w:sz w:val="18"/>
          <w:rtl/>
        </w:rPr>
      </w:pPr>
    </w:p>
    <w:p w:rsidR="00000000" w:rsidRDefault="006E47DD">
      <w:pPr>
        <w:rPr>
          <w:rFonts w:cs="Guttman David"/>
          <w:b/>
          <w:bCs/>
          <w:sz w:val="18"/>
          <w:u w:val="single"/>
          <w:rtl/>
        </w:rPr>
      </w:pPr>
      <w:r>
        <w:rPr>
          <w:rFonts w:cs="Guttman David"/>
          <w:b/>
          <w:bCs/>
          <w:sz w:val="18"/>
          <w:u w:val="single"/>
          <w:rtl/>
        </w:rPr>
        <w:t>נוכחים:</w:t>
      </w:r>
    </w:p>
    <w:p w:rsidR="00000000" w:rsidRDefault="006E47DD">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6E47DD" w:rsidTr="006E47DD">
        <w:tblPrEx>
          <w:tblCellMar>
            <w:top w:w="0" w:type="dxa"/>
            <w:bottom w:w="0" w:type="dxa"/>
          </w:tblCellMar>
        </w:tblPrEx>
        <w:trPr>
          <w:jc w:val="right"/>
        </w:trPr>
        <w:tc>
          <w:tcPr>
            <w:tcW w:w="1304" w:type="dxa"/>
            <w:tcBorders>
              <w:top w:val="nil"/>
              <w:left w:val="nil"/>
              <w:bottom w:val="nil"/>
              <w:right w:val="nil"/>
            </w:tcBorders>
          </w:tcPr>
          <w:p w:rsidR="006E47DD" w:rsidRDefault="006E47DD">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6E47DD" w:rsidRDefault="006E47DD">
            <w:pPr>
              <w:rPr>
                <w:rFonts w:cs="Guttman David"/>
                <w:sz w:val="18"/>
                <w:rtl/>
              </w:rPr>
            </w:pPr>
            <w:r>
              <w:rPr>
                <w:rFonts w:cs="Guttman David"/>
                <w:sz w:val="18"/>
                <w:rtl/>
              </w:rPr>
              <w:t>דוד אזולאי - היו"ר</w:t>
            </w:r>
          </w:p>
          <w:p w:rsidR="006E47DD" w:rsidRDefault="006E47DD">
            <w:pPr>
              <w:rPr>
                <w:rFonts w:cs="Guttman David"/>
                <w:sz w:val="18"/>
                <w:rtl/>
              </w:rPr>
            </w:pPr>
            <w:r>
              <w:rPr>
                <w:rFonts w:cs="Guttman David"/>
                <w:sz w:val="18"/>
                <w:rtl/>
              </w:rPr>
              <w:t>יולי-יואל אדלשטיין</w:t>
            </w:r>
          </w:p>
          <w:p w:rsidR="006E47DD" w:rsidRDefault="006E47DD">
            <w:pPr>
              <w:rPr>
                <w:rFonts w:cs="Guttman David"/>
                <w:sz w:val="18"/>
                <w:rtl/>
              </w:rPr>
            </w:pPr>
            <w:r>
              <w:rPr>
                <w:rFonts w:cs="Guttman David"/>
                <w:sz w:val="18"/>
                <w:rtl/>
              </w:rPr>
              <w:t>גדעון עזרא</w:t>
            </w:r>
          </w:p>
        </w:tc>
      </w:tr>
    </w:tbl>
    <w:p w:rsidR="00000000" w:rsidRDefault="006E47DD">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6E47DD" w:rsidTr="006E47DD">
        <w:tblPrEx>
          <w:tblCellMar>
            <w:top w:w="0" w:type="dxa"/>
            <w:bottom w:w="0" w:type="dxa"/>
          </w:tblCellMar>
        </w:tblPrEx>
        <w:trPr>
          <w:jc w:val="right"/>
        </w:trPr>
        <w:tc>
          <w:tcPr>
            <w:tcW w:w="1304" w:type="dxa"/>
            <w:tcBorders>
              <w:top w:val="nil"/>
              <w:left w:val="nil"/>
              <w:bottom w:val="nil"/>
              <w:right w:val="nil"/>
            </w:tcBorders>
          </w:tcPr>
          <w:p w:rsidR="006E47DD" w:rsidRDefault="006E47DD">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6E47DD" w:rsidRDefault="006E47DD">
            <w:pPr>
              <w:rPr>
                <w:rFonts w:cs="Guttman David"/>
                <w:sz w:val="18"/>
                <w:rtl/>
              </w:rPr>
            </w:pPr>
            <w:r>
              <w:rPr>
                <w:rFonts w:cs="Guttman David"/>
                <w:sz w:val="18"/>
                <w:rtl/>
              </w:rPr>
              <w:t>עו"ד מרגלית בוטרמן</w:t>
            </w:r>
          </w:p>
        </w:tc>
        <w:tc>
          <w:tcPr>
            <w:tcW w:w="4523" w:type="dxa"/>
            <w:tcBorders>
              <w:top w:val="nil"/>
              <w:left w:val="nil"/>
              <w:bottom w:val="nil"/>
              <w:right w:val="nil"/>
            </w:tcBorders>
          </w:tcPr>
          <w:p w:rsidR="006E47DD" w:rsidRDefault="006E47DD">
            <w:pPr>
              <w:rPr>
                <w:rFonts w:cs="Guttman David"/>
                <w:sz w:val="18"/>
                <w:rtl/>
              </w:rPr>
            </w:pPr>
            <w:r>
              <w:rPr>
                <w:rFonts w:cs="Guttman David"/>
                <w:sz w:val="18"/>
                <w:rtl/>
              </w:rPr>
              <w:t>יועצת משפטית, משרד הפנים</w:t>
            </w:r>
          </w:p>
        </w:tc>
      </w:tr>
      <w:tr w:rsidR="006E47DD" w:rsidTr="006E47DD">
        <w:tblPrEx>
          <w:tblCellMar>
            <w:top w:w="0" w:type="dxa"/>
            <w:bottom w:w="0" w:type="dxa"/>
          </w:tblCellMar>
        </w:tblPrEx>
        <w:trPr>
          <w:jc w:val="right"/>
        </w:trPr>
        <w:tc>
          <w:tcPr>
            <w:tcW w:w="1304" w:type="dxa"/>
            <w:tcBorders>
              <w:top w:val="nil"/>
              <w:left w:val="nil"/>
              <w:bottom w:val="nil"/>
              <w:right w:val="nil"/>
            </w:tcBorders>
          </w:tcPr>
          <w:p w:rsidR="006E47DD" w:rsidRDefault="006E47DD">
            <w:pPr>
              <w:rPr>
                <w:rFonts w:cs="Guttman David"/>
                <w:sz w:val="18"/>
                <w:rtl/>
              </w:rPr>
            </w:pPr>
          </w:p>
        </w:tc>
        <w:tc>
          <w:tcPr>
            <w:tcW w:w="1990" w:type="dxa"/>
            <w:tcBorders>
              <w:top w:val="nil"/>
              <w:left w:val="nil"/>
              <w:bottom w:val="nil"/>
              <w:right w:val="nil"/>
            </w:tcBorders>
          </w:tcPr>
          <w:p w:rsidR="006E47DD" w:rsidRDefault="006E47DD">
            <w:pPr>
              <w:rPr>
                <w:rFonts w:cs="Guttman David"/>
                <w:sz w:val="18"/>
                <w:rtl/>
              </w:rPr>
            </w:pPr>
            <w:r>
              <w:rPr>
                <w:rFonts w:cs="Guttman David"/>
                <w:sz w:val="18"/>
                <w:rtl/>
              </w:rPr>
              <w:t>עו"ד סיגל קוגוט</w:t>
            </w:r>
          </w:p>
        </w:tc>
        <w:tc>
          <w:tcPr>
            <w:tcW w:w="4523" w:type="dxa"/>
            <w:tcBorders>
              <w:top w:val="nil"/>
              <w:left w:val="nil"/>
              <w:bottom w:val="nil"/>
              <w:right w:val="nil"/>
            </w:tcBorders>
          </w:tcPr>
          <w:p w:rsidR="006E47DD" w:rsidRDefault="006E47DD">
            <w:pPr>
              <w:rPr>
                <w:rFonts w:cs="Guttman David"/>
                <w:sz w:val="18"/>
                <w:rtl/>
              </w:rPr>
            </w:pPr>
            <w:r>
              <w:rPr>
                <w:rFonts w:cs="Guttman David"/>
                <w:sz w:val="18"/>
                <w:rtl/>
              </w:rPr>
              <w:t>משרד המשפטים</w:t>
            </w:r>
          </w:p>
        </w:tc>
      </w:tr>
      <w:tr w:rsidR="006E47DD" w:rsidTr="006E47DD">
        <w:tblPrEx>
          <w:tblCellMar>
            <w:top w:w="0" w:type="dxa"/>
            <w:bottom w:w="0" w:type="dxa"/>
          </w:tblCellMar>
        </w:tblPrEx>
        <w:trPr>
          <w:jc w:val="right"/>
        </w:trPr>
        <w:tc>
          <w:tcPr>
            <w:tcW w:w="1304" w:type="dxa"/>
            <w:tcBorders>
              <w:top w:val="nil"/>
              <w:left w:val="nil"/>
              <w:bottom w:val="nil"/>
              <w:right w:val="nil"/>
            </w:tcBorders>
          </w:tcPr>
          <w:p w:rsidR="006E47DD" w:rsidRDefault="006E47DD">
            <w:pPr>
              <w:rPr>
                <w:rFonts w:cs="Guttman David"/>
                <w:sz w:val="18"/>
                <w:rtl/>
              </w:rPr>
            </w:pPr>
          </w:p>
        </w:tc>
        <w:tc>
          <w:tcPr>
            <w:tcW w:w="1990" w:type="dxa"/>
            <w:tcBorders>
              <w:top w:val="nil"/>
              <w:left w:val="nil"/>
              <w:bottom w:val="nil"/>
              <w:right w:val="nil"/>
            </w:tcBorders>
          </w:tcPr>
          <w:p w:rsidR="006E47DD" w:rsidRDefault="006E47DD">
            <w:pPr>
              <w:rPr>
                <w:rFonts w:cs="Guttman David"/>
                <w:sz w:val="18"/>
                <w:rtl/>
              </w:rPr>
            </w:pPr>
            <w:r>
              <w:rPr>
                <w:rFonts w:cs="Guttman David"/>
                <w:sz w:val="18"/>
                <w:rtl/>
              </w:rPr>
              <w:t>עמי בן-דרור</w:t>
            </w:r>
          </w:p>
        </w:tc>
        <w:tc>
          <w:tcPr>
            <w:tcW w:w="4523" w:type="dxa"/>
            <w:tcBorders>
              <w:top w:val="nil"/>
              <w:left w:val="nil"/>
              <w:bottom w:val="nil"/>
              <w:right w:val="nil"/>
            </w:tcBorders>
          </w:tcPr>
          <w:p w:rsidR="006E47DD" w:rsidRDefault="006E47DD">
            <w:pPr>
              <w:rPr>
                <w:rFonts w:cs="Guttman David"/>
                <w:sz w:val="18"/>
                <w:rtl/>
              </w:rPr>
            </w:pPr>
            <w:r>
              <w:rPr>
                <w:rFonts w:cs="Guttman David"/>
                <w:sz w:val="18"/>
                <w:rtl/>
              </w:rPr>
              <w:t>מרכז השלטון המקומי</w:t>
            </w:r>
          </w:p>
        </w:tc>
      </w:tr>
    </w:tbl>
    <w:p w:rsidR="00000000" w:rsidRDefault="006E47DD">
      <w:pPr>
        <w:jc w:val="left"/>
        <w:rPr>
          <w:rFonts w:cs="Guttman David"/>
          <w:sz w:val="18"/>
          <w:rtl/>
        </w:rPr>
      </w:pPr>
    </w:p>
    <w:p w:rsidR="00000000" w:rsidRDefault="006E47D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הלית ברק</w:t>
      </w:r>
    </w:p>
    <w:p w:rsidR="00000000" w:rsidRDefault="006E47DD">
      <w:pPr>
        <w:ind w:left="454"/>
        <w:jc w:val="left"/>
        <w:rPr>
          <w:rFonts w:cs="Guttman David"/>
          <w:sz w:val="18"/>
          <w:rtl/>
        </w:rPr>
      </w:pPr>
    </w:p>
    <w:p w:rsidR="00000000" w:rsidRDefault="006E47DD">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6E47DD">
      <w:pPr>
        <w:ind w:left="454"/>
        <w:jc w:val="left"/>
        <w:rPr>
          <w:rFonts w:cs="Guttman David"/>
          <w:sz w:val="18"/>
          <w:rtl/>
        </w:rPr>
      </w:pPr>
    </w:p>
    <w:p w:rsidR="00000000" w:rsidRDefault="006E47D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6E47DD">
      <w:pPr>
        <w:rPr>
          <w:rFonts w:cs="Guttman David"/>
          <w:sz w:val="18"/>
          <w:rtl/>
        </w:rPr>
      </w:pPr>
    </w:p>
    <w:p w:rsidR="00000000" w:rsidRDefault="006E47DD">
      <w:pPr>
        <w:rPr>
          <w:rFonts w:cs="Guttman David"/>
          <w:sz w:val="18"/>
          <w:rtl/>
        </w:rPr>
      </w:pPr>
    </w:p>
    <w:p w:rsidR="00000000" w:rsidRDefault="006E47D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לתיקון פקודת העיריות (הגבלות על התפלגות סיעה), התש"ס-1999 (של חה"כ</w:t>
      </w:r>
    </w:p>
    <w:p w:rsidR="00000000" w:rsidRDefault="006E47DD">
      <w:pPr>
        <w:tabs>
          <w:tab w:val="left" w:pos="1134"/>
          <w:tab w:val="left" w:pos="1418"/>
        </w:tabs>
        <w:ind w:left="1418" w:hanging="1418"/>
        <w:rPr>
          <w:rFonts w:cs="Guttman David"/>
          <w:sz w:val="18"/>
          <w:rtl/>
        </w:rPr>
      </w:pPr>
      <w:r>
        <w:rPr>
          <w:rFonts w:cs="Guttman David"/>
          <w:sz w:val="18"/>
          <w:rtl/>
        </w:rPr>
        <w:tab/>
      </w:r>
      <w:r>
        <w:rPr>
          <w:rFonts w:cs="Guttman David"/>
          <w:sz w:val="18"/>
          <w:rtl/>
        </w:rPr>
        <w:tab/>
        <w:t>יולי-יואל אדלשטיין</w:t>
      </w:r>
      <w:r>
        <w:rPr>
          <w:rFonts w:cs="Guttman David"/>
          <w:sz w:val="18"/>
          <w:rtl/>
        </w:rPr>
        <w:t>).</w:t>
      </w:r>
    </w:p>
    <w:p w:rsidR="00000000" w:rsidRDefault="006E47DD">
      <w:pPr>
        <w:tabs>
          <w:tab w:val="left" w:pos="1134"/>
          <w:tab w:val="left" w:pos="1418"/>
        </w:tabs>
        <w:ind w:left="1445" w:hanging="311"/>
        <w:rPr>
          <w:rFonts w:cs="Guttman David"/>
          <w:sz w:val="18"/>
          <w:rtl/>
        </w:rPr>
      </w:pPr>
    </w:p>
    <w:p w:rsidR="00000000" w:rsidRDefault="006E47DD">
      <w:pPr>
        <w:rPr>
          <w:rFonts w:cs="Guttman David"/>
          <w:sz w:val="18"/>
          <w:rtl/>
        </w:rPr>
      </w:pPr>
      <w:r>
        <w:rPr>
          <w:rFonts w:cs="Guttman David"/>
          <w:sz w:val="18"/>
          <w:rtl/>
        </w:rPr>
        <w:br w:type="page"/>
      </w:r>
    </w:p>
    <w:p w:rsidR="00000000" w:rsidRDefault="006E47DD">
      <w:pPr>
        <w:pStyle w:val="5"/>
        <w:rPr>
          <w:rFonts w:cs="Guttman David"/>
          <w:sz w:val="18"/>
          <w:rtl/>
        </w:rPr>
      </w:pPr>
      <w:r>
        <w:rPr>
          <w:rFonts w:cs="Guttman David"/>
          <w:sz w:val="18"/>
          <w:rtl/>
        </w:rPr>
        <w:t>הצעת חוק לתיקון פקודת העיריות (הגבלות על התפלגות סיעה), התש"ס-1999</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אני פותח את הדיון בנושא הצעת חוק לתיקון פקודת העיריות (הגבלות על התפלגות סיעה), התש"ס-1999 של חבר הכנסת יולי-יואל אדלשטיין. אני מבקש מחבר הכנסת אדלשטיין להציג את </w:t>
      </w:r>
      <w:r>
        <w:rPr>
          <w:rFonts w:cs="Guttman David"/>
          <w:sz w:val="18"/>
          <w:rtl/>
        </w:rPr>
        <w:t>הצעת החוק, שעברה בקריאה טרומית.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הצעת החוק עברה בקריאה טרומית ברוב מכריע. אם אני לא טועה, ללא מתנגדים או עם מתנגד אחד. כלומר, חברי הכנסת תמכו בצורה מסיבית בהצעת החוק. </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שמח לומר שהיתה גם עמדה חיובית של ועדת שרים לחקיקה, בתנאי שהת</w:t>
      </w:r>
      <w:r>
        <w:rPr>
          <w:rFonts w:cs="Guttman David"/>
          <w:sz w:val="18"/>
          <w:rtl/>
        </w:rPr>
        <w:t>חייבתי לו. בהצעת החוק במקור מופיע איסור התפלגות סיעה במועצה מקומית או במועצת עיר במהלך 3 שנות כהונת המועצה. מטעמים שלא כל-כך ברורים לי הממשלה ביקשה לרדת לשנה אחת ואני התחייבתי, תמורת תמיכת הממשלה בהצעת החוק הזאת, אכן לשנות. אם כך, הצעת החוק שמוגשת בפני הוו</w:t>
      </w:r>
      <w:r>
        <w:rPr>
          <w:rFonts w:cs="Guttman David"/>
          <w:sz w:val="18"/>
          <w:rtl/>
        </w:rPr>
        <w:t>עדה מדברת על איסור התפלגות במהלך שנת הכהונה הראשונה של המועצה.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ומה אחרי 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אחרי זה - בהתאם לכל החוקים הקיימים.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יש גם היום איסורים מסויימים אבל הוא רוצה להוסיף. התוספת תהיה לגבי השנה הראשונה.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w:t>
      </w:r>
      <w:r>
        <w:rPr>
          <w:rFonts w:cs="Guttman David"/>
          <w:sz w:val="18"/>
          <w:u w:val="single"/>
          <w:rtl/>
        </w:rPr>
        <w:t>-יואל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אין הגבלה של זמן על התפלגות, מה שקרה לצערנו גם בבית הזה וגם בעיריות. אני חושב שאפילו אין צורך להיכנס לכל ההסברים ולתת דוגמאות ספציפיות, למרות שלצערי הן היו קיימות גם בבחירות המוניציפליות 1998, כשלמחרת הבחירות ראש העיר בודק את המצב ובודק א</w:t>
      </w:r>
      <w:r>
        <w:rPr>
          <w:rFonts w:cs="Guttman David"/>
          <w:sz w:val="18"/>
          <w:rtl/>
        </w:rPr>
        <w:t>ת החוליות החלשות בכל מיני סיעות ומארגן לעצמו קואליציה ללא כל קשר לרצון הבוחר כפי שהובא לידי ביטוי יום-יומיים לפני זה. אני כבר לא מדבר על כל מיני תופעות שבדרך כלל נלוות למעברים כאלה של חברי מועצת עיר או חברי מועצה מקומית מסיעה לסיעה או מצד זה לצד אחר. לכן ה</w:t>
      </w:r>
      <w:r>
        <w:rPr>
          <w:rFonts w:cs="Guttman David"/>
          <w:sz w:val="18"/>
          <w:rtl/>
        </w:rPr>
        <w:t xml:space="preserve">וספתי כאן את גורם הזמן. ברור שבמהלך העבודה המשותפת, מי כמונו יודע, לפעמים מתגלים חילוקי דיעות ומסתבר שהדרכים הן שונות ואז בשלב מסויים אולי חברים מקבלים החלטה להיפרד זה מזה. אבל כשדבר כזה קורה למחרת הבחירות, בימים הראשונים, אז ברור שיש בזה טעם לפגם והציבור </w:t>
      </w:r>
      <w:r>
        <w:rPr>
          <w:rFonts w:cs="Guttman David"/>
          <w:sz w:val="18"/>
          <w:rtl/>
        </w:rPr>
        <w:t>נותן לזה יחס בהתאם.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אולי בכלל צריך לחשוב: למה רק בשנה הראשונה?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מרגלית בוטרמן:</w:t>
      </w:r>
    </w:p>
    <w:p w:rsidR="00000000" w:rsidRDefault="006E47DD">
      <w:pPr>
        <w:rPr>
          <w:rFonts w:cs="Guttman David"/>
          <w:sz w:val="18"/>
          <w:rtl/>
        </w:rPr>
      </w:pPr>
    </w:p>
    <w:p w:rsidR="00000000" w:rsidRDefault="006E47DD">
      <w:pPr>
        <w:rPr>
          <w:rFonts w:cs="Guttman David"/>
          <w:sz w:val="18"/>
          <w:rtl/>
        </w:rPr>
      </w:pPr>
      <w:r>
        <w:rPr>
          <w:rFonts w:cs="Guttman David"/>
          <w:sz w:val="18"/>
          <w:rtl/>
        </w:rPr>
        <w:tab/>
        <w:t>הוא הציע באמת 3 שנים.</w:t>
      </w: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הצעתי 3 שנים והממשלה ביקשה שזה יהיה שנה אחת.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אני מנסה להבין את ההיגיון של הממשלה. מה </w:t>
      </w:r>
      <w:r>
        <w:rPr>
          <w:rFonts w:cs="Guttman David"/>
          <w:sz w:val="18"/>
          <w:rtl/>
        </w:rPr>
        <w:t>הסיבה?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נבצר ממני להבין את ההיגיון.</w:t>
      </w:r>
    </w:p>
    <w:p w:rsidR="00000000" w:rsidRDefault="006E47DD">
      <w:pPr>
        <w:rPr>
          <w:rFonts w:cs="Guttman David"/>
          <w:sz w:val="18"/>
          <w:rtl/>
        </w:rPr>
      </w:pPr>
    </w:p>
    <w:p w:rsidR="00000000" w:rsidRDefault="006E47DD">
      <w:pPr>
        <w:rPr>
          <w:rFonts w:cs="Guttman David"/>
          <w:sz w:val="18"/>
          <w:rtl/>
        </w:rPr>
      </w:pPr>
      <w:r>
        <w:rPr>
          <w:rFonts w:cs="Guttman David"/>
          <w:sz w:val="18"/>
          <w:rtl/>
        </w:rPr>
        <w:tab/>
        <w:t>לדעתי יש בהצעת החוק הזאת, שהיא בוודאי לא פוליטית בכיוון כזה או אחר, תוספת מסויימת לניקיון כפיים בפוליטיקה ואולי גם לתדמית של אלה שהם נבחרי ציבור.</w:t>
      </w:r>
    </w:p>
    <w:p w:rsidR="00000000" w:rsidRDefault="006E47DD">
      <w:pPr>
        <w:rPr>
          <w:rFonts w:cs="Guttman David"/>
          <w:sz w:val="18"/>
          <w:rtl/>
        </w:rPr>
      </w:pPr>
    </w:p>
    <w:p w:rsidR="00000000" w:rsidRDefault="006E47DD">
      <w:pPr>
        <w:rPr>
          <w:rFonts w:cs="Guttman David"/>
          <w:sz w:val="18"/>
          <w:rtl/>
        </w:rPr>
      </w:pPr>
      <w:r>
        <w:rPr>
          <w:rFonts w:cs="Guttman David"/>
          <w:sz w:val="18"/>
          <w:rtl/>
        </w:rPr>
        <w:tab/>
        <w:t>ונקודה שלצערי בכל הצעות החוק היא נקודה מאוד מרכז</w:t>
      </w:r>
      <w:r>
        <w:rPr>
          <w:rFonts w:cs="Guttman David"/>
          <w:sz w:val="18"/>
          <w:rtl/>
        </w:rPr>
        <w:t xml:space="preserve">ית, העלות של הצעת החוק הזאת לקופת המדינה היא אפס נקודה אפס. אני בטוח שזה בטח בא לידי ביטוי בתמיכת הממשלה. </w:t>
      </w:r>
    </w:p>
    <w:p w:rsidR="00000000" w:rsidRDefault="006E47DD">
      <w:pPr>
        <w:rPr>
          <w:rFonts w:cs="Guttman David"/>
          <w:sz w:val="18"/>
          <w:rtl/>
        </w:rPr>
      </w:pPr>
    </w:p>
    <w:p w:rsidR="00000000" w:rsidRDefault="006E47DD">
      <w:pPr>
        <w:rPr>
          <w:rFonts w:cs="Guttman David"/>
          <w:sz w:val="18"/>
          <w:rtl/>
        </w:rPr>
      </w:pPr>
      <w:r>
        <w:rPr>
          <w:rFonts w:cs="Guttman David"/>
          <w:sz w:val="18"/>
          <w:rtl/>
        </w:rPr>
        <w:tab/>
        <w:t>לכן אני מאוד שמח שהזדרזת ושמת את זה כאן לדיון בהקדם. אני מקווה שכאשר נשמע את כל הגורמים הנוגעים בדבר נוכל לקדם את זה לקראת יישום.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r>
        <w:rPr>
          <w:rFonts w:cs="Guttman David"/>
          <w:sz w:val="18"/>
          <w:u w:val="single"/>
          <w:rtl/>
        </w:rPr>
        <w:t>:</w:t>
      </w:r>
    </w:p>
    <w:p w:rsidR="00000000" w:rsidRDefault="006E47DD">
      <w:pPr>
        <w:rPr>
          <w:rFonts w:cs="Guttman David"/>
          <w:sz w:val="18"/>
          <w:rtl/>
        </w:rPr>
      </w:pPr>
    </w:p>
    <w:p w:rsidR="00000000" w:rsidRDefault="006E47DD">
      <w:pPr>
        <w:rPr>
          <w:rFonts w:cs="Guttman David"/>
          <w:sz w:val="18"/>
          <w:rtl/>
        </w:rPr>
      </w:pPr>
      <w:r>
        <w:rPr>
          <w:rFonts w:cs="Guttman David"/>
          <w:sz w:val="18"/>
          <w:rtl/>
        </w:rPr>
        <w:tab/>
        <w:t>הצעת החוק של חבר הכנסת אדלשטיין, לפחות ממבט ראשון, נראית לי הצעת חוק מבורכת. אפילו הייתי אומר שהיא נדרשת במצב הקיים היום. לא פעם אנחנו עדים למצב  שברשויות מקומיות מספר חברי המועצה כמספר הסיעות. אחר-כך לא פלא שלכאן מגיעים כל מיני דיונים על אי-תיפקוד מוע</w:t>
      </w:r>
      <w:r>
        <w:rPr>
          <w:rFonts w:cs="Guttman David"/>
          <w:sz w:val="18"/>
          <w:rtl/>
        </w:rPr>
        <w:t xml:space="preserve">צה כזאת או אחרת. אני חושב שטוב נעשה אם נחוקק חוק שחבר מועצה לא יוכל להתפלג. </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אולי מישהו יסביר לי. אני לא מצליח להבין למה רק בשנה הראשונה? למה לא לכל הקדנציה? </w:t>
      </w:r>
      <w:r>
        <w:rPr>
          <w:rFonts w:cs="Guttman David"/>
          <w:sz w:val="18"/>
          <w:rtl/>
        </w:rPr>
        <w:tab/>
        <w:t>מי מייצג פה את מר אהוד שילת ממשרד הפנים?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מרגלית בוטרמן: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מר אהוד שילת אמר שאין לו בעיה ע</w:t>
      </w:r>
      <w:r>
        <w:rPr>
          <w:rFonts w:cs="Guttman David"/>
          <w:sz w:val="18"/>
          <w:rtl/>
        </w:rPr>
        <w:t>ם הצעת החוק הזאת, כי זה שיקולים של המערכת הפוליטית.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למשרד הפנים אין מה להגיד על הדבר הזה כמשרד פנים.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מרגלית בוטרמן: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אנחנו לא הגבלנו את זה לשנה. זאת היתה החלטה של ועדת השרים לחקיקה.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pStyle w:val="aa"/>
        <w:rPr>
          <w:rFonts w:cs="Guttman David"/>
          <w:sz w:val="18"/>
          <w:rtl/>
        </w:rPr>
      </w:pPr>
      <w:r>
        <w:rPr>
          <w:rFonts w:cs="Guttman David"/>
          <w:sz w:val="18"/>
          <w:rtl/>
        </w:rPr>
        <w:tab/>
        <w:t>ועדת שרים לחקיקה עשתה, אני מניחה, את האיזו</w:t>
      </w:r>
      <w:r>
        <w:rPr>
          <w:rFonts w:cs="Guttman David"/>
          <w:sz w:val="18"/>
          <w:rtl/>
        </w:rPr>
        <w:t>ן. הרי החוק היום מכיר בהתפלגות. פרישה תמיד אסורה אבל החוק אומר מתי זה התפלגות: כאשר קבוצה מסיבית מהסיעה פורשת, לא אדם אחד. בסיעה של שלושה למשל אם שניים מחליטים פתאום שהם עוזבים, או בסיעה יותר גדולה אז אם לפחות 3 מחליטים שהם עוזבים. אדם אחד שפתאום עוזב את ה</w:t>
      </w:r>
      <w:r>
        <w:rPr>
          <w:rFonts w:cs="Guttman David"/>
          <w:sz w:val="18"/>
          <w:rtl/>
        </w:rPr>
        <w:t>סיעה זה תמיד אסור, עד סוף הקדנציה.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את לא תיפגעי אם אני אתקן אותך. זה לא בהכרח קבוצה מסיבית אבל זה יותר מאחד.</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אומרים: או שניים מתוך שלושה, שזה בוודאי מסיבי כי זה רוב הסיעה, או מכל סיעה אחרת לפחות 3. ואז יכולה להיות סיעה</w:t>
      </w:r>
      <w:r>
        <w:rPr>
          <w:rFonts w:cs="Guttman David"/>
          <w:sz w:val="18"/>
          <w:rtl/>
        </w:rPr>
        <w:t xml:space="preserve"> של 10 וה-3 מהווים בה שליש. אבל שזה לא יהיה משהו מאוד זניח. באים ואומרים, אפילו אם 3 רוצים לעזוב, לא ניתן להם בפרק הזמן שחבר הכנסת אדלשטיין מציע. מי שרוצה לעזוב יום אחרי בחירות, זה מלמד שזה לא רציני, שיש פה שיקולים אחרים. לא בגלל שהוא התנסה בעבודה ועזב בשל</w:t>
      </w:r>
      <w:r>
        <w:rPr>
          <w:rFonts w:cs="Guttman David"/>
          <w:sz w:val="18"/>
          <w:rtl/>
        </w:rPr>
        <w:t xml:space="preserve"> כך.</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אם יום אחרי הבחירות לא, אז מתי?</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אומרים שאחרי פרק זמן מסויים - הממשלה סברה שנה - כשכבר מתנהלת עבודת המועצה, אז יכול להיות מצב שבאמת יהיה רקע סביר להתפלגות.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זאת אומרת, במשך שנה הם לא יכולים להתפלג</w:t>
      </w:r>
      <w:r>
        <w:rPr>
          <w:rFonts w:cs="Guttman David"/>
          <w:sz w:val="18"/>
          <w:rtl/>
        </w:rPr>
        <w:t>.</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אחר-כך אם פתאום הם רואים שבאמת ההתנהלות בעייתית, שיש להם בעיה אידיאולוגית ו-3 רוצים לפרוש, אז הממשלה חשבה שצריך לאפשר את 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מה החוק הקיים היום?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החוק הקיים לא מגביל בזמן. אפשר להתפלג גם יום אחרי הבחירות.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היום אפשר להתפלג למחרת הבחירות? ולא משנה אם זה סיעה בת 3 חברים שרוצה להתפלג ל-3 סיעות?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אחד לא יכול להתפלג. מפלגה של 3 חברי מועצה יכולה להתפלג לשתיים.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מה קורה עם סיעה של שניים?</w:t>
      </w:r>
    </w:p>
    <w:p w:rsidR="00000000" w:rsidRDefault="006E47DD">
      <w:pPr>
        <w:rPr>
          <w:rFonts w:cs="Guttman David"/>
          <w:sz w:val="18"/>
          <w:rtl/>
        </w:rPr>
      </w:pP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אין </w:t>
      </w:r>
      <w:r>
        <w:rPr>
          <w:rFonts w:cs="Guttman David"/>
          <w:sz w:val="18"/>
          <w:rtl/>
        </w:rPr>
        <w:t>לזה פתרון. זה אחד הדברים שרציתי שתשקלו: מה קורה אם יש סיעה של שניים. מצד אחד הבוחר בחר אותם כסיעה מסוימת, אבל בכל זאת כל אחד הוא 50%. אם הם לא מסתדרים החוק היום לא מאפשר להם להיפרד. החוק לא מאפשר לאחד לעזוב סיעה של שניים. רק אם יש סיעה יותר גדולה ו-2/3 רוצ</w:t>
      </w:r>
      <w:r>
        <w:rPr>
          <w:rFonts w:cs="Guttman David"/>
          <w:sz w:val="18"/>
          <w:rtl/>
        </w:rPr>
        <w:t>ים אז יש אפשרות.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יש פה עוד בעיה אחת, שאני לא יודע אם לקחתם אותה בחשבון. יש את ישיבת המועצה האחרונה, שאז כל אחד מכריז.</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כתוב בחוק שזה לא כולל. אז מותר.</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כלומר אז כל אחד, גם אם מדובר ב-3 חברי מועצה, יוכל</w:t>
      </w:r>
      <w:r>
        <w:rPr>
          <w:rFonts w:cs="Guttman David"/>
          <w:sz w:val="18"/>
          <w:rtl/>
        </w:rPr>
        <w:t xml:space="preserve"> להכריז על עצמו כסיעה נפרדת.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זה לא כולל את ההכרזה.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שלא נגביל את 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זה נאמר בפירוש בחוק.</w:t>
      </w:r>
    </w:p>
    <w:p w:rsidR="00000000" w:rsidRDefault="006E47DD">
      <w:pPr>
        <w:rPr>
          <w:rFonts w:cs="Guttman David"/>
          <w:sz w:val="18"/>
          <w:rtl/>
        </w:rPr>
      </w:pPr>
    </w:p>
    <w:p w:rsidR="00000000" w:rsidRDefault="006E47DD">
      <w:pPr>
        <w:rPr>
          <w:rFonts w:cs="Guttman David"/>
          <w:sz w:val="18"/>
          <w:rtl/>
        </w:rPr>
      </w:pPr>
      <w:r>
        <w:rPr>
          <w:rFonts w:cs="Guttman David"/>
          <w:sz w:val="18"/>
          <w:rtl/>
        </w:rPr>
        <w:tab/>
        <w:t>עוד בעיה שרציתי שתדונו בה, שנתקלנו בה בבג"צים: היום החוק קובע שזה אסור רק למי שמתפלג מסיעה של המועצה היוצאת. זה מו</w:t>
      </w:r>
      <w:r>
        <w:rPr>
          <w:rFonts w:cs="Guttman David"/>
          <w:sz w:val="18"/>
          <w:rtl/>
        </w:rPr>
        <w:t>תר למי שעובר לסיעה של הכנסת. אני מניחה שחברי הכנסת עשו את הדבר הזה כי הם רצו אולי להיטיב עם סיעות מטעם סיעות של הכנסת.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תמיד היתה עדיפות לסיעות שיש להן סיעת אם בכנסת.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הכוונה היא לא שיש עדיפות בכל מיני עניינים לסיעה של הכנ</w:t>
      </w:r>
      <w:r>
        <w:rPr>
          <w:rFonts w:cs="Guttman David"/>
          <w:sz w:val="18"/>
          <w:rtl/>
        </w:rPr>
        <w:t>סת. זה נכון. אבל מה קורה היום לפי החוק? נניח שלסיעת ש"ס יש נציגים בתל-אביב ונציג אחד מחליט שהוא פורש. אם הוא הולך לסיעה "תושבים למען דימונה", שזה סיעה של המועצה היוצאת, חלות עליו המגבלות של החוק. אבל אם הוא יילך לסיעת "העבודה" לא יחולו עליו המגבלות של החוק</w:t>
      </w:r>
      <w:r>
        <w:rPr>
          <w:rFonts w:cs="Guttman David"/>
          <w:sz w:val="18"/>
          <w:rtl/>
        </w:rPr>
        <w:t>, כי אם הוא יפנה מהסיעה שאותה הוא עזב ויילך לסיעה של הכנסת, לפי החוק זה מותר. רק אם הוא יילך לסיעה של המועצה היוצאת, זה יהיה אסור.</w:t>
      </w:r>
    </w:p>
    <w:p w:rsidR="00000000" w:rsidRDefault="006E47DD">
      <w:pPr>
        <w:rPr>
          <w:rFonts w:cs="Guttman David"/>
          <w:sz w:val="18"/>
          <w:rtl/>
        </w:rPr>
      </w:pPr>
    </w:p>
    <w:p w:rsidR="00000000" w:rsidRDefault="006E47DD">
      <w:pPr>
        <w:rPr>
          <w:rFonts w:cs="Guttman David"/>
          <w:sz w:val="18"/>
          <w:rtl/>
        </w:rPr>
      </w:pPr>
      <w:r>
        <w:rPr>
          <w:rFonts w:cs="Guttman David"/>
          <w:sz w:val="18"/>
          <w:rtl/>
        </w:rPr>
        <w:tab/>
        <w:t>השאלה היא למה? אם אתה לא רוצה לעודד מתפלגים למיניהם, למה אתה מוכן לעודד אותם כשהם עוזבים מישהו והולכים לסיעה של הכנסת, ואתה</w:t>
      </w:r>
      <w:r>
        <w:rPr>
          <w:rFonts w:cs="Guttman David"/>
          <w:sz w:val="18"/>
          <w:rtl/>
        </w:rPr>
        <w:t xml:space="preserve"> לא מוכן לעודד אותם כשהם הולכים לסיעה של המועצה היוצאת?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אולי הכוונה היא שסיעה בכנסת היא סיעה ממוסדת. זה לא סיעה שקמה באופן חד-פעמי לצורך איזה עניין. יש לה מגבלות מסויימות בחוק. כך אני חושב.</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הרי למה מציעים את ההצעה הזאת? </w:t>
      </w:r>
      <w:r>
        <w:rPr>
          <w:rFonts w:cs="Guttman David"/>
          <w:sz w:val="18"/>
          <w:rtl/>
        </w:rPr>
        <w:t>כי לא רוצים שרצון הבוחר יסוכל. הבוחר בחר סיעה מסויימת. מה איכפת לו אם האיש שנבחר בגד בהם והלך ל"עבודה" או שהוא בגד בהם והלך ל"תושבים למען דימונה"?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הוא נבחר כדי לשרת את "התושבים למען דימונה" ולא את סיעת "העבודה". את מעלה פה שתי סוגיות</w:t>
      </w:r>
      <w:r>
        <w:rPr>
          <w:rFonts w:cs="Guttman David"/>
          <w:sz w:val="18"/>
          <w:rtl/>
        </w:rPr>
        <w:t xml:space="preserve"> מאוד חשובות, שבהחלט אני רואה בהן התקדמות לאותו כיוון של אי-עיוות רצון הבוחר. אני רק לא בטוח שאנחנו יכולים להוסיף את זה בדיון היום, כשחברי הכנסת בקריאה טרומית הצביעו עבור תיקון מסויים. אם אני מבין נכון, תתקנו אותי אם אני טועה מבחינה משפטית. </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זה אפשר היום וזה לא יהיה אפשרי אחרי הקריאה הראשונה. אחרי קריאה ראשונה זה נושא חדש ואי אפשר להוסיף דברים.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אבל נכון להיום עדיין אפשר להכניס תיקונים כל-כך מרחיקי לכת?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הלית ברק:</w:t>
      </w:r>
    </w:p>
    <w:p w:rsidR="00000000" w:rsidRDefault="006E47DD">
      <w:pPr>
        <w:rPr>
          <w:rFonts w:cs="Guttman David"/>
          <w:sz w:val="18"/>
          <w:rtl/>
        </w:rPr>
      </w:pPr>
    </w:p>
    <w:p w:rsidR="00000000" w:rsidRDefault="006E47DD">
      <w:pPr>
        <w:rPr>
          <w:rFonts w:cs="Guttman David"/>
          <w:sz w:val="18"/>
          <w:rtl/>
        </w:rPr>
      </w:pPr>
      <w:r>
        <w:rPr>
          <w:rFonts w:cs="Guttman David"/>
          <w:sz w:val="18"/>
          <w:rtl/>
        </w:rPr>
        <w:tab/>
        <w:t>נכון להיום לא תתעורר סוגיה של נושא חדש, להבדיל, כפי שעו</w:t>
      </w:r>
      <w:r>
        <w:rPr>
          <w:rFonts w:cs="Guttman David"/>
          <w:sz w:val="18"/>
          <w:rtl/>
        </w:rPr>
        <w:t>"ד סיגל קוגוט אמרה, מהמצב אחרי קריאה ראשונה.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את מעלה שתי סוגיות: 1) מצב של סיעה שנבחרה בת שני חברי מועצה, שהם לא יכולים להתפרק; 2) הבדל  בין סיעה מקומית לסיעה המיוצגת בכנסת.</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אגיד לך בדיוק מה אומר היום הסעיף. הרי מה הסנ</w:t>
      </w:r>
      <w:r>
        <w:rPr>
          <w:rFonts w:cs="Guttman David"/>
          <w:sz w:val="18"/>
          <w:rtl/>
        </w:rPr>
        <w:t xml:space="preserve">קציה שבה מדובר, כדי שלא ייקנו אנשים שיעזבו את סיעותיהם? אפשר לפרוש ולהתפטר מהמועצה, זה בסדר. אבל מי שפרש ולא התפטר מהמועצה תוך 30 יום לא יכלל בבחירות למועצה שלאחריה ברשימת מועמדים שהגישה סיעה של המועצה היוצאת. רוצים לתת סנקציה כדי שלא יבטיחו לו הבטחות: אל </w:t>
      </w:r>
      <w:r>
        <w:rPr>
          <w:rFonts w:cs="Guttman David"/>
          <w:sz w:val="18"/>
          <w:rtl/>
        </w:rPr>
        <w:t xml:space="preserve">תדאג, תעזוב את הבית שלך ואנחנו במועצה הבאה נכניס אותך במקום ריאלי ברשימה שלנו. אז אומרים: אם אתה עכשיו עזבת את ביתך, אל תחשוב שיש לך חסינות, שמי ששכנע אותך לעזוב ייתן לך מקום ריאלי בפעם הבאה. </w:t>
      </w:r>
    </w:p>
    <w:p w:rsidR="00000000" w:rsidRDefault="006E47DD">
      <w:pPr>
        <w:rPr>
          <w:rFonts w:cs="Guttman David"/>
          <w:sz w:val="18"/>
          <w:rtl/>
        </w:rPr>
      </w:pPr>
    </w:p>
    <w:p w:rsidR="00000000" w:rsidRDefault="006E47DD">
      <w:pPr>
        <w:rPr>
          <w:rFonts w:cs="Guttman David"/>
          <w:sz w:val="18"/>
          <w:rtl/>
        </w:rPr>
      </w:pPr>
      <w:r>
        <w:rPr>
          <w:rFonts w:cs="Guttman David"/>
          <w:sz w:val="18"/>
          <w:rtl/>
        </w:rPr>
        <w:tab/>
        <w:t>היום הסנקציה הזאת מופעלת רק על סיעה של המועצה היוצאת. לא על ס</w:t>
      </w:r>
      <w:r>
        <w:rPr>
          <w:rFonts w:cs="Guttman David"/>
          <w:sz w:val="18"/>
          <w:rtl/>
        </w:rPr>
        <w:t>יעה של הכנסת. סיעה של הכנסת יכולה להגיד למישהו: בוא, תעזוב את הסיעה השניה, בפעם הבאה תקבל מקום ריאלי. היו על זה עתירות. היו טענות, למה אם מישהו עוזב סיעה ובוגד בה, בוגד בבוחר והולך ל-</w:t>
      </w:r>
      <w:r>
        <w:rPr>
          <w:rFonts w:cs="Guttman David"/>
        </w:rPr>
        <w:t>X</w:t>
      </w:r>
      <w:r>
        <w:rPr>
          <w:rFonts w:cs="Guttman David"/>
          <w:sz w:val="18"/>
          <w:rtl/>
        </w:rPr>
        <w:t xml:space="preserve"> זה מותר לו, ואם הוא הולך ל-</w:t>
      </w:r>
      <w:r>
        <w:rPr>
          <w:rFonts w:cs="Guttman David"/>
        </w:rPr>
        <w:t>Y</w:t>
      </w:r>
      <w:r>
        <w:rPr>
          <w:rFonts w:cs="Guttman David"/>
          <w:sz w:val="18"/>
          <w:rtl/>
        </w:rPr>
        <w:t xml:space="preserve"> זה אסור לו?</w:t>
      </w:r>
    </w:p>
    <w:p w:rsidR="00000000" w:rsidRDefault="006E47DD">
      <w:pPr>
        <w:rPr>
          <w:rFonts w:cs="Guttman David"/>
          <w:sz w:val="18"/>
          <w:rtl/>
        </w:rPr>
      </w:pP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אתם מר</w:t>
      </w:r>
      <w:r>
        <w:rPr>
          <w:rFonts w:cs="Guttman David"/>
          <w:sz w:val="18"/>
          <w:rtl/>
        </w:rPr>
        <w:t>אים לי שאולי לא התעמקתי דיים בכל פרטי החוק, שיכולתי להכניס את זה כבר מלכתחילה. אספר לכם, מהניסיון המועט שלי, על מקרה שאולי אפילו לא ראוי לדיון בוועדת הכנסת. אמר חבר מועצה בעיר אחת מטעמנו, שהיה באיזה ויכוח עם המפלגה: אתם יודעים מה, עם כל הכבוד שאני רוחש לכם</w:t>
      </w:r>
      <w:r>
        <w:rPr>
          <w:rFonts w:cs="Guttman David"/>
          <w:sz w:val="18"/>
          <w:rtl/>
        </w:rPr>
        <w:t>, אני לקראת הבחירות הבאות שווה יותר מ-200,000 שקל ואז כל אחד יהיה מוכן לקחת אותי. יכול להיות שההיגיון של המחוקק כאן אומר: כשמדובר במפלגות כגון הליכוד והעבודה - וכשהחוק הזה נחקק הן בטח היו השחקניות העיקריות בזירה המקומית - אז 200,000 שקל, אם זה בעיר מאוד גד</w:t>
      </w:r>
      <w:r>
        <w:rPr>
          <w:rFonts w:cs="Guttman David"/>
          <w:sz w:val="18"/>
          <w:rtl/>
        </w:rPr>
        <w:t xml:space="preserve">ולה, אז אם הוא עולה 30,000 שקל למפלגה כמו הליכוד או העבודה זה לא בדיוק קונץ כזה לקנות אותו. לעומת זה, אם יש לך "תושבים למען דימונה" ובא אליהם אדם, חבר של המועצה הפורשת ואומר: חבר'ה, אתם סיעה מקומית קטנה, אני מביא איתי נדוניה תמורת מקום שני או שלישי ברשימה </w:t>
      </w:r>
      <w:r>
        <w:rPr>
          <w:rFonts w:cs="Guttman David"/>
          <w:sz w:val="18"/>
          <w:rtl/>
        </w:rPr>
        <w:t xml:space="preserve">שלכם, יכול להיות שאת זה דווקא רצו להגביל. </w:t>
      </w:r>
      <w:r>
        <w:rPr>
          <w:rFonts w:cs="Guttman David"/>
          <w:sz w:val="18"/>
          <w:rtl/>
        </w:rPr>
        <w:tab/>
        <w:t>למרות שאני מסכים איתך, ויש צדק רב בדבריך, שיש כאן איפה ואיפה.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זה לא מתאים כאילו לרעיון שאותו רצית לקדם. לכן העליתי את זה. גם בגלל שבית-משפט אמר שעכשיו הוא משאיר את זה ב"צריך עיון" אבל אם זה ימשיך אז</w:t>
      </w:r>
      <w:r>
        <w:rPr>
          <w:rFonts w:cs="Guttman David"/>
          <w:sz w:val="18"/>
          <w:rtl/>
        </w:rPr>
        <w:t xml:space="preserve"> אולי הוא יכריע ודרך פרשנות הוא יפסיק את 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עדיין אין פסיקה.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יש פסיקה אבל זה נשאר ב"צריך עיון". במקרים האלה דחו את העתירה בגלל סיבות אחרות, אמרו שלא רוצים להיכנס לזה. אבל כולם אמרו שיש פה איזה חוסר שוויון. אם אתה רוצה ש</w:t>
      </w:r>
      <w:r>
        <w:rPr>
          <w:rFonts w:cs="Guttman David"/>
          <w:sz w:val="18"/>
          <w:rtl/>
        </w:rPr>
        <w:t>בן אדם לא יעזוב, לא יבגוד בבוחר, אז מה זה משנה לאן הוא הולך?</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עמי בן-דרור:</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עמדת מרכז השלטון המקומי: קודם כל אנחנו מברכים על הצעת השינוי. אבל לא מקובל עלינו העניין הזה של שנה אחת. כל הבעיה מתחילה בעצם בשנה השניה. אני אומר את זה מתוך ניסיון. אני שנים רבות </w:t>
      </w:r>
      <w:r>
        <w:rPr>
          <w:rFonts w:cs="Guttman David"/>
          <w:sz w:val="18"/>
          <w:rtl/>
        </w:rPr>
        <w:t>בשלטון המקומי. הבעיה המרכזית היא יצירת מועצות לעומתיות. בעקבות פילוג מסיעה יכולים בין לילה לעשות מהפך, לעבור לסיעה אחרת ועל-ידי כך להעמיד את ראש העיריה במיעוט. לכן צריך לעשות כל מה שניתן על מנת להקשות על התהליך הזה ולא ליצור זעזועים.</w:t>
      </w:r>
    </w:p>
    <w:p w:rsidR="00000000" w:rsidRDefault="006E47DD">
      <w:pPr>
        <w:rPr>
          <w:rFonts w:cs="Guttman David"/>
          <w:sz w:val="18"/>
          <w:rtl/>
        </w:rPr>
      </w:pPr>
    </w:p>
    <w:p w:rsidR="00000000" w:rsidRDefault="006E47DD">
      <w:pPr>
        <w:rPr>
          <w:rFonts w:cs="Guttman David"/>
          <w:sz w:val="18"/>
          <w:rtl/>
        </w:rPr>
      </w:pPr>
      <w:r>
        <w:rPr>
          <w:rFonts w:cs="Guttman David"/>
          <w:sz w:val="18"/>
          <w:rtl/>
        </w:rPr>
        <w:tab/>
        <w:t>מדוע לא בשנה הראשונה</w:t>
      </w:r>
      <w:r>
        <w:rPr>
          <w:rFonts w:cs="Guttman David"/>
          <w:sz w:val="18"/>
          <w:rtl/>
        </w:rPr>
        <w:t xml:space="preserve"> - זה ברור. בשנה הראשונה אנחנו עדיין מרכיבים את הוועדות, עדיין מחלקים את התפקידים, מחלקים את הכיבודים. ברור שבשנה הזאת אסור בכלל לתת למישהו לעשות איזה שינוי. לכן, מתוך הפשרה בין 3 שנים לשנה, ההצעה שלנו היא שנתיים. אז הרשות נכנסת לתהליך מסודר והיא עובדת כבר</w:t>
      </w:r>
      <w:r>
        <w:rPr>
          <w:rFonts w:cs="Guttman David"/>
          <w:sz w:val="18"/>
          <w:rtl/>
        </w:rPr>
        <w:t xml:space="preserve"> באופן שוטף.</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אתה אומר שעד שנתיים לא צריכים לתת לפרוש. רק אחרי שנתיים יכולים להתנתק. חבר הכנסת יולי אדלשטיין, בעצם פה אתה בבעיה.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אני בבעיה כי אמרתי בפרוטוקול שאני התחייבתי בדיונים בוועדת שרים לחקיקה לא לשנות. </w:t>
      </w:r>
    </w:p>
    <w:p w:rsidR="00000000" w:rsidRDefault="006E47DD">
      <w:pPr>
        <w:rPr>
          <w:rFonts w:cs="Guttman David"/>
          <w:sz w:val="18"/>
          <w:rtl/>
        </w:rPr>
      </w:pP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ע</w:t>
      </w:r>
      <w:r>
        <w:rPr>
          <w:rFonts w:cs="Guttman David"/>
          <w:sz w:val="18"/>
          <w:u w:val="single"/>
          <w:rtl/>
        </w:rPr>
        <w:t>מי בן-דרור:</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אני מלווה הרבה מאוד רשויות במשבר. אני רואה את התופעות האלה, כמו הדוגמא של נצרת או מקומות אחרים, שם ראש העיריה נכנס למלכודת. אומרים לו: תחכה, אנחנו אמנם נכנסנו לעיריה או למועצה אבל עכשיו אנחנו יכולים לעבור מכסא לכסא ובעצם לשנות את האיזון. לכן </w:t>
      </w:r>
      <w:r>
        <w:rPr>
          <w:rFonts w:cs="Guttman David"/>
          <w:sz w:val="18"/>
          <w:rtl/>
        </w:rPr>
        <w:t>צריך ליצור הכבדה גדולה ככל האפשר על המערכת הזאת. אולי זה ינתן במסגרת הסעיפים שאתם כרגע משנים, דווקא להכביד יותר.</w:t>
      </w:r>
    </w:p>
    <w:p w:rsidR="00000000" w:rsidRDefault="006E47DD">
      <w:pPr>
        <w:rPr>
          <w:rFonts w:cs="Guttman David"/>
          <w:sz w:val="18"/>
          <w:rtl/>
        </w:rPr>
      </w:pPr>
    </w:p>
    <w:p w:rsidR="00000000" w:rsidRDefault="006E47DD">
      <w:pPr>
        <w:rPr>
          <w:rFonts w:cs="Guttman David"/>
          <w:sz w:val="18"/>
          <w:rtl/>
        </w:rPr>
      </w:pPr>
      <w:r>
        <w:rPr>
          <w:rFonts w:cs="Guttman David"/>
          <w:sz w:val="18"/>
          <w:rtl/>
        </w:rPr>
        <w:tab/>
        <w:t>הסתייגות אחרת היא לגבי הפריבילגיה של אלה שיש להם רשימות בכנסת, כפי שאמרה עו"ד קוגוט. זה נראה לנו מאוד מאוד לא טבעי, ואפילו לא מוסרי. צריכה לה</w:t>
      </w:r>
      <w:r>
        <w:rPr>
          <w:rFonts w:cs="Guttman David"/>
          <w:sz w:val="18"/>
          <w:rtl/>
        </w:rPr>
        <w:t>יות כאן הסכמה בין כולם שכל מעבר יש לו השפעה שווה.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מה עמדת משרד הפנים?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מרגלית בוטרמן:</w:t>
      </w:r>
    </w:p>
    <w:p w:rsidR="00000000" w:rsidRDefault="006E47DD">
      <w:pPr>
        <w:rPr>
          <w:rFonts w:cs="Guttman David"/>
          <w:sz w:val="18"/>
          <w:rtl/>
        </w:rPr>
      </w:pPr>
    </w:p>
    <w:p w:rsidR="00000000" w:rsidRDefault="006E47DD">
      <w:pPr>
        <w:rPr>
          <w:rFonts w:cs="Guttman David"/>
          <w:sz w:val="18"/>
          <w:rtl/>
        </w:rPr>
      </w:pPr>
      <w:r>
        <w:rPr>
          <w:rFonts w:cs="Guttman David"/>
          <w:sz w:val="18"/>
          <w:rtl/>
        </w:rPr>
        <w:tab/>
        <w:t>בעקרון שאלנו את מר אהוד שילת והוא לא מתנגד.</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הוא לא התנגד גם ל-3 שנים. זה לא הדליק אצלו שום נורה אדומה.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r>
      <w:r>
        <w:rPr>
          <w:rFonts w:cs="Guttman David"/>
          <w:sz w:val="18"/>
          <w:rtl/>
        </w:rPr>
        <w:t>אין לכם מבחינתכם בעיה בקטע הזה?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מרגלית בוטרמן:</w:t>
      </w:r>
    </w:p>
    <w:p w:rsidR="00000000" w:rsidRDefault="006E47DD">
      <w:pPr>
        <w:rPr>
          <w:rFonts w:cs="Guttman David"/>
          <w:sz w:val="18"/>
          <w:rtl/>
        </w:rPr>
      </w:pPr>
    </w:p>
    <w:p w:rsidR="00000000" w:rsidRDefault="006E47DD">
      <w:pPr>
        <w:rPr>
          <w:rFonts w:cs="Guttman David"/>
          <w:sz w:val="18"/>
          <w:rtl/>
        </w:rPr>
      </w:pPr>
      <w:r>
        <w:rPr>
          <w:rFonts w:cs="Guttman David"/>
          <w:sz w:val="18"/>
          <w:rtl/>
        </w:rPr>
        <w:tab/>
        <w:t>לא. לנו בוודאי שאין בעיה. אם זה יגרום ליציבות, אנחנו בעד.</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שומע פה שאין התנגדות. הבעיה היא ההתחייבות של חבר הכנסת יולי אדלשטיין לממשלה. עו"ד הלית ברק, האם יש לך מה להוסיף בעניין?</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הל</w:t>
      </w:r>
      <w:r>
        <w:rPr>
          <w:rFonts w:cs="Guttman David"/>
          <w:sz w:val="18"/>
          <w:u w:val="single"/>
          <w:rtl/>
        </w:rPr>
        <w:t>ית ברק:</w:t>
      </w:r>
    </w:p>
    <w:p w:rsidR="00000000" w:rsidRDefault="006E47DD">
      <w:pPr>
        <w:rPr>
          <w:rFonts w:cs="Guttman David"/>
          <w:sz w:val="18"/>
          <w:rtl/>
        </w:rPr>
      </w:pPr>
    </w:p>
    <w:p w:rsidR="00000000" w:rsidRDefault="006E47DD">
      <w:pPr>
        <w:rPr>
          <w:rFonts w:cs="Guttman David"/>
          <w:sz w:val="18"/>
          <w:rtl/>
        </w:rPr>
      </w:pPr>
      <w:r>
        <w:rPr>
          <w:rFonts w:cs="Guttman David"/>
          <w:sz w:val="18"/>
          <w:rtl/>
        </w:rPr>
        <w:tab/>
        <w:t>ההערות של עו"ד סיגל קוגוט מקובלות עלי ככלל. אני לא ראיתי בעייתיות. הנושא השני, אם זה שנה אחת, שנתיים או שלוש - זה לחלוטין קביעה ברמה של המערכת הפוליטית. אין לי עמדה לכאן או לכאן.</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בעקרון עכשיו הייתי יכול כבר ללכת על הכנה לקריא</w:t>
      </w:r>
      <w:r>
        <w:rPr>
          <w:rFonts w:cs="Guttman David"/>
          <w:sz w:val="18"/>
          <w:rtl/>
        </w:rPr>
        <w:t xml:space="preserve">ה ראשונה. הבעיה שלי, שמצד אחד יש פה התחייבות של חבר הכנסת, שנכתבה גם בפרוטוקול, שהתחייב לקבל את עמדת הממשלה. מצד שני, בדרך כלל המצב הוא שאנחנו באים לפה ואז עמדת הממשלה אומרת לתמוך בהצעת חוק, עם אותה הבטחה שאכן בשנה הראשונה זה לא יקרה. פה נוצר מצב - - - </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w:t>
      </w:r>
      <w:r>
        <w:rPr>
          <w:rFonts w:cs="Guttman David"/>
          <w:sz w:val="18"/>
          <w:u w:val="single"/>
          <w:rtl/>
        </w:rPr>
        <w:t>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שגם משרד הפנים, גם משרד המשפטים וגם נציג השלטון המקומי תומכים בהצעתי ל-3 שנים.</w:t>
      </w: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 xml:space="preserve">כולם תומכים אבל יש את ההבטחה של חבר הכנסת מול הממשלה. לכן אני מבקש לבדוק את זה במחלקה המשפטית שלנו. </w:t>
      </w:r>
    </w:p>
    <w:p w:rsidR="00000000" w:rsidRDefault="006E47DD">
      <w:pPr>
        <w:rPr>
          <w:rFonts w:cs="Guttman David"/>
          <w:sz w:val="18"/>
          <w:rtl/>
        </w:rPr>
      </w:pPr>
    </w:p>
    <w:p w:rsidR="00000000" w:rsidRDefault="006E47DD">
      <w:pPr>
        <w:rPr>
          <w:rFonts w:cs="Guttman David"/>
          <w:sz w:val="18"/>
          <w:rtl/>
        </w:rPr>
      </w:pPr>
      <w:r>
        <w:rPr>
          <w:rFonts w:cs="Guttman David"/>
          <w:sz w:val="18"/>
          <w:rtl/>
        </w:rPr>
        <w:tab/>
        <w:t>לגבי שאר התיקונים שביקשתם, גם השל</w:t>
      </w:r>
      <w:r>
        <w:rPr>
          <w:rFonts w:cs="Guttman David"/>
          <w:sz w:val="18"/>
          <w:rtl/>
        </w:rPr>
        <w:t>טון המקומי וגם משרד המשפטים: אנא העבירו את התיקונים שלכם ליועצת המשפטית של הוועדה.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צריך להוסיף עוד מלה אחת. הדבר השני זה לא תיקונים. זה רק להחלטתכם, מה אתם רוצים לעשות כשיש סיעה של שניים. את זה אתם צריכים להחליט.</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גדעון עזרא:</w:t>
      </w:r>
    </w:p>
    <w:p w:rsidR="00000000" w:rsidRDefault="006E47DD">
      <w:pPr>
        <w:rPr>
          <w:rFonts w:cs="Guttman David"/>
          <w:sz w:val="18"/>
          <w:rtl/>
        </w:rPr>
      </w:pPr>
    </w:p>
    <w:p w:rsidR="00000000" w:rsidRDefault="006E47DD">
      <w:pPr>
        <w:rPr>
          <w:rFonts w:cs="Guttman David"/>
          <w:sz w:val="18"/>
          <w:rtl/>
        </w:rPr>
      </w:pPr>
      <w:r>
        <w:rPr>
          <w:rFonts w:cs="Guttman David"/>
          <w:sz w:val="18"/>
          <w:rtl/>
        </w:rPr>
        <w:tab/>
        <w:t>למה אי אפשר ל</w:t>
      </w:r>
      <w:r>
        <w:rPr>
          <w:rFonts w:cs="Guttman David"/>
          <w:sz w:val="18"/>
          <w:rtl/>
        </w:rPr>
        <w:t>עשות מה שעשו בכנסת לגבי התפלגות מסיעה?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יש מגבלות. נציג השלטון המקומי אמר שעיקר הבעיות: בשנה הראשונה זה ברור למה, בשל כל הקניות של חברים במועצה. אבל הוא הוסיף שגם בשנה השניה, כשדווקא הכל קצת מתאזן, פתאום מופיעים כל מיני חברים שאומרים</w:t>
      </w:r>
      <w:r>
        <w:rPr>
          <w:rFonts w:cs="Guttman David"/>
          <w:sz w:val="18"/>
          <w:rtl/>
        </w:rPr>
        <w:t xml:space="preserve">: אם כך אז אנחנו נעבור מפה לפה, משם לשם, נתפלג ונשאיר את ראש העיריה במיעוט אלא אם הוא ייתן לנו דברים כאלה וכאלה. זה לא יחיד, זה 2-3.  </w:t>
      </w:r>
    </w:p>
    <w:p w:rsidR="00000000" w:rsidRDefault="006E47DD">
      <w:pPr>
        <w:rPr>
          <w:rFonts w:cs="Guttman David"/>
          <w:sz w:val="18"/>
          <w:rtl/>
        </w:rPr>
      </w:pPr>
    </w:p>
    <w:p w:rsidR="00000000" w:rsidRDefault="006E47DD">
      <w:pPr>
        <w:rPr>
          <w:rFonts w:cs="Guttman David"/>
          <w:sz w:val="18"/>
          <w:rtl/>
        </w:rPr>
      </w:pPr>
      <w:r>
        <w:rPr>
          <w:rFonts w:cs="Guttman David"/>
          <w:sz w:val="18"/>
          <w:rtl/>
        </w:rPr>
        <w:tab/>
        <w:t>בתחילת הדיון היום אמרתי שאני ביקשתי שב-3 השנים הראשונות יהיה איסור התפלגות אולם בוועדת שרים לחקיקה התפשרתי שזה יהיה שנה</w:t>
      </w:r>
      <w:r>
        <w:rPr>
          <w:rFonts w:cs="Guttman David"/>
          <w:sz w:val="18"/>
          <w:rtl/>
        </w:rPr>
        <w:t xml:space="preserve">. </w:t>
      </w:r>
    </w:p>
    <w:p w:rsidR="00000000" w:rsidRDefault="006E47DD">
      <w:pPr>
        <w:rPr>
          <w:rFonts w:cs="Guttman David"/>
          <w:sz w:val="18"/>
          <w:rtl/>
        </w:rPr>
      </w:pPr>
    </w:p>
    <w:p w:rsidR="00000000" w:rsidRDefault="006E47DD">
      <w:pPr>
        <w:ind w:firstLine="567"/>
        <w:rPr>
          <w:rFonts w:cs="Guttman David"/>
          <w:sz w:val="18"/>
          <w:rtl/>
        </w:rPr>
      </w:pPr>
      <w:r>
        <w:rPr>
          <w:rFonts w:cs="Guttman David"/>
          <w:sz w:val="18"/>
          <w:rtl/>
        </w:rPr>
        <w:t>מה שהייתי מבקש, ככה זה נראה לי, בהתאם לבקשת היושב-ראש, לגבי התיקון בנושא השני, שהוא נראה לי גם יותר מהותי לעניין הזה והוא גם בקשה של השלטון המקומי, זה הנושא של סיעות אם מול סיעות מקומיות, אם תואילי בטובך להעביר איזה הצעה לתיקון - זה נראה לי ממש שייך לא</w:t>
      </w:r>
      <w:r>
        <w:rPr>
          <w:rFonts w:cs="Guttman David"/>
          <w:sz w:val="18"/>
          <w:rtl/>
        </w:rPr>
        <w:t>כסניה הזאת. לגבי סיעה של 2 ההחלטה איך הם מתפלגים היא אפילו שרירותית.</w:t>
      </w:r>
    </w:p>
    <w:p w:rsidR="00000000" w:rsidRDefault="006E47DD">
      <w:pPr>
        <w:ind w:firstLine="567"/>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לסיכום הדיון, אני מבקש ממשרד המשפטים וממרכז השלטון המקומי להגיש ליועצת המשפטית של הוועדה את התיקונים שלכם לחוק. גם אם זה במלה אחת. להסביר את העניין. לאחר מכן, אם צריך</w:t>
      </w:r>
      <w:r>
        <w:rPr>
          <w:rFonts w:cs="Guttman David"/>
          <w:sz w:val="18"/>
          <w:rtl/>
        </w:rPr>
        <w:t>, אנחנו נקיים דיון נוסף על מנת להכין את זה לקריאה ראשונה.</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ממליץ בפניכם לבדוק - ואני מפנה את הבקשה ליועצת המשפטית של הוועדה - מה עושים במקרה כזה, כשאף אחד לא מתנגד שהחוק יתחיל ומצד שני יש הבטחה של מציע החוק, שהוא מקבל שהחוק לא יתחיל מייד אלא לאחר כשנה</w:t>
      </w:r>
      <w:r>
        <w:rPr>
          <w:rFonts w:cs="Guttman David"/>
          <w:sz w:val="18"/>
          <w:rtl/>
        </w:rPr>
        <w:t>.</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אולי גם אני אבוא בדברים עם ועדת שרים לחקיקה.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סיגל קוגוט:</w:t>
      </w:r>
    </w:p>
    <w:p w:rsidR="00000000" w:rsidRDefault="006E47DD">
      <w:pPr>
        <w:rPr>
          <w:rFonts w:cs="Guttman David"/>
          <w:sz w:val="18"/>
          <w:rtl/>
        </w:rPr>
      </w:pPr>
    </w:p>
    <w:p w:rsidR="00000000" w:rsidRDefault="006E47DD">
      <w:pPr>
        <w:rPr>
          <w:rFonts w:cs="Guttman David"/>
          <w:sz w:val="18"/>
          <w:rtl/>
        </w:rPr>
      </w:pPr>
      <w:r>
        <w:rPr>
          <w:rFonts w:cs="Guttman David"/>
          <w:sz w:val="18"/>
          <w:rtl/>
        </w:rPr>
        <w:tab/>
        <w:t>יכול להיות שבין שנה לשנתיים הממשלה תסכים. נראה שזה לא הבדל עד כדי כך גדול בין שנה לשנתיים.</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הלית ברק:</w:t>
      </w:r>
    </w:p>
    <w:p w:rsidR="00000000" w:rsidRDefault="006E47DD">
      <w:pPr>
        <w:rPr>
          <w:rFonts w:cs="Guttman David"/>
          <w:sz w:val="18"/>
          <w:rtl/>
        </w:rPr>
      </w:pPr>
    </w:p>
    <w:p w:rsidR="00000000" w:rsidRDefault="006E47DD">
      <w:pPr>
        <w:rPr>
          <w:rFonts w:cs="Guttman David"/>
          <w:sz w:val="18"/>
          <w:rtl/>
        </w:rPr>
      </w:pPr>
      <w:r>
        <w:rPr>
          <w:rFonts w:cs="Guttman David"/>
          <w:sz w:val="18"/>
          <w:rtl/>
        </w:rPr>
        <w:tab/>
        <w:t>נראה לי שזה יותר ברמה של חבר הכנסת מול ועדת השרים ופחות בשאלה המשפט</w:t>
      </w:r>
      <w:r>
        <w:rPr>
          <w:rFonts w:cs="Guttman David"/>
          <w:sz w:val="18"/>
          <w:rtl/>
        </w:rPr>
        <w:t>ית, מה הדין אם חבר הכנסת מפר את הבטחתו.</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יולי-יואל אדלשטיין:</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מאמין שאולי בשיחה עם הנהלת הקואליציה נוכל להגיע לפשרה.</w:t>
      </w:r>
    </w:p>
    <w:p w:rsidR="00000000" w:rsidRDefault="006E47DD">
      <w:pPr>
        <w:rPr>
          <w:rFonts w:cs="Guttman David"/>
          <w:sz w:val="18"/>
          <w:rtl/>
        </w:rPr>
      </w:pPr>
    </w:p>
    <w:p w:rsidR="00000000" w:rsidRDefault="006E47DD">
      <w:pPr>
        <w:rPr>
          <w:rFonts w:cs="Guttman David"/>
          <w:sz w:val="18"/>
          <w:u w:val="single"/>
          <w:rtl/>
        </w:rPr>
      </w:pPr>
      <w:r>
        <w:rPr>
          <w:rFonts w:cs="Guttman David"/>
          <w:sz w:val="18"/>
          <w:u w:val="single"/>
          <w:rtl/>
        </w:rPr>
        <w:t>היו"ר דוד אזולאי:</w:t>
      </w:r>
    </w:p>
    <w:p w:rsidR="00000000" w:rsidRDefault="006E47DD">
      <w:pPr>
        <w:rPr>
          <w:rFonts w:cs="Guttman David"/>
          <w:sz w:val="18"/>
          <w:rtl/>
        </w:rPr>
      </w:pPr>
    </w:p>
    <w:p w:rsidR="00000000" w:rsidRDefault="006E47DD">
      <w:pPr>
        <w:rPr>
          <w:rFonts w:cs="Guttman David"/>
          <w:sz w:val="18"/>
          <w:rtl/>
        </w:rPr>
      </w:pPr>
      <w:r>
        <w:rPr>
          <w:rFonts w:cs="Guttman David"/>
          <w:sz w:val="18"/>
          <w:rtl/>
        </w:rPr>
        <w:tab/>
        <w:t>אני מבקש ממך לבדוק את זה עם יושב-ראש ועדת שרים לחקיקה. אנא העבירו את הנוסח ליועצת המשפטי של הוועדה. אנחנו נקיים ע</w:t>
      </w:r>
      <w:r>
        <w:rPr>
          <w:rFonts w:cs="Guttman David"/>
          <w:sz w:val="18"/>
          <w:rtl/>
        </w:rPr>
        <w:t>וד דיון בנושא.</w:t>
      </w:r>
    </w:p>
    <w:p w:rsidR="00000000" w:rsidRDefault="006E47DD">
      <w:pPr>
        <w:rPr>
          <w:rFonts w:cs="Guttman David"/>
          <w:sz w:val="18"/>
          <w:rtl/>
        </w:rPr>
      </w:pPr>
    </w:p>
    <w:p w:rsidR="00000000" w:rsidRDefault="006E47DD">
      <w:pPr>
        <w:rPr>
          <w:rFonts w:cs="Guttman David"/>
          <w:sz w:val="18"/>
          <w:rtl/>
        </w:rPr>
      </w:pPr>
      <w:r>
        <w:rPr>
          <w:rFonts w:cs="Guttman David"/>
          <w:sz w:val="18"/>
          <w:rtl/>
        </w:rPr>
        <w:tab/>
        <w:t>תודה רבה. הישיבה נעולה.</w:t>
      </w:r>
    </w:p>
    <w:p w:rsidR="00000000" w:rsidRDefault="006E47DD">
      <w:pPr>
        <w:rPr>
          <w:rFonts w:cs="Guttman David"/>
          <w:sz w:val="18"/>
          <w:rtl/>
        </w:rPr>
      </w:pPr>
    </w:p>
    <w:p w:rsidR="00000000" w:rsidRDefault="006E47DD">
      <w:pPr>
        <w:rPr>
          <w:rFonts w:cs="Guttman David"/>
        </w:rPr>
      </w:pPr>
      <w:r>
        <w:rPr>
          <w:rFonts w:cs="Guttman David"/>
          <w:b/>
          <w:bCs/>
          <w:sz w:val="18"/>
          <w:u w:val="single"/>
          <w:rtl/>
        </w:rPr>
        <w:t>הישיבה ננעלה בשעה 11:40</w:t>
      </w:r>
    </w:p>
    <w:p w:rsidR="00000000" w:rsidRDefault="006E47DD">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7DD">
      <w:pPr>
        <w:spacing w:line="240" w:lineRule="auto"/>
      </w:pPr>
      <w:r>
        <w:separator/>
      </w:r>
    </w:p>
  </w:endnote>
  <w:endnote w:type="continuationSeparator" w:id="0">
    <w:p w:rsidR="00000000" w:rsidRDefault="006E47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7D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7DD">
      <w:pPr>
        <w:spacing w:line="240" w:lineRule="auto"/>
      </w:pPr>
      <w:r>
        <w:separator/>
      </w:r>
    </w:p>
  </w:footnote>
  <w:footnote w:type="continuationSeparator" w:id="0">
    <w:p w:rsidR="00000000" w:rsidRDefault="006E47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7DD">
    <w:pPr>
      <w:pStyle w:val="a5"/>
      <w:jc w:val="center"/>
      <w:rPr>
        <w:rFonts w:cs="Guttman David"/>
        <w:sz w:val="18"/>
        <w:rtl/>
      </w:rPr>
    </w:pPr>
  </w:p>
  <w:p w:rsidR="00000000" w:rsidRDefault="006E47DD">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47DD"/>
    <w:rsid w:val="006E4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8DFF84-6FFF-4989-B3C7-FDC1DBD8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2541</Words>
  <Characters>12709</Characters>
  <Application>Microsoft Office Word</Application>
  <DocSecurity>0</DocSecurity>
  <Lines>105</Lines>
  <Paragraphs>30</Paragraphs>
  <ScaleCrop>false</ScaleCrop>
  <Company/>
  <LinksUpToDate>false</LinksUpToDate>
  <CharactersWithSpaces>15220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הפנים/321</dc:title>
  <dc:subject>ועדת  הפנים 16.3.2000א</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