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0C17">
      <w:pPr>
        <w:jc w:val="right"/>
        <w:rPr>
          <w:rFonts w:cs="David"/>
          <w:sz w:val="24"/>
          <w:rtl/>
        </w:rPr>
      </w:pPr>
      <w:bookmarkStart w:id="0" w:name="_GoBack"/>
      <w:bookmarkEnd w:id="0"/>
      <w:r>
        <w:rPr>
          <w:rFonts w:cs="David"/>
          <w:sz w:val="24"/>
          <w:rtl/>
        </w:rPr>
        <w:t>פרוטוקולים/ועדת הפנים/434</w:t>
      </w:r>
    </w:p>
    <w:p w:rsidR="00000000" w:rsidRDefault="000F0C17">
      <w:pPr>
        <w:jc w:val="right"/>
        <w:rPr>
          <w:rFonts w:cs="David"/>
          <w:sz w:val="24"/>
          <w:rtl/>
        </w:rPr>
      </w:pPr>
      <w:r>
        <w:rPr>
          <w:rFonts w:cs="David"/>
          <w:sz w:val="24"/>
          <w:rtl/>
        </w:rPr>
        <w:tab/>
        <w:t>ירושלים, י"א באייר</w:t>
      </w:r>
      <w:r>
        <w:rPr>
          <w:rFonts w:cs="David"/>
          <w:sz w:val="24"/>
          <w:rtl/>
        </w:rPr>
        <w:t>, תש"ס</w:t>
      </w:r>
    </w:p>
    <w:p w:rsidR="00000000" w:rsidRDefault="000F0C17">
      <w:pPr>
        <w:jc w:val="right"/>
        <w:rPr>
          <w:rFonts w:cs="David"/>
          <w:sz w:val="24"/>
          <w:rtl/>
          <w:lang w:val="es"/>
        </w:rPr>
      </w:pPr>
      <w:r>
        <w:rPr>
          <w:rFonts w:cs="David"/>
          <w:sz w:val="24"/>
          <w:rtl/>
          <w:lang w:val="es"/>
        </w:rPr>
        <w:t>16 במאי, 2000</w:t>
      </w:r>
    </w:p>
    <w:p w:rsidR="00000000" w:rsidRDefault="000F0C17">
      <w:pPr>
        <w:jc w:val="right"/>
        <w:rPr>
          <w:rFonts w:cs="David"/>
          <w:sz w:val="24"/>
          <w:rtl/>
        </w:rPr>
      </w:pPr>
    </w:p>
    <w:p w:rsidR="00000000" w:rsidRDefault="000F0C1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F0C17">
      <w:pPr>
        <w:jc w:val="both"/>
        <w:rPr>
          <w:rFonts w:cs="David"/>
          <w:b/>
          <w:bCs/>
          <w:sz w:val="24"/>
          <w:rtl/>
        </w:rPr>
      </w:pPr>
      <w:r>
        <w:rPr>
          <w:rFonts w:cs="David"/>
          <w:b/>
          <w:bCs/>
          <w:sz w:val="24"/>
          <w:rtl/>
        </w:rPr>
        <w:t>מושב שני</w:t>
      </w:r>
    </w:p>
    <w:p w:rsidR="00000000" w:rsidRDefault="000F0C17">
      <w:pPr>
        <w:jc w:val="both"/>
        <w:rPr>
          <w:rFonts w:cs="David"/>
          <w:b/>
          <w:bCs/>
          <w:sz w:val="24"/>
          <w:rtl/>
        </w:rPr>
      </w:pPr>
    </w:p>
    <w:p w:rsidR="00000000" w:rsidRDefault="000F0C17">
      <w:pPr>
        <w:jc w:val="both"/>
        <w:rPr>
          <w:rFonts w:cs="David"/>
          <w:b/>
          <w:bCs/>
          <w:sz w:val="24"/>
          <w:rtl/>
        </w:rPr>
      </w:pPr>
    </w:p>
    <w:p w:rsidR="00000000" w:rsidRDefault="000F0C17">
      <w:pPr>
        <w:jc w:val="both"/>
        <w:rPr>
          <w:rFonts w:cs="David"/>
          <w:b/>
          <w:bCs/>
          <w:sz w:val="24"/>
          <w:rtl/>
        </w:rPr>
      </w:pPr>
    </w:p>
    <w:p w:rsidR="00000000" w:rsidRDefault="000F0C17">
      <w:pPr>
        <w:jc w:val="both"/>
        <w:rPr>
          <w:rFonts w:cs="David"/>
          <w:b/>
          <w:bCs/>
          <w:sz w:val="24"/>
          <w:rtl/>
        </w:rPr>
      </w:pPr>
    </w:p>
    <w:p w:rsidR="00000000" w:rsidRDefault="000F0C17">
      <w:pPr>
        <w:jc w:val="center"/>
        <w:rPr>
          <w:rFonts w:cs="David"/>
          <w:b/>
          <w:bCs/>
          <w:sz w:val="24"/>
          <w:rtl/>
        </w:rPr>
      </w:pPr>
      <w:r>
        <w:rPr>
          <w:rFonts w:cs="David"/>
          <w:b/>
          <w:bCs/>
          <w:sz w:val="24"/>
          <w:rtl/>
        </w:rPr>
        <w:t>פרוטוקול מס'</w:t>
      </w:r>
    </w:p>
    <w:p w:rsidR="00000000" w:rsidRDefault="000F0C17">
      <w:pPr>
        <w:jc w:val="center"/>
        <w:rPr>
          <w:rFonts w:cs="David"/>
          <w:b/>
          <w:bCs/>
          <w:sz w:val="24"/>
          <w:rtl/>
        </w:rPr>
      </w:pPr>
      <w:r>
        <w:rPr>
          <w:rFonts w:cs="David"/>
          <w:b/>
          <w:bCs/>
          <w:sz w:val="24"/>
          <w:rtl/>
        </w:rPr>
        <w:t>מישיבת ועדת הפנים ואיכות הסביבה</w:t>
      </w:r>
    </w:p>
    <w:p w:rsidR="00000000" w:rsidRDefault="000F0C17">
      <w:pPr>
        <w:jc w:val="center"/>
        <w:rPr>
          <w:rFonts w:cs="David"/>
          <w:b/>
          <w:bCs/>
          <w:sz w:val="24"/>
          <w:u w:val="single"/>
          <w:rtl/>
        </w:rPr>
      </w:pPr>
      <w:r>
        <w:rPr>
          <w:rFonts w:cs="David"/>
          <w:b/>
          <w:bCs/>
          <w:sz w:val="24"/>
          <w:u w:val="single"/>
          <w:rtl/>
        </w:rPr>
        <w:t xml:space="preserve">יום שני, ה' בניסן התש"ס (10 באפריל 2000), שעה 13:05 </w:t>
      </w:r>
    </w:p>
    <w:p w:rsidR="00000000" w:rsidRDefault="000F0C17">
      <w:pPr>
        <w:jc w:val="center"/>
        <w:rPr>
          <w:rFonts w:cs="David"/>
          <w:b/>
          <w:bCs/>
          <w:sz w:val="24"/>
          <w:u w:val="single"/>
          <w:rtl/>
        </w:rPr>
      </w:pPr>
    </w:p>
    <w:p w:rsidR="00000000" w:rsidRDefault="000F0C17">
      <w:pPr>
        <w:jc w:val="both"/>
        <w:rPr>
          <w:rFonts w:cs="David"/>
          <w:sz w:val="24"/>
          <w:rtl/>
        </w:rPr>
      </w:pPr>
    </w:p>
    <w:p w:rsidR="00000000" w:rsidRDefault="000F0C17">
      <w:pPr>
        <w:jc w:val="both"/>
        <w:rPr>
          <w:rFonts w:cs="David"/>
          <w:sz w:val="24"/>
          <w:rtl/>
        </w:rPr>
      </w:pPr>
    </w:p>
    <w:p w:rsidR="00000000" w:rsidRDefault="000F0C17">
      <w:pPr>
        <w:jc w:val="both"/>
        <w:rPr>
          <w:rFonts w:cs="David"/>
          <w:b/>
          <w:bCs/>
          <w:sz w:val="24"/>
          <w:u w:val="single"/>
          <w:rtl/>
        </w:rPr>
      </w:pPr>
      <w:r>
        <w:rPr>
          <w:rFonts w:cs="David"/>
          <w:b/>
          <w:bCs/>
          <w:sz w:val="24"/>
          <w:u w:val="single"/>
          <w:rtl/>
        </w:rPr>
        <w:t>נכחו:</w:t>
      </w:r>
    </w:p>
    <w:p w:rsidR="00000000" w:rsidRDefault="000F0C17">
      <w:pPr>
        <w:jc w:val="both"/>
        <w:rPr>
          <w:rFonts w:cs="David"/>
          <w:b/>
          <w:bCs/>
          <w:sz w:val="24"/>
          <w:u w:val="single"/>
          <w:rtl/>
        </w:rPr>
      </w:pPr>
    </w:p>
    <w:p w:rsidR="00000000" w:rsidRDefault="000F0C1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0F0C17">
      <w:pPr>
        <w:tabs>
          <w:tab w:val="left" w:pos="1505"/>
        </w:tabs>
        <w:jc w:val="both"/>
        <w:rPr>
          <w:rFonts w:cs="David"/>
          <w:sz w:val="24"/>
          <w:rtl/>
        </w:rPr>
      </w:pPr>
      <w:r>
        <w:rPr>
          <w:rFonts w:cs="David"/>
          <w:sz w:val="24"/>
          <w:rtl/>
        </w:rPr>
        <w:tab/>
        <w:t>מוסי רז</w:t>
      </w:r>
    </w:p>
    <w:p w:rsidR="00000000" w:rsidRDefault="000F0C17">
      <w:pPr>
        <w:tabs>
          <w:tab w:val="left" w:pos="1505"/>
        </w:tabs>
        <w:jc w:val="both"/>
        <w:rPr>
          <w:rFonts w:cs="David"/>
          <w:sz w:val="24"/>
          <w:rtl/>
        </w:rPr>
      </w:pPr>
    </w:p>
    <w:p w:rsidR="00000000" w:rsidRDefault="000F0C17">
      <w:pPr>
        <w:tabs>
          <w:tab w:val="left" w:pos="1505"/>
        </w:tabs>
        <w:jc w:val="both"/>
        <w:rPr>
          <w:rFonts w:cs="David"/>
          <w:sz w:val="24"/>
          <w:rtl/>
        </w:rPr>
      </w:pPr>
    </w:p>
    <w:p w:rsidR="00000000" w:rsidRDefault="000F0C17">
      <w:pPr>
        <w:tabs>
          <w:tab w:val="left" w:pos="1505"/>
        </w:tabs>
        <w:jc w:val="both"/>
        <w:rPr>
          <w:rFonts w:cs="David"/>
          <w:sz w:val="24"/>
          <w:rtl/>
        </w:rPr>
      </w:pPr>
    </w:p>
    <w:p w:rsidR="00000000" w:rsidRDefault="000F0C17">
      <w:pPr>
        <w:jc w:val="both"/>
        <w:rPr>
          <w:rFonts w:cs="David"/>
          <w:sz w:val="24"/>
          <w:rtl/>
        </w:rPr>
      </w:pPr>
    </w:p>
    <w:p w:rsidR="00000000" w:rsidRDefault="000F0C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אורית דנון </w:t>
      </w:r>
      <w:r>
        <w:rPr>
          <w:rFonts w:cs="David"/>
          <w:sz w:val="24"/>
          <w:rtl/>
        </w:rPr>
        <w:tab/>
        <w:t>- משרד הח</w:t>
      </w:r>
      <w:r>
        <w:rPr>
          <w:rFonts w:cs="David"/>
          <w:sz w:val="24"/>
          <w:rtl/>
        </w:rPr>
        <w:t>וץ</w:t>
      </w:r>
    </w:p>
    <w:p w:rsidR="00000000" w:rsidRDefault="000F0C17">
      <w:pPr>
        <w:tabs>
          <w:tab w:val="left" w:pos="1505"/>
          <w:tab w:val="left" w:pos="3969"/>
        </w:tabs>
        <w:jc w:val="both"/>
        <w:rPr>
          <w:rFonts w:cs="David"/>
          <w:sz w:val="24"/>
          <w:rtl/>
        </w:rPr>
      </w:pPr>
      <w:r>
        <w:rPr>
          <w:rFonts w:cs="David"/>
          <w:sz w:val="24"/>
          <w:rtl/>
        </w:rPr>
        <w:tab/>
        <w:t>דניאל סלומון</w:t>
      </w:r>
      <w:r>
        <w:rPr>
          <w:rFonts w:cs="David"/>
          <w:sz w:val="24"/>
          <w:rtl/>
        </w:rPr>
        <w:tab/>
        <w:t>- לשכה משפטית – משרד הפנים</w:t>
      </w:r>
    </w:p>
    <w:p w:rsidR="00000000" w:rsidRDefault="000F0C17">
      <w:pPr>
        <w:tabs>
          <w:tab w:val="left" w:pos="1505"/>
          <w:tab w:val="left" w:pos="3969"/>
        </w:tabs>
        <w:jc w:val="both"/>
        <w:rPr>
          <w:rFonts w:cs="David"/>
          <w:sz w:val="24"/>
          <w:rtl/>
        </w:rPr>
      </w:pPr>
      <w:r>
        <w:rPr>
          <w:rFonts w:cs="David"/>
          <w:sz w:val="24"/>
          <w:rtl/>
        </w:rPr>
        <w:tab/>
      </w:r>
    </w:p>
    <w:p w:rsidR="00000000" w:rsidRDefault="000F0C17">
      <w:pPr>
        <w:jc w:val="both"/>
        <w:rPr>
          <w:rFonts w:cs="David"/>
          <w:sz w:val="24"/>
          <w:rtl/>
        </w:rPr>
      </w:pPr>
    </w:p>
    <w:p w:rsidR="00000000" w:rsidRDefault="000F0C17">
      <w:pPr>
        <w:jc w:val="both"/>
        <w:rPr>
          <w:rFonts w:cs="David"/>
          <w:sz w:val="24"/>
          <w:rtl/>
        </w:rPr>
      </w:pPr>
    </w:p>
    <w:p w:rsidR="00000000" w:rsidRDefault="000F0C17">
      <w:pPr>
        <w:jc w:val="both"/>
        <w:rPr>
          <w:rFonts w:cs="David"/>
          <w:sz w:val="24"/>
          <w:rtl/>
        </w:rPr>
      </w:pPr>
    </w:p>
    <w:p w:rsidR="00000000" w:rsidRDefault="000F0C17">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0F0C17">
      <w:pPr>
        <w:jc w:val="both"/>
        <w:rPr>
          <w:rFonts w:cs="David"/>
          <w:sz w:val="24"/>
          <w:rtl/>
        </w:rPr>
      </w:pPr>
    </w:p>
    <w:p w:rsidR="00000000" w:rsidRDefault="000F0C17">
      <w:pPr>
        <w:tabs>
          <w:tab w:val="left" w:pos="2835"/>
        </w:tabs>
        <w:jc w:val="both"/>
        <w:rPr>
          <w:rFonts w:cs="David"/>
          <w:b/>
          <w:bCs/>
          <w:sz w:val="24"/>
          <w:u w:val="single"/>
          <w:rtl/>
        </w:rPr>
      </w:pPr>
    </w:p>
    <w:p w:rsidR="00000000" w:rsidRDefault="000F0C17">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0F0C17">
      <w:pPr>
        <w:jc w:val="both"/>
        <w:rPr>
          <w:rFonts w:cs="David"/>
          <w:b/>
          <w:bCs/>
          <w:sz w:val="24"/>
          <w:u w:val="single"/>
          <w:rtl/>
        </w:rPr>
      </w:pPr>
    </w:p>
    <w:p w:rsidR="00000000" w:rsidRDefault="000F0C17">
      <w:pPr>
        <w:tabs>
          <w:tab w:val="left" w:pos="2835"/>
        </w:tabs>
        <w:jc w:val="both"/>
        <w:rPr>
          <w:rFonts w:cs="David"/>
          <w:b/>
          <w:bCs/>
          <w:sz w:val="24"/>
          <w:u w:val="single"/>
          <w:rtl/>
        </w:rPr>
      </w:pPr>
    </w:p>
    <w:p w:rsidR="00000000" w:rsidRDefault="000F0C17">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0F0C17">
      <w:pPr>
        <w:jc w:val="both"/>
        <w:rPr>
          <w:rFonts w:cs="David"/>
          <w:sz w:val="24"/>
          <w:rtl/>
        </w:rPr>
      </w:pPr>
    </w:p>
    <w:p w:rsidR="00000000" w:rsidRDefault="000F0C17">
      <w:pPr>
        <w:jc w:val="both"/>
        <w:rPr>
          <w:rFonts w:cs="David"/>
          <w:sz w:val="24"/>
          <w:rtl/>
        </w:rPr>
      </w:pPr>
    </w:p>
    <w:p w:rsidR="00000000" w:rsidRDefault="000F0C17">
      <w:pPr>
        <w:jc w:val="both"/>
        <w:rPr>
          <w:rFonts w:cs="David"/>
          <w:sz w:val="24"/>
          <w:rtl/>
        </w:rPr>
      </w:pPr>
    </w:p>
    <w:p w:rsidR="00000000" w:rsidRDefault="000F0C17">
      <w:pPr>
        <w:jc w:val="both"/>
        <w:rPr>
          <w:rFonts w:cs="David"/>
          <w:sz w:val="24"/>
          <w:rtl/>
        </w:rPr>
      </w:pPr>
    </w:p>
    <w:p w:rsidR="00000000" w:rsidRDefault="000F0C17">
      <w:pPr>
        <w:jc w:val="both"/>
        <w:rPr>
          <w:rFonts w:cs="David"/>
          <w:sz w:val="24"/>
          <w:rtl/>
        </w:rPr>
      </w:pPr>
      <w:r>
        <w:rPr>
          <w:rFonts w:cs="David"/>
          <w:b/>
          <w:bCs/>
          <w:sz w:val="24"/>
          <w:u w:val="single"/>
          <w:rtl/>
        </w:rPr>
        <w:t>סדר היום:</w:t>
      </w:r>
      <w:r>
        <w:rPr>
          <w:rFonts w:cs="David"/>
          <w:sz w:val="24"/>
          <w:rtl/>
        </w:rPr>
        <w:t xml:space="preserve">  צו הכניסה לישראל (פטור מאשרה (תיקון מס' 4), התש"ס-2000.</w:t>
      </w:r>
    </w:p>
    <w:p w:rsidR="00000000" w:rsidRDefault="000F0C17">
      <w:pPr>
        <w:jc w:val="both"/>
        <w:rPr>
          <w:rFonts w:cs="David"/>
          <w:sz w:val="24"/>
          <w:rtl/>
        </w:rPr>
      </w:pPr>
    </w:p>
    <w:p w:rsidR="00000000" w:rsidRDefault="000F0C17">
      <w:pPr>
        <w:jc w:val="both"/>
        <w:rPr>
          <w:rFonts w:cs="David"/>
          <w:sz w:val="24"/>
          <w:rtl/>
        </w:rPr>
      </w:pPr>
    </w:p>
    <w:p w:rsidR="00000000" w:rsidRDefault="000F0C17">
      <w:pPr>
        <w:jc w:val="center"/>
        <w:rPr>
          <w:rFonts w:cs="David"/>
          <w:sz w:val="24"/>
          <w:u w:val="single"/>
          <w:rtl/>
        </w:rPr>
      </w:pPr>
      <w:r>
        <w:rPr>
          <w:rFonts w:cs="David"/>
          <w:sz w:val="24"/>
          <w:rtl/>
        </w:rPr>
        <w:br w:type="page"/>
      </w:r>
      <w:r>
        <w:rPr>
          <w:rFonts w:cs="David"/>
          <w:sz w:val="24"/>
          <w:u w:val="single"/>
          <w:rtl/>
        </w:rPr>
        <w:lastRenderedPageBreak/>
        <w:t>צו הכניסה לישראל (פטור מאשרה) (תיקון מס</w:t>
      </w:r>
      <w:r>
        <w:rPr>
          <w:rFonts w:cs="David"/>
          <w:sz w:val="24"/>
          <w:u w:val="single"/>
          <w:rtl/>
        </w:rPr>
        <w:t>' 4), התש"ס-2000</w:t>
      </w:r>
    </w:p>
    <w:p w:rsidR="00000000" w:rsidRDefault="000F0C17">
      <w:pPr>
        <w:jc w:val="center"/>
        <w:rPr>
          <w:rFonts w:cs="David"/>
          <w:sz w:val="24"/>
          <w:u w:val="single"/>
          <w:rtl/>
        </w:rPr>
      </w:pPr>
    </w:p>
    <w:p w:rsidR="00000000" w:rsidRDefault="000F0C17">
      <w:pPr>
        <w:rPr>
          <w:rFonts w:cs="David"/>
          <w:sz w:val="24"/>
          <w:u w:val="single"/>
          <w:rtl/>
        </w:rPr>
      </w:pPr>
      <w:r>
        <w:rPr>
          <w:rFonts w:cs="David"/>
          <w:sz w:val="24"/>
          <w:u w:val="single"/>
          <w:rtl/>
        </w:rPr>
        <w:t>היו"ר דוד אזולאי:</w:t>
      </w:r>
    </w:p>
    <w:p w:rsidR="00000000" w:rsidRDefault="000F0C17">
      <w:pPr>
        <w:rPr>
          <w:rFonts w:cs="David"/>
          <w:sz w:val="24"/>
          <w:u w:val="single"/>
          <w:rtl/>
        </w:rPr>
      </w:pPr>
    </w:p>
    <w:p w:rsidR="00000000" w:rsidRDefault="000F0C17">
      <w:pPr>
        <w:jc w:val="both"/>
        <w:rPr>
          <w:rFonts w:cs="David"/>
          <w:sz w:val="24"/>
          <w:rtl/>
        </w:rPr>
      </w:pPr>
      <w:r>
        <w:rPr>
          <w:rFonts w:cs="David"/>
          <w:sz w:val="24"/>
          <w:rtl/>
        </w:rPr>
        <w:tab/>
        <w:t xml:space="preserve"> אני פותח את הישיבה. הנושא שעל סדר-היום: צו הכניסה לישראל (פטור מאשרה) (תיקון מס' 4), התש"ס-2000. יש כאן בקשה של משרד הפנים לגבי פטור מאשרה למדינת פולין.</w:t>
      </w:r>
    </w:p>
    <w:p w:rsidR="00000000" w:rsidRDefault="000F0C17">
      <w:pPr>
        <w:jc w:val="both"/>
        <w:rPr>
          <w:rFonts w:cs="David"/>
          <w:sz w:val="24"/>
          <w:rtl/>
        </w:rPr>
      </w:pPr>
    </w:p>
    <w:p w:rsidR="00000000" w:rsidRDefault="000F0C17">
      <w:pPr>
        <w:jc w:val="both"/>
        <w:rPr>
          <w:rFonts w:cs="David"/>
          <w:sz w:val="24"/>
          <w:rtl/>
        </w:rPr>
      </w:pPr>
      <w:r>
        <w:rPr>
          <w:rFonts w:cs="David"/>
          <w:sz w:val="24"/>
          <w:rtl/>
        </w:rPr>
        <w:tab/>
        <w:t>מר סלומון, בבקשה.</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דניאל סלומון: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בעצם זה הסכם שנחתם בסוף 199</w:t>
      </w:r>
      <w:r>
        <w:rPr>
          <w:rFonts w:cs="David"/>
          <w:sz w:val="24"/>
          <w:rtl/>
        </w:rPr>
        <w:t>9, אושרר ב-19 במרץ והוא אמור להיכנס לתוקף ב-15 במאי. הדחיפות היתה בגלל הקבוצות הישראליות שיוצאות לפולין בתקופה הזאת.</w:t>
      </w:r>
    </w:p>
    <w:p w:rsidR="00000000" w:rsidRDefault="000F0C17">
      <w:pPr>
        <w:jc w:val="both"/>
        <w:rPr>
          <w:rFonts w:cs="David"/>
          <w:sz w:val="24"/>
          <w:rtl/>
        </w:rPr>
      </w:pPr>
    </w:p>
    <w:p w:rsidR="00000000" w:rsidRDefault="000F0C17">
      <w:pPr>
        <w:jc w:val="both"/>
        <w:rPr>
          <w:rFonts w:cs="David"/>
          <w:sz w:val="24"/>
          <w:rtl/>
        </w:rPr>
      </w:pPr>
      <w:r>
        <w:rPr>
          <w:rFonts w:cs="David"/>
          <w:sz w:val="24"/>
          <w:rtl/>
        </w:rPr>
        <w:tab/>
        <w:t xml:space="preserve">מדובר פה על הוספת פולין לרשימת המדינות שפטורות מאשרה, פטור הדדי לשני הכיוונים. מדובר בוויזות לתיירים בלבד בתקופה של עד 90 יום. כלומר, לא </w:t>
      </w:r>
      <w:r>
        <w:rPr>
          <w:rFonts w:cs="David"/>
          <w:sz w:val="24"/>
          <w:rtl/>
        </w:rPr>
        <w:t>מדובר באשרות כניסה למטרת עבודה או כל מטרה אחרת. בעצם בעבר התחילו כבר בצורה מדורגת בפטור מאגרה באופן חלקי ועכשיו רוצים להתקדם לפטור המוחלט. היתה כבר המלצה של משרד הפנים על כך שאין בעיות מיוחדות עם הפולנים. זאת אומרת, אין לנו כאן בעיות של עובדים זרים או הגיר</w:t>
      </w:r>
      <w:r>
        <w:rPr>
          <w:rFonts w:cs="David"/>
          <w:sz w:val="24"/>
          <w:rtl/>
        </w:rPr>
        <w:t xml:space="preserve">ה בלתי חוקית מפולין. אין לנו בעיה מיוחדת בנושאים האלה ולכן בוודאי זה ישרת בסך הכל יותר את הציבור הישראלי. יש תנועה גדולה הרבה יותר של ישראלים לשם מאשר מהכיוון השני. כדי להפעיל את צו הכניסה אנחנו צריכים להתייעץ עם הוועדה.   </w:t>
      </w:r>
    </w:p>
    <w:p w:rsidR="00000000" w:rsidRDefault="000F0C17">
      <w:pPr>
        <w:jc w:val="both"/>
        <w:rPr>
          <w:rFonts w:cs="David"/>
          <w:sz w:val="24"/>
          <w:rtl/>
        </w:rPr>
      </w:pPr>
    </w:p>
    <w:p w:rsidR="00000000" w:rsidRDefault="000F0C17">
      <w:pPr>
        <w:rPr>
          <w:rFonts w:cs="David"/>
          <w:sz w:val="24"/>
          <w:u w:val="single"/>
          <w:rtl/>
        </w:rPr>
      </w:pPr>
      <w:r>
        <w:rPr>
          <w:rFonts w:cs="David"/>
          <w:sz w:val="24"/>
          <w:u w:val="single"/>
          <w:rtl/>
        </w:rPr>
        <w:t>היו"ר דוד אזולאי:</w:t>
      </w:r>
    </w:p>
    <w:p w:rsidR="00000000" w:rsidRDefault="000F0C17">
      <w:pPr>
        <w:rPr>
          <w:rFonts w:cs="David"/>
          <w:sz w:val="24"/>
          <w:u w:val="single"/>
          <w:rtl/>
        </w:rPr>
      </w:pPr>
    </w:p>
    <w:p w:rsidR="00000000" w:rsidRDefault="000F0C17">
      <w:pPr>
        <w:jc w:val="both"/>
        <w:rPr>
          <w:rFonts w:cs="David"/>
          <w:sz w:val="24"/>
          <w:rtl/>
        </w:rPr>
      </w:pPr>
      <w:r>
        <w:rPr>
          <w:rFonts w:cs="David"/>
          <w:sz w:val="24"/>
          <w:rtl/>
        </w:rPr>
        <w:tab/>
        <w:t>תודה. גב' א</w:t>
      </w:r>
      <w:r>
        <w:rPr>
          <w:rFonts w:cs="David"/>
          <w:sz w:val="24"/>
          <w:rtl/>
        </w:rPr>
        <w:t>ורית דנון, בבקשה.</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אורית דנון: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העניין כאן הוא ההקדמה מ-60 יום ל-30 יום. אנחנו מקדימים את זה עקב יציאת הקבוצות של בני נוער ישראלים לפולין. פנינו כבר למשרד החוץ הפולני בעניין. התקבלה אגרת ולדברי ראש החטיבה הקונסולרית במשרד החוץ המקומי נראה שלא צפויה בעיה ו</w:t>
      </w:r>
      <w:r>
        <w:rPr>
          <w:rFonts w:cs="David"/>
          <w:sz w:val="24"/>
          <w:rtl/>
        </w:rPr>
        <w:t xml:space="preserve">אפשר להתחיל להפעיל את זה. </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מרים פרנקל-שור:</w:t>
      </w:r>
    </w:p>
    <w:p w:rsidR="00000000" w:rsidRDefault="000F0C17">
      <w:pPr>
        <w:jc w:val="both"/>
        <w:rPr>
          <w:rFonts w:cs="David"/>
          <w:sz w:val="24"/>
          <w:rtl/>
        </w:rPr>
      </w:pPr>
    </w:p>
    <w:p w:rsidR="00000000" w:rsidRDefault="000F0C17">
      <w:pPr>
        <w:jc w:val="both"/>
        <w:rPr>
          <w:rFonts w:cs="David"/>
          <w:sz w:val="24"/>
          <w:rtl/>
        </w:rPr>
      </w:pPr>
      <w:r>
        <w:rPr>
          <w:rFonts w:cs="David"/>
          <w:sz w:val="24"/>
          <w:rtl/>
        </w:rPr>
        <w:tab/>
        <w:t>מה את אומרת על הנושא של 30 יום ו-60 יום?</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דניאל סלומון: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באופן טבעי זה נכנס לתוקף תוך 60 יום. כלומר, ב-15 במאי.</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מרים פרנקל-שור:</w:t>
      </w:r>
    </w:p>
    <w:p w:rsidR="00000000" w:rsidRDefault="000F0C17">
      <w:pPr>
        <w:jc w:val="both"/>
        <w:rPr>
          <w:rFonts w:cs="David"/>
          <w:sz w:val="24"/>
          <w:rtl/>
        </w:rPr>
      </w:pPr>
    </w:p>
    <w:p w:rsidR="00000000" w:rsidRDefault="000F0C17">
      <w:pPr>
        <w:jc w:val="both"/>
        <w:rPr>
          <w:rFonts w:cs="David"/>
          <w:sz w:val="24"/>
          <w:rtl/>
        </w:rPr>
      </w:pPr>
      <w:r>
        <w:rPr>
          <w:rFonts w:cs="David"/>
          <w:sz w:val="24"/>
          <w:rtl/>
        </w:rPr>
        <w:tab/>
        <w:t>מה נכנס לתוקף, ההסכם בין הממשלות?</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דניאל סלומון: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 xml:space="preserve">כן. </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מרים פרנקל-שור:</w:t>
      </w:r>
    </w:p>
    <w:p w:rsidR="00000000" w:rsidRDefault="000F0C17">
      <w:pPr>
        <w:jc w:val="both"/>
        <w:rPr>
          <w:rFonts w:cs="David"/>
          <w:sz w:val="24"/>
          <w:rtl/>
        </w:rPr>
      </w:pPr>
    </w:p>
    <w:p w:rsidR="00000000" w:rsidRDefault="000F0C17">
      <w:pPr>
        <w:jc w:val="both"/>
        <w:rPr>
          <w:rFonts w:cs="David"/>
          <w:sz w:val="24"/>
          <w:rtl/>
        </w:rPr>
      </w:pPr>
      <w:r>
        <w:rPr>
          <w:rFonts w:cs="David"/>
          <w:sz w:val="24"/>
          <w:rtl/>
        </w:rPr>
        <w:tab/>
        <w:t>והו</w:t>
      </w:r>
      <w:r>
        <w:rPr>
          <w:rFonts w:cs="David"/>
          <w:sz w:val="24"/>
          <w:rtl/>
        </w:rPr>
        <w:t>א נכנס לתוקף תוך 60 יום ממה?</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br w:type="page"/>
        <w:t>דניאל סלומון: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 xml:space="preserve">מיום אשרור של המדינה המאחרת. כלומר, השנייה מבין שתי המדינות שאישררה. </w:t>
      </w:r>
    </w:p>
    <w:p w:rsidR="00000000" w:rsidRDefault="000F0C17">
      <w:pPr>
        <w:jc w:val="both"/>
        <w:rPr>
          <w:rFonts w:cs="David"/>
          <w:sz w:val="24"/>
          <w:rtl/>
        </w:rPr>
      </w:pPr>
    </w:p>
    <w:p w:rsidR="00000000" w:rsidRDefault="000F0C17">
      <w:pPr>
        <w:jc w:val="both"/>
        <w:rPr>
          <w:rFonts w:cs="David"/>
          <w:sz w:val="24"/>
          <w:rtl/>
        </w:rPr>
      </w:pPr>
      <w:r>
        <w:rPr>
          <w:rFonts w:cs="David"/>
          <w:sz w:val="24"/>
          <w:u w:val="single"/>
          <w:rtl/>
        </w:rPr>
        <w:t>אורית דנון:</w:t>
      </w:r>
    </w:p>
    <w:p w:rsidR="00000000" w:rsidRDefault="000F0C17">
      <w:pPr>
        <w:jc w:val="both"/>
        <w:rPr>
          <w:rFonts w:cs="David"/>
          <w:sz w:val="24"/>
          <w:rtl/>
        </w:rPr>
      </w:pPr>
    </w:p>
    <w:p w:rsidR="00000000" w:rsidRDefault="000F0C17">
      <w:pPr>
        <w:jc w:val="both"/>
        <w:rPr>
          <w:rFonts w:cs="David"/>
          <w:sz w:val="24"/>
          <w:rtl/>
        </w:rPr>
      </w:pPr>
      <w:r>
        <w:rPr>
          <w:rFonts w:cs="David"/>
          <w:sz w:val="24"/>
          <w:rtl/>
        </w:rPr>
        <w:tab/>
        <w:t xml:space="preserve">זה אושרר ב-16 במרץ 2000. </w:t>
      </w:r>
    </w:p>
    <w:p w:rsidR="00000000" w:rsidRDefault="000F0C17">
      <w:pPr>
        <w:jc w:val="both"/>
        <w:rPr>
          <w:rFonts w:cs="David"/>
          <w:sz w:val="24"/>
          <w:rtl/>
        </w:rPr>
      </w:pPr>
    </w:p>
    <w:p w:rsidR="00000000" w:rsidRDefault="000F0C17">
      <w:pPr>
        <w:rPr>
          <w:rFonts w:cs="David"/>
          <w:sz w:val="24"/>
          <w:u w:val="single"/>
          <w:rtl/>
        </w:rPr>
      </w:pPr>
      <w:r>
        <w:rPr>
          <w:rFonts w:cs="David"/>
          <w:sz w:val="24"/>
          <w:u w:val="single"/>
          <w:rtl/>
        </w:rPr>
        <w:t>היו"ר דוד אזולאי:</w:t>
      </w:r>
    </w:p>
    <w:p w:rsidR="00000000" w:rsidRDefault="000F0C17">
      <w:pPr>
        <w:rPr>
          <w:rFonts w:cs="David"/>
          <w:sz w:val="24"/>
          <w:u w:val="single"/>
          <w:rtl/>
        </w:rPr>
      </w:pPr>
    </w:p>
    <w:p w:rsidR="00000000" w:rsidRDefault="000F0C17">
      <w:pPr>
        <w:jc w:val="both"/>
        <w:rPr>
          <w:rFonts w:cs="David"/>
          <w:sz w:val="24"/>
          <w:rtl/>
        </w:rPr>
      </w:pPr>
      <w:r>
        <w:rPr>
          <w:rFonts w:cs="David"/>
          <w:sz w:val="24"/>
          <w:rtl/>
        </w:rPr>
        <w:tab/>
        <w:t xml:space="preserve">התקיימה חובת ההתייעצות. נקווה שזה יהיה לתועלת עם ישראל. </w:t>
      </w:r>
    </w:p>
    <w:p w:rsidR="00000000" w:rsidRDefault="000F0C17">
      <w:pPr>
        <w:jc w:val="both"/>
        <w:rPr>
          <w:rFonts w:cs="David"/>
          <w:sz w:val="24"/>
          <w:rtl/>
        </w:rPr>
      </w:pPr>
    </w:p>
    <w:p w:rsidR="00000000" w:rsidRDefault="000F0C17">
      <w:pPr>
        <w:jc w:val="both"/>
        <w:rPr>
          <w:rFonts w:cs="David"/>
          <w:sz w:val="24"/>
          <w:rtl/>
        </w:rPr>
      </w:pPr>
      <w:r>
        <w:rPr>
          <w:rFonts w:cs="David"/>
          <w:sz w:val="24"/>
          <w:rtl/>
        </w:rPr>
        <w:tab/>
        <w:t>תודה רבה, ישיבה זו</w:t>
      </w:r>
      <w:r>
        <w:rPr>
          <w:rFonts w:cs="David"/>
          <w:sz w:val="24"/>
          <w:rtl/>
        </w:rPr>
        <w:t xml:space="preserve"> נעולה.</w:t>
      </w:r>
    </w:p>
    <w:p w:rsidR="00000000" w:rsidRDefault="000F0C17">
      <w:pPr>
        <w:jc w:val="both"/>
        <w:rPr>
          <w:rFonts w:cs="David"/>
          <w:sz w:val="24"/>
          <w:rtl/>
        </w:rPr>
      </w:pPr>
    </w:p>
    <w:p w:rsidR="00000000" w:rsidRDefault="000F0C17">
      <w:pPr>
        <w:jc w:val="both"/>
        <w:rPr>
          <w:rFonts w:cs="David"/>
          <w:sz w:val="24"/>
          <w:rtl/>
        </w:rPr>
      </w:pPr>
      <w:r>
        <w:rPr>
          <w:rFonts w:cs="David"/>
          <w:sz w:val="24"/>
          <w:rtl/>
        </w:rPr>
        <w:tab/>
        <w:t>הישיבה ננעלה בשעה 13:15</w:t>
      </w:r>
    </w:p>
    <w:p w:rsidR="00000000" w:rsidRDefault="000F0C17">
      <w:pPr>
        <w:jc w:val="both"/>
        <w:rPr>
          <w:rFonts w:cs="David"/>
          <w:sz w:val="24"/>
          <w:rtl/>
        </w:rPr>
      </w:pPr>
      <w:r>
        <w:rPr>
          <w:rFonts w:cs="David"/>
          <w:sz w:val="24"/>
          <w:rtl/>
        </w:rPr>
        <w:t xml:space="preserve">   </w:t>
      </w:r>
    </w:p>
    <w:p w:rsidR="00000000" w:rsidRDefault="000F0C1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0C17">
      <w:r>
        <w:separator/>
      </w:r>
    </w:p>
  </w:endnote>
  <w:endnote w:type="continuationSeparator" w:id="0">
    <w:p w:rsidR="00000000" w:rsidRDefault="000F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C17">
    <w:pPr>
      <w:pStyle w:val="a7"/>
      <w:rPr>
        <w:rFonts w:cs="David"/>
        <w:sz w:val="24"/>
        <w:rtl/>
      </w:rPr>
    </w:pPr>
  </w:p>
  <w:p w:rsidR="00000000" w:rsidRDefault="000F0C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0C17">
      <w:r>
        <w:separator/>
      </w:r>
    </w:p>
  </w:footnote>
  <w:footnote w:type="continuationSeparator" w:id="0">
    <w:p w:rsidR="00000000" w:rsidRDefault="000F0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C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F0C17">
    <w:pPr>
      <w:pStyle w:val="a5"/>
      <w:ind w:right="360"/>
      <w:rPr>
        <w:rFonts w:cs="David"/>
        <w:sz w:val="24"/>
        <w:rtl/>
      </w:rPr>
    </w:pPr>
    <w:r>
      <w:rPr>
        <w:rFonts w:cs="David"/>
        <w:sz w:val="24"/>
        <w:rtl/>
      </w:rPr>
      <w:t>ועדת הפנים ואיכות הסביבה</w:t>
    </w:r>
  </w:p>
  <w:p w:rsidR="00000000" w:rsidRDefault="000F0C17">
    <w:pPr>
      <w:pStyle w:val="a5"/>
      <w:ind w:right="360"/>
      <w:rPr>
        <w:rStyle w:val="a9"/>
        <w:rFonts w:cs="David"/>
        <w:sz w:val="24"/>
        <w:rtl/>
      </w:rPr>
    </w:pPr>
    <w:r>
      <w:rPr>
        <w:rFonts w:cs="David"/>
        <w:sz w:val="24"/>
        <w:rtl/>
      </w:rPr>
      <w:t>10/04/00</w:t>
    </w:r>
  </w:p>
  <w:p w:rsidR="00000000" w:rsidRDefault="000F0C1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0C17"/>
    <w:rsid w:val="000F0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4FBB02-B5FD-4E82-A27D-0A0C7EA30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397</Words>
  <Characters>1988</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הפנים/434</dc:title>
  <dc:subject>פנים 10.4.2000 ה</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