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252F">
      <w:pPr>
        <w:jc w:val="right"/>
        <w:rPr>
          <w:rFonts w:cs="David"/>
          <w:sz w:val="24"/>
          <w:rtl/>
        </w:rPr>
      </w:pPr>
      <w:bookmarkStart w:id="0" w:name="_GoBack"/>
      <w:bookmarkEnd w:id="0"/>
      <w:r>
        <w:rPr>
          <w:rFonts w:cs="David"/>
          <w:sz w:val="24"/>
          <w:rtl/>
        </w:rPr>
        <w:t>פרוטוקולים/ועדת הפנים/581</w:t>
      </w:r>
    </w:p>
    <w:p w:rsidR="00000000" w:rsidRDefault="008A252F">
      <w:pPr>
        <w:jc w:val="right"/>
        <w:rPr>
          <w:rFonts w:cs="David"/>
          <w:sz w:val="24"/>
          <w:rtl/>
        </w:rPr>
      </w:pPr>
      <w:r>
        <w:rPr>
          <w:rFonts w:cs="David"/>
          <w:sz w:val="24"/>
          <w:rtl/>
        </w:rPr>
        <w:tab/>
        <w:t>ירושלים, ט' ב</w:t>
      </w:r>
      <w:r>
        <w:rPr>
          <w:rFonts w:cs="David"/>
          <w:sz w:val="24"/>
          <w:rtl/>
        </w:rPr>
        <w:t>סיון, תש"ס</w:t>
      </w:r>
    </w:p>
    <w:p w:rsidR="00000000" w:rsidRDefault="008A252F">
      <w:pPr>
        <w:jc w:val="right"/>
        <w:rPr>
          <w:rFonts w:cs="David"/>
          <w:sz w:val="24"/>
          <w:rtl/>
          <w:lang w:val="es"/>
        </w:rPr>
      </w:pPr>
      <w:r>
        <w:rPr>
          <w:rFonts w:cs="David"/>
          <w:sz w:val="24"/>
          <w:rtl/>
          <w:lang w:val="es"/>
        </w:rPr>
        <w:t>12 ביוני, 2000</w:t>
      </w:r>
    </w:p>
    <w:p w:rsidR="00000000" w:rsidRDefault="008A252F">
      <w:pPr>
        <w:jc w:val="right"/>
        <w:rPr>
          <w:rFonts w:cs="David"/>
          <w:sz w:val="24"/>
          <w:rtl/>
        </w:rPr>
      </w:pPr>
    </w:p>
    <w:p w:rsidR="00000000" w:rsidRDefault="008A252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A252F">
      <w:pPr>
        <w:jc w:val="both"/>
        <w:rPr>
          <w:rFonts w:cs="David"/>
          <w:b/>
          <w:bCs/>
          <w:sz w:val="24"/>
          <w:rtl/>
        </w:rPr>
      </w:pPr>
      <w:r>
        <w:rPr>
          <w:rFonts w:cs="David"/>
          <w:b/>
          <w:bCs/>
          <w:sz w:val="24"/>
          <w:rtl/>
        </w:rPr>
        <w:t xml:space="preserve">     מושב    שני</w:t>
      </w:r>
    </w:p>
    <w:p w:rsidR="00000000" w:rsidRDefault="008A252F">
      <w:pPr>
        <w:jc w:val="both"/>
        <w:rPr>
          <w:rFonts w:cs="David"/>
          <w:b/>
          <w:bCs/>
          <w:sz w:val="24"/>
          <w:rtl/>
        </w:rPr>
      </w:pPr>
    </w:p>
    <w:p w:rsidR="00000000" w:rsidRDefault="008A252F">
      <w:pPr>
        <w:jc w:val="both"/>
        <w:rPr>
          <w:rFonts w:cs="David"/>
          <w:b/>
          <w:bCs/>
          <w:sz w:val="24"/>
          <w:rtl/>
        </w:rPr>
      </w:pPr>
    </w:p>
    <w:p w:rsidR="00000000" w:rsidRDefault="008A252F">
      <w:pPr>
        <w:jc w:val="both"/>
        <w:rPr>
          <w:rFonts w:cs="David"/>
          <w:b/>
          <w:bCs/>
          <w:sz w:val="24"/>
          <w:rtl/>
        </w:rPr>
      </w:pPr>
    </w:p>
    <w:p w:rsidR="00000000" w:rsidRDefault="008A252F">
      <w:pPr>
        <w:jc w:val="both"/>
        <w:rPr>
          <w:rFonts w:cs="David"/>
          <w:b/>
          <w:bCs/>
          <w:sz w:val="24"/>
          <w:rtl/>
        </w:rPr>
      </w:pPr>
    </w:p>
    <w:p w:rsidR="00000000" w:rsidRDefault="008A252F">
      <w:pPr>
        <w:jc w:val="center"/>
        <w:rPr>
          <w:rFonts w:cs="David"/>
          <w:b/>
          <w:bCs/>
          <w:sz w:val="24"/>
          <w:rtl/>
        </w:rPr>
      </w:pPr>
      <w:r>
        <w:rPr>
          <w:rFonts w:cs="David"/>
          <w:b/>
          <w:bCs/>
          <w:sz w:val="24"/>
          <w:rtl/>
        </w:rPr>
        <w:t xml:space="preserve">פרוטוקול מס' 104 </w:t>
      </w:r>
    </w:p>
    <w:p w:rsidR="00000000" w:rsidRDefault="008A252F">
      <w:pPr>
        <w:jc w:val="center"/>
        <w:rPr>
          <w:rFonts w:cs="David"/>
          <w:b/>
          <w:bCs/>
          <w:sz w:val="24"/>
          <w:rtl/>
        </w:rPr>
      </w:pPr>
      <w:r>
        <w:rPr>
          <w:rFonts w:cs="David"/>
          <w:b/>
          <w:bCs/>
          <w:sz w:val="24"/>
          <w:rtl/>
        </w:rPr>
        <w:t>מישיבת הפנים ואיכות הסביבה</w:t>
      </w:r>
    </w:p>
    <w:p w:rsidR="00000000" w:rsidRDefault="008A252F">
      <w:pPr>
        <w:jc w:val="center"/>
        <w:rPr>
          <w:rFonts w:cs="David"/>
          <w:b/>
          <w:bCs/>
          <w:sz w:val="24"/>
          <w:rtl/>
        </w:rPr>
      </w:pPr>
      <w:r>
        <w:rPr>
          <w:rFonts w:cs="David"/>
          <w:b/>
          <w:bCs/>
          <w:sz w:val="24"/>
          <w:u w:val="single"/>
          <w:rtl/>
        </w:rPr>
        <w:t xml:space="preserve">שהתקיימה ביום שני, ב' בסיון התש"ס – 5 ביוני 2000, בשעה 12:30 </w:t>
      </w:r>
    </w:p>
    <w:p w:rsidR="00000000" w:rsidRDefault="008A252F">
      <w:pPr>
        <w:jc w:val="center"/>
        <w:rPr>
          <w:rFonts w:cs="David"/>
          <w:b/>
          <w:bCs/>
          <w:sz w:val="24"/>
          <w:rtl/>
        </w:rPr>
      </w:pPr>
    </w:p>
    <w:p w:rsidR="00000000" w:rsidRDefault="008A252F">
      <w:pPr>
        <w:jc w:val="both"/>
        <w:rPr>
          <w:rFonts w:cs="David"/>
          <w:b/>
          <w:bCs/>
          <w:sz w:val="24"/>
          <w:rtl/>
        </w:rPr>
      </w:pPr>
    </w:p>
    <w:p w:rsidR="00000000" w:rsidRDefault="008A252F">
      <w:pPr>
        <w:jc w:val="center"/>
        <w:rPr>
          <w:rFonts w:cs="David"/>
          <w:b/>
          <w:bCs/>
          <w:sz w:val="24"/>
          <w:rtl/>
        </w:rPr>
      </w:pPr>
    </w:p>
    <w:p w:rsidR="00000000" w:rsidRDefault="008A252F">
      <w:pPr>
        <w:jc w:val="both"/>
        <w:rPr>
          <w:rFonts w:cs="David"/>
          <w:b/>
          <w:bCs/>
          <w:sz w:val="24"/>
          <w:u w:val="single"/>
          <w:rtl/>
        </w:rPr>
      </w:pPr>
      <w:r>
        <w:rPr>
          <w:rFonts w:cs="David"/>
          <w:b/>
          <w:bCs/>
          <w:sz w:val="24"/>
          <w:u w:val="single"/>
          <w:rtl/>
        </w:rPr>
        <w:t>נכחו:</w:t>
      </w:r>
    </w:p>
    <w:p w:rsidR="00000000" w:rsidRDefault="008A252F">
      <w:pPr>
        <w:jc w:val="both"/>
        <w:rPr>
          <w:rFonts w:cs="David"/>
          <w:b/>
          <w:bCs/>
          <w:sz w:val="24"/>
          <w:u w:val="single"/>
          <w:rtl/>
        </w:rPr>
      </w:pPr>
    </w:p>
    <w:p w:rsidR="00000000" w:rsidRDefault="008A252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8A252F">
      <w:pPr>
        <w:tabs>
          <w:tab w:val="left" w:pos="1505"/>
        </w:tabs>
        <w:jc w:val="both"/>
        <w:rPr>
          <w:rFonts w:cs="David"/>
          <w:sz w:val="24"/>
          <w:rtl/>
        </w:rPr>
      </w:pPr>
      <w:r>
        <w:rPr>
          <w:rFonts w:cs="David"/>
          <w:sz w:val="24"/>
          <w:rtl/>
        </w:rPr>
        <w:tab/>
        <w:t>מוחמד כנעאן</w:t>
      </w:r>
    </w:p>
    <w:p w:rsidR="00000000" w:rsidRDefault="008A252F">
      <w:pPr>
        <w:tabs>
          <w:tab w:val="left" w:pos="1505"/>
        </w:tabs>
        <w:jc w:val="both"/>
        <w:rPr>
          <w:rFonts w:cs="David"/>
          <w:sz w:val="24"/>
          <w:rtl/>
        </w:rPr>
      </w:pPr>
      <w:r>
        <w:rPr>
          <w:rFonts w:cs="David"/>
          <w:sz w:val="24"/>
          <w:rtl/>
        </w:rPr>
        <w:tab/>
        <w:t xml:space="preserve">איוב </w:t>
      </w:r>
      <w:r>
        <w:rPr>
          <w:rFonts w:cs="David"/>
          <w:sz w:val="24"/>
          <w:rtl/>
        </w:rPr>
        <w:t>קרא</w:t>
      </w:r>
    </w:p>
    <w:p w:rsidR="00000000" w:rsidRDefault="008A252F">
      <w:pPr>
        <w:tabs>
          <w:tab w:val="left" w:pos="1505"/>
        </w:tabs>
        <w:jc w:val="both"/>
        <w:rPr>
          <w:rFonts w:cs="David"/>
          <w:sz w:val="24"/>
          <w:rtl/>
        </w:rPr>
      </w:pPr>
      <w:r>
        <w:rPr>
          <w:rFonts w:cs="David"/>
          <w:sz w:val="24"/>
          <w:rtl/>
        </w:rPr>
        <w:tab/>
        <w:t>מוסי רז</w:t>
      </w:r>
    </w:p>
    <w:p w:rsidR="00000000" w:rsidRDefault="008A252F">
      <w:pPr>
        <w:tabs>
          <w:tab w:val="left" w:pos="1505"/>
        </w:tabs>
        <w:jc w:val="both"/>
        <w:rPr>
          <w:rFonts w:cs="David"/>
          <w:sz w:val="24"/>
          <w:rtl/>
        </w:rPr>
      </w:pPr>
    </w:p>
    <w:p w:rsidR="00000000" w:rsidRDefault="008A252F">
      <w:pPr>
        <w:tabs>
          <w:tab w:val="left" w:pos="1505"/>
        </w:tabs>
        <w:jc w:val="both"/>
        <w:rPr>
          <w:rFonts w:cs="David"/>
          <w:sz w:val="24"/>
          <w:rtl/>
        </w:rPr>
      </w:pPr>
    </w:p>
    <w:p w:rsidR="00000000" w:rsidRDefault="008A252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חנה קלר             -  יועצת משפטית, המשרד לבטחון פנים</w:t>
      </w:r>
    </w:p>
    <w:p w:rsidR="00000000" w:rsidRDefault="008A252F">
      <w:pPr>
        <w:tabs>
          <w:tab w:val="left" w:pos="1505"/>
          <w:tab w:val="left" w:pos="3969"/>
        </w:tabs>
        <w:jc w:val="both"/>
        <w:rPr>
          <w:rFonts w:cs="David"/>
          <w:sz w:val="24"/>
          <w:rtl/>
        </w:rPr>
      </w:pPr>
      <w:r>
        <w:rPr>
          <w:rFonts w:cs="David"/>
          <w:sz w:val="24"/>
          <w:rtl/>
        </w:rPr>
        <w:tab/>
        <w:t>גנ"מ מיקי חלפון         -  ראש מחלקת אסיר, שירות בתי הסוהר</w:t>
      </w:r>
    </w:p>
    <w:p w:rsidR="00000000" w:rsidRDefault="008A252F">
      <w:pPr>
        <w:tabs>
          <w:tab w:val="left" w:pos="1505"/>
          <w:tab w:val="left" w:pos="3969"/>
        </w:tabs>
        <w:jc w:val="both"/>
        <w:rPr>
          <w:rFonts w:cs="David"/>
          <w:sz w:val="24"/>
          <w:rtl/>
        </w:rPr>
      </w:pPr>
      <w:r>
        <w:rPr>
          <w:rFonts w:cs="David"/>
          <w:sz w:val="24"/>
          <w:rtl/>
        </w:rPr>
        <w:tab/>
        <w:t>תג"ד חיים שמולביץ   -  יועץ משפטי, שירות בתי הסוהר</w:t>
      </w:r>
    </w:p>
    <w:p w:rsidR="00000000" w:rsidRDefault="008A252F">
      <w:pPr>
        <w:tabs>
          <w:tab w:val="left" w:pos="1505"/>
          <w:tab w:val="left" w:pos="3969"/>
        </w:tabs>
        <w:jc w:val="both"/>
        <w:rPr>
          <w:rFonts w:cs="David"/>
          <w:sz w:val="24"/>
          <w:rtl/>
        </w:rPr>
      </w:pPr>
      <w:r>
        <w:rPr>
          <w:rFonts w:cs="David"/>
          <w:sz w:val="24"/>
          <w:rtl/>
        </w:rPr>
        <w:tab/>
        <w:t>עו"ד עודד אילן           -  משרד ראש הממשלה</w:t>
      </w:r>
    </w:p>
    <w:p w:rsidR="00000000" w:rsidRDefault="008A252F">
      <w:pPr>
        <w:tabs>
          <w:tab w:val="left" w:pos="1505"/>
          <w:tab w:val="left" w:pos="3969"/>
        </w:tabs>
        <w:jc w:val="both"/>
        <w:rPr>
          <w:rFonts w:cs="David"/>
          <w:sz w:val="24"/>
          <w:rtl/>
        </w:rPr>
      </w:pPr>
    </w:p>
    <w:p w:rsidR="00000000" w:rsidRDefault="008A252F">
      <w:pPr>
        <w:tabs>
          <w:tab w:val="left" w:pos="1505"/>
          <w:tab w:val="left" w:pos="3969"/>
        </w:tabs>
        <w:jc w:val="both"/>
        <w:rPr>
          <w:rFonts w:cs="David"/>
          <w:sz w:val="24"/>
          <w:rtl/>
        </w:rPr>
      </w:pPr>
    </w:p>
    <w:p w:rsidR="00000000" w:rsidRDefault="008A252F">
      <w:pPr>
        <w:tabs>
          <w:tab w:val="left" w:pos="2211"/>
        </w:tabs>
        <w:jc w:val="both"/>
        <w:rPr>
          <w:rFonts w:cs="David"/>
          <w:sz w:val="24"/>
          <w:rtl/>
        </w:rPr>
      </w:pPr>
      <w:r>
        <w:rPr>
          <w:rFonts w:cs="David"/>
          <w:b/>
          <w:bCs/>
          <w:sz w:val="24"/>
          <w:u w:val="single"/>
          <w:rtl/>
        </w:rPr>
        <w:t>יועצת משפטית</w:t>
      </w:r>
      <w:r>
        <w:rPr>
          <w:rFonts w:cs="David"/>
          <w:sz w:val="24"/>
          <w:rtl/>
        </w:rPr>
        <w:t>:</w:t>
      </w:r>
      <w:r>
        <w:rPr>
          <w:rFonts w:cs="David"/>
          <w:sz w:val="24"/>
          <w:rtl/>
        </w:rPr>
        <w:t xml:space="preserve">   עו"ד מרים פרנקל-שור – הלשכה המשפטית, הכנסת</w:t>
      </w:r>
    </w:p>
    <w:p w:rsidR="00000000" w:rsidRDefault="008A252F">
      <w:pPr>
        <w:tabs>
          <w:tab w:val="left" w:pos="2211"/>
        </w:tabs>
        <w:jc w:val="both"/>
        <w:rPr>
          <w:rFonts w:cs="David"/>
          <w:sz w:val="24"/>
          <w:rtl/>
        </w:rPr>
      </w:pPr>
      <w:r>
        <w:rPr>
          <w:rFonts w:cs="David"/>
          <w:sz w:val="24"/>
          <w:rtl/>
        </w:rPr>
        <w:t xml:space="preserve">                              שרי אברמוב                  - מתמחה, הלשכה המשפטית, הכנסת</w:t>
      </w:r>
    </w:p>
    <w:p w:rsidR="00000000" w:rsidRDefault="008A252F">
      <w:pPr>
        <w:tabs>
          <w:tab w:val="left" w:pos="2211"/>
        </w:tabs>
        <w:jc w:val="both"/>
        <w:rPr>
          <w:rFonts w:cs="David"/>
          <w:sz w:val="24"/>
          <w:rtl/>
        </w:rPr>
      </w:pPr>
    </w:p>
    <w:p w:rsidR="00000000" w:rsidRDefault="008A252F">
      <w:pPr>
        <w:tabs>
          <w:tab w:val="left" w:pos="2211"/>
        </w:tabs>
        <w:jc w:val="both"/>
        <w:rPr>
          <w:rFonts w:cs="David"/>
          <w:sz w:val="24"/>
          <w:rtl/>
        </w:rPr>
      </w:pPr>
    </w:p>
    <w:p w:rsidR="00000000" w:rsidRDefault="008A252F">
      <w:pPr>
        <w:tabs>
          <w:tab w:val="left" w:pos="2211"/>
        </w:tabs>
        <w:jc w:val="both"/>
        <w:rPr>
          <w:rFonts w:cs="David"/>
          <w:sz w:val="24"/>
          <w:rtl/>
        </w:rPr>
      </w:pPr>
      <w:r>
        <w:rPr>
          <w:rFonts w:cs="David"/>
          <w:b/>
          <w:bCs/>
          <w:sz w:val="24"/>
          <w:u w:val="single"/>
          <w:rtl/>
        </w:rPr>
        <w:t>מנהלת הוועדה</w:t>
      </w:r>
      <w:r>
        <w:rPr>
          <w:rFonts w:cs="David"/>
          <w:sz w:val="24"/>
          <w:rtl/>
        </w:rPr>
        <w:t>:   יפה שפירא</w:t>
      </w:r>
    </w:p>
    <w:p w:rsidR="00000000" w:rsidRDefault="008A252F">
      <w:pPr>
        <w:tabs>
          <w:tab w:val="left" w:pos="2211"/>
        </w:tabs>
        <w:jc w:val="both"/>
        <w:rPr>
          <w:rFonts w:cs="David"/>
          <w:b/>
          <w:bCs/>
          <w:sz w:val="24"/>
          <w:u w:val="single"/>
          <w:rtl/>
        </w:rPr>
      </w:pPr>
    </w:p>
    <w:p w:rsidR="00000000" w:rsidRDefault="008A252F">
      <w:pPr>
        <w:jc w:val="both"/>
        <w:rPr>
          <w:rFonts w:cs="David"/>
          <w:b/>
          <w:bCs/>
          <w:sz w:val="24"/>
          <w:u w:val="single"/>
          <w:rtl/>
        </w:rPr>
      </w:pPr>
    </w:p>
    <w:p w:rsidR="00000000" w:rsidRDefault="008A252F">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8A252F">
      <w:pPr>
        <w:tabs>
          <w:tab w:val="left" w:pos="2213"/>
        </w:tabs>
        <w:jc w:val="both"/>
        <w:rPr>
          <w:rFonts w:cs="David"/>
          <w:sz w:val="24"/>
          <w:rtl/>
        </w:rPr>
      </w:pPr>
    </w:p>
    <w:p w:rsidR="00000000" w:rsidRDefault="008A252F">
      <w:pPr>
        <w:jc w:val="both"/>
        <w:rPr>
          <w:rFonts w:cs="David"/>
          <w:sz w:val="24"/>
          <w:rtl/>
        </w:rPr>
      </w:pPr>
    </w:p>
    <w:p w:rsidR="00000000" w:rsidRDefault="008A252F">
      <w:pPr>
        <w:tabs>
          <w:tab w:val="left" w:pos="1418"/>
        </w:tabs>
        <w:jc w:val="both"/>
        <w:rPr>
          <w:rFonts w:cs="David"/>
          <w:sz w:val="24"/>
          <w:rtl/>
        </w:rPr>
      </w:pPr>
      <w:r>
        <w:rPr>
          <w:rFonts w:cs="David"/>
          <w:b/>
          <w:bCs/>
          <w:sz w:val="24"/>
          <w:u w:val="single"/>
          <w:rtl/>
        </w:rPr>
        <w:t>סדר היום</w:t>
      </w:r>
      <w:r>
        <w:rPr>
          <w:rFonts w:cs="David"/>
          <w:sz w:val="24"/>
          <w:rtl/>
        </w:rPr>
        <w:t>:         הצעת חוק לתיקון פקודת בתי הסוהר (תיקון</w:t>
      </w:r>
      <w:r>
        <w:rPr>
          <w:rFonts w:cs="David"/>
          <w:sz w:val="24"/>
          <w:rtl/>
        </w:rPr>
        <w:t xml:space="preserve"> מס' 18) (החזקת אסירים</w:t>
      </w:r>
    </w:p>
    <w:p w:rsidR="00000000" w:rsidRDefault="008A252F">
      <w:pPr>
        <w:tabs>
          <w:tab w:val="left" w:pos="1418"/>
        </w:tabs>
        <w:jc w:val="both"/>
        <w:rPr>
          <w:rFonts w:cs="David"/>
          <w:sz w:val="24"/>
          <w:rtl/>
        </w:rPr>
      </w:pPr>
      <w:r>
        <w:rPr>
          <w:rFonts w:cs="David"/>
          <w:sz w:val="24"/>
          <w:rtl/>
        </w:rPr>
        <w:t xml:space="preserve">                           בהפרדה ותיקונים שונים), התש"ס-2000. </w:t>
      </w:r>
    </w:p>
    <w:p w:rsidR="00000000" w:rsidRDefault="008A252F">
      <w:pPr>
        <w:jc w:val="both"/>
        <w:rPr>
          <w:rFonts w:cs="David"/>
          <w:sz w:val="24"/>
          <w:rtl/>
        </w:rPr>
      </w:pPr>
    </w:p>
    <w:p w:rsidR="00000000" w:rsidRDefault="008A252F">
      <w:pPr>
        <w:jc w:val="center"/>
        <w:rPr>
          <w:rFonts w:cs="David"/>
          <w:sz w:val="24"/>
          <w:rtl/>
        </w:rPr>
      </w:pPr>
    </w:p>
    <w:p w:rsidR="00000000" w:rsidRDefault="008A252F">
      <w:pPr>
        <w:jc w:val="center"/>
        <w:rPr>
          <w:rFonts w:cs="David"/>
          <w:sz w:val="24"/>
          <w:rtl/>
        </w:rPr>
      </w:pPr>
      <w:r>
        <w:rPr>
          <w:rFonts w:cs="David"/>
          <w:sz w:val="24"/>
          <w:rtl/>
        </w:rPr>
        <w:t xml:space="preserve">  - - - - - - -</w:t>
      </w: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sz w:val="24"/>
          <w:rtl/>
        </w:rPr>
      </w:pPr>
    </w:p>
    <w:p w:rsidR="00000000" w:rsidRDefault="008A252F">
      <w:pPr>
        <w:jc w:val="center"/>
        <w:rPr>
          <w:rFonts w:cs="David"/>
          <w:b/>
          <w:bCs/>
          <w:sz w:val="24"/>
          <w:rtl/>
        </w:rPr>
      </w:pPr>
      <w:r>
        <w:rPr>
          <w:rFonts w:cs="David"/>
          <w:b/>
          <w:bCs/>
          <w:sz w:val="24"/>
          <w:rtl/>
        </w:rPr>
        <w:t>הצעת חוק לתיקון פקודת בתי הסוהר (תיקון מס' 18)</w:t>
      </w:r>
    </w:p>
    <w:p w:rsidR="00000000" w:rsidRDefault="008A252F">
      <w:pPr>
        <w:pStyle w:val="1"/>
        <w:rPr>
          <w:rFonts w:cs="David"/>
          <w:sz w:val="24"/>
          <w:rtl/>
        </w:rPr>
      </w:pPr>
      <w:r>
        <w:rPr>
          <w:rFonts w:cs="David"/>
          <w:sz w:val="24"/>
          <w:rtl/>
        </w:rPr>
        <w:t xml:space="preserve">(החזקת אסירים בהפרדה ותיקונים שונים), התש"ס-2000 </w:t>
      </w:r>
    </w:p>
    <w:p w:rsidR="00000000" w:rsidRDefault="008A252F">
      <w:pPr>
        <w:jc w:val="center"/>
        <w:rPr>
          <w:rFonts w:cs="David"/>
          <w:sz w:val="24"/>
          <w:rtl/>
        </w:rPr>
      </w:pPr>
    </w:p>
    <w:p w:rsidR="00000000" w:rsidRDefault="008A252F">
      <w:pPr>
        <w:rPr>
          <w:rFonts w:cs="David"/>
          <w:sz w:val="24"/>
          <w:u w:val="single"/>
          <w:rtl/>
        </w:rPr>
      </w:pPr>
      <w:r>
        <w:rPr>
          <w:rFonts w:cs="David"/>
          <w:sz w:val="24"/>
          <w:u w:val="single"/>
          <w:rtl/>
        </w:rPr>
        <w:t>היו"ר דוד אזולאי:</w:t>
      </w:r>
    </w:p>
    <w:p w:rsidR="00000000" w:rsidRDefault="008A252F">
      <w:pPr>
        <w:rPr>
          <w:rFonts w:cs="David"/>
          <w:sz w:val="24"/>
          <w:u w:val="single"/>
          <w:rtl/>
        </w:rPr>
      </w:pPr>
    </w:p>
    <w:p w:rsidR="00000000" w:rsidRDefault="008A252F">
      <w:pPr>
        <w:jc w:val="both"/>
        <w:rPr>
          <w:rFonts w:cs="David"/>
          <w:sz w:val="24"/>
          <w:rtl/>
        </w:rPr>
      </w:pPr>
      <w:r>
        <w:rPr>
          <w:rFonts w:cs="David"/>
          <w:sz w:val="24"/>
          <w:rtl/>
        </w:rPr>
        <w:tab/>
        <w:t xml:space="preserve"> אני פותח את הישיבה.</w:t>
      </w:r>
    </w:p>
    <w:p w:rsidR="00000000" w:rsidRDefault="008A252F">
      <w:pPr>
        <w:jc w:val="both"/>
        <w:rPr>
          <w:rFonts w:cs="David"/>
          <w:sz w:val="24"/>
          <w:rtl/>
        </w:rPr>
      </w:pPr>
    </w:p>
    <w:p w:rsidR="00000000" w:rsidRDefault="008A252F">
      <w:pPr>
        <w:jc w:val="both"/>
        <w:rPr>
          <w:rFonts w:cs="David"/>
          <w:sz w:val="24"/>
          <w:rtl/>
        </w:rPr>
      </w:pPr>
      <w:r>
        <w:rPr>
          <w:rFonts w:cs="David"/>
          <w:sz w:val="24"/>
          <w:rtl/>
        </w:rPr>
        <w:tab/>
        <w:t>הנושא על סדר-היום הוא הצעת חוק לתיקון פקודת בתי הסוהר (תיקון מס' 18) (החזקת אסירים בהפרדה ותיקונים שונים), התש"ס-2000.  עו"ד קלר, בבקשה.</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חנה קלר: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קודם-כל צריך לזכור שהצעת החוק הזאת היא פרי עבודה ממושכת גם של ועדה בתוך המשרד לבטחון הפנים עם שירות</w:t>
      </w:r>
      <w:r>
        <w:rPr>
          <w:rFonts w:cs="David"/>
          <w:sz w:val="24"/>
          <w:rtl/>
        </w:rPr>
        <w:t xml:space="preserve"> בתי הסוהר, אבל כינון הוועדה למעשה הינה פרי............  אמיצה של רופאים ישראלים ופלשתינים שהם קבלו בעיקר בעקבות ואנונו על כל הנושא של החזקה בהפרדה, והיתה עתירה לבג"צ, כי בעתירה לבג"צ היא נדחתה לאור ההצהרה שלנו על כינון הוועדה והנכונות שלנו לתקן את המצב, כ</w:t>
      </w:r>
      <w:r>
        <w:rPr>
          <w:rFonts w:cs="David"/>
          <w:sz w:val="24"/>
          <w:rtl/>
        </w:rPr>
        <w:t>י ערב הגשת העתירה הנושא היה מוסדר בתקנה 21 לתקנות בתי הסוהר, וכולנו הסכמנו שקודם-כל צריך לקחת את הנושא הזה ולראות מה קורה אתו.  דבר שני, שזה לא יכול להיות בחקיקת משנה בעידן של חוקי יסוד.</w:t>
      </w:r>
    </w:p>
    <w:p w:rsidR="00000000" w:rsidRDefault="008A252F">
      <w:pPr>
        <w:jc w:val="both"/>
        <w:rPr>
          <w:rFonts w:cs="David"/>
          <w:sz w:val="24"/>
          <w:rtl/>
        </w:rPr>
      </w:pPr>
    </w:p>
    <w:p w:rsidR="00000000" w:rsidRDefault="008A252F">
      <w:pPr>
        <w:jc w:val="both"/>
        <w:rPr>
          <w:rFonts w:cs="David"/>
          <w:sz w:val="24"/>
          <w:rtl/>
        </w:rPr>
      </w:pPr>
      <w:r>
        <w:rPr>
          <w:rFonts w:cs="David"/>
          <w:sz w:val="24"/>
          <w:rtl/>
        </w:rPr>
        <w:tab/>
        <w:t>אם אפשר לומר בצורה רחבה מה בעצם עמד בעיקר מאחורי החקיקה הזאת, זה לה</w:t>
      </w:r>
      <w:r>
        <w:rPr>
          <w:rFonts w:cs="David"/>
          <w:sz w:val="24"/>
          <w:rtl/>
        </w:rPr>
        <w:t>שיג שתי מטרות עיקריות.</w:t>
      </w:r>
    </w:p>
    <w:p w:rsidR="00000000" w:rsidRDefault="008A252F">
      <w:pPr>
        <w:jc w:val="both"/>
        <w:rPr>
          <w:rFonts w:cs="David"/>
          <w:sz w:val="24"/>
          <w:rtl/>
        </w:rPr>
      </w:pPr>
    </w:p>
    <w:p w:rsidR="00000000" w:rsidRDefault="008A252F">
      <w:pPr>
        <w:rPr>
          <w:rFonts w:cs="David"/>
          <w:sz w:val="24"/>
          <w:u w:val="single"/>
          <w:rtl/>
        </w:rPr>
      </w:pPr>
      <w:r>
        <w:rPr>
          <w:rFonts w:cs="David"/>
          <w:sz w:val="24"/>
          <w:u w:val="single"/>
          <w:rtl/>
        </w:rPr>
        <w:t>היו"ר דוד אזולאי:</w:t>
      </w:r>
    </w:p>
    <w:p w:rsidR="00000000" w:rsidRDefault="008A252F">
      <w:pPr>
        <w:rPr>
          <w:rFonts w:cs="David"/>
          <w:sz w:val="24"/>
          <w:u w:val="single"/>
          <w:rtl/>
        </w:rPr>
      </w:pPr>
    </w:p>
    <w:p w:rsidR="00000000" w:rsidRDefault="008A252F">
      <w:pPr>
        <w:jc w:val="both"/>
        <w:rPr>
          <w:rFonts w:cs="David"/>
          <w:sz w:val="24"/>
          <w:rtl/>
        </w:rPr>
      </w:pPr>
      <w:r>
        <w:rPr>
          <w:rFonts w:cs="David"/>
          <w:sz w:val="24"/>
          <w:rtl/>
        </w:rPr>
        <w:tab/>
        <w:t xml:space="preserve"> מה היה כל-כך לא טוב אם היינו משאירים את זה כתקנה במקום בחקיקה?</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חנה קלר: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קודם-כל תקנה, האפשרות לתקן אותה היא הרבה יותר נגישה ואתה לא צריך לבוא לכנסת.  מספיק שהשר חותם על תקנה ואין גם הפיקוח הפרלמנטרי על ה</w:t>
      </w:r>
      <w:r>
        <w:rPr>
          <w:rFonts w:cs="David"/>
          <w:sz w:val="24"/>
          <w:rtl/>
        </w:rPr>
        <w:t>נושאים האלה.</w:t>
      </w:r>
    </w:p>
    <w:p w:rsidR="00000000" w:rsidRDefault="008A252F">
      <w:pPr>
        <w:jc w:val="both"/>
        <w:rPr>
          <w:rFonts w:cs="David"/>
          <w:sz w:val="24"/>
          <w:rtl/>
        </w:rPr>
      </w:pPr>
    </w:p>
    <w:p w:rsidR="00000000" w:rsidRDefault="008A252F">
      <w:pPr>
        <w:jc w:val="both"/>
        <w:rPr>
          <w:rFonts w:cs="David"/>
          <w:sz w:val="24"/>
          <w:rtl/>
        </w:rPr>
      </w:pPr>
      <w:r>
        <w:rPr>
          <w:rFonts w:cs="David"/>
          <w:sz w:val="24"/>
          <w:rtl/>
        </w:rPr>
        <w:tab/>
        <w:t>דבר שני, אני חושבת שאם חוק יסתור תקנה, החוק יגבר.</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מרים פרנקל-שור: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איזו ועדה זו היתה?</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חנה קלר: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היתה ועדה של המשרד לבטחון הפנים עם שירות בתי הסוהר והצטרפו אליהם גם נציגי משרד המשפטים.</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מרים פרנקל-שור: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יש המלצות בכתב של ה</w:t>
      </w:r>
      <w:r>
        <w:rPr>
          <w:rFonts w:cs="David"/>
          <w:sz w:val="24"/>
          <w:rtl/>
        </w:rPr>
        <w:t>וועדה?</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חנה קלר: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חוץ מהחקיקה הוועדה המליצה גם לשנות את המצב שאינו דורש חקיקה.  היו הרבה המלצות כאלה לחקיקה, וחלק שכבר יושמו.  ולכן כשאת מציינת כאן את הדין הקיים, הוא לא כל-כך נכון, כי אנחנו בעקבות המלצות הוועדה - - -</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מרים פרנקל-שור: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דרך אגב,</w:t>
      </w:r>
      <w:r>
        <w:rPr>
          <w:rFonts w:cs="David"/>
          <w:sz w:val="24"/>
          <w:rtl/>
        </w:rPr>
        <w:t xml:space="preserve"> שרי אברמוב הכינה את זה .</w:t>
      </w:r>
    </w:p>
    <w:p w:rsidR="00000000" w:rsidRDefault="008A252F">
      <w:pPr>
        <w:jc w:val="both"/>
        <w:rPr>
          <w:rFonts w:cs="David"/>
          <w:sz w:val="24"/>
          <w:rtl/>
        </w:rPr>
      </w:pPr>
    </w:p>
    <w:p w:rsidR="00000000" w:rsidRDefault="008A252F">
      <w:pPr>
        <w:jc w:val="both"/>
        <w:rPr>
          <w:rFonts w:cs="David"/>
          <w:sz w:val="24"/>
          <w:rtl/>
        </w:rPr>
      </w:pPr>
      <w:r>
        <w:rPr>
          <w:rFonts w:cs="David"/>
          <w:sz w:val="24"/>
          <w:u w:val="single"/>
          <w:rtl/>
        </w:rPr>
        <w:t>עו"ד חנה קלר:</w:t>
      </w:r>
    </w:p>
    <w:p w:rsidR="00000000" w:rsidRDefault="008A252F">
      <w:pPr>
        <w:jc w:val="both"/>
        <w:rPr>
          <w:rFonts w:cs="David"/>
          <w:sz w:val="24"/>
          <w:rtl/>
        </w:rPr>
      </w:pPr>
    </w:p>
    <w:p w:rsidR="00000000" w:rsidRDefault="008A252F">
      <w:pPr>
        <w:jc w:val="both"/>
        <w:rPr>
          <w:rFonts w:cs="David"/>
          <w:sz w:val="24"/>
          <w:rtl/>
        </w:rPr>
      </w:pPr>
      <w:r>
        <w:rPr>
          <w:rFonts w:cs="David"/>
          <w:sz w:val="24"/>
          <w:rtl/>
        </w:rPr>
        <w:tab/>
        <w:t>לא משנה, כל הכבוד למי שעשה את זה,  אבל הדין הקיים בעצם לא משקף את המצב הקיים היום בפרקטיקה אלא הלכתנו לתקנה 21 ולפי מה שכתוב שם.</w:t>
      </w:r>
    </w:p>
    <w:p w:rsidR="00000000" w:rsidRDefault="008A252F">
      <w:pPr>
        <w:jc w:val="both"/>
        <w:rPr>
          <w:rFonts w:cs="David"/>
          <w:sz w:val="24"/>
          <w:rtl/>
        </w:rPr>
      </w:pPr>
    </w:p>
    <w:p w:rsidR="00000000" w:rsidRDefault="008A252F">
      <w:pPr>
        <w:jc w:val="both"/>
        <w:rPr>
          <w:rFonts w:cs="David"/>
          <w:sz w:val="24"/>
          <w:rtl/>
        </w:rPr>
      </w:pPr>
      <w:r>
        <w:rPr>
          <w:rFonts w:cs="David"/>
          <w:sz w:val="24"/>
          <w:rtl/>
        </w:rPr>
        <w:tab/>
        <w:t xml:space="preserve">בכל אופן, שתי המטרות הן גדולות.  אדם, לפני </w:t>
      </w:r>
    </w:p>
    <w:p w:rsidR="00000000" w:rsidRDefault="008A252F">
      <w:pPr>
        <w:jc w:val="both"/>
        <w:rPr>
          <w:rFonts w:cs="David"/>
          <w:sz w:val="24"/>
          <w:rtl/>
        </w:rPr>
      </w:pPr>
    </w:p>
    <w:p w:rsidR="00000000" w:rsidRDefault="008A252F">
      <w:pPr>
        <w:jc w:val="both"/>
        <w:rPr>
          <w:rFonts w:cs="David"/>
          <w:sz w:val="24"/>
          <w:rtl/>
        </w:rPr>
      </w:pPr>
    </w:p>
    <w:p w:rsidR="00000000" w:rsidRDefault="008A252F">
      <w:pPr>
        <w:jc w:val="both"/>
        <w:rPr>
          <w:rFonts w:cs="David"/>
          <w:sz w:val="24"/>
          <w:rtl/>
        </w:rPr>
      </w:pPr>
      <w:r>
        <w:rPr>
          <w:rFonts w:cs="David"/>
          <w:sz w:val="24"/>
          <w:rtl/>
        </w:rPr>
        <w:br w:type="page"/>
      </w:r>
    </w:p>
    <w:p w:rsidR="00000000" w:rsidRDefault="008A252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252F">
      <w:r>
        <w:separator/>
      </w:r>
    </w:p>
  </w:endnote>
  <w:endnote w:type="continuationSeparator" w:id="0">
    <w:p w:rsidR="00000000" w:rsidRDefault="008A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52F">
    <w:pPr>
      <w:pStyle w:val="a7"/>
      <w:rPr>
        <w:rFonts w:cs="David"/>
        <w:sz w:val="24"/>
        <w:rtl/>
      </w:rPr>
    </w:pPr>
  </w:p>
  <w:p w:rsidR="00000000" w:rsidRDefault="008A25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252F">
      <w:r>
        <w:separator/>
      </w:r>
    </w:p>
  </w:footnote>
  <w:footnote w:type="continuationSeparator" w:id="0">
    <w:p w:rsidR="00000000" w:rsidRDefault="008A2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5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A252F">
    <w:pPr>
      <w:pStyle w:val="a5"/>
      <w:ind w:right="360"/>
      <w:rPr>
        <w:rFonts w:cs="David"/>
        <w:sz w:val="24"/>
        <w:rtl/>
      </w:rPr>
    </w:pPr>
    <w:r>
      <w:rPr>
        <w:rFonts w:cs="David"/>
        <w:sz w:val="24"/>
        <w:rtl/>
      </w:rPr>
      <w:t>ועדת הפנים ואיכות הסביבה</w:t>
    </w:r>
    <w:r>
      <w:rPr>
        <w:rFonts w:cs="David"/>
        <w:sz w:val="24"/>
        <w:rtl/>
      </w:rPr>
      <w:tab/>
    </w:r>
    <w:r>
      <w:rPr>
        <w:rFonts w:cs="David"/>
        <w:sz w:val="24"/>
        <w:rtl/>
      </w:rPr>
      <w:tab/>
    </w:r>
  </w:p>
  <w:p w:rsidR="00000000" w:rsidRDefault="008A252F">
    <w:pPr>
      <w:pStyle w:val="a5"/>
      <w:ind w:right="360"/>
      <w:rPr>
        <w:rStyle w:val="a9"/>
        <w:rFonts w:cs="David"/>
        <w:sz w:val="24"/>
        <w:rtl/>
      </w:rPr>
    </w:pPr>
    <w:r>
      <w:rPr>
        <w:rFonts w:cs="David"/>
        <w:sz w:val="24"/>
        <w:rtl/>
      </w:rPr>
      <w:t>5.6.2000</w:t>
    </w:r>
  </w:p>
  <w:p w:rsidR="00000000" w:rsidRDefault="008A252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252F"/>
    <w:rsid w:val="008A2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6588AE-4CB1-47E4-B083-FF57D8D4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470</Words>
  <Characters>2353</Characters>
  <Application>Microsoft Office Word</Application>
  <DocSecurity>0</DocSecurity>
  <Lines>19</Lines>
  <Paragraphs>5</Paragraphs>
  <ScaleCrop>false</ScaleCrop>
  <Company/>
  <LinksUpToDate>false</LinksUpToDate>
  <CharactersWithSpaces>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הפנים/581</dc:title>
  <dc:subject>פנים 5.6.2000</dc:subject>
  <dc:creator>עפרה הירשפלד</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