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56F">
      <w:pPr>
        <w:jc w:val="right"/>
        <w:rPr>
          <w:rFonts w:cs="David"/>
          <w:sz w:val="24"/>
          <w:rtl/>
        </w:rPr>
      </w:pPr>
      <w:bookmarkStart w:id="0" w:name="_GoBack"/>
      <w:bookmarkEnd w:id="0"/>
    </w:p>
    <w:p w:rsidR="00000000" w:rsidRDefault="001F456F">
      <w:pPr>
        <w:jc w:val="right"/>
        <w:rPr>
          <w:rFonts w:cs="David"/>
          <w:sz w:val="24"/>
          <w:rtl/>
        </w:rPr>
      </w:pPr>
      <w:r>
        <w:rPr>
          <w:rFonts w:cs="David"/>
          <w:sz w:val="24"/>
          <w:rtl/>
        </w:rPr>
        <w:tab/>
        <w:t>ירושלים, כ' בחשון, תשס"ב</w:t>
      </w:r>
    </w:p>
    <w:p w:rsidR="00000000" w:rsidRDefault="001F456F">
      <w:pPr>
        <w:jc w:val="right"/>
        <w:rPr>
          <w:rFonts w:cs="David"/>
          <w:sz w:val="24"/>
          <w:rtl/>
          <w:lang w:val="es"/>
        </w:rPr>
      </w:pPr>
      <w:r>
        <w:rPr>
          <w:rFonts w:cs="David"/>
          <w:sz w:val="24"/>
          <w:rtl/>
          <w:lang w:val="es"/>
        </w:rPr>
        <w:t>6 בנובמבר, 2001</w:t>
      </w:r>
    </w:p>
    <w:p w:rsidR="00000000" w:rsidRDefault="001F456F">
      <w:pPr>
        <w:jc w:val="right"/>
        <w:rPr>
          <w:rFonts w:cs="David"/>
          <w:sz w:val="24"/>
          <w:rtl/>
        </w:rPr>
      </w:pPr>
    </w:p>
    <w:p w:rsidR="00000000" w:rsidRDefault="001F456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F456F">
      <w:pPr>
        <w:jc w:val="both"/>
        <w:rPr>
          <w:rFonts w:cs="David"/>
          <w:b/>
          <w:bCs/>
          <w:sz w:val="24"/>
          <w:rtl/>
        </w:rPr>
      </w:pPr>
      <w:r>
        <w:rPr>
          <w:rFonts w:cs="David"/>
          <w:b/>
          <w:bCs/>
          <w:sz w:val="24"/>
          <w:rtl/>
        </w:rPr>
        <w:t>מושב רביעי</w:t>
      </w:r>
    </w:p>
    <w:p w:rsidR="00000000" w:rsidRDefault="001F456F">
      <w:pPr>
        <w:jc w:val="both"/>
        <w:rPr>
          <w:rFonts w:cs="David"/>
          <w:b/>
          <w:bCs/>
          <w:sz w:val="24"/>
          <w:rtl/>
        </w:rPr>
      </w:pPr>
    </w:p>
    <w:p w:rsidR="00000000" w:rsidRDefault="001F456F">
      <w:pPr>
        <w:jc w:val="both"/>
        <w:rPr>
          <w:rFonts w:cs="David"/>
          <w:b/>
          <w:bCs/>
          <w:sz w:val="24"/>
          <w:rtl/>
        </w:rPr>
      </w:pPr>
    </w:p>
    <w:p w:rsidR="00000000" w:rsidRDefault="001F456F">
      <w:pPr>
        <w:jc w:val="both"/>
        <w:rPr>
          <w:rFonts w:cs="David"/>
          <w:b/>
          <w:bCs/>
          <w:sz w:val="24"/>
          <w:rtl/>
        </w:rPr>
      </w:pPr>
    </w:p>
    <w:p w:rsidR="00000000" w:rsidRDefault="001F456F">
      <w:pPr>
        <w:jc w:val="center"/>
        <w:rPr>
          <w:rFonts w:cs="David"/>
          <w:b/>
          <w:bCs/>
          <w:sz w:val="24"/>
          <w:rtl/>
        </w:rPr>
      </w:pPr>
      <w:r>
        <w:rPr>
          <w:rFonts w:cs="David"/>
          <w:b/>
          <w:bCs/>
          <w:sz w:val="24"/>
          <w:rtl/>
        </w:rPr>
        <w:t>פרוטוקול מס</w:t>
      </w:r>
      <w:r>
        <w:rPr>
          <w:rFonts w:cs="David"/>
          <w:b/>
          <w:bCs/>
          <w:sz w:val="24"/>
          <w:rtl/>
        </w:rPr>
        <w:t>' 312</w:t>
      </w:r>
    </w:p>
    <w:p w:rsidR="00000000" w:rsidRDefault="001F456F">
      <w:pPr>
        <w:jc w:val="center"/>
        <w:rPr>
          <w:rFonts w:cs="David"/>
          <w:b/>
          <w:bCs/>
          <w:sz w:val="24"/>
          <w:rtl/>
        </w:rPr>
      </w:pPr>
      <w:r>
        <w:rPr>
          <w:rFonts w:cs="David"/>
          <w:b/>
          <w:bCs/>
          <w:sz w:val="24"/>
          <w:rtl/>
        </w:rPr>
        <w:t>מישיבת ועדת הפנים ואיכות הסביבה</w:t>
      </w:r>
    </w:p>
    <w:p w:rsidR="00000000" w:rsidRDefault="001F456F">
      <w:pPr>
        <w:pStyle w:val="10"/>
        <w:rPr>
          <w:rFonts w:cs="David"/>
          <w:sz w:val="24"/>
          <w:rtl/>
        </w:rPr>
      </w:pPr>
      <w:r>
        <w:rPr>
          <w:rFonts w:cs="David"/>
          <w:sz w:val="24"/>
          <w:rtl/>
        </w:rPr>
        <w:t>מיום שני, י"ב בחשוון התשס"ב (29 באוקטובר 2001) בשעה 10:00</w:t>
      </w:r>
    </w:p>
    <w:p w:rsidR="00000000" w:rsidRDefault="001F456F">
      <w:pPr>
        <w:jc w:val="center"/>
        <w:rPr>
          <w:rFonts w:cs="David"/>
          <w:b/>
          <w:bCs/>
          <w:sz w:val="24"/>
          <w:rtl/>
        </w:rPr>
      </w:pPr>
    </w:p>
    <w:p w:rsidR="00000000" w:rsidRDefault="001F456F">
      <w:pPr>
        <w:jc w:val="center"/>
        <w:rPr>
          <w:rFonts w:cs="David"/>
          <w:sz w:val="24"/>
          <w:rtl/>
        </w:rPr>
      </w:pPr>
    </w:p>
    <w:p w:rsidR="00000000" w:rsidRDefault="001F456F">
      <w:pPr>
        <w:jc w:val="both"/>
        <w:rPr>
          <w:rFonts w:cs="David"/>
          <w:sz w:val="24"/>
          <w:rtl/>
        </w:rPr>
      </w:pPr>
      <w:r>
        <w:rPr>
          <w:rFonts w:cs="David"/>
          <w:b/>
          <w:bCs/>
          <w:sz w:val="24"/>
          <w:u w:val="single"/>
          <w:rtl/>
        </w:rPr>
        <w:t>סדר היום:</w:t>
      </w:r>
    </w:p>
    <w:p w:rsidR="00000000" w:rsidRDefault="001F456F">
      <w:pPr>
        <w:jc w:val="both"/>
        <w:rPr>
          <w:rFonts w:cs="David"/>
          <w:sz w:val="24"/>
          <w:rtl/>
        </w:rPr>
      </w:pPr>
    </w:p>
    <w:p w:rsidR="00000000" w:rsidRDefault="001F456F">
      <w:pPr>
        <w:jc w:val="both"/>
        <w:rPr>
          <w:rFonts w:cs="David"/>
          <w:sz w:val="24"/>
          <w:rtl/>
        </w:rPr>
      </w:pPr>
      <w:r>
        <w:rPr>
          <w:rFonts w:cs="David"/>
          <w:sz w:val="24"/>
          <w:rtl/>
        </w:rPr>
        <w:t xml:space="preserve">                צו הכניסה לישראל (פטור מאשרה) (תיקון), התשס"ב </w:t>
      </w:r>
      <w:r>
        <w:rPr>
          <w:rFonts w:cs="David"/>
          <w:sz w:val="24"/>
        </w:rPr>
        <w:t>–</w:t>
      </w:r>
      <w:r>
        <w:rPr>
          <w:rFonts w:cs="David"/>
          <w:sz w:val="24"/>
          <w:rtl/>
        </w:rPr>
        <w:t xml:space="preserve"> 2001 (פטור הדדי מהצורך בקבלת אשרה </w:t>
      </w:r>
      <w:r>
        <w:rPr>
          <w:rFonts w:cs="David"/>
          <w:sz w:val="24"/>
        </w:rPr>
        <w:t>–</w:t>
      </w:r>
      <w:r>
        <w:rPr>
          <w:rFonts w:cs="David"/>
          <w:sz w:val="24"/>
          <w:rtl/>
        </w:rPr>
        <w:t xml:space="preserve"> קרואטיה ואסטוניה) </w:t>
      </w:r>
      <w:r>
        <w:rPr>
          <w:rFonts w:cs="David"/>
          <w:sz w:val="24"/>
        </w:rPr>
        <w:t>–</w:t>
      </w:r>
      <w:r>
        <w:rPr>
          <w:rFonts w:cs="David"/>
          <w:sz w:val="24"/>
          <w:rtl/>
        </w:rPr>
        <w:t xml:space="preserve"> חובת התייעצות</w:t>
      </w: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b/>
          <w:bCs/>
          <w:sz w:val="24"/>
          <w:u w:val="single"/>
          <w:rtl/>
        </w:rPr>
      </w:pPr>
      <w:r>
        <w:rPr>
          <w:rFonts w:cs="David"/>
          <w:b/>
          <w:bCs/>
          <w:sz w:val="24"/>
          <w:u w:val="single"/>
          <w:rtl/>
        </w:rPr>
        <w:t>נכחו:</w:t>
      </w:r>
    </w:p>
    <w:p w:rsidR="00000000" w:rsidRDefault="001F456F">
      <w:pPr>
        <w:jc w:val="both"/>
        <w:rPr>
          <w:rFonts w:cs="David"/>
          <w:b/>
          <w:bCs/>
          <w:sz w:val="24"/>
          <w:u w:val="single"/>
          <w:rtl/>
        </w:rPr>
      </w:pPr>
    </w:p>
    <w:p w:rsidR="00000000" w:rsidRDefault="001F456F">
      <w:pPr>
        <w:tabs>
          <w:tab w:val="left" w:pos="1505"/>
        </w:tabs>
        <w:jc w:val="both"/>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1F456F">
      <w:pPr>
        <w:tabs>
          <w:tab w:val="left" w:pos="1505"/>
        </w:tabs>
        <w:jc w:val="both"/>
        <w:rPr>
          <w:rFonts w:cs="David"/>
          <w:sz w:val="24"/>
          <w:rtl/>
        </w:rPr>
      </w:pPr>
    </w:p>
    <w:p w:rsidR="00000000" w:rsidRDefault="001F456F">
      <w:pPr>
        <w:tabs>
          <w:tab w:val="left" w:pos="1505"/>
        </w:tabs>
        <w:jc w:val="both"/>
        <w:rPr>
          <w:rFonts w:cs="David"/>
          <w:sz w:val="24"/>
          <w:rtl/>
        </w:rPr>
      </w:pPr>
      <w:r>
        <w:rPr>
          <w:rFonts w:cs="David"/>
          <w:sz w:val="24"/>
          <w:rtl/>
        </w:rPr>
        <w:t xml:space="preserve">משה גפני </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1F456F">
      <w:pPr>
        <w:tabs>
          <w:tab w:val="left" w:pos="1505"/>
        </w:tabs>
        <w:jc w:val="both"/>
        <w:rPr>
          <w:rFonts w:cs="David"/>
          <w:sz w:val="24"/>
          <w:rtl/>
        </w:rPr>
      </w:pPr>
      <w:r>
        <w:rPr>
          <w:rFonts w:cs="David"/>
          <w:sz w:val="24"/>
          <w:rtl/>
        </w:rPr>
        <w:t>נסים זאב</w:t>
      </w:r>
    </w:p>
    <w:p w:rsidR="00000000" w:rsidRDefault="001F456F">
      <w:pPr>
        <w:jc w:val="both"/>
        <w:rPr>
          <w:rFonts w:cs="David"/>
          <w:sz w:val="24"/>
          <w:rtl/>
        </w:rPr>
      </w:pPr>
    </w:p>
    <w:p w:rsidR="00000000" w:rsidRDefault="001F456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F456F">
      <w:pPr>
        <w:jc w:val="both"/>
        <w:rPr>
          <w:rFonts w:cs="David"/>
          <w:sz w:val="24"/>
          <w:rtl/>
        </w:rPr>
      </w:pPr>
    </w:p>
    <w:p w:rsidR="00000000" w:rsidRDefault="001F456F">
      <w:pPr>
        <w:jc w:val="both"/>
        <w:rPr>
          <w:rFonts w:cs="David"/>
          <w:sz w:val="24"/>
          <w:rtl/>
        </w:rPr>
      </w:pPr>
      <w:r>
        <w:rPr>
          <w:rFonts w:cs="David"/>
          <w:sz w:val="24"/>
          <w:rtl/>
        </w:rPr>
        <w:t>יחזקאל לביא</w:t>
      </w:r>
      <w:r>
        <w:rPr>
          <w:rFonts w:cs="David"/>
          <w:sz w:val="24"/>
          <w:rtl/>
        </w:rPr>
        <w:tab/>
      </w:r>
      <w:r>
        <w:rPr>
          <w:rFonts w:cs="David"/>
          <w:sz w:val="24"/>
          <w:rtl/>
        </w:rPr>
        <w:tab/>
      </w:r>
      <w:r>
        <w:rPr>
          <w:rFonts w:cs="David"/>
          <w:sz w:val="24"/>
          <w:rtl/>
        </w:rPr>
        <w:tab/>
      </w:r>
      <w:r>
        <w:rPr>
          <w:rFonts w:cs="David"/>
          <w:sz w:val="24"/>
          <w:rtl/>
        </w:rPr>
        <w:tab/>
        <w:t>-  ראש אגף אסטרטגיה, משרד הפנים</w:t>
      </w:r>
    </w:p>
    <w:p w:rsidR="00000000" w:rsidRDefault="001F456F">
      <w:pPr>
        <w:jc w:val="both"/>
        <w:rPr>
          <w:rFonts w:cs="David"/>
          <w:sz w:val="24"/>
          <w:rtl/>
        </w:rPr>
      </w:pPr>
      <w:r>
        <w:rPr>
          <w:rFonts w:cs="David"/>
          <w:sz w:val="24"/>
          <w:rtl/>
        </w:rPr>
        <w:t>עו"ד דינה דומיניץ</w:t>
      </w:r>
      <w:r>
        <w:rPr>
          <w:rFonts w:cs="David"/>
          <w:sz w:val="24"/>
          <w:rtl/>
        </w:rPr>
        <w:tab/>
      </w:r>
      <w:r>
        <w:rPr>
          <w:rFonts w:cs="David"/>
          <w:sz w:val="24"/>
          <w:rtl/>
        </w:rPr>
        <w:tab/>
      </w:r>
      <w:r>
        <w:rPr>
          <w:rFonts w:cs="David"/>
          <w:sz w:val="24"/>
          <w:rtl/>
        </w:rPr>
        <w:tab/>
      </w:r>
      <w:r>
        <w:rPr>
          <w:rFonts w:cs="David"/>
          <w:sz w:val="24"/>
          <w:rtl/>
        </w:rPr>
        <w:tab/>
        <w:t>-  הלשכה המשפטית, משרד הפנים</w:t>
      </w:r>
    </w:p>
    <w:p w:rsidR="00000000" w:rsidRDefault="001F456F">
      <w:pPr>
        <w:jc w:val="both"/>
        <w:rPr>
          <w:rFonts w:cs="David"/>
          <w:sz w:val="24"/>
          <w:rtl/>
        </w:rPr>
      </w:pPr>
      <w:r>
        <w:rPr>
          <w:rFonts w:cs="David"/>
          <w:sz w:val="24"/>
          <w:rtl/>
        </w:rPr>
        <w:t>עו"ד עפרה נטיף</w:t>
      </w:r>
      <w:r>
        <w:rPr>
          <w:rFonts w:cs="David"/>
          <w:sz w:val="24"/>
          <w:rtl/>
        </w:rPr>
        <w:tab/>
      </w:r>
      <w:r>
        <w:rPr>
          <w:rFonts w:cs="David"/>
          <w:sz w:val="24"/>
          <w:rtl/>
        </w:rPr>
        <w:tab/>
      </w:r>
      <w:r>
        <w:rPr>
          <w:rFonts w:cs="David"/>
          <w:sz w:val="24"/>
          <w:rtl/>
        </w:rPr>
        <w:tab/>
      </w:r>
      <w:r>
        <w:rPr>
          <w:rFonts w:cs="David"/>
          <w:sz w:val="24"/>
          <w:rtl/>
        </w:rPr>
        <w:tab/>
        <w:t>-  הלשכה המשפטית, משרד החוץ</w:t>
      </w:r>
    </w:p>
    <w:p w:rsidR="00000000" w:rsidRDefault="001F456F">
      <w:pPr>
        <w:jc w:val="both"/>
        <w:rPr>
          <w:rFonts w:cs="David"/>
          <w:sz w:val="24"/>
          <w:rtl/>
        </w:rPr>
      </w:pPr>
      <w:r>
        <w:rPr>
          <w:rFonts w:cs="David"/>
          <w:sz w:val="24"/>
          <w:rtl/>
        </w:rPr>
        <w:t>דסי גרינברג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  הלשכה המשפטית, משרד החוץ</w:t>
      </w:r>
    </w:p>
    <w:p w:rsidR="00000000" w:rsidRDefault="001F456F">
      <w:pPr>
        <w:jc w:val="both"/>
        <w:rPr>
          <w:rFonts w:cs="David"/>
          <w:sz w:val="24"/>
          <w:rtl/>
        </w:rPr>
      </w:pPr>
    </w:p>
    <w:p w:rsidR="00000000" w:rsidRDefault="001F456F">
      <w:pPr>
        <w:jc w:val="both"/>
        <w:rPr>
          <w:rFonts w:cs="David"/>
          <w:sz w:val="24"/>
          <w:rtl/>
        </w:rPr>
      </w:pPr>
    </w:p>
    <w:p w:rsidR="00000000" w:rsidRDefault="001F456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מרים פרנקל-שור</w:t>
      </w:r>
      <w:r>
        <w:rPr>
          <w:rFonts w:cs="David"/>
          <w:sz w:val="24"/>
          <w:rtl/>
        </w:rPr>
        <w:tab/>
      </w:r>
    </w:p>
    <w:p w:rsidR="00000000" w:rsidRDefault="001F456F">
      <w:pPr>
        <w:jc w:val="both"/>
        <w:rPr>
          <w:rFonts w:cs="David"/>
          <w:sz w:val="24"/>
          <w:rtl/>
        </w:rPr>
      </w:pPr>
    </w:p>
    <w:p w:rsidR="00000000" w:rsidRDefault="001F456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 שפירא</w:t>
      </w:r>
    </w:p>
    <w:p w:rsidR="00000000" w:rsidRDefault="001F456F">
      <w:pPr>
        <w:jc w:val="both"/>
        <w:rPr>
          <w:rFonts w:cs="David"/>
          <w:b/>
          <w:bCs/>
          <w:sz w:val="24"/>
          <w:u w:val="single"/>
          <w:rtl/>
        </w:rPr>
      </w:pPr>
    </w:p>
    <w:p w:rsidR="00000000" w:rsidRDefault="001F456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b/>
          <w:bCs/>
          <w:sz w:val="24"/>
          <w:u w:val="single"/>
          <w:rtl/>
        </w:rPr>
      </w:pPr>
      <w:r>
        <w:rPr>
          <w:rFonts w:cs="David"/>
          <w:sz w:val="24"/>
          <w:rtl/>
        </w:rPr>
        <w:br w:type="page"/>
      </w:r>
      <w:r>
        <w:rPr>
          <w:rFonts w:cs="David"/>
          <w:b/>
          <w:bCs/>
          <w:sz w:val="24"/>
          <w:rtl/>
        </w:rPr>
        <w:lastRenderedPageBreak/>
        <w:t xml:space="preserve">צו הכניסה לישראל (פטור מאשרה) (תיקון), התשס"ב </w:t>
      </w:r>
      <w:r>
        <w:rPr>
          <w:rFonts w:cs="David"/>
          <w:b/>
          <w:bCs/>
          <w:sz w:val="24"/>
        </w:rPr>
        <w:t>–</w:t>
      </w:r>
      <w:r>
        <w:rPr>
          <w:rFonts w:cs="David"/>
          <w:b/>
          <w:bCs/>
          <w:sz w:val="24"/>
          <w:rtl/>
        </w:rPr>
        <w:t xml:space="preserve"> 2001 (פטור הדדי מהצורך בקבלת </w:t>
      </w:r>
      <w:r>
        <w:rPr>
          <w:rFonts w:cs="David"/>
          <w:b/>
          <w:bCs/>
          <w:sz w:val="24"/>
          <w:u w:val="single"/>
          <w:rtl/>
        </w:rPr>
        <w:t xml:space="preserve">אשרה </w:t>
      </w:r>
      <w:r>
        <w:rPr>
          <w:rFonts w:cs="David"/>
          <w:b/>
          <w:bCs/>
          <w:sz w:val="24"/>
          <w:u w:val="single"/>
        </w:rPr>
        <w:t>–</w:t>
      </w:r>
      <w:r>
        <w:rPr>
          <w:rFonts w:cs="David"/>
          <w:b/>
          <w:bCs/>
          <w:sz w:val="24"/>
          <w:u w:val="single"/>
          <w:rtl/>
        </w:rPr>
        <w:t xml:space="preserve"> קרואטיה ואסטוניה) </w:t>
      </w:r>
      <w:r>
        <w:rPr>
          <w:rFonts w:cs="David"/>
          <w:b/>
          <w:bCs/>
          <w:sz w:val="24"/>
          <w:u w:val="single"/>
        </w:rPr>
        <w:t>–</w:t>
      </w:r>
      <w:r>
        <w:rPr>
          <w:rFonts w:cs="David"/>
          <w:b/>
          <w:bCs/>
          <w:sz w:val="24"/>
          <w:u w:val="single"/>
          <w:rtl/>
        </w:rPr>
        <w:t xml:space="preserve"> חובת התייעצות</w:t>
      </w: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בוקר טוב, אני מתכבד לפתוח את ישיבת ה</w:t>
      </w:r>
      <w:r>
        <w:rPr>
          <w:rFonts w:cs="David"/>
          <w:sz w:val="24"/>
          <w:rtl/>
        </w:rPr>
        <w:t>וועדה, על סדר היום הנושא שלעיל.  מי מציג את הנושא?</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אני ממשרד הפנים. קיבלנו בקשה להמשך ההליך ממשרד החוץ, לאור הסכם שהם הגיעו אליו עם המדינות קרואטיה ואסטוניה, לפטור הדדי מאשרות תייר עד שלושה חודשים למחזיקים בדרכונים רגילים ודרכוני שירות, ול</w:t>
      </w:r>
      <w:r>
        <w:rPr>
          <w:rFonts w:cs="David"/>
          <w:sz w:val="24"/>
          <w:rtl/>
        </w:rPr>
        <w:t>פי החוק אנחנו צריכים לפרסם את זה בצו. למשרד הפנים אין התנגדות.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לשם מה צריך את זה?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זה מעודד את הידידות בין המדינות ומקל על התיירות.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והיום חייבים באשרות?</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כן, היום חייבים באשרות, חוץ מבמד</w:t>
      </w:r>
      <w:r>
        <w:rPr>
          <w:rFonts w:cs="David"/>
          <w:sz w:val="24"/>
          <w:rtl/>
        </w:rPr>
        <w:t xml:space="preserve">ינות שעימן יש לנו הסכם.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יחזקאל לביא:</w:t>
      </w:r>
    </w:p>
    <w:p w:rsidR="00000000" w:rsidRDefault="001F456F">
      <w:pPr>
        <w:jc w:val="both"/>
        <w:rPr>
          <w:rFonts w:cs="David"/>
          <w:sz w:val="24"/>
          <w:rtl/>
        </w:rPr>
      </w:pPr>
    </w:p>
    <w:p w:rsidR="00000000" w:rsidRDefault="001F456F">
      <w:pPr>
        <w:jc w:val="both"/>
        <w:rPr>
          <w:rFonts w:cs="David"/>
          <w:sz w:val="24"/>
          <w:rtl/>
        </w:rPr>
      </w:pPr>
      <w:r>
        <w:rPr>
          <w:rFonts w:cs="David"/>
          <w:sz w:val="24"/>
          <w:rtl/>
        </w:rPr>
        <w:tab/>
        <w:t>מדובר בפטור מאשרה, מה שחוסך כסף לאנשים. בזה מדובר.</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לגבי אסטוניה מדובר גם בפטור באשרות לבעלי דרכונים דיפלומטיים.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יפה שפירא:</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לישראלים?</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כמובן, לישראלים שנוסעים לשם.</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יחזקאל לביא:</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לקרוא</w:t>
      </w:r>
      <w:r>
        <w:rPr>
          <w:rFonts w:cs="David"/>
          <w:sz w:val="24"/>
          <w:rtl/>
        </w:rPr>
        <w:t>טיה היו פטורים גם קודם.</w:t>
      </w: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רק לבעלי דרכונים דיפלומטיים.</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יפה שפירא:</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לא, אני נסעתי לקרואטיה לא מזמן ולא ביקשו אשרה.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יכול להיות שהם החליטו להתחיל את זה כדי להתחיל את ההסכם, אבל עקרונית היה צריך.</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יחזקאל לביא:</w:t>
      </w:r>
    </w:p>
    <w:p w:rsidR="00000000" w:rsidRDefault="001F456F">
      <w:pPr>
        <w:jc w:val="both"/>
        <w:rPr>
          <w:rFonts w:cs="David"/>
          <w:sz w:val="24"/>
          <w:rtl/>
        </w:rPr>
      </w:pPr>
    </w:p>
    <w:p w:rsidR="00000000" w:rsidRDefault="001F456F">
      <w:pPr>
        <w:jc w:val="both"/>
        <w:rPr>
          <w:rFonts w:cs="David"/>
          <w:sz w:val="24"/>
          <w:rtl/>
        </w:rPr>
      </w:pPr>
      <w:r>
        <w:rPr>
          <w:rFonts w:cs="David"/>
          <w:sz w:val="24"/>
          <w:rtl/>
        </w:rPr>
        <w:tab/>
        <w:t>הם לא גובים כסף ע</w:t>
      </w:r>
      <w:r>
        <w:rPr>
          <w:rFonts w:cs="David"/>
          <w:sz w:val="24"/>
          <w:rtl/>
        </w:rPr>
        <w:t>בור האשרה. נותנים לך אשרה בשדה-התעופה.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אז היום גם את האשרה הזאת לא צריך.</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בסדר, תודה. עוד משהו, משרד החוץ?</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אין לי בעצם מה להוסיף על הדברים שכבר נאמרו, רק שלגבי אסטוניה מדובר גם בהתייחסות לדרכונים דיפלומטיים, וש</w:t>
      </w:r>
      <w:r>
        <w:rPr>
          <w:rFonts w:cs="David"/>
          <w:sz w:val="24"/>
          <w:rtl/>
        </w:rPr>
        <w:t>המטרה היא מטרה הדדית - -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מה זה אומר בהתייחסות לדרכונים דיפלומטיים?</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שבעלי דרכונים דיפלומטיים גם הם לא יצטרכו לבקש אשרות. עם קרואטיה כבר חתמנו בעבר על הסכם שפוטר מהצורך באשרות לבעלי דרכונים דיפלומטיים.</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למ</w:t>
      </w:r>
      <w:r>
        <w:rPr>
          <w:rFonts w:cs="David"/>
          <w:sz w:val="24"/>
          <w:rtl/>
        </w:rPr>
        <w:t>ה לא עושים את זה עם עוד מדינות?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עושים את זה.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יחזקאל לביא:</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עושים את זה עם המון מדינות. </w:t>
      </w:r>
    </w:p>
    <w:p w:rsidR="00000000" w:rsidRDefault="001F456F">
      <w:pPr>
        <w:jc w:val="both"/>
        <w:rPr>
          <w:rFonts w:cs="David"/>
          <w:sz w:val="24"/>
          <w:u w:val="single"/>
          <w:rtl/>
        </w:rPr>
      </w:pPr>
    </w:p>
    <w:p w:rsidR="00000000" w:rsidRDefault="001F456F">
      <w:pPr>
        <w:jc w:val="both"/>
        <w:rPr>
          <w:rFonts w:cs="David"/>
          <w:sz w:val="24"/>
          <w:u w:val="single"/>
          <w:rtl/>
        </w:rPr>
      </w:pP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ההסכם האחרון היה עם מיקרונזיה.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לאילו מדינות למשל אנחנו כן צריכים אשרות?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יפה שפירא:</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ארצות-הברית.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יחזקאל לביא</w:t>
      </w:r>
      <w:r>
        <w:rPr>
          <w:rFonts w:cs="David"/>
          <w:sz w:val="24"/>
          <w:u w:val="single"/>
          <w:rtl/>
        </w:rPr>
        <w:t>:</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אזרח ישראלי צריך אשרה לארצות-הברית.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אז למה לא עושים את זה עם ארצות-הברית?</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ארצות-הברית לא צריכה אשרה אלינו, אבל הם עדיין מתעקשים שאנחנו נבוא עם אשרה.</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למה?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יחזקאל לביא:</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כי אנחנו מדינה מהגרת.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w:t>
      </w:r>
      <w:r>
        <w:rPr>
          <w:rFonts w:cs="David"/>
          <w:sz w:val="24"/>
          <w:u w:val="single"/>
          <w:rtl/>
        </w:rPr>
        <w:t>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כן, בעיקרון אנחנו מהמדינות שיש חשש שאנשים מהן ישתקעו ולא ייצאו יותר.</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עפרה נטיף:</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אני רוצה להוסיף עוד, שהסיבה היא הדדית, כיוון שזה גם יקל על הרבה מאוד אנשי עסקים בארץ שמעוניינים לעשות עסקים באותן מדינות, כי האשרות עולות הרבה מאוד כסף וגוזלות </w:t>
      </w:r>
      <w:r>
        <w:rPr>
          <w:rFonts w:cs="David"/>
          <w:sz w:val="24"/>
          <w:rtl/>
        </w:rPr>
        <w:t xml:space="preserve">זמן.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הנושא ברור. תודה רבה.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מרים פרנקל-שור:</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אני רק רוצה להפנות את תשומת לב הוועדה לכך שלמכתב הלוואי לא צורף צו. אם הוועדה עומדת לאשר את הצו, היא יכולה לאשר אותו כרגע באופן עקרוני, אבל האישור הרשמי של הוועדה יינתן רק לאחר שיומצא הצו.</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למה לא הוגש הצו?</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מרים פרנקל-שור:</w:t>
      </w:r>
    </w:p>
    <w:p w:rsidR="00000000" w:rsidRDefault="001F456F">
      <w:pPr>
        <w:jc w:val="both"/>
        <w:rPr>
          <w:rFonts w:cs="David"/>
          <w:sz w:val="24"/>
          <w:rtl/>
        </w:rPr>
      </w:pPr>
    </w:p>
    <w:p w:rsidR="00000000" w:rsidRDefault="001F456F">
      <w:pPr>
        <w:jc w:val="both"/>
        <w:rPr>
          <w:rFonts w:cs="David"/>
          <w:sz w:val="24"/>
          <w:rtl/>
        </w:rPr>
      </w:pPr>
      <w:r>
        <w:rPr>
          <w:rFonts w:cs="David"/>
          <w:sz w:val="24"/>
          <w:rtl/>
        </w:rPr>
        <w:tab/>
        <w:t>מסיבות טכניות.</w:t>
      </w:r>
    </w:p>
    <w:p w:rsidR="00000000" w:rsidRDefault="001F456F">
      <w:pPr>
        <w:jc w:val="both"/>
        <w:rPr>
          <w:rFonts w:cs="David"/>
          <w:sz w:val="24"/>
          <w:u w:val="single"/>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 xml:space="preserve">אנחנו חשבנו שזה צריך להיות אחרי שיהיה אישור.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בסדר, אז אתם תעבירו את הצו.</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דינה דומיניץ:</w:t>
      </w:r>
    </w:p>
    <w:p w:rsidR="00000000" w:rsidRDefault="001F456F">
      <w:pPr>
        <w:jc w:val="both"/>
        <w:rPr>
          <w:rFonts w:cs="David"/>
          <w:sz w:val="24"/>
          <w:rtl/>
        </w:rPr>
      </w:pPr>
    </w:p>
    <w:p w:rsidR="00000000" w:rsidRDefault="001F456F">
      <w:pPr>
        <w:jc w:val="both"/>
        <w:rPr>
          <w:rFonts w:cs="David"/>
          <w:sz w:val="24"/>
          <w:rtl/>
        </w:rPr>
      </w:pPr>
      <w:r>
        <w:rPr>
          <w:rFonts w:cs="David"/>
          <w:sz w:val="24"/>
          <w:rtl/>
        </w:rPr>
        <w:tab/>
        <w:t>אנחנו נעביר את הצו, שצריך להיות מאוד קצר, רק אומרים "אחרי מ</w:t>
      </w:r>
      <w:r>
        <w:rPr>
          <w:rFonts w:cs="David"/>
          <w:sz w:val="24"/>
          <w:rtl/>
        </w:rPr>
        <w:t xml:space="preserve">דינה זו תבוא מדינה זו" ברשימה של צו הכניסה לישראל. זה יהיה כל הצו הזה.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הבנתי. או.קיי. אני מבין שאין צורך בהצבעה, מדובר בהתייעצות בלבד.</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נסים זאב:</w:t>
      </w:r>
    </w:p>
    <w:p w:rsidR="00000000" w:rsidRDefault="001F456F">
      <w:pPr>
        <w:jc w:val="both"/>
        <w:rPr>
          <w:rFonts w:cs="David"/>
          <w:sz w:val="24"/>
          <w:rtl/>
        </w:rPr>
      </w:pPr>
    </w:p>
    <w:p w:rsidR="00000000" w:rsidRDefault="001F456F">
      <w:pPr>
        <w:jc w:val="both"/>
        <w:rPr>
          <w:rFonts w:cs="David"/>
          <w:sz w:val="24"/>
          <w:rtl/>
        </w:rPr>
      </w:pPr>
      <w:r>
        <w:rPr>
          <w:rFonts w:cs="David"/>
          <w:sz w:val="24"/>
          <w:rtl/>
        </w:rPr>
        <w:tab/>
        <w:t>למה רק המדינות האלה?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גם אני שאלתי את השאלה הזאת, ולמשל הצעתי שעם ארצו</w:t>
      </w:r>
      <w:r>
        <w:rPr>
          <w:rFonts w:cs="David"/>
          <w:sz w:val="24"/>
          <w:rtl/>
        </w:rPr>
        <w:t xml:space="preserve">ת-הברית גם יעשו את אותו הדבר. הגברות דווקא הסכימו לזה, אבל יש בעיה אחת קטנה - ארצות-הברית לא מסכימה. </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נסים זאב:</w:t>
      </w:r>
    </w:p>
    <w:p w:rsidR="00000000" w:rsidRDefault="001F456F">
      <w:pPr>
        <w:jc w:val="both"/>
        <w:rPr>
          <w:rFonts w:cs="David"/>
          <w:sz w:val="24"/>
          <w:rtl/>
        </w:rPr>
      </w:pPr>
    </w:p>
    <w:p w:rsidR="00000000" w:rsidRDefault="001F456F">
      <w:pPr>
        <w:jc w:val="both"/>
        <w:rPr>
          <w:rFonts w:cs="David"/>
          <w:sz w:val="24"/>
          <w:rtl/>
        </w:rPr>
      </w:pPr>
      <w:r>
        <w:rPr>
          <w:rFonts w:cs="David"/>
          <w:sz w:val="24"/>
          <w:rtl/>
        </w:rPr>
        <w:tab/>
        <w:t>זאת הבעיה הגדולה.</w:t>
      </w:r>
    </w:p>
    <w:p w:rsidR="00000000" w:rsidRDefault="001F456F">
      <w:pPr>
        <w:jc w:val="both"/>
        <w:rPr>
          <w:rFonts w:cs="David"/>
          <w:sz w:val="24"/>
          <w:rtl/>
        </w:rPr>
      </w:pPr>
    </w:p>
    <w:p w:rsidR="00000000" w:rsidRDefault="001F456F">
      <w:pPr>
        <w:jc w:val="both"/>
        <w:rPr>
          <w:rFonts w:cs="David"/>
          <w:sz w:val="24"/>
          <w:u w:val="single"/>
          <w:rtl/>
        </w:rPr>
      </w:pPr>
      <w:r>
        <w:rPr>
          <w:rFonts w:cs="David"/>
          <w:sz w:val="24"/>
          <w:u w:val="single"/>
          <w:rtl/>
        </w:rPr>
        <w:t>היו"ר משה גפני:</w:t>
      </w:r>
    </w:p>
    <w:p w:rsidR="00000000" w:rsidRDefault="001F456F">
      <w:pPr>
        <w:jc w:val="both"/>
        <w:rPr>
          <w:rFonts w:cs="David"/>
          <w:sz w:val="24"/>
          <w:rtl/>
        </w:rPr>
      </w:pPr>
    </w:p>
    <w:p w:rsidR="00000000" w:rsidRDefault="001F456F">
      <w:pPr>
        <w:jc w:val="both"/>
        <w:rPr>
          <w:rFonts w:cs="David"/>
          <w:sz w:val="24"/>
          <w:rtl/>
        </w:rPr>
      </w:pPr>
      <w:r>
        <w:rPr>
          <w:rFonts w:cs="David"/>
          <w:sz w:val="24"/>
          <w:rtl/>
        </w:rPr>
        <w:tab/>
        <w:t>טוב, קיימתם את חובת ההתייעצות, תביאו את הצו ונאשר אותו. תודה רבה לכולכם, הישיבה נעולה.</w:t>
      </w:r>
    </w:p>
    <w:p w:rsidR="00000000" w:rsidRDefault="001F456F">
      <w:pPr>
        <w:jc w:val="both"/>
        <w:rPr>
          <w:rFonts w:cs="David"/>
          <w:sz w:val="24"/>
          <w:rtl/>
        </w:rPr>
      </w:pPr>
    </w:p>
    <w:p w:rsidR="00000000" w:rsidRDefault="001F456F">
      <w:pPr>
        <w:pStyle w:val="20"/>
        <w:rPr>
          <w:rFonts w:cs="David"/>
          <w:sz w:val="24"/>
          <w:szCs w:val="24"/>
          <w:rtl/>
        </w:rPr>
      </w:pPr>
      <w:r>
        <w:rPr>
          <w:rFonts w:cs="David"/>
          <w:sz w:val="24"/>
          <w:szCs w:val="24"/>
          <w:rtl/>
        </w:rPr>
        <w:t>הישיבה ננעלה בשע</w:t>
      </w:r>
      <w:r>
        <w:rPr>
          <w:rFonts w:cs="David"/>
          <w:sz w:val="24"/>
          <w:szCs w:val="24"/>
          <w:rtl/>
        </w:rPr>
        <w:t>ה 10:15</w:t>
      </w: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p>
    <w:p w:rsidR="00000000" w:rsidRDefault="001F456F">
      <w:pPr>
        <w:jc w:val="both"/>
        <w:rPr>
          <w:rFonts w:cs="David"/>
          <w:sz w:val="24"/>
          <w:rtl/>
        </w:rPr>
      </w:pPr>
      <w:r>
        <w:rPr>
          <w:rFonts w:cs="David"/>
          <w:sz w:val="24"/>
          <w:rtl/>
        </w:rPr>
        <w:tab/>
      </w:r>
    </w:p>
    <w:p w:rsidR="00000000" w:rsidRDefault="001F45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56F">
      <w:r>
        <w:separator/>
      </w:r>
    </w:p>
  </w:endnote>
  <w:endnote w:type="continuationSeparator" w:id="0">
    <w:p w:rsidR="00000000" w:rsidRDefault="001F4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56F">
    <w:pPr>
      <w:pStyle w:val="a7"/>
      <w:rPr>
        <w:rFonts w:cs="David"/>
        <w:sz w:val="24"/>
        <w:rtl/>
      </w:rPr>
    </w:pPr>
  </w:p>
  <w:p w:rsidR="00000000" w:rsidRDefault="001F45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56F">
    <w:pPr>
      <w:pStyle w:val="a7"/>
      <w:rPr>
        <w:rFonts w:cs="David"/>
        <w:sz w:val="24"/>
        <w:rtl/>
      </w:rPr>
    </w:pPr>
  </w:p>
  <w:p w:rsidR="00000000" w:rsidRDefault="001F45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56F">
      <w:r>
        <w:separator/>
      </w:r>
    </w:p>
  </w:footnote>
  <w:footnote w:type="continuationSeparator" w:id="0">
    <w:p w:rsidR="00000000" w:rsidRDefault="001F4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5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1F456F">
    <w:pPr>
      <w:pStyle w:val="a5"/>
      <w:ind w:right="360"/>
      <w:rPr>
        <w:rFonts w:cs="David"/>
        <w:sz w:val="24"/>
        <w:rtl/>
      </w:rPr>
    </w:pPr>
    <w:r>
      <w:rPr>
        <w:rFonts w:cs="David"/>
        <w:sz w:val="24"/>
        <w:rtl/>
      </w:rPr>
      <w:t>ועדת הפנים ואיכות הסביבה</w:t>
    </w:r>
  </w:p>
  <w:p w:rsidR="00000000" w:rsidRDefault="001F456F">
    <w:pPr>
      <w:pStyle w:val="a5"/>
      <w:ind w:right="360"/>
      <w:rPr>
        <w:rStyle w:val="a9"/>
        <w:rFonts w:cs="David"/>
        <w:sz w:val="24"/>
        <w:rtl/>
      </w:rPr>
    </w:pPr>
    <w:r>
      <w:rPr>
        <w:rFonts w:cs="David"/>
        <w:sz w:val="24"/>
        <w:rtl/>
      </w:rPr>
      <w:t>29.10.01</w:t>
    </w:r>
  </w:p>
  <w:p w:rsidR="00000000" w:rsidRDefault="001F45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56F">
    <w:pPr>
      <w:pStyle w:val="a5"/>
      <w:rPr>
        <w:rFonts w:cs="David"/>
        <w:sz w:val="24"/>
        <w:rtl/>
      </w:rPr>
    </w:pPr>
  </w:p>
  <w:p w:rsidR="00000000" w:rsidRDefault="001F45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456F"/>
    <w:rsid w:val="001F4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84D0C3-62CF-492F-ABD0-42DB64C1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703</Words>
  <Characters>3517</Characters>
  <Application>Microsoft Office Word</Application>
  <DocSecurity>0</DocSecurity>
  <Lines>29</Lines>
  <Paragraphs>8</Paragraphs>
  <ScaleCrop>false</ScaleCrop>
  <Company>knesset</Company>
  <LinksUpToDate>false</LinksUpToDate>
  <CharactersWithSpaces>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פנים 29.10.2001א</dc:subject>
  <dc:creator>רעיה דש</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