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257C">
      <w:pPr>
        <w:tabs>
          <w:tab w:val="left" w:pos="2843"/>
          <w:tab w:val="left" w:pos="5686"/>
          <w:tab w:val="left" w:pos="8529"/>
        </w:tabs>
        <w:rPr>
          <w:rFonts w:cs="David"/>
          <w:sz w:val="24"/>
          <w:szCs w:val="24"/>
          <w:rtl/>
        </w:rPr>
      </w:pPr>
      <w:bookmarkStart w:id="0" w:name="_GoBack"/>
      <w:bookmarkEnd w:id="0"/>
      <w:r>
        <w:rPr>
          <w:rFonts w:cs="David"/>
          <w:b/>
          <w:bCs/>
          <w:sz w:val="24"/>
          <w:szCs w:val="24"/>
          <w:rtl/>
        </w:rPr>
        <w:t>הכנסת החמש-עשרה</w:t>
      </w:r>
      <w:r>
        <w:rPr>
          <w:rFonts w:cs="David"/>
          <w:sz w:val="24"/>
          <w:szCs w:val="24"/>
          <w:rtl/>
        </w:rPr>
        <w:tab/>
      </w:r>
      <w:r>
        <w:rPr>
          <w:rFonts w:cs="David"/>
          <w:sz w:val="24"/>
          <w:szCs w:val="24"/>
          <w:rtl/>
        </w:rPr>
        <w:tab/>
        <w:t xml:space="preserve">                   נוסח לא מתוקן</w:t>
      </w:r>
    </w:p>
    <w:p w:rsidR="00000000" w:rsidRDefault="004D257C">
      <w:pPr>
        <w:tabs>
          <w:tab w:val="left" w:pos="2843"/>
          <w:tab w:val="left" w:pos="5686"/>
          <w:tab w:val="left" w:pos="8529"/>
        </w:tabs>
        <w:rPr>
          <w:rFonts w:cs="David"/>
          <w:sz w:val="24"/>
          <w:szCs w:val="24"/>
          <w:rtl/>
        </w:rPr>
      </w:pPr>
      <w:r>
        <w:rPr>
          <w:rFonts w:cs="David"/>
          <w:b/>
          <w:bCs/>
          <w:sz w:val="24"/>
          <w:szCs w:val="24"/>
          <w:rtl/>
        </w:rPr>
        <w:t>מושב שני</w:t>
      </w:r>
      <w:r>
        <w:rPr>
          <w:rFonts w:cs="David"/>
          <w:b/>
          <w:bCs/>
          <w:sz w:val="24"/>
          <w:szCs w:val="24"/>
          <w:rtl/>
        </w:rPr>
        <w:tab/>
      </w:r>
      <w:r>
        <w:rPr>
          <w:rFonts w:cs="David"/>
          <w:sz w:val="24"/>
          <w:szCs w:val="24"/>
          <w:rtl/>
        </w:rPr>
        <w:tab/>
      </w:r>
    </w:p>
    <w:p w:rsidR="00000000" w:rsidRDefault="004D257C">
      <w:pPr>
        <w:rPr>
          <w:rFonts w:cs="David"/>
          <w:sz w:val="24"/>
          <w:szCs w:val="24"/>
          <w:rtl/>
        </w:rPr>
      </w:pPr>
    </w:p>
    <w:p w:rsidR="00000000" w:rsidRDefault="004D257C">
      <w:pPr>
        <w:jc w:val="center"/>
        <w:rPr>
          <w:rFonts w:cs="David"/>
          <w:sz w:val="24"/>
          <w:szCs w:val="24"/>
          <w:rtl/>
        </w:rPr>
      </w:pPr>
    </w:p>
    <w:p w:rsidR="00000000" w:rsidRDefault="004D257C">
      <w:pPr>
        <w:jc w:val="center"/>
        <w:rPr>
          <w:rFonts w:cs="David"/>
          <w:sz w:val="24"/>
          <w:szCs w:val="24"/>
          <w:rtl/>
        </w:rPr>
      </w:pPr>
    </w:p>
    <w:p w:rsidR="00000000" w:rsidRDefault="004D257C">
      <w:pPr>
        <w:jc w:val="center"/>
        <w:rPr>
          <w:rFonts w:cs="David"/>
          <w:sz w:val="24"/>
          <w:szCs w:val="24"/>
          <w:rtl/>
        </w:rPr>
      </w:pPr>
      <w:r>
        <w:rPr>
          <w:rFonts w:cs="David"/>
          <w:b/>
          <w:bCs/>
          <w:sz w:val="24"/>
          <w:szCs w:val="24"/>
          <w:rtl/>
        </w:rPr>
        <w:t>פרוטוקול מס' 16</w:t>
      </w:r>
      <w:r>
        <w:rPr>
          <w:rFonts w:cs="David"/>
          <w:sz w:val="24"/>
          <w:szCs w:val="24"/>
          <w:rtl/>
        </w:rPr>
        <w:t xml:space="preserve"> </w:t>
      </w:r>
    </w:p>
    <w:p w:rsidR="00000000" w:rsidRDefault="004D257C">
      <w:pPr>
        <w:jc w:val="center"/>
        <w:rPr>
          <w:rFonts w:cs="David"/>
          <w:sz w:val="24"/>
          <w:szCs w:val="24"/>
          <w:rtl/>
        </w:rPr>
      </w:pPr>
      <w:r>
        <w:rPr>
          <w:rFonts w:cs="David"/>
          <w:b/>
          <w:bCs/>
          <w:sz w:val="24"/>
          <w:szCs w:val="24"/>
          <w:rtl/>
        </w:rPr>
        <w:t>מישיבת ועדת החוקה, חוק ומשפט</w:t>
      </w:r>
    </w:p>
    <w:p w:rsidR="00000000" w:rsidRDefault="004D257C">
      <w:pPr>
        <w:jc w:val="center"/>
        <w:rPr>
          <w:rFonts w:cs="David"/>
          <w:sz w:val="24"/>
          <w:szCs w:val="24"/>
          <w:rtl/>
        </w:rPr>
      </w:pPr>
      <w:r>
        <w:rPr>
          <w:rFonts w:cs="David"/>
          <w:b/>
          <w:bCs/>
          <w:sz w:val="24"/>
          <w:szCs w:val="24"/>
          <w:u w:val="single"/>
          <w:rtl/>
        </w:rPr>
        <w:t>יום רביעי, כ"ו בתשרי התש"ס, 6 באוקטובר 1999 (שעה 09:00)</w:t>
      </w:r>
    </w:p>
    <w:p w:rsidR="00000000" w:rsidRDefault="004D257C">
      <w:pPr>
        <w:jc w:val="center"/>
        <w:rPr>
          <w:rFonts w:cs="David"/>
          <w:sz w:val="24"/>
          <w:szCs w:val="24"/>
          <w:rtl/>
        </w:rPr>
      </w:pPr>
    </w:p>
    <w:p w:rsidR="00000000" w:rsidRDefault="004D257C">
      <w:pPr>
        <w:jc w:val="center"/>
        <w:rPr>
          <w:rFonts w:cs="David"/>
          <w:sz w:val="24"/>
          <w:szCs w:val="24"/>
          <w:rtl/>
        </w:rPr>
      </w:pPr>
    </w:p>
    <w:p w:rsidR="00000000" w:rsidRDefault="004D257C">
      <w:pPr>
        <w:jc w:val="center"/>
        <w:rPr>
          <w:rFonts w:cs="David"/>
          <w:sz w:val="24"/>
          <w:szCs w:val="24"/>
          <w:rtl/>
        </w:rPr>
      </w:pPr>
    </w:p>
    <w:p w:rsidR="00000000" w:rsidRDefault="004D257C">
      <w:pPr>
        <w:jc w:val="center"/>
        <w:rPr>
          <w:rFonts w:cs="David"/>
          <w:sz w:val="24"/>
          <w:szCs w:val="24"/>
          <w:rtl/>
        </w:rPr>
      </w:pPr>
    </w:p>
    <w:p w:rsidR="00000000" w:rsidRDefault="004D257C">
      <w:pPr>
        <w:tabs>
          <w:tab w:val="left" w:pos="765"/>
          <w:tab w:val="left" w:pos="4647"/>
          <w:tab w:val="left" w:pos="8529"/>
        </w:tabs>
        <w:ind w:left="-1"/>
        <w:rPr>
          <w:rFonts w:cs="David"/>
          <w:sz w:val="24"/>
          <w:szCs w:val="24"/>
          <w:rtl/>
        </w:rPr>
      </w:pPr>
      <w:r>
        <w:rPr>
          <w:rFonts w:cs="David"/>
          <w:b/>
          <w:bCs/>
          <w:sz w:val="24"/>
          <w:szCs w:val="24"/>
          <w:u w:val="single"/>
          <w:rtl/>
        </w:rPr>
        <w:t>נכחו:</w:t>
      </w:r>
      <w:r>
        <w:rPr>
          <w:rFonts w:cs="David"/>
          <w:sz w:val="24"/>
          <w:szCs w:val="24"/>
          <w:rtl/>
        </w:rPr>
        <w:tab/>
      </w:r>
      <w:r>
        <w:rPr>
          <w:rFonts w:cs="David"/>
          <w:b/>
          <w:bCs/>
          <w:sz w:val="24"/>
          <w:szCs w:val="24"/>
          <w:u w:val="single"/>
          <w:rtl/>
        </w:rPr>
        <w:t>חברי הוועדה:</w:t>
      </w:r>
      <w:r>
        <w:rPr>
          <w:rFonts w:cs="David"/>
          <w:sz w:val="24"/>
          <w:szCs w:val="24"/>
          <w:rtl/>
        </w:rPr>
        <w:tab/>
      </w:r>
    </w:p>
    <w:p w:rsidR="00000000" w:rsidRDefault="004D257C">
      <w:pPr>
        <w:tabs>
          <w:tab w:val="left" w:pos="765"/>
          <w:tab w:val="left" w:pos="4647"/>
          <w:tab w:val="left" w:pos="8529"/>
        </w:tabs>
        <w:ind w:left="-1"/>
        <w:rPr>
          <w:rFonts w:cs="David"/>
          <w:sz w:val="24"/>
          <w:szCs w:val="24"/>
          <w:rtl/>
        </w:rPr>
      </w:pPr>
      <w:r>
        <w:rPr>
          <w:rFonts w:cs="David"/>
          <w:sz w:val="24"/>
          <w:szCs w:val="24"/>
          <w:rtl/>
        </w:rPr>
        <w:tab/>
        <w:t>אמנון רובינשטיין - היו"ר</w:t>
      </w:r>
      <w:r>
        <w:rPr>
          <w:rFonts w:cs="David"/>
          <w:sz w:val="24"/>
          <w:szCs w:val="24"/>
          <w:rtl/>
        </w:rPr>
        <w:tab/>
      </w:r>
    </w:p>
    <w:p w:rsidR="00000000" w:rsidRDefault="004D257C">
      <w:pPr>
        <w:tabs>
          <w:tab w:val="left" w:pos="765"/>
          <w:tab w:val="left" w:pos="4647"/>
          <w:tab w:val="left" w:pos="8529"/>
        </w:tabs>
        <w:ind w:left="-1"/>
        <w:rPr>
          <w:rFonts w:cs="David"/>
          <w:sz w:val="24"/>
          <w:szCs w:val="24"/>
          <w:rtl/>
        </w:rPr>
      </w:pPr>
      <w:r>
        <w:rPr>
          <w:rFonts w:cs="David"/>
          <w:sz w:val="24"/>
          <w:szCs w:val="24"/>
          <w:rtl/>
        </w:rPr>
        <w:tab/>
        <w:t>זהבה גלאון</w:t>
      </w:r>
      <w:r>
        <w:rPr>
          <w:rFonts w:cs="David"/>
          <w:sz w:val="24"/>
          <w:szCs w:val="24"/>
          <w:rtl/>
        </w:rPr>
        <w:tab/>
      </w:r>
    </w:p>
    <w:p w:rsidR="00000000" w:rsidRDefault="004D257C">
      <w:pPr>
        <w:tabs>
          <w:tab w:val="left" w:pos="765"/>
          <w:tab w:val="left" w:pos="4647"/>
          <w:tab w:val="left" w:pos="8529"/>
        </w:tabs>
        <w:ind w:left="-1"/>
        <w:rPr>
          <w:rFonts w:cs="David"/>
          <w:sz w:val="24"/>
          <w:szCs w:val="24"/>
          <w:rtl/>
        </w:rPr>
      </w:pPr>
      <w:r>
        <w:rPr>
          <w:rFonts w:cs="David"/>
          <w:sz w:val="24"/>
          <w:szCs w:val="24"/>
          <w:rtl/>
        </w:rPr>
        <w:tab/>
        <w:t>צחי הנגבי</w:t>
      </w:r>
      <w:r>
        <w:rPr>
          <w:rFonts w:cs="David"/>
          <w:sz w:val="24"/>
          <w:szCs w:val="24"/>
          <w:rtl/>
        </w:rPr>
        <w:tab/>
      </w:r>
    </w:p>
    <w:p w:rsidR="00000000" w:rsidRDefault="004D257C">
      <w:pPr>
        <w:tabs>
          <w:tab w:val="left" w:pos="765"/>
          <w:tab w:val="left" w:pos="4647"/>
          <w:tab w:val="left" w:pos="8529"/>
        </w:tabs>
        <w:ind w:left="-1"/>
        <w:rPr>
          <w:rFonts w:cs="David"/>
          <w:sz w:val="24"/>
          <w:szCs w:val="24"/>
          <w:rtl/>
        </w:rPr>
      </w:pPr>
      <w:r>
        <w:rPr>
          <w:rFonts w:cs="David"/>
          <w:sz w:val="24"/>
          <w:szCs w:val="24"/>
          <w:rtl/>
        </w:rPr>
        <w:tab/>
        <w:t>ציפי לבני</w:t>
      </w:r>
      <w:r>
        <w:rPr>
          <w:rFonts w:cs="David"/>
          <w:sz w:val="24"/>
          <w:szCs w:val="24"/>
          <w:rtl/>
        </w:rPr>
        <w:tab/>
      </w:r>
    </w:p>
    <w:p w:rsidR="00000000" w:rsidRDefault="004D257C">
      <w:pPr>
        <w:jc w:val="both"/>
        <w:rPr>
          <w:rFonts w:cs="David"/>
          <w:sz w:val="24"/>
          <w:szCs w:val="24"/>
          <w:rtl/>
        </w:rPr>
      </w:pPr>
    </w:p>
    <w:p w:rsidR="00000000" w:rsidRDefault="004D257C">
      <w:pPr>
        <w:jc w:val="both"/>
        <w:rPr>
          <w:rFonts w:cs="David"/>
          <w:sz w:val="24"/>
          <w:szCs w:val="24"/>
          <w:rtl/>
        </w:rPr>
      </w:pPr>
    </w:p>
    <w:p w:rsidR="00000000" w:rsidRDefault="004D257C">
      <w:pPr>
        <w:jc w:val="both"/>
        <w:rPr>
          <w:rFonts w:cs="David"/>
          <w:sz w:val="24"/>
          <w:szCs w:val="24"/>
          <w:rtl/>
        </w:rPr>
      </w:pPr>
    </w:p>
    <w:p w:rsidR="00000000" w:rsidRDefault="004D257C">
      <w:pPr>
        <w:jc w:val="both"/>
        <w:rPr>
          <w:rFonts w:cs="David"/>
          <w:sz w:val="24"/>
          <w:szCs w:val="24"/>
          <w:rtl/>
        </w:rPr>
      </w:pPr>
    </w:p>
    <w:p w:rsidR="00000000" w:rsidRDefault="004D257C">
      <w:pPr>
        <w:jc w:val="both"/>
        <w:rPr>
          <w:rFonts w:cs="David"/>
          <w:sz w:val="24"/>
          <w:szCs w:val="24"/>
          <w:rtl/>
        </w:rPr>
      </w:pPr>
    </w:p>
    <w:p w:rsidR="00000000" w:rsidRDefault="004D257C">
      <w:pPr>
        <w:tabs>
          <w:tab w:val="left" w:pos="765"/>
          <w:tab w:val="left" w:pos="3884"/>
          <w:tab w:val="left" w:pos="8529"/>
        </w:tabs>
        <w:ind w:left="-1"/>
        <w:rPr>
          <w:rFonts w:cs="David"/>
          <w:sz w:val="24"/>
          <w:szCs w:val="24"/>
          <w:rtl/>
        </w:rPr>
      </w:pPr>
      <w:r>
        <w:rPr>
          <w:rFonts w:cs="David"/>
          <w:sz w:val="24"/>
          <w:szCs w:val="24"/>
          <w:rtl/>
        </w:rPr>
        <w:tab/>
      </w:r>
      <w:r>
        <w:rPr>
          <w:rFonts w:cs="David"/>
          <w:b/>
          <w:bCs/>
          <w:sz w:val="24"/>
          <w:szCs w:val="24"/>
          <w:u w:val="single"/>
          <w:rtl/>
        </w:rPr>
        <w:t>מוזמנים:</w:t>
      </w:r>
      <w:r>
        <w:rPr>
          <w:rFonts w:cs="David"/>
          <w:sz w:val="24"/>
          <w:szCs w:val="24"/>
          <w:rtl/>
        </w:rPr>
        <w:tab/>
      </w:r>
    </w:p>
    <w:p w:rsidR="00000000" w:rsidRDefault="004D257C">
      <w:pPr>
        <w:tabs>
          <w:tab w:val="left" w:pos="765"/>
          <w:tab w:val="left" w:pos="3884"/>
          <w:tab w:val="left" w:pos="8529"/>
        </w:tabs>
        <w:ind w:left="-1"/>
        <w:rPr>
          <w:rFonts w:cs="David"/>
          <w:sz w:val="24"/>
          <w:szCs w:val="24"/>
          <w:rtl/>
        </w:rPr>
      </w:pPr>
      <w:r>
        <w:rPr>
          <w:rFonts w:cs="David"/>
          <w:sz w:val="24"/>
          <w:szCs w:val="24"/>
          <w:rtl/>
        </w:rPr>
        <w:tab/>
        <w:t>עו"ד לבנת משיח</w:t>
      </w:r>
      <w:r>
        <w:rPr>
          <w:rFonts w:cs="David"/>
          <w:sz w:val="24"/>
          <w:szCs w:val="24"/>
          <w:rtl/>
        </w:rPr>
        <w:tab/>
        <w:t>- משרד המשפטים, ממונ</w:t>
      </w:r>
      <w:r>
        <w:rPr>
          <w:rFonts w:cs="David"/>
          <w:sz w:val="24"/>
          <w:szCs w:val="24"/>
          <w:rtl/>
        </w:rPr>
        <w:t>ה בכירה על חקיקה וייעוץ</w:t>
      </w:r>
    </w:p>
    <w:p w:rsidR="00000000" w:rsidRDefault="004D257C">
      <w:pPr>
        <w:tabs>
          <w:tab w:val="left" w:pos="765"/>
          <w:tab w:val="left" w:pos="3884"/>
          <w:tab w:val="left" w:pos="8529"/>
        </w:tabs>
        <w:ind w:left="-1"/>
        <w:rPr>
          <w:rFonts w:cs="David"/>
          <w:sz w:val="24"/>
          <w:szCs w:val="24"/>
          <w:rtl/>
        </w:rPr>
      </w:pPr>
      <w:r>
        <w:rPr>
          <w:rFonts w:cs="David"/>
          <w:sz w:val="24"/>
          <w:szCs w:val="24"/>
          <w:rtl/>
        </w:rPr>
        <w:tab/>
        <w:t>נצ"מ רחל גוטליב</w:t>
      </w:r>
      <w:r>
        <w:rPr>
          <w:rFonts w:cs="David"/>
          <w:sz w:val="24"/>
          <w:szCs w:val="24"/>
          <w:rtl/>
        </w:rPr>
        <w:tab/>
        <w:t>- המשרד לביטחון פנים, סגנית היועץ המשפטי</w:t>
      </w:r>
    </w:p>
    <w:p w:rsidR="00000000" w:rsidRDefault="004D257C">
      <w:pPr>
        <w:tabs>
          <w:tab w:val="left" w:pos="765"/>
          <w:tab w:val="left" w:pos="3884"/>
          <w:tab w:val="left" w:pos="8529"/>
        </w:tabs>
        <w:ind w:left="-1"/>
        <w:rPr>
          <w:rFonts w:cs="David"/>
          <w:sz w:val="24"/>
          <w:szCs w:val="24"/>
          <w:rtl/>
        </w:rPr>
      </w:pPr>
      <w:r>
        <w:rPr>
          <w:rFonts w:cs="David"/>
          <w:sz w:val="24"/>
          <w:szCs w:val="24"/>
          <w:rtl/>
        </w:rPr>
        <w:tab/>
        <w:t>רפ"ק יהודית עלאיוף</w:t>
      </w:r>
      <w:r>
        <w:rPr>
          <w:rFonts w:cs="David"/>
          <w:sz w:val="24"/>
          <w:szCs w:val="24"/>
          <w:rtl/>
        </w:rPr>
        <w:tab/>
        <w:t>- המשרד לביטחון פנים, מדור חקירות</w:t>
      </w:r>
    </w:p>
    <w:p w:rsidR="00000000" w:rsidRDefault="004D257C">
      <w:pPr>
        <w:tabs>
          <w:tab w:val="left" w:pos="765"/>
          <w:tab w:val="left" w:pos="3884"/>
          <w:tab w:val="left" w:pos="8529"/>
        </w:tabs>
        <w:ind w:left="-1"/>
        <w:rPr>
          <w:rFonts w:cs="David"/>
          <w:sz w:val="24"/>
          <w:szCs w:val="24"/>
          <w:rtl/>
        </w:rPr>
      </w:pPr>
      <w:r>
        <w:rPr>
          <w:rFonts w:cs="David"/>
          <w:sz w:val="24"/>
          <w:szCs w:val="24"/>
          <w:rtl/>
        </w:rPr>
        <w:tab/>
        <w:t>פקד אילת אליישר</w:t>
      </w:r>
      <w:r>
        <w:rPr>
          <w:rFonts w:cs="David"/>
          <w:sz w:val="24"/>
          <w:szCs w:val="24"/>
          <w:rtl/>
        </w:rPr>
        <w:tab/>
        <w:t>- המשרד לביטחון פנים, עוזרת ליועץ המשפטי</w:t>
      </w:r>
    </w:p>
    <w:p w:rsidR="00000000" w:rsidRDefault="004D257C">
      <w:pPr>
        <w:tabs>
          <w:tab w:val="left" w:pos="765"/>
          <w:tab w:val="left" w:pos="3884"/>
          <w:tab w:val="left" w:pos="8529"/>
        </w:tabs>
        <w:ind w:left="-1"/>
        <w:rPr>
          <w:rFonts w:cs="David"/>
          <w:sz w:val="24"/>
          <w:szCs w:val="24"/>
          <w:rtl/>
        </w:rPr>
      </w:pPr>
      <w:r>
        <w:rPr>
          <w:rFonts w:cs="David"/>
          <w:sz w:val="24"/>
          <w:szCs w:val="24"/>
          <w:rtl/>
        </w:rPr>
        <w:tab/>
        <w:t>גילה שבירו</w:t>
      </w:r>
      <w:r>
        <w:rPr>
          <w:rFonts w:cs="David"/>
          <w:sz w:val="24"/>
          <w:szCs w:val="24"/>
          <w:rtl/>
        </w:rPr>
        <w:tab/>
        <w:t>- המשרד לביטחון פנים, עוזרת ליועץ המשפטי</w:t>
      </w:r>
    </w:p>
    <w:p w:rsidR="00000000" w:rsidRDefault="004D257C">
      <w:pPr>
        <w:tabs>
          <w:tab w:val="left" w:pos="765"/>
          <w:tab w:val="left" w:pos="3884"/>
          <w:tab w:val="left" w:pos="8529"/>
        </w:tabs>
        <w:ind w:left="-1"/>
        <w:rPr>
          <w:rFonts w:cs="David"/>
          <w:sz w:val="24"/>
          <w:szCs w:val="24"/>
          <w:rtl/>
        </w:rPr>
      </w:pPr>
      <w:r>
        <w:rPr>
          <w:rFonts w:cs="David"/>
          <w:sz w:val="24"/>
          <w:szCs w:val="24"/>
          <w:rtl/>
        </w:rPr>
        <w:tab/>
        <w:t>עו"ד עוד</w:t>
      </w:r>
      <w:r>
        <w:rPr>
          <w:rFonts w:cs="David"/>
          <w:sz w:val="24"/>
          <w:szCs w:val="24"/>
          <w:rtl/>
        </w:rPr>
        <w:t>ד אילן</w:t>
      </w:r>
      <w:r>
        <w:rPr>
          <w:rFonts w:cs="David"/>
          <w:sz w:val="24"/>
          <w:szCs w:val="24"/>
          <w:rtl/>
        </w:rPr>
        <w:tab/>
        <w:t>- משרד ראש הממשלה, יועץ משפטי</w:t>
      </w:r>
    </w:p>
    <w:p w:rsidR="00000000" w:rsidRDefault="004D257C">
      <w:pPr>
        <w:tabs>
          <w:tab w:val="left" w:pos="765"/>
          <w:tab w:val="left" w:pos="3884"/>
          <w:tab w:val="left" w:pos="8529"/>
        </w:tabs>
        <w:ind w:left="-1"/>
        <w:rPr>
          <w:rFonts w:cs="David"/>
          <w:sz w:val="24"/>
          <w:szCs w:val="24"/>
          <w:rtl/>
        </w:rPr>
      </w:pPr>
      <w:r>
        <w:rPr>
          <w:rFonts w:cs="David"/>
          <w:sz w:val="24"/>
          <w:szCs w:val="24"/>
          <w:rtl/>
        </w:rPr>
        <w:tab/>
        <w:t>עו"ד רינת קיטאי</w:t>
      </w:r>
      <w:r>
        <w:rPr>
          <w:rFonts w:cs="David"/>
          <w:sz w:val="24"/>
          <w:szCs w:val="24"/>
          <w:rtl/>
        </w:rPr>
        <w:tab/>
        <w:t>- האגודה לזכויות האזרח</w:t>
      </w:r>
    </w:p>
    <w:p w:rsidR="00000000" w:rsidRDefault="004D257C">
      <w:pPr>
        <w:tabs>
          <w:tab w:val="left" w:pos="765"/>
          <w:tab w:val="left" w:pos="3884"/>
          <w:tab w:val="left" w:pos="8529"/>
        </w:tabs>
        <w:ind w:left="-1"/>
        <w:rPr>
          <w:rFonts w:cs="David"/>
          <w:sz w:val="24"/>
          <w:szCs w:val="24"/>
          <w:rtl/>
        </w:rPr>
      </w:pPr>
      <w:r>
        <w:rPr>
          <w:rFonts w:cs="David"/>
          <w:sz w:val="24"/>
          <w:szCs w:val="24"/>
          <w:rtl/>
        </w:rPr>
        <w:tab/>
        <w:t>שמואל סף</w:t>
      </w:r>
      <w:r>
        <w:rPr>
          <w:rFonts w:cs="David"/>
          <w:sz w:val="24"/>
          <w:szCs w:val="24"/>
          <w:rtl/>
        </w:rPr>
        <w:tab/>
        <w:t>- לשכת עורכי הדין</w:t>
      </w:r>
    </w:p>
    <w:p w:rsidR="00000000" w:rsidRDefault="004D257C">
      <w:pPr>
        <w:tabs>
          <w:tab w:val="left" w:pos="765"/>
          <w:tab w:val="left" w:pos="3884"/>
          <w:tab w:val="left" w:pos="8529"/>
        </w:tabs>
        <w:ind w:left="-1"/>
        <w:rPr>
          <w:rFonts w:cs="David"/>
          <w:sz w:val="24"/>
          <w:szCs w:val="24"/>
          <w:rtl/>
        </w:rPr>
      </w:pPr>
      <w:r>
        <w:rPr>
          <w:rFonts w:cs="David"/>
          <w:sz w:val="24"/>
          <w:szCs w:val="24"/>
          <w:rtl/>
        </w:rPr>
        <w:tab/>
        <w:t>עו"ד אלון בכר</w:t>
      </w:r>
      <w:r>
        <w:rPr>
          <w:rFonts w:cs="David"/>
          <w:sz w:val="24"/>
          <w:szCs w:val="24"/>
          <w:rtl/>
        </w:rPr>
        <w:tab/>
        <w:t>- סנגוריה ציבורית, סגן הסנגור המחוזי בירושלים</w:t>
      </w:r>
    </w:p>
    <w:p w:rsidR="00000000" w:rsidRDefault="004D257C">
      <w:pPr>
        <w:jc w:val="both"/>
        <w:rPr>
          <w:rFonts w:cs="David"/>
          <w:sz w:val="24"/>
          <w:szCs w:val="24"/>
          <w:rtl/>
        </w:rPr>
      </w:pPr>
    </w:p>
    <w:p w:rsidR="00000000" w:rsidRDefault="004D257C">
      <w:pPr>
        <w:jc w:val="both"/>
        <w:rPr>
          <w:rFonts w:cs="David"/>
          <w:sz w:val="24"/>
          <w:szCs w:val="24"/>
          <w:rtl/>
        </w:rPr>
      </w:pPr>
    </w:p>
    <w:p w:rsidR="00000000" w:rsidRDefault="004D257C">
      <w:pPr>
        <w:jc w:val="both"/>
        <w:rPr>
          <w:rFonts w:cs="David"/>
          <w:sz w:val="24"/>
          <w:szCs w:val="24"/>
          <w:rtl/>
        </w:rPr>
      </w:pPr>
    </w:p>
    <w:p w:rsidR="00000000" w:rsidRDefault="004D257C">
      <w:pPr>
        <w:jc w:val="both"/>
        <w:rPr>
          <w:rFonts w:cs="David"/>
          <w:sz w:val="24"/>
          <w:szCs w:val="24"/>
          <w:rtl/>
        </w:rPr>
      </w:pPr>
    </w:p>
    <w:p w:rsidR="00000000" w:rsidRDefault="004D257C">
      <w:pPr>
        <w:jc w:val="both"/>
        <w:rPr>
          <w:rFonts w:cs="David"/>
          <w:sz w:val="24"/>
          <w:szCs w:val="24"/>
          <w:rtl/>
        </w:rPr>
      </w:pPr>
    </w:p>
    <w:p w:rsidR="00000000" w:rsidRDefault="004D257C">
      <w:pPr>
        <w:jc w:val="both"/>
        <w:rPr>
          <w:rFonts w:cs="David"/>
          <w:sz w:val="24"/>
          <w:szCs w:val="24"/>
          <w:rtl/>
        </w:rPr>
      </w:pPr>
    </w:p>
    <w:p w:rsidR="00000000" w:rsidRDefault="004D257C">
      <w:pPr>
        <w:jc w:val="both"/>
        <w:rPr>
          <w:rFonts w:cs="David"/>
          <w:sz w:val="24"/>
          <w:szCs w:val="24"/>
          <w:rtl/>
        </w:rPr>
      </w:pPr>
    </w:p>
    <w:p w:rsidR="00000000" w:rsidRDefault="004D257C">
      <w:pPr>
        <w:tabs>
          <w:tab w:val="left" w:pos="765"/>
          <w:tab w:val="left" w:pos="3884"/>
          <w:tab w:val="left" w:pos="8529"/>
        </w:tabs>
        <w:ind w:left="-1"/>
        <w:rPr>
          <w:rFonts w:cs="David"/>
          <w:sz w:val="24"/>
          <w:szCs w:val="24"/>
          <w:rtl/>
        </w:rPr>
      </w:pPr>
      <w:r>
        <w:rPr>
          <w:rFonts w:cs="David"/>
          <w:sz w:val="24"/>
          <w:szCs w:val="24"/>
          <w:rtl/>
        </w:rPr>
        <w:tab/>
      </w:r>
      <w:r>
        <w:rPr>
          <w:rFonts w:cs="David"/>
          <w:b/>
          <w:bCs/>
          <w:sz w:val="24"/>
          <w:szCs w:val="24"/>
          <w:u w:val="single"/>
          <w:rtl/>
        </w:rPr>
        <w:t>יועץ משפטי:</w:t>
      </w:r>
      <w:r>
        <w:rPr>
          <w:rFonts w:cs="David"/>
          <w:sz w:val="24"/>
          <w:szCs w:val="24"/>
          <w:rtl/>
        </w:rPr>
        <w:tab/>
        <w:t>- שלמה שהם</w:t>
      </w:r>
    </w:p>
    <w:p w:rsidR="00000000" w:rsidRDefault="004D257C">
      <w:pPr>
        <w:jc w:val="both"/>
        <w:rPr>
          <w:rFonts w:cs="David"/>
          <w:sz w:val="24"/>
          <w:szCs w:val="24"/>
          <w:rtl/>
        </w:rPr>
      </w:pPr>
    </w:p>
    <w:p w:rsidR="00000000" w:rsidRDefault="004D257C">
      <w:pPr>
        <w:jc w:val="both"/>
        <w:rPr>
          <w:rFonts w:cs="David"/>
          <w:sz w:val="24"/>
          <w:szCs w:val="24"/>
          <w:rtl/>
        </w:rPr>
      </w:pPr>
    </w:p>
    <w:p w:rsidR="00000000" w:rsidRDefault="004D257C">
      <w:pPr>
        <w:tabs>
          <w:tab w:val="left" w:pos="766"/>
          <w:tab w:val="left" w:pos="3885"/>
          <w:tab w:val="left" w:pos="8529"/>
        </w:tabs>
        <w:rPr>
          <w:rFonts w:cs="David"/>
          <w:sz w:val="24"/>
          <w:szCs w:val="24"/>
          <w:rtl/>
        </w:rPr>
      </w:pPr>
      <w:r>
        <w:rPr>
          <w:rFonts w:cs="David"/>
          <w:sz w:val="24"/>
          <w:szCs w:val="24"/>
          <w:rtl/>
        </w:rPr>
        <w:tab/>
      </w:r>
      <w:r>
        <w:rPr>
          <w:rFonts w:cs="David"/>
          <w:b/>
          <w:bCs/>
          <w:sz w:val="24"/>
          <w:szCs w:val="24"/>
          <w:u w:val="single"/>
          <w:rtl/>
        </w:rPr>
        <w:t>מנהלת הוועדה:</w:t>
      </w:r>
      <w:r>
        <w:rPr>
          <w:rFonts w:cs="David"/>
          <w:sz w:val="24"/>
          <w:szCs w:val="24"/>
          <w:rtl/>
        </w:rPr>
        <w:tab/>
        <w:t>- דורית ואג</w:t>
      </w:r>
    </w:p>
    <w:p w:rsidR="00000000" w:rsidRDefault="004D257C">
      <w:pPr>
        <w:rPr>
          <w:rFonts w:cs="David"/>
          <w:sz w:val="24"/>
          <w:szCs w:val="24"/>
          <w:rtl/>
        </w:rPr>
      </w:pPr>
    </w:p>
    <w:p w:rsidR="00000000" w:rsidRDefault="004D257C">
      <w:pPr>
        <w:tabs>
          <w:tab w:val="left" w:pos="2843"/>
          <w:tab w:val="left" w:pos="5686"/>
          <w:tab w:val="left" w:pos="8529"/>
        </w:tabs>
        <w:rPr>
          <w:rFonts w:cs="David"/>
          <w:sz w:val="24"/>
          <w:szCs w:val="24"/>
          <w:rtl/>
        </w:rPr>
      </w:pPr>
      <w:r>
        <w:rPr>
          <w:rFonts w:cs="David"/>
          <w:sz w:val="24"/>
          <w:szCs w:val="24"/>
          <w:rtl/>
        </w:rPr>
        <w:tab/>
      </w:r>
      <w:r>
        <w:rPr>
          <w:rFonts w:cs="David"/>
          <w:sz w:val="24"/>
          <w:szCs w:val="24"/>
          <w:rtl/>
        </w:rPr>
        <w:tab/>
      </w:r>
    </w:p>
    <w:p w:rsidR="00000000" w:rsidRDefault="004D257C">
      <w:pPr>
        <w:tabs>
          <w:tab w:val="left" w:pos="766"/>
          <w:tab w:val="left" w:pos="3885"/>
          <w:tab w:val="left" w:pos="8529"/>
        </w:tabs>
        <w:rPr>
          <w:rFonts w:cs="David"/>
          <w:sz w:val="24"/>
          <w:szCs w:val="24"/>
          <w:rtl/>
        </w:rPr>
      </w:pPr>
      <w:r>
        <w:rPr>
          <w:rFonts w:cs="David"/>
          <w:sz w:val="24"/>
          <w:szCs w:val="24"/>
          <w:rtl/>
        </w:rPr>
        <w:tab/>
      </w:r>
      <w:r>
        <w:rPr>
          <w:rFonts w:cs="David"/>
          <w:b/>
          <w:bCs/>
          <w:sz w:val="24"/>
          <w:szCs w:val="24"/>
          <w:u w:val="single"/>
          <w:rtl/>
        </w:rPr>
        <w:t>קצרנית:</w:t>
      </w:r>
      <w:r>
        <w:rPr>
          <w:rFonts w:cs="David"/>
          <w:sz w:val="24"/>
          <w:szCs w:val="24"/>
          <w:rtl/>
        </w:rPr>
        <w:tab/>
        <w:t>- אסתר מימון</w:t>
      </w:r>
    </w:p>
    <w:p w:rsidR="00000000" w:rsidRDefault="004D257C">
      <w:pPr>
        <w:rPr>
          <w:rFonts w:cs="David"/>
          <w:sz w:val="24"/>
          <w:szCs w:val="24"/>
          <w:rtl/>
        </w:rPr>
      </w:pPr>
    </w:p>
    <w:p w:rsidR="00000000" w:rsidRDefault="004D257C">
      <w:pPr>
        <w:rPr>
          <w:rFonts w:cs="David"/>
          <w:sz w:val="24"/>
          <w:szCs w:val="24"/>
          <w:rtl/>
        </w:rPr>
      </w:pPr>
    </w:p>
    <w:p w:rsidR="00000000" w:rsidRDefault="004D257C">
      <w:pPr>
        <w:rPr>
          <w:rFonts w:cs="David"/>
          <w:sz w:val="24"/>
          <w:szCs w:val="24"/>
          <w:rtl/>
        </w:rPr>
      </w:pPr>
    </w:p>
    <w:p w:rsidR="00000000" w:rsidRDefault="004D257C">
      <w:pPr>
        <w:rPr>
          <w:rFonts w:cs="David"/>
          <w:sz w:val="24"/>
          <w:szCs w:val="24"/>
          <w:rtl/>
        </w:rPr>
      </w:pPr>
    </w:p>
    <w:p w:rsidR="00000000" w:rsidRDefault="004D257C">
      <w:pPr>
        <w:ind w:left="1367" w:hanging="1367"/>
        <w:rPr>
          <w:rFonts w:cs="David"/>
          <w:sz w:val="24"/>
          <w:szCs w:val="24"/>
          <w:rtl/>
        </w:rPr>
      </w:pPr>
      <w:r>
        <w:rPr>
          <w:rFonts w:cs="David"/>
          <w:b/>
          <w:bCs/>
          <w:sz w:val="24"/>
          <w:szCs w:val="24"/>
          <w:u w:val="single"/>
          <w:rtl/>
        </w:rPr>
        <w:t>סדר היום:</w:t>
      </w:r>
      <w:r>
        <w:rPr>
          <w:rFonts w:cs="David"/>
          <w:sz w:val="24"/>
          <w:szCs w:val="24"/>
          <w:rtl/>
        </w:rPr>
        <w:t xml:space="preserve">  </w:t>
      </w:r>
      <w:r>
        <w:rPr>
          <w:rFonts w:cs="David"/>
          <w:sz w:val="24"/>
          <w:szCs w:val="24"/>
          <w:rtl/>
        </w:rPr>
        <w:tab/>
        <w:t>תקנות סדר הדין הפלילי (סמכויות אכיפה - מעצרים) (תנאי החזקה במעצר) (תיקון), התשנ"ט-1999</w:t>
      </w:r>
      <w:r>
        <w:rPr>
          <w:rFonts w:cs="David"/>
          <w:sz w:val="24"/>
          <w:szCs w:val="24"/>
          <w:rtl/>
        </w:rPr>
        <w:tab/>
      </w:r>
    </w:p>
    <w:p w:rsidR="00000000" w:rsidRDefault="004D257C">
      <w:pPr>
        <w:ind w:left="1367" w:hanging="1367"/>
        <w:rPr>
          <w:rFonts w:cs="David"/>
          <w:sz w:val="24"/>
          <w:szCs w:val="24"/>
          <w:rtl/>
        </w:rPr>
      </w:pPr>
    </w:p>
    <w:p w:rsidR="00000000" w:rsidRDefault="004D257C">
      <w:pPr>
        <w:jc w:val="center"/>
        <w:rPr>
          <w:rFonts w:cs="David"/>
          <w:sz w:val="24"/>
          <w:szCs w:val="24"/>
          <w:rtl/>
        </w:rPr>
      </w:pPr>
    </w:p>
    <w:tbl>
      <w:tblPr>
        <w:bidiVisual/>
        <w:tblW w:w="0" w:type="auto"/>
        <w:tblLayout w:type="fixed"/>
        <w:tblLook w:val="0000" w:firstRow="0" w:lastRow="0" w:firstColumn="0" w:lastColumn="0" w:noHBand="0" w:noVBand="0"/>
      </w:tblPr>
      <w:tblGrid>
        <w:gridCol w:w="2843"/>
        <w:gridCol w:w="2843"/>
        <w:gridCol w:w="2843"/>
      </w:tblGrid>
      <w:tr w:rsidR="00000000">
        <w:tblPrEx>
          <w:tblCellMar>
            <w:top w:w="0" w:type="dxa"/>
            <w:bottom w:w="0" w:type="dxa"/>
          </w:tblCellMar>
        </w:tblPrEx>
        <w:tc>
          <w:tcPr>
            <w:tcW w:w="2843" w:type="dxa"/>
            <w:tcBorders>
              <w:top w:val="nil"/>
              <w:left w:val="nil"/>
              <w:bottom w:val="nil"/>
              <w:right w:val="nil"/>
            </w:tcBorders>
          </w:tcPr>
          <w:p w:rsidR="00000000" w:rsidRDefault="004D257C">
            <w:pPr>
              <w:rPr>
                <w:rFonts w:cs="David"/>
                <w:sz w:val="24"/>
                <w:szCs w:val="24"/>
                <w:rtl/>
              </w:rPr>
            </w:pPr>
          </w:p>
          <w:p w:rsidR="00000000" w:rsidRDefault="004D257C">
            <w:pPr>
              <w:rPr>
                <w:rFonts w:cs="David"/>
                <w:sz w:val="24"/>
                <w:szCs w:val="24"/>
                <w:rtl/>
              </w:rPr>
            </w:pPr>
          </w:p>
          <w:p w:rsidR="00000000" w:rsidRDefault="004D257C">
            <w:pPr>
              <w:rPr>
                <w:rFonts w:cs="David"/>
                <w:sz w:val="24"/>
                <w:szCs w:val="24"/>
                <w:rtl/>
              </w:rPr>
            </w:pPr>
          </w:p>
        </w:tc>
        <w:tc>
          <w:tcPr>
            <w:tcW w:w="2843" w:type="dxa"/>
            <w:tcBorders>
              <w:top w:val="nil"/>
              <w:left w:val="nil"/>
              <w:bottom w:val="nil"/>
              <w:right w:val="nil"/>
            </w:tcBorders>
          </w:tcPr>
          <w:p w:rsidR="00000000" w:rsidRDefault="004D257C">
            <w:pPr>
              <w:rPr>
                <w:rFonts w:cs="David"/>
                <w:sz w:val="24"/>
                <w:szCs w:val="24"/>
                <w:rtl/>
              </w:rPr>
            </w:pPr>
          </w:p>
        </w:tc>
        <w:tc>
          <w:tcPr>
            <w:tcW w:w="2843" w:type="dxa"/>
            <w:tcBorders>
              <w:top w:val="nil"/>
              <w:left w:val="nil"/>
              <w:bottom w:val="nil"/>
              <w:right w:val="nil"/>
            </w:tcBorders>
          </w:tcPr>
          <w:p w:rsidR="00000000" w:rsidRDefault="004D257C">
            <w:pPr>
              <w:rPr>
                <w:rFonts w:cs="David"/>
                <w:sz w:val="24"/>
                <w:szCs w:val="24"/>
                <w:rtl/>
              </w:rPr>
            </w:pPr>
          </w:p>
        </w:tc>
      </w:tr>
    </w:tbl>
    <w:p w:rsidR="00000000" w:rsidRDefault="004D257C">
      <w:pPr>
        <w:rPr>
          <w:rFonts w:cs="David"/>
          <w:b/>
          <w:bCs/>
          <w:sz w:val="24"/>
          <w:szCs w:val="24"/>
          <w:u w:val="single"/>
          <w:rtl/>
        </w:rPr>
      </w:pPr>
      <w:r>
        <w:rPr>
          <w:rFonts w:cs="David"/>
          <w:b/>
          <w:bCs/>
          <w:sz w:val="24"/>
          <w:szCs w:val="24"/>
          <w:rtl/>
        </w:rPr>
        <w:lastRenderedPageBreak/>
        <w:t>תקנות סדר הדין הפלילי (סמכויות אכיפה - מעצרים) (תנאי החזקה במעצר) (תיקון),</w:t>
      </w:r>
      <w:r>
        <w:rPr>
          <w:rFonts w:cs="David"/>
          <w:b/>
          <w:bCs/>
          <w:sz w:val="24"/>
          <w:szCs w:val="24"/>
          <w:u w:val="single"/>
          <w:rtl/>
        </w:rPr>
        <w:t xml:space="preserve"> התשנ"ט-1999__________________________________________________</w:t>
      </w:r>
    </w:p>
    <w:p w:rsidR="00000000" w:rsidRDefault="004D257C">
      <w:pPr>
        <w:rPr>
          <w:rFonts w:cs="David"/>
          <w:b/>
          <w:bCs/>
          <w:sz w:val="24"/>
          <w:szCs w:val="24"/>
          <w:u w:val="single"/>
          <w:rtl/>
        </w:rPr>
      </w:pPr>
    </w:p>
    <w:p w:rsidR="00000000" w:rsidRDefault="004D257C">
      <w:pPr>
        <w:rPr>
          <w:rFonts w:cs="David"/>
          <w:sz w:val="24"/>
          <w:szCs w:val="24"/>
          <w:rtl/>
        </w:rPr>
      </w:pPr>
      <w:r>
        <w:rPr>
          <w:rFonts w:cs="David"/>
          <w:sz w:val="24"/>
          <w:szCs w:val="24"/>
          <w:u w:val="single"/>
          <w:rtl/>
        </w:rPr>
        <w:t>היו"ר אמנו</w:t>
      </w:r>
      <w:r>
        <w:rPr>
          <w:rFonts w:cs="David"/>
          <w:sz w:val="24"/>
          <w:szCs w:val="24"/>
          <w:u w:val="single"/>
          <w:rtl/>
        </w:rPr>
        <w:t>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בוקר טוב. הישיבה פתוחה. קודם כול, אני מבקש להודיע על הקמת שתי ועדות משנה: לעניין תקנות על-פי חוק החברות, ועדת משנה בראשותה של חברת הכנסת ציפי לבני; לעניין תקנות על-פי חוק כרטיסי חיוב, ועדת משנה בראשותו של אברהם רביץ.</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 xml:space="preserve">הנושא היום הוא תקנות </w:t>
      </w:r>
      <w:r>
        <w:rPr>
          <w:rFonts w:cs="David"/>
          <w:sz w:val="24"/>
          <w:szCs w:val="24"/>
          <w:rtl/>
        </w:rPr>
        <w:t>סדר הדין הפלילי (סמכויות אכיפה - מעצרים) (תנאי החזקה במעצר) (תיקון), התשנ"ט-1999 - אישור התקנות - הצבעה. היה לנו כבר דיון בנושא הזה. תאמרו לנו בבקשה מה השינוי.</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בדיון הקודם העלו חברי הוועדה השגות: האחת - פרק הזמן למניעת הביקורים.</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w:t>
      </w:r>
      <w:r>
        <w:rPr>
          <w:rFonts w:cs="David"/>
          <w:sz w:val="24"/>
          <w:szCs w:val="24"/>
          <w:u w:val="single"/>
          <w:rtl/>
        </w:rPr>
        <w:t xml:space="preserve">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 xml:space="preserve">60 יום. 30 ועוד 30. </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לא. אנחנו דיברנו על שלושה חודשים, כמו בתקנות בתי הסוהר, ונאמר שזה פרק זמן ארוך מידי, ולכן אנחנו מציעים כאן לצמצם לחודש ימים.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 xml:space="preserve">הנושא השני שעלה היה הביקורת השיפוטית. חברי הוועדה ביקשו שההחלטה תבוא די בסמוך </w:t>
      </w:r>
      <w:r>
        <w:rPr>
          <w:rFonts w:cs="David"/>
          <w:sz w:val="24"/>
          <w:szCs w:val="24"/>
          <w:rtl/>
        </w:rPr>
        <w:t>לקבלת ההחלטה, באישור בית המשפט.</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ביקשנו להודיע לעצור על זכותו לערער לבית משפט.</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זה מה שאנחנו מציעים. אנחנו מציעים כאן פתרון, כדי לאפשר ביקורת שיפוטית, בלי ליצור סדרי דין מיוחדים שנדרשים.</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עו</w:t>
      </w:r>
      <w:r>
        <w:rPr>
          <w:rFonts w:cs="David"/>
          <w:sz w:val="24"/>
          <w:szCs w:val="24"/>
          <w:rtl/>
        </w:rPr>
        <w:t>תרים לבית המשפט המחוזי?</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כן.</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נעשו כאן שני תיקונים חשובים, לפי בקשות חברי הוועדה.</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יש למישהו הערות? נציג לשכת עורכי הדין, בבקשה.</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 w:val="24"/>
          <w:szCs w:val="24"/>
          <w:rtl/>
        </w:rPr>
      </w:pPr>
      <w:r>
        <w:rPr>
          <w:rFonts w:cs="David"/>
          <w:sz w:val="24"/>
          <w:szCs w:val="24"/>
          <w:rtl/>
        </w:rPr>
        <w:tab/>
        <w:t xml:space="preserve">יש פה שתי בעיות, ואני רוצה להזכיר את מה שהיה בדיון הקודם. הבעיה היא קודם </w:t>
      </w:r>
      <w:r>
        <w:rPr>
          <w:rFonts w:cs="David"/>
          <w:sz w:val="24"/>
          <w:szCs w:val="24"/>
          <w:rtl/>
        </w:rPr>
        <w:t>כול מי יזום את ההליך בבית המשפט. להודיע לאסיר או לעצור, עשרה ימים מראש, שיתחיל להתארגן ולהגיש עתירות, לגבי עצור רגיל - עצור ימים או עצור עד תום ההליכים - יש</w:t>
      </w:r>
      <w:r>
        <w:rPr>
          <w:rFonts w:cs="David"/>
          <w:sz w:val="24"/>
          <w:szCs w:val="24"/>
          <w:rtl/>
        </w:rPr>
        <w:tab/>
        <w:t>בעיה, כי בדרך כלל יש עורך-דין בתמונה, או אם אין לו עורך-דין, הוא צריך לארגן עורך-דין.</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התקנות המתו</w:t>
      </w:r>
      <w:r>
        <w:rPr>
          <w:rFonts w:cs="David"/>
          <w:sz w:val="24"/>
          <w:szCs w:val="24"/>
          <w:rtl/>
        </w:rPr>
        <w:t>קנות, קודם כול עוסקות בעצורים, לא עוסקות באסירים.</w:t>
      </w: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מעצר עד תום ההליכים. עצורים לימים אינם זכאים לביקור.</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 w:val="24"/>
          <w:szCs w:val="24"/>
          <w:rtl/>
        </w:rPr>
      </w:pPr>
      <w:r>
        <w:rPr>
          <w:rFonts w:cs="David"/>
          <w:sz w:val="24"/>
          <w:szCs w:val="24"/>
          <w:rtl/>
        </w:rPr>
        <w:tab/>
        <w:t>במעצר עד תום ההליכים, להתארגן עשרה ימים מראש, זה זמן קצר מידי.</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מה אתה מציע?</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 w:val="24"/>
          <w:szCs w:val="24"/>
          <w:rtl/>
        </w:rPr>
      </w:pPr>
      <w:r>
        <w:rPr>
          <w:rFonts w:cs="David"/>
          <w:sz w:val="24"/>
          <w:szCs w:val="24"/>
          <w:rtl/>
        </w:rPr>
        <w:tab/>
        <w:t>אני מציע ש</w:t>
      </w:r>
      <w:r>
        <w:rPr>
          <w:rFonts w:cs="David"/>
          <w:sz w:val="24"/>
          <w:szCs w:val="24"/>
          <w:rtl/>
        </w:rPr>
        <w:t xml:space="preserve">היוזמה תהיה מהשב"ס. </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קודם אני אסיים את ההצעה, כי אחרת היא לא תהיה מובנת. יש מקרים דחופים. הידיעה שמחר המשפחה תבוא לבקר את העציר הגיעה אתמול בערב, ויש לה מידע. עשרה ימים מראש זה לא מעשי. זה לעשות צחוק מכל העניין. צריך למצוא דרך למקרים דחופים, כשיש שיקול ד</w:t>
      </w:r>
      <w:r>
        <w:rPr>
          <w:rFonts w:cs="David"/>
          <w:sz w:val="24"/>
          <w:szCs w:val="24"/>
          <w:rtl/>
        </w:rPr>
        <w:t>עת מידי.</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אני לא מבינה את הבעיה.</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 w:val="24"/>
          <w:szCs w:val="24"/>
          <w:rtl/>
        </w:rPr>
      </w:pPr>
      <w:r>
        <w:rPr>
          <w:rFonts w:cs="David"/>
          <w:sz w:val="24"/>
          <w:szCs w:val="24"/>
          <w:rtl/>
        </w:rPr>
        <w:tab/>
        <w:t>לפי ההצעה שלכם, המפכ"ל צריך להודיע עשרה ימים מראש, ורק אחר-כך לעצור.</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לבנת משיח:</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על הארכה. האדם יודע שהוא מנוע ביקורים.</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Cs w:val="24"/>
        </w:rPr>
      </w:pPr>
      <w:r>
        <w:rPr>
          <w:rFonts w:cs="David"/>
          <w:sz w:val="24"/>
          <w:szCs w:val="24"/>
          <w:rtl/>
        </w:rPr>
        <w:tab/>
        <w:t>הניסוח לא עוסק במקרה הראשון.</w:t>
      </w:r>
      <w:r>
        <w:rPr>
          <w:rFonts w:cs="David"/>
          <w:sz w:val="24"/>
          <w:szCs w:val="24"/>
          <w:rtl/>
        </w:rPr>
        <w:tab/>
      </w:r>
    </w:p>
    <w:p w:rsidR="00000000" w:rsidRDefault="004D257C">
      <w:pPr>
        <w:jc w:val="both"/>
        <w:rPr>
          <w:rFonts w:cs="David"/>
          <w:szCs w:val="24"/>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סעיף קטן (ה) מדב</w:t>
      </w:r>
      <w:r>
        <w:rPr>
          <w:rFonts w:cs="David"/>
          <w:sz w:val="24"/>
          <w:szCs w:val="24"/>
          <w:rtl/>
        </w:rPr>
        <w:t>ר על כך שהוא "רשאי להורות על מניעת ביקורים אצל עצור".</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 w:val="24"/>
          <w:szCs w:val="24"/>
          <w:rtl/>
        </w:rPr>
      </w:pPr>
      <w:r>
        <w:rPr>
          <w:rFonts w:cs="David"/>
          <w:sz w:val="24"/>
          <w:szCs w:val="24"/>
          <w:rtl/>
        </w:rPr>
        <w:tab/>
        <w:t xml:space="preserve">עכשיו אני מבין. </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יש בעיה אחת עם סעיף קטן (ו), שאין הגבלה של התקופה הנוספת.</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זה תקופות נוספות. כל פעם חודש.</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lastRenderedPageBreak/>
        <w:tab/>
        <w:t>אז זה צריך להי</w:t>
      </w:r>
      <w:r>
        <w:rPr>
          <w:rFonts w:cs="David"/>
          <w:sz w:val="24"/>
          <w:szCs w:val="24"/>
          <w:rtl/>
        </w:rPr>
        <w:t>אמר.</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יש טעות בהדפסה. צריך להיות "לתקופות נוספות של חודש כל פעם". אנחנו נוסיף.</w:t>
      </w:r>
    </w:p>
    <w:p w:rsidR="00000000" w:rsidRDefault="004D257C">
      <w:pPr>
        <w:jc w:val="both"/>
        <w:rPr>
          <w:rFonts w:cs="David"/>
          <w:sz w:val="24"/>
          <w:szCs w:val="24"/>
          <w:u w:val="single"/>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 w:val="24"/>
          <w:szCs w:val="24"/>
          <w:rtl/>
        </w:rPr>
      </w:pPr>
      <w:r>
        <w:rPr>
          <w:rFonts w:cs="David"/>
          <w:sz w:val="24"/>
          <w:szCs w:val="24"/>
          <w:rtl/>
        </w:rPr>
        <w:tab/>
        <w:t>הבעיה הראשונה</w:t>
      </w:r>
      <w:r>
        <w:rPr>
          <w:rFonts w:cs="David"/>
          <w:sz w:val="24"/>
          <w:szCs w:val="24"/>
          <w:rtl/>
        </w:rPr>
        <w:tab/>
        <w:t xml:space="preserve"> היא של מי היוזמה ללכת לבית המשפט.</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אתה רוצה שהאישור על ההארכה יהיה של בית המשפט?</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 w:val="24"/>
          <w:szCs w:val="24"/>
          <w:rtl/>
        </w:rPr>
      </w:pPr>
      <w:r>
        <w:rPr>
          <w:rFonts w:cs="David"/>
          <w:sz w:val="24"/>
          <w:szCs w:val="24"/>
          <w:rtl/>
        </w:rPr>
        <w:tab/>
        <w:t>בוודאי.</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 xml:space="preserve">היו"ר </w:t>
      </w:r>
      <w:r>
        <w:rPr>
          <w:rFonts w:cs="David"/>
          <w:sz w:val="24"/>
          <w:szCs w:val="24"/>
          <w:u w:val="single"/>
          <w:rtl/>
        </w:rPr>
        <w:t>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בכל זאת, מדובר כאן במפקח כללי או נציב בתי הסוהר, לא מדובר בקצין זוטר, יש הבדל.</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Cs w:val="24"/>
        </w:rPr>
      </w:pPr>
      <w:r>
        <w:rPr>
          <w:rFonts w:cs="David"/>
          <w:sz w:val="24"/>
          <w:szCs w:val="24"/>
          <w:rtl/>
        </w:rPr>
        <w:tab/>
        <w:t>זה בסדר, כי הרי זו זכות יסוד שמתקיימת, ונכון שראש המערכת הוא שיקבע פגיעה, למרות שהוא בעצם ניזון מהעיתונים שניתנים לו, הרי הוא לא איש שטח שיושב ו</w:t>
      </w:r>
      <w:r>
        <w:rPr>
          <w:rFonts w:cs="David"/>
          <w:sz w:val="24"/>
          <w:szCs w:val="24"/>
          <w:rtl/>
        </w:rPr>
        <w:t>מקשיב ויודע. מעבירים לו נתונים, יש לו החלטה, והוא בעצם יותר מפקח, בודק, ואחר כך הוא מחליט ומקבל החלטה.</w:t>
      </w:r>
      <w:r>
        <w:rPr>
          <w:rFonts w:cs="David"/>
          <w:sz w:val="24"/>
          <w:szCs w:val="24"/>
          <w:rtl/>
        </w:rPr>
        <w:tab/>
      </w:r>
    </w:p>
    <w:p w:rsidR="00000000" w:rsidRDefault="004D257C">
      <w:pPr>
        <w:jc w:val="both"/>
        <w:rPr>
          <w:rFonts w:cs="David"/>
          <w:sz w:val="24"/>
          <w:szCs w:val="24"/>
          <w:rtl/>
        </w:rPr>
      </w:pPr>
      <w:r>
        <w:rPr>
          <w:rFonts w:cs="David"/>
          <w:sz w:val="24"/>
          <w:szCs w:val="24"/>
          <w:rtl/>
        </w:rPr>
        <w:tab/>
      </w:r>
    </w:p>
    <w:p w:rsidR="00000000" w:rsidRDefault="004D257C">
      <w:pPr>
        <w:jc w:val="both"/>
        <w:rPr>
          <w:rFonts w:cs="David"/>
          <w:szCs w:val="24"/>
        </w:rPr>
      </w:pPr>
      <w:r>
        <w:rPr>
          <w:rFonts w:cs="David"/>
          <w:sz w:val="24"/>
          <w:szCs w:val="24"/>
          <w:rtl/>
        </w:rPr>
        <w:tab/>
        <w:t xml:space="preserve">אמרנו שמעל חודש ימים זה הופך להיות דרקוני, וצריך שיהיה מישהו שיבקר את העניין. יושב תייר זר, יושב אדם שלא דובר עברית. אתם מפילים עליו את האחריות שהוא </w:t>
      </w:r>
      <w:r>
        <w:rPr>
          <w:rFonts w:cs="David"/>
          <w:sz w:val="24"/>
          <w:szCs w:val="24"/>
          <w:rtl/>
        </w:rPr>
        <w:t>זה שיפנה לבית המשפט?</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מותר לו להיפגש עם עורך-דין.</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 w:val="24"/>
          <w:szCs w:val="24"/>
          <w:rtl/>
        </w:rPr>
      </w:pPr>
      <w:r>
        <w:rPr>
          <w:rFonts w:cs="David"/>
          <w:sz w:val="24"/>
          <w:szCs w:val="24"/>
          <w:rtl/>
        </w:rPr>
        <w:tab/>
        <w:t xml:space="preserve">אין בעיה עם עורכי-דין. לרובם אין עורכי-דין. אין מספר מדויק, אבל לפי בדיקה סטטיסטית שנעשתה, פחות מ-30%  מהעצורים עד תום ההליכים יש להם עורכי-דין צמודים. </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w:t>
      </w:r>
      <w:r>
        <w:rPr>
          <w:rFonts w:cs="David"/>
          <w:sz w:val="24"/>
          <w:szCs w:val="24"/>
          <w:u w:val="single"/>
          <w:rtl/>
        </w:rPr>
        <w:t>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זו אחת הבעיות שיש לנו, שהרבה אנשים בבתי הסוהר לא מיוצגים.</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Cs w:val="24"/>
        </w:rPr>
      </w:pPr>
      <w:r>
        <w:rPr>
          <w:rFonts w:cs="David"/>
          <w:sz w:val="24"/>
          <w:szCs w:val="24"/>
          <w:rtl/>
        </w:rPr>
        <w:tab/>
        <w:t>להפיל עליו את התיק, שהוא יפנה לבית המשפט המחוזי להגיש עתירת אסירים על זה שלא נותנים לו לראות את משפחתו, או חבר קרוב, או בן אחיו שהוא מכיר בארץ, זה דרקוני.</w:t>
      </w:r>
      <w:r>
        <w:rPr>
          <w:rFonts w:cs="David"/>
          <w:sz w:val="24"/>
          <w:szCs w:val="24"/>
          <w:rtl/>
        </w:rPr>
        <w:tab/>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w:t>
      </w:r>
      <w:r>
        <w:rPr>
          <w:rFonts w:cs="David"/>
          <w:sz w:val="24"/>
          <w:szCs w:val="24"/>
          <w:u w:val="single"/>
          <w:rtl/>
        </w:rPr>
        <w:t>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חבר הכנסת צחי הנגבי, מה אתה אומר על העניין הזה?</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צחי הנגבי:</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נראה לי שאין צורך להעביר לבית המשפט.</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לבנת משיח:</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יש לנו בעיה משפטית להפוך את הקערה על פיה ולקבוע ביקורת שיפוטית מראש. התקנות האלה הן תקנות לפי חוק סדר הדין הפלילי (סמכויות אכיפה). ל</w:t>
      </w:r>
      <w:r>
        <w:rPr>
          <w:rFonts w:cs="David"/>
          <w:sz w:val="24"/>
          <w:szCs w:val="24"/>
          <w:rtl/>
        </w:rPr>
        <w:t>ניהול דיון משפטי מהסוג הזה אנחנו צריכים תקנות סדרי דין מיוחדות, משום שאנחנו לא יכולים לנהל את זה במעמד שני הצדדים, אלא במעמד צד אחד, או שתהיה אפשרות של הוצאת אחד מהצדדים. תקנות מהסוג הזה ניתן לעשות אך ורק בחקיקה ראשית. פה אין לנו הסמכה לעשות זאת. לכן, אנחנ</w:t>
      </w:r>
      <w:r>
        <w:rPr>
          <w:rFonts w:cs="David"/>
          <w:sz w:val="24"/>
          <w:szCs w:val="24"/>
          <w:rtl/>
        </w:rPr>
        <w:t>ו לא יכולים לבחור באפשרות הזאת, ואנחנו חייבים לבחור באפשרות של עתירת אסירים, ובלבד שמודיעים לאדם בעוד מועד על זכותו.</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שלמה שהם: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כשמשתמשים בנימוקים של בעיה של קביעת סדרי דין או סמכויות, כאשר מדובר בפגיעה בזכויות יסוד, זה צורם. לא ברור לי שאני מסכים עם עמד</w:t>
      </w:r>
      <w:r>
        <w:rPr>
          <w:rFonts w:cs="David"/>
          <w:sz w:val="24"/>
          <w:szCs w:val="24"/>
          <w:rtl/>
        </w:rPr>
        <w:t>ת לשכת עורכי-הדין בעניין הזה. זו לא שאלה פשוטה, אבל אני עדיין חושב שהדעת נותנת שאין פה פגיעה כל כך מהותית.</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אני רוצה להסביר לחברת הכנסת גלאון במה מדובר. אנחנו קיבלנו הצעה לאשר תקנות סדר הדין הפלילי בעניין מניעת ביקורים אצל עצירים.</w:t>
      </w:r>
      <w:r>
        <w:rPr>
          <w:rFonts w:cs="David"/>
          <w:sz w:val="24"/>
          <w:szCs w:val="24"/>
          <w:rtl/>
        </w:rPr>
        <w:t xml:space="preserve"> היתה סמכות מאוד רחבה, וביקשנו הצעה חדשה שתצמצם את הסמכות. וזו ההצעה החדשה.</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קודם כול, ההחלטה היא של המפכ"ל או של נציב שירות בתי הסוהר, ולא של מפקד חדר המעצר; דבר שני, אפשר למנוע ביקורים רק לחודש ולא לשלושה חודשים; דבר שלישי, אפשר להאריך את התקופה, אבל אז</w:t>
      </w:r>
      <w:r>
        <w:rPr>
          <w:rFonts w:cs="David"/>
          <w:sz w:val="24"/>
          <w:szCs w:val="24"/>
          <w:rtl/>
        </w:rPr>
        <w:t xml:space="preserve"> צריך למסור הודעה לעציר, עשרה ימים לפני מועד מתן ההוראה של ההארכה, שיש לו זכות לעתור לבית המשפט.</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שלמה שהם: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בשפתו.</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מה זה בשפתו? יש שפות רשמיות.</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כך שהוא יבין.</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שלמה שהם: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הוא צריך לדעת שיש לו הזכות הזאת.</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w:t>
      </w:r>
      <w:r>
        <w:rPr>
          <w:rFonts w:cs="David"/>
          <w:sz w:val="24"/>
          <w:szCs w:val="24"/>
          <w:u w:val="single"/>
          <w:rtl/>
        </w:rPr>
        <w:t>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שפתו זה יכול להיות שפת האיבּוּ</w:t>
      </w:r>
      <w:r>
        <w:rPr>
          <w:rFonts w:cs="David"/>
          <w:szCs w:val="24"/>
        </w:rPr>
        <w:t xml:space="preserve"> </w:t>
      </w:r>
      <w:r>
        <w:rPr>
          <w:rFonts w:cs="David"/>
          <w:sz w:val="24"/>
          <w:szCs w:val="24"/>
          <w:rtl/>
        </w:rPr>
        <w:t>בניגריה, יש  עצורים מניגריה. אי-אפשר לכתוב בשפתו, אפשר לכתוב בשפות הרשמיות, לרבות ערבית.</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שלמה שהם: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תכתוב "באופן שיובן לו".</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Cs w:val="24"/>
        </w:rPr>
      </w:pPr>
      <w:r>
        <w:rPr>
          <w:rFonts w:cs="David"/>
          <w:sz w:val="24"/>
          <w:szCs w:val="24"/>
          <w:rtl/>
        </w:rPr>
        <w:tab/>
        <w:t>השאלה האם צריך לכתוב את זה בתקנות?</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 xml:space="preserve">יש </w:t>
      </w:r>
      <w:r>
        <w:rPr>
          <w:rFonts w:cs="David"/>
          <w:sz w:val="24"/>
          <w:szCs w:val="24"/>
          <w:rtl/>
        </w:rPr>
        <w:t>עוד תקדים לכך שזה כתוב?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לבנת משיח:</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גם זכות ערעור לא כתובה.</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שלמה שהם:</w:t>
      </w:r>
    </w:p>
    <w:p w:rsidR="00000000" w:rsidRDefault="004D257C">
      <w:pPr>
        <w:jc w:val="both"/>
        <w:rPr>
          <w:rFonts w:cs="David"/>
          <w:sz w:val="24"/>
          <w:szCs w:val="24"/>
          <w:rtl/>
        </w:rPr>
      </w:pPr>
    </w:p>
    <w:p w:rsidR="00000000" w:rsidRDefault="004D257C">
      <w:pPr>
        <w:jc w:val="both"/>
        <w:rPr>
          <w:rFonts w:cs="David"/>
          <w:szCs w:val="24"/>
        </w:rPr>
      </w:pPr>
      <w:r>
        <w:rPr>
          <w:rFonts w:cs="David"/>
          <w:sz w:val="24"/>
          <w:szCs w:val="24"/>
          <w:rtl/>
        </w:rPr>
        <w:tab/>
        <w:t>תגידו את זה לפרוטוקול.</w:t>
      </w: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אם תגידו לפרוטוקול, נסתפק בכך.</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אני אומרת לפרוטוקול, שזה ייעשה בנהלים.</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בבקשה, גברתי.</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 xml:space="preserve">רינת </w:t>
      </w:r>
      <w:r>
        <w:rPr>
          <w:rFonts w:cs="David"/>
          <w:sz w:val="24"/>
          <w:szCs w:val="24"/>
          <w:u w:val="single"/>
          <w:rtl/>
        </w:rPr>
        <w:t>קיטאי:</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במסגרת הביקורת השיפוטית צריך לשמוע גם את עמדתו של העצור</w:t>
      </w:r>
      <w:r>
        <w:rPr>
          <w:rFonts w:cs="David"/>
          <w:sz w:val="24"/>
          <w:szCs w:val="24"/>
          <w:rtl/>
        </w:rPr>
        <w:tab/>
        <w:t>כעניין שבזכות, אם רוצים לקבל החלטה שפוגעת בזכויות שלו, וזו כן החלטה שפוגעת בזכויות בצורה קשה.</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זה ברור.</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רינת קיטאי:</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לא. כאן נותנים לו את הזכות לעתור. הוא צריך לעת</w:t>
      </w:r>
      <w:r>
        <w:rPr>
          <w:rFonts w:cs="David"/>
          <w:sz w:val="24"/>
          <w:szCs w:val="24"/>
          <w:rtl/>
        </w:rPr>
        <w:t>ור, לשלם כסף, הוא צריך לפנות. לגבי עצורים ביטחוניים, גם במעצר עד תום ההליכים, בניגוד לעצורים אחרים, אין להם זכות לשימוש בטלפון, זאת אומרת, אין להם קשר עם העולם שמחוץ למעצר.</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יש להם זכות לפגוש עורך-דין.</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רינת קיטאי:</w:t>
      </w:r>
    </w:p>
    <w:p w:rsidR="00000000" w:rsidRDefault="004D257C">
      <w:pPr>
        <w:jc w:val="both"/>
        <w:rPr>
          <w:rFonts w:cs="David"/>
          <w:sz w:val="24"/>
          <w:szCs w:val="24"/>
          <w:rtl/>
        </w:rPr>
      </w:pPr>
    </w:p>
    <w:p w:rsidR="00000000" w:rsidRDefault="004D257C">
      <w:pPr>
        <w:jc w:val="both"/>
        <w:rPr>
          <w:rFonts w:cs="David"/>
          <w:szCs w:val="24"/>
        </w:rPr>
      </w:pPr>
      <w:r>
        <w:rPr>
          <w:rFonts w:cs="David"/>
          <w:sz w:val="24"/>
          <w:szCs w:val="24"/>
          <w:rtl/>
        </w:rPr>
        <w:tab/>
        <w:t xml:space="preserve">כן, אבל רובם </w:t>
      </w:r>
      <w:r>
        <w:rPr>
          <w:rFonts w:cs="David"/>
          <w:sz w:val="24"/>
          <w:szCs w:val="24"/>
          <w:rtl/>
        </w:rPr>
        <w:t>לא מיוצגים, וזה גם לא תחליף למשפחה.</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מה את מציעה?</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רינת קיטאי:</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ההחלטה צריכה להתקבל על-ידי בית משפט, תוך כדי שמיעת העצור. אין מניעה שיוצג חומר חסוי במסגרת הדיון הזה.</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עודד אילן:</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רק בהסכמה.</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קודם כול ישבנו, עם היוע</w:t>
      </w:r>
      <w:r>
        <w:rPr>
          <w:rFonts w:cs="David"/>
          <w:sz w:val="24"/>
          <w:szCs w:val="24"/>
          <w:rtl/>
        </w:rPr>
        <w:t>ץ המשפטי של הוועדה, על מנת למצוא ניסוח. חשבנו שזה פשוט: מה הבעיה לכתוב "באישור בית משפט", ונגמר הסיפור. אין לנו התנגדות עקרונית לביקורת שיפוטית, זה ראוי, זה רצוי וזה בסדר גמור. הבעיה היא שכל הליך שיפוטי, שיזום על-ידי המערכת, צריך אישור בית המשפט, הוא מחייב</w:t>
      </w:r>
      <w:r>
        <w:rPr>
          <w:rFonts w:cs="David"/>
          <w:sz w:val="24"/>
          <w:szCs w:val="24"/>
          <w:rtl/>
        </w:rPr>
        <w:t xml:space="preserve"> סדרי דין מיוחדים, כמו, למשל, מה שעשינו בחוק המעצרים.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אין היום סמכות בחקיקה הראשית לקבוע סדרי דין כאלה, ואי-אפשר לקבוע סדרי דין כאלה בחקיקת משנה. לכן, הפתרון הנכון שמצאנו מבחינת הדרך הוא, ללכת בסדרי דין קיימים, שזה עתירות אסירים, זו פרוצדורה קיימת. העובד</w:t>
      </w:r>
      <w:r>
        <w:rPr>
          <w:rFonts w:cs="David"/>
          <w:sz w:val="24"/>
          <w:szCs w:val="24"/>
          <w:rtl/>
        </w:rPr>
        <w:t xml:space="preserve">ה שנביא את זה באופן פורמלי, ייכתב כאן שנוציא נוהל, על בסיס התקנה הזאת, ונכתוב שההודעה תיעשה בטופס, בכתובים, ואפשר גם בדרך של הבהרה - במובן הזה אנחנו נותנים לו את מלוא זכויותיו בפרוצדורה קיימת, בלי להיכנס כאן לבעיות של קביעת סדרי דין מיוחדים, לסוג כזה מאוד </w:t>
      </w:r>
      <w:r>
        <w:rPr>
          <w:rFonts w:cs="David"/>
          <w:sz w:val="24"/>
          <w:szCs w:val="24"/>
          <w:rtl/>
        </w:rPr>
        <w:t>חריג.</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יכולה להיות הצעת פשרה אחת שאני חושב עליה כעת, שסעיף קטן (ו) יהיה רק לתקופה נוספת של עוד חודש או חודשיים.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לא היתה שום כוונה אחרת.</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מעבר לחודש נוסף צריך כבר ללכת לבית משפט. עציר חסר יש</w:t>
      </w:r>
      <w:r>
        <w:rPr>
          <w:rFonts w:cs="David"/>
          <w:sz w:val="24"/>
          <w:szCs w:val="24"/>
          <w:rtl/>
        </w:rPr>
        <w:t>ע, שיושב בתא המעצר, אם גוזרים עליו שישה חודשי ניתוק מהעולם החיצוני, זה עונש כבד מנשוא.</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שלמה שהם: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אותה בעיה תהיה בתקופה השנייה או השלישית, אנחנו נחזור לאותה בעיה.</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אולי תציעו איזו הצעה.</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יש הרבה מאוד עתירות לבתי המ</w:t>
      </w:r>
      <w:r>
        <w:rPr>
          <w:rFonts w:cs="David"/>
          <w:sz w:val="24"/>
          <w:szCs w:val="24"/>
          <w:rtl/>
        </w:rPr>
        <w:t>שפט, רוב האסירים לא מיוצגים, הם מודעים לזה. הם פונים בכמויות לבתי המשפט.</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קבלתי מכתב מעצירים בכלא "שקמה", שאמרו שהעניין של ביקורי קרובים זה הצורך שלהם בעולם החיצוני. זה אומנם עונש מינהלי, אבל זה יכול להיות עונש יותר קשה מעונש המעצ</w:t>
      </w:r>
      <w:r>
        <w:rPr>
          <w:rFonts w:cs="David"/>
          <w:sz w:val="24"/>
          <w:szCs w:val="24"/>
          <w:rtl/>
        </w:rPr>
        <w:t>ר עצמו.</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לבנת משיח:</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עודד אילן, אולי אפשר לקבוע תקופה מקסימלית של הארכה?</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שלמה שהם: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הם לא יכולים.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עודד אילן:</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כדי להיות פרקטיים, המקרים שאני יכול לצפות שבהם יצטרכו למנוע פגישה, אני מדבר על עצירים, מעבר לחודש, מעבר לחודשיים, הם מקרים נדירים. אני גם מקב</w:t>
      </w:r>
      <w:r>
        <w:rPr>
          <w:rFonts w:cs="David"/>
          <w:sz w:val="24"/>
          <w:szCs w:val="24"/>
          <w:rtl/>
        </w:rPr>
        <w:t>ל את העיקרון, שככל שהתקופה מתמשכת, המטוטלת באיזון האינטרסים בוודאי נוטה לכיוון זכותו של העציר.</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יכול להיות שלאחר שלושה חודשים של מניעת ביקורי קרובים צריך אישור של שר, שנושא באחריות בפני הכנסת.</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עודד אילן:</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גם זה מקובל עלינו.</w:t>
      </w:r>
    </w:p>
    <w:p w:rsidR="00000000" w:rsidRDefault="004D257C">
      <w:pPr>
        <w:jc w:val="both"/>
        <w:rPr>
          <w:rFonts w:cs="David"/>
          <w:sz w:val="24"/>
          <w:szCs w:val="24"/>
          <w:rtl/>
        </w:rPr>
      </w:pPr>
    </w:p>
    <w:p w:rsidR="00000000" w:rsidRDefault="004D257C">
      <w:pPr>
        <w:jc w:val="both"/>
        <w:rPr>
          <w:rFonts w:cs="David"/>
          <w:sz w:val="24"/>
          <w:szCs w:val="24"/>
          <w:u w:val="single"/>
          <w:rtl/>
        </w:rPr>
      </w:pPr>
    </w:p>
    <w:p w:rsidR="00000000" w:rsidRDefault="004D257C">
      <w:pPr>
        <w:jc w:val="both"/>
        <w:rPr>
          <w:rFonts w:cs="David"/>
          <w:sz w:val="24"/>
          <w:szCs w:val="24"/>
          <w:rtl/>
        </w:rPr>
      </w:pPr>
      <w:r>
        <w:rPr>
          <w:rFonts w:cs="David"/>
          <w:sz w:val="24"/>
          <w:szCs w:val="24"/>
          <w:u w:val="single"/>
          <w:rtl/>
        </w:rPr>
        <w:t>זה</w:t>
      </w:r>
      <w:r>
        <w:rPr>
          <w:rFonts w:cs="David"/>
          <w:sz w:val="24"/>
          <w:szCs w:val="24"/>
          <w:u w:val="single"/>
          <w:rtl/>
        </w:rPr>
        <w:t>בה גלאון:</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שלושה חודשים זה המון.</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אני מודאג בלמעלה משלושה חודשים.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שלמה שהם: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גברת גוטליב, אם באמת העמדה במבוא של הדברים שלך נכונה, ואנחנו מקבלים את זה, ואת אמרת את זה לפרוטוקול, שבעצם את מקבלת את העניין של ביקורת שיפוטית, אז הע</w:t>
      </w:r>
      <w:r>
        <w:rPr>
          <w:rFonts w:cs="David"/>
          <w:sz w:val="24"/>
          <w:szCs w:val="24"/>
          <w:rtl/>
        </w:rPr>
        <w:t>ניין הזה שיש היום איזו בעיה חוקית להסדיר את סדרי הדין לא יכולה להיות נימוק--</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שמואל סף:</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אני לא מסכים איתה.</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שלמה שהם: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 xml:space="preserve">--משום שאם זה נכון, יאמרו לך חברי הוועדה ובצדק: תיכבדי ותחזרי. תקני את החוק, קבעי סדרי דין וחזרי אלינו. </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תי</w:t>
      </w:r>
      <w:r>
        <w:rPr>
          <w:rFonts w:cs="David"/>
          <w:sz w:val="24"/>
          <w:szCs w:val="24"/>
          <w:rtl/>
        </w:rPr>
        <w:t>קון חוק זה יימשך חודשים.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שלמה שהם: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לכן התשובה צריכה להיות, מבחינתך לפחות, שבהסדר הקיים עדיין הזכויות שלו נשמרות, וצריך לומר את זה ברור, ושלא צריך את הביקורת השיפוטית באופן הזה שיצטרכו לקבל אישור מראש. זה הדבר הבסיסי.</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 xml:space="preserve">לגופו של עניין. ברור שאם נאריך את </w:t>
      </w:r>
      <w:r>
        <w:rPr>
          <w:rFonts w:cs="David"/>
          <w:sz w:val="24"/>
          <w:szCs w:val="24"/>
          <w:rtl/>
        </w:rPr>
        <w:t>התקופות לא פתרנו את הבעיה. זאת אומרת, יש מקרים קיצוניים שרוצים להאריך יותר. אדוני היושב-ראש, אישור של שר פותר את הבעיה.</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זו בקרה נוספת.</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שמואל סף:</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זו לא בקרה. השר לא יודע נתונים.</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אבל הוא נושא באחריות כלפי הכנסת. ד</w:t>
      </w:r>
      <w:r>
        <w:rPr>
          <w:rFonts w:cs="David"/>
          <w:sz w:val="24"/>
          <w:szCs w:val="24"/>
          <w:rtl/>
        </w:rPr>
        <w:t>רך אגב, שרים מהססים לחתום.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שמואל סף:</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אנחנו מחפשים בדיקה עניינית. עם כל הכבוד למפכ"ל הוא גם כן "אאוט סיידר". מביאים לו חומר, משכנעים אותו. מבחינה זו המפכ"ל והשר לא משנים כי הם "אאוט סיידרים" למקרה. הם לא ילכו לבקר, הם לא יוכלו לדבר עם האיש; השוני הוא במע</w:t>
      </w:r>
      <w:r>
        <w:rPr>
          <w:rFonts w:cs="David"/>
          <w:sz w:val="24"/>
          <w:szCs w:val="24"/>
          <w:rtl/>
        </w:rPr>
        <w:t>רכת השיפוטית, כאשר שם נשמע האיש עצמו.</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יש הסכמה על ביקורת שיפוטית.</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br w:type="page"/>
        <w:t>שלמה שהם: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כל הוויכוח הוא אם היוזמה להליך היא שלו או לא שלו.</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אלון בכר:</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קודם כול, אני מסכים עם יושב-ראש הוועדה ועם היועץ המשפטי, שאם יש איזו מניעה חוקית, היית</w:t>
      </w:r>
      <w:r>
        <w:rPr>
          <w:rFonts w:cs="David"/>
          <w:sz w:val="24"/>
          <w:szCs w:val="24"/>
          <w:rtl/>
        </w:rPr>
        <w:t>י מעדיף שהחוק יתוקן, גם אם זה ייקח כמה חודשים. אני לא רוצה להיכנס לנימוקים דמגוגיים של איך הסתדרנו 50 שנה. אם זה ייקח כמה חודשים, ואפשר לעשות את זה בהליך די מזורז, עדיף שזה יהיה כך.</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 xml:space="preserve">הדגש של הסנגוריה הציבורית הוא בגלל הבעייתיות שיוצר המצב של התקנות האלה. </w:t>
      </w:r>
      <w:r>
        <w:rPr>
          <w:rFonts w:cs="David"/>
          <w:sz w:val="24"/>
          <w:szCs w:val="24"/>
          <w:rtl/>
        </w:rPr>
        <w:t>אם המנגנון שנקבע להגשת עררים ועתירות על אותם צעדים, על-ידי מפקח או נציב של המשטרה, הוא עתירת אסיר, אנחנו מגיעים למצב בעייתי שכל העצורים שמיוצגים על-ידי הסנגוריה הציבורית, שהיום זה רוב העצורים שמיוצגים בכלל, הם לא יוכלו להיות מיוצגים. נכון לרגע זה, ההלכה המ</w:t>
      </w:r>
      <w:r>
        <w:rPr>
          <w:rFonts w:cs="David"/>
          <w:sz w:val="24"/>
          <w:szCs w:val="24"/>
          <w:rtl/>
        </w:rPr>
        <w:t>קובלת עלינו היא, שהסנגוריה הציבורית לא מוסמכת לייצג בעתירת אסירים. זה חלק מהבעיות שאנחנו נתקלים בהן ביום-יום.</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למה? זה היה צריך להיות בדיוק להיפך.</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אלון בכר:</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גם אנחנו היינו רוצים שזה יהיה כך. יש מתנגדים ויש גם מחלוקות חוקתיות בע</w:t>
      </w:r>
      <w:r>
        <w:rPr>
          <w:rFonts w:cs="David"/>
          <w:sz w:val="24"/>
          <w:szCs w:val="24"/>
          <w:rtl/>
        </w:rPr>
        <w:t>ניין, אבל נכון לרגע זה, ברגע שאנחנו מייצגים אדם, גם אם הוא נשפט למאסר של מספר שנים, ידנו מוסרת מהטיפול בו, אנחנו לא יכולים להגיש עתירות בשמו.</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אם כך, צריך לתקן את החוק.</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עלה לי רעיון נוסף, שתימסר הודעה לסנגוריה הציבורית על ההארכה</w:t>
      </w:r>
      <w:r>
        <w:rPr>
          <w:rFonts w:cs="David"/>
          <w:sz w:val="24"/>
          <w:szCs w:val="24"/>
          <w:rtl/>
        </w:rPr>
        <w:t>.</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אלון בכר:</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אם תהיה עתירת אסיר, נכון לרגע זה, הסנגוריה הציבורית לא מייצגת אותו.</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את זה אנחנו נתקן.</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אלון בכר:</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עד עכשיו דובר על כך שעתירת אסיר היא לא במסגרת הליך פלילי.</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מי אמר את זה? בית המשפט העליון</w:t>
      </w:r>
      <w:r>
        <w:rPr>
          <w:rFonts w:cs="David"/>
          <w:sz w:val="24"/>
          <w:szCs w:val="24"/>
          <w:rtl/>
        </w:rPr>
        <w:t>?</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אלון בכר:</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זו הדעה המקובלת.</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br w:type="page"/>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נשנה אותה כאן בוועדה.</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אלון בכר:</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בהקשר הזה יש בעייתיות נוספת בנושא הכלכלי. במידה שיוחלט שהסנגוריה הציבורית יכולה לייצג בעתירת עציר, נכנסות לתוקף תקנות הרשויות לגבי גביית אגרות מאסירים.</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w:t>
      </w:r>
      <w:r>
        <w:rPr>
          <w:rFonts w:cs="David"/>
          <w:sz w:val="24"/>
          <w:szCs w:val="24"/>
          <w:u w:val="single"/>
          <w:rtl/>
        </w:rPr>
        <w:t>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אנחנו עוסקים היום רק בעצורים.</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אלון בכר:</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חשוב שיודגש שעתירה כזאת היא לא הליך חדש ונפרד מהליך המעצר, משום שאם זה ייקבע כהליך חדש ונפרד, תוטל על העצור אגרה נוספת, שיכולה למנוע ממנו ללכת לעתירה.</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לא הגענו לזה.</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w:t>
      </w:r>
      <w:r>
        <w:rPr>
          <w:rFonts w:cs="David"/>
          <w:sz w:val="24"/>
          <w:szCs w:val="24"/>
          <w:u w:val="single"/>
          <w:rtl/>
        </w:rPr>
        <w:t>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יש לנו שתי הצעות לתיקון, תביאו לנו את הנוסח, ואנחנו נאשר בישיבה הבאה. הצעה אחת היא העניין שתהיה הודעה גם לסנגוריה הציבורית בסעיף 1(ו).</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 w:val="24"/>
          <w:szCs w:val="24"/>
          <w:rtl/>
        </w:rPr>
      </w:pPr>
      <w:r>
        <w:rPr>
          <w:rFonts w:cs="David"/>
          <w:sz w:val="24"/>
          <w:szCs w:val="24"/>
          <w:rtl/>
        </w:rPr>
        <w:tab/>
        <w:t>אנחנו לא חיים בשלום עם העניין הזה. יש ויכוח גדול מאוד במערכת.</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w:t>
      </w:r>
      <w:r>
        <w:rPr>
          <w:rFonts w:cs="David"/>
          <w:sz w:val="24"/>
          <w:szCs w:val="24"/>
          <w:u w:val="single"/>
          <w:rtl/>
        </w:rPr>
        <w:t>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צריך לפתור אותו.</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צחי הנגבי:</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ללשכת עורכי-הדין זה דגל אדום.</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 w:val="24"/>
          <w:szCs w:val="24"/>
          <w:rtl/>
        </w:rPr>
      </w:pPr>
      <w:r>
        <w:rPr>
          <w:rFonts w:cs="David"/>
          <w:sz w:val="24"/>
          <w:szCs w:val="24"/>
          <w:rtl/>
        </w:rPr>
        <w:tab/>
        <w:t>בהחלט. הסנגוריה הציבורית הוקמה למטרה אחת בלבד: לתת הגנה לאלה שחסרה להם. הסנגוריה הציבורית כבר השתלטה על הרבה תחומים שבכלל לא מתחומה. זאת אומרת, אנחנו מחסלים מקצוע פרטי. לו זו הי</w:t>
      </w:r>
      <w:r>
        <w:rPr>
          <w:rFonts w:cs="David"/>
          <w:sz w:val="24"/>
          <w:szCs w:val="24"/>
          <w:rtl/>
        </w:rPr>
        <w:t>תה הכוונה, לא של המחוקק ולא של יוזם החוק.</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נקיים על זה דיון בנפרד.</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 xml:space="preserve">הסנגוריה הציבורית לא היתה קיימת אם בארץ היה נוהג שקיים במדינות אחרות, שעורכי-דין עושים עבודה "פּרוֹבּוֹנוֹ", לטובת הציבור. </w:t>
      </w:r>
    </w:p>
    <w:p w:rsidR="00000000" w:rsidRDefault="004D257C">
      <w:pPr>
        <w:jc w:val="both"/>
        <w:rPr>
          <w:rFonts w:cs="David"/>
          <w:sz w:val="24"/>
          <w:szCs w:val="24"/>
          <w:rtl/>
        </w:rPr>
      </w:pPr>
    </w:p>
    <w:p w:rsidR="00000000" w:rsidRDefault="004D257C">
      <w:pPr>
        <w:jc w:val="both"/>
        <w:rPr>
          <w:rFonts w:cs="David"/>
          <w:sz w:val="24"/>
          <w:szCs w:val="24"/>
          <w:u w:val="single"/>
          <w:rtl/>
        </w:rPr>
      </w:pPr>
      <w:r>
        <w:rPr>
          <w:rFonts w:cs="David"/>
          <w:sz w:val="24"/>
          <w:szCs w:val="24"/>
          <w:u w:val="single"/>
          <w:rtl/>
        </w:rPr>
        <w:t>שמואל סף:</w:t>
      </w:r>
    </w:p>
    <w:p w:rsidR="00000000" w:rsidRDefault="004D257C">
      <w:pPr>
        <w:jc w:val="both"/>
        <w:rPr>
          <w:rFonts w:cs="David"/>
          <w:sz w:val="24"/>
          <w:szCs w:val="24"/>
          <w:u w:val="single"/>
          <w:rtl/>
        </w:rPr>
      </w:pPr>
    </w:p>
    <w:p w:rsidR="00000000" w:rsidRDefault="004D257C">
      <w:pPr>
        <w:jc w:val="both"/>
        <w:rPr>
          <w:rFonts w:cs="David"/>
          <w:sz w:val="24"/>
          <w:szCs w:val="24"/>
          <w:rtl/>
        </w:rPr>
      </w:pPr>
      <w:r>
        <w:rPr>
          <w:rFonts w:cs="David"/>
          <w:sz w:val="24"/>
          <w:szCs w:val="24"/>
          <w:rtl/>
        </w:rPr>
        <w:tab/>
        <w:t>עכשיו זו פוליטיקה.</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w:t>
      </w:r>
      <w:r>
        <w:rPr>
          <w:rFonts w:cs="David"/>
          <w:sz w:val="24"/>
          <w:szCs w:val="24"/>
          <w:u w:val="single"/>
          <w:rtl/>
        </w:rPr>
        <w:t>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אני לא יכול לתאר לעצמי מישהו שזקוק יותר לסנגוריה ציבורית מאשר אדם שנמצא בחדר המעצר.</w:t>
      </w:r>
    </w:p>
    <w:p w:rsidR="00000000" w:rsidRDefault="004D257C">
      <w:pPr>
        <w:jc w:val="both"/>
        <w:rPr>
          <w:rFonts w:cs="David"/>
          <w:sz w:val="24"/>
          <w:szCs w:val="24"/>
          <w:rtl/>
        </w:rPr>
      </w:pPr>
      <w:r>
        <w:rPr>
          <w:rFonts w:cs="David"/>
          <w:sz w:val="24"/>
          <w:szCs w:val="24"/>
          <w:u w:val="single"/>
          <w:rtl/>
        </w:rPr>
        <w:t>אלון בכר:</w:t>
      </w:r>
    </w:p>
    <w:p w:rsidR="00000000" w:rsidRDefault="004D257C">
      <w:pPr>
        <w:jc w:val="both"/>
        <w:rPr>
          <w:rFonts w:cs="David"/>
          <w:szCs w:val="24"/>
        </w:rPr>
      </w:pPr>
      <w:r>
        <w:rPr>
          <w:rFonts w:cs="David"/>
          <w:sz w:val="24"/>
          <w:szCs w:val="24"/>
          <w:rtl/>
        </w:rPr>
        <w:tab/>
      </w:r>
    </w:p>
    <w:p w:rsidR="00000000" w:rsidRDefault="004D257C">
      <w:pPr>
        <w:jc w:val="both"/>
        <w:rPr>
          <w:rFonts w:cs="David"/>
          <w:sz w:val="24"/>
          <w:szCs w:val="24"/>
          <w:rtl/>
        </w:rPr>
      </w:pPr>
      <w:r>
        <w:rPr>
          <w:rFonts w:cs="David"/>
          <w:sz w:val="24"/>
          <w:szCs w:val="24"/>
          <w:rtl/>
        </w:rPr>
        <w:tab/>
        <w:t>זה לא נושא הדיון, אבל נבדקו נתונים סטטיסטיים מאז שנכנס ייצוג העצורים על-ידי הסנגוריה הציבורית לתקנות. מספר האנשים שמיוצגים גדל באופן משמע</w:t>
      </w:r>
      <w:r>
        <w:rPr>
          <w:rFonts w:cs="David"/>
          <w:sz w:val="24"/>
          <w:szCs w:val="24"/>
          <w:rtl/>
        </w:rPr>
        <w:t xml:space="preserve">ותי, אבל מספר האנשים שמיוצגים על-ידי סנגור פרטי לא ירד בכלל. </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צחי הנגבי:</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70% לא מיוצגים. יש קרקע לעוד אלפי עורכי-דין.</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אנחנו לא רוצים את זה, אנחנו רוצים צמצום ההתדיינות וצמצום תעשיית המשפטים בישראל.</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רבותי, אנחנו מבקשים נוסח ש</w:t>
      </w:r>
      <w:r>
        <w:rPr>
          <w:rFonts w:cs="David"/>
          <w:sz w:val="24"/>
          <w:szCs w:val="24"/>
          <w:rtl/>
        </w:rPr>
        <w:t>ל שני התיקונים האלה: האחד - הודעה לסנגוריה הציבורית; השני - אחרי שלושה חודשים, אחרי שתי הארכות נוספות, שר המשטרה צריך לאשר.</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u w:val="single"/>
          <w:rtl/>
        </w:rPr>
        <w:t>רחל גוטליב:</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מקובל עלינו.</w:t>
      </w:r>
    </w:p>
    <w:p w:rsidR="00000000" w:rsidRDefault="004D257C">
      <w:pPr>
        <w:jc w:val="both"/>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אם מקובל, אז נאשר כך.</w:t>
      </w:r>
    </w:p>
    <w:p w:rsidR="00000000" w:rsidRDefault="004D257C">
      <w:pPr>
        <w:jc w:val="both"/>
        <w:rPr>
          <w:rFonts w:cs="David"/>
          <w:sz w:val="24"/>
          <w:szCs w:val="24"/>
          <w:rtl/>
        </w:rPr>
      </w:pPr>
    </w:p>
    <w:p w:rsidR="00000000" w:rsidRDefault="004D257C">
      <w:pPr>
        <w:jc w:val="both"/>
        <w:rPr>
          <w:rFonts w:cs="David"/>
          <w:sz w:val="24"/>
          <w:szCs w:val="24"/>
          <w:rtl/>
        </w:rPr>
      </w:pPr>
      <w:r>
        <w:rPr>
          <w:rFonts w:cs="David"/>
          <w:sz w:val="24"/>
          <w:szCs w:val="24"/>
          <w:rtl/>
        </w:rPr>
        <w:tab/>
        <w:t>מי בעד ההצעה עם התיקונים שהצעתי?</w:t>
      </w:r>
    </w:p>
    <w:p w:rsidR="00000000" w:rsidRDefault="004D257C">
      <w:pPr>
        <w:jc w:val="both"/>
        <w:rPr>
          <w:rFonts w:cs="David"/>
          <w:sz w:val="24"/>
          <w:szCs w:val="24"/>
          <w:rtl/>
        </w:rPr>
      </w:pPr>
    </w:p>
    <w:p w:rsidR="00000000" w:rsidRDefault="004D257C">
      <w:pPr>
        <w:jc w:val="center"/>
        <w:rPr>
          <w:rFonts w:cs="David"/>
          <w:sz w:val="24"/>
          <w:szCs w:val="24"/>
          <w:rtl/>
        </w:rPr>
      </w:pPr>
      <w:r>
        <w:rPr>
          <w:rFonts w:cs="David"/>
          <w:b/>
          <w:bCs/>
          <w:sz w:val="24"/>
          <w:szCs w:val="24"/>
          <w:rtl/>
        </w:rPr>
        <w:t>הצבעה</w:t>
      </w:r>
    </w:p>
    <w:p w:rsidR="00000000" w:rsidRDefault="004D257C">
      <w:pPr>
        <w:jc w:val="center"/>
        <w:rPr>
          <w:rFonts w:cs="David"/>
          <w:sz w:val="24"/>
          <w:szCs w:val="24"/>
          <w:rtl/>
        </w:rPr>
      </w:pPr>
    </w:p>
    <w:p w:rsidR="00000000" w:rsidRDefault="004D257C">
      <w:pPr>
        <w:jc w:val="center"/>
        <w:rPr>
          <w:rFonts w:cs="David"/>
          <w:sz w:val="24"/>
          <w:szCs w:val="24"/>
          <w:rtl/>
        </w:rPr>
      </w:pPr>
      <w:r>
        <w:rPr>
          <w:rFonts w:cs="David"/>
          <w:sz w:val="24"/>
          <w:szCs w:val="24"/>
          <w:rtl/>
        </w:rPr>
        <w:t>בעד אישור תק</w:t>
      </w:r>
      <w:r>
        <w:rPr>
          <w:rFonts w:cs="David"/>
          <w:sz w:val="24"/>
          <w:szCs w:val="24"/>
          <w:rtl/>
        </w:rPr>
        <w:t>נות סדר הדין הפלילי (סמכויות אכיפה - מעצרים) (תנאי החזקה במעצר) (תיקון),  התשנ"ט-1999, בכפוף לתיקונים שהציע יושב-ראש הוועדה - 2</w:t>
      </w:r>
    </w:p>
    <w:p w:rsidR="00000000" w:rsidRDefault="004D257C">
      <w:pPr>
        <w:jc w:val="center"/>
        <w:rPr>
          <w:rFonts w:cs="David"/>
          <w:sz w:val="24"/>
          <w:szCs w:val="24"/>
          <w:rtl/>
        </w:rPr>
      </w:pPr>
      <w:r>
        <w:rPr>
          <w:rFonts w:cs="David"/>
          <w:sz w:val="24"/>
          <w:szCs w:val="24"/>
          <w:rtl/>
        </w:rPr>
        <w:t>נגד - אין</w:t>
      </w:r>
    </w:p>
    <w:p w:rsidR="00000000" w:rsidRDefault="004D257C">
      <w:pPr>
        <w:jc w:val="center"/>
        <w:rPr>
          <w:rFonts w:cs="David"/>
          <w:sz w:val="24"/>
          <w:szCs w:val="24"/>
          <w:rtl/>
        </w:rPr>
      </w:pPr>
      <w:r>
        <w:rPr>
          <w:rFonts w:cs="David"/>
          <w:sz w:val="24"/>
          <w:szCs w:val="24"/>
          <w:rtl/>
        </w:rPr>
        <w:t>תקנות סדר הדין הפלילי (סמכויות אכיפה - מעצרים) (תנאי החזקה במעצר) (תיקון),  התשנ"ט-1999, בכפוף לתיקונים שהציע יושב-ראש</w:t>
      </w:r>
      <w:r>
        <w:rPr>
          <w:rFonts w:cs="David"/>
          <w:sz w:val="24"/>
          <w:szCs w:val="24"/>
          <w:rtl/>
        </w:rPr>
        <w:t xml:space="preserve"> הוועדה , אושרו.</w:t>
      </w:r>
    </w:p>
    <w:p w:rsidR="00000000" w:rsidRDefault="004D257C">
      <w:pPr>
        <w:jc w:val="center"/>
        <w:rPr>
          <w:rFonts w:cs="David"/>
          <w:sz w:val="24"/>
          <w:szCs w:val="24"/>
          <w:rtl/>
        </w:rPr>
      </w:pPr>
    </w:p>
    <w:p w:rsidR="00000000" w:rsidRDefault="004D257C">
      <w:pPr>
        <w:rPr>
          <w:rFonts w:cs="David"/>
          <w:sz w:val="24"/>
          <w:szCs w:val="24"/>
          <w:rtl/>
        </w:rPr>
      </w:pPr>
      <w:r>
        <w:rPr>
          <w:rFonts w:cs="David"/>
          <w:sz w:val="24"/>
          <w:szCs w:val="24"/>
          <w:u w:val="single"/>
          <w:rtl/>
        </w:rPr>
        <w:t>היו"ר אמנון רובינשטיין:</w:t>
      </w:r>
    </w:p>
    <w:p w:rsidR="00000000" w:rsidRDefault="004D257C">
      <w:pPr>
        <w:rPr>
          <w:rFonts w:cs="David"/>
          <w:sz w:val="24"/>
          <w:szCs w:val="24"/>
          <w:rtl/>
        </w:rPr>
      </w:pPr>
    </w:p>
    <w:p w:rsidR="00000000" w:rsidRDefault="004D257C">
      <w:pPr>
        <w:jc w:val="both"/>
        <w:rPr>
          <w:rFonts w:cs="David"/>
          <w:sz w:val="24"/>
          <w:szCs w:val="24"/>
          <w:rtl/>
        </w:rPr>
      </w:pPr>
      <w:r>
        <w:rPr>
          <w:rFonts w:cs="David"/>
          <w:sz w:val="24"/>
          <w:szCs w:val="24"/>
          <w:rtl/>
        </w:rPr>
        <w:tab/>
        <w:t>הוועדה אישרה. הישיבה נעולה. תודה רבה.</w:t>
      </w:r>
    </w:p>
    <w:p w:rsidR="00000000" w:rsidRDefault="004D257C">
      <w:pPr>
        <w:jc w:val="both"/>
        <w:rPr>
          <w:rFonts w:cs="David"/>
          <w:sz w:val="24"/>
          <w:szCs w:val="24"/>
          <w:rtl/>
        </w:rPr>
      </w:pPr>
    </w:p>
    <w:p w:rsidR="00000000" w:rsidRDefault="004D257C">
      <w:pPr>
        <w:jc w:val="center"/>
        <w:rPr>
          <w:rFonts w:cs="David"/>
          <w:szCs w:val="24"/>
        </w:rPr>
      </w:pPr>
      <w:r>
        <w:rPr>
          <w:rFonts w:cs="David"/>
          <w:b/>
          <w:bCs/>
          <w:sz w:val="24"/>
          <w:szCs w:val="24"/>
          <w:u w:val="single"/>
          <w:rtl/>
        </w:rPr>
        <w:t>הישיבה ננעלה בשעה 09:23</w:t>
      </w:r>
    </w:p>
    <w:sectPr w:rsidR="00000000">
      <w:headerReference w:type="default" r:id="rId6"/>
      <w:pgSz w:w="11907" w:h="16840" w:code="9"/>
      <w:pgMar w:top="1440" w:right="1797" w:bottom="144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257C">
      <w:r>
        <w:separator/>
      </w:r>
    </w:p>
  </w:endnote>
  <w:endnote w:type="continuationSeparator" w:id="0">
    <w:p w:rsidR="00000000" w:rsidRDefault="004D2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257C">
      <w:r>
        <w:separator/>
      </w:r>
    </w:p>
  </w:footnote>
  <w:footnote w:type="continuationSeparator" w:id="0">
    <w:p w:rsidR="00000000" w:rsidRDefault="004D25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257C">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4D257C">
    <w:pPr>
      <w:pStyle w:val="a3"/>
      <w:ind w:right="360"/>
      <w:rPr>
        <w:rFonts w:cs="David"/>
        <w:sz w:val="24"/>
        <w:szCs w:val="24"/>
        <w:rtl/>
      </w:rPr>
    </w:pPr>
    <w:r>
      <w:rPr>
        <w:rFonts w:cs="David"/>
        <w:sz w:val="24"/>
        <w:szCs w:val="24"/>
        <w:rtl/>
      </w:rPr>
      <w:t>ועדת החוקה, חוק ומשפט</w:t>
    </w:r>
    <w:r>
      <w:rPr>
        <w:rFonts w:cs="David"/>
        <w:sz w:val="24"/>
        <w:szCs w:val="24"/>
        <w:rtl/>
      </w:rPr>
      <w:tab/>
    </w:r>
    <w:r>
      <w:rPr>
        <w:rFonts w:cs="David"/>
        <w:sz w:val="24"/>
        <w:szCs w:val="24"/>
        <w:rtl/>
      </w:rPr>
      <w:tab/>
    </w:r>
  </w:p>
  <w:p w:rsidR="00000000" w:rsidRDefault="004D257C">
    <w:pPr>
      <w:pStyle w:val="a3"/>
      <w:ind w:right="360"/>
      <w:rPr>
        <w:rtl/>
      </w:rPr>
    </w:pPr>
    <w:r>
      <w:rPr>
        <w:rFonts w:cs="David"/>
        <w:sz w:val="24"/>
        <w:szCs w:val="24"/>
        <w:rtl/>
      </w:rPr>
      <w:t>6.10.1999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257C"/>
    <w:rsid w:val="004D25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680A45-0926-4A81-8A92-83CD70461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אסתר</Template>
  <TotalTime>0</TotalTime>
  <Pages>6</Pages>
  <Words>2500</Words>
  <Characters>12505</Characters>
  <Application>Microsoft Office Word</Application>
  <DocSecurity>0</DocSecurity>
  <Lines>104</Lines>
  <Paragraphs>29</Paragraphs>
  <ScaleCrop>false</ScaleCrop>
  <Company>כנסת</Company>
  <LinksUpToDate>false</LinksUpToDate>
  <CharactersWithSpaces>14976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dc:title>
  <dc:subject/>
  <dc:creator>כנסת</dc:creator>
  <cp:keywords/>
  <dc:description/>
  <cp:lastModifiedBy>רינה דבורה קדרון</cp:lastModifiedBy>
  <cp:revision>2</cp:revision>
  <cp:lastPrinted>1999-10-06T16:00:00Z</cp:lastPrinted>
  <dcterms:created xsi:type="dcterms:W3CDTF">2017-04-19T08:34:00Z</dcterms:created>
  <dcterms:modified xsi:type="dcterms:W3CDTF">2017-04-19T08:34:00Z</dcterms:modified>
</cp:coreProperties>
</file>