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B6EAE">
      <w:pPr>
        <w:jc w:val="right"/>
        <w:rPr>
          <w:rtl/>
        </w:rPr>
      </w:pPr>
      <w:bookmarkStart w:id="0" w:name="_GoBack"/>
      <w:bookmarkEnd w:id="0"/>
      <w:r>
        <w:rPr>
          <w:rtl/>
        </w:rPr>
        <w:t>פרוטוקולים/ועדת חוקה/1826</w:t>
      </w:r>
    </w:p>
    <w:p w:rsidR="00000000" w:rsidRDefault="009B6EAE">
      <w:pPr>
        <w:jc w:val="right"/>
        <w:rPr>
          <w:rtl/>
        </w:rPr>
      </w:pPr>
      <w:r>
        <w:rPr>
          <w:rtl/>
        </w:rPr>
        <w:tab/>
        <w:t>ירושלים, י"ג בתשרי, תשס"א</w:t>
      </w:r>
    </w:p>
    <w:p w:rsidR="00000000" w:rsidRDefault="009B6EAE">
      <w:pPr>
        <w:jc w:val="right"/>
        <w:rPr>
          <w:rtl/>
          <w:lang w:val="es"/>
        </w:rPr>
      </w:pPr>
      <w:r>
        <w:rPr>
          <w:rtl/>
          <w:lang w:val="es"/>
        </w:rPr>
        <w:t>12 באוקטובר, 2000</w:t>
      </w:r>
    </w:p>
    <w:p w:rsidR="00000000" w:rsidRDefault="009B6EAE">
      <w:pPr>
        <w:jc w:val="right"/>
        <w:rPr>
          <w:rtl/>
        </w:rPr>
      </w:pPr>
    </w:p>
    <w:p w:rsidR="00000000" w:rsidRDefault="009B6EAE">
      <w:pPr>
        <w:jc w:val="both"/>
        <w:rPr>
          <w:b/>
          <w:bCs/>
          <w:rtl/>
        </w:rPr>
      </w:pPr>
      <w:r>
        <w:rPr>
          <w:b/>
          <w:bCs/>
          <w:rtl/>
        </w:rPr>
        <w:t>הכנסת החמש-עשרה</w:t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b/>
          <w:bCs/>
          <w:rtl/>
        </w:rPr>
        <w:tab/>
      </w:r>
      <w:r>
        <w:rPr>
          <w:rtl/>
        </w:rPr>
        <w:t>נוסח לא מתוקן</w:t>
      </w:r>
    </w:p>
    <w:p w:rsidR="00000000" w:rsidRDefault="009B6EAE">
      <w:pPr>
        <w:jc w:val="both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000000" w:rsidRDefault="009B6EAE">
      <w:pPr>
        <w:jc w:val="both"/>
        <w:rPr>
          <w:b/>
          <w:bCs/>
          <w:rtl/>
        </w:rPr>
      </w:pPr>
    </w:p>
    <w:p w:rsidR="00000000" w:rsidRDefault="009B6EAE">
      <w:pPr>
        <w:jc w:val="both"/>
        <w:rPr>
          <w:b/>
          <w:bCs/>
          <w:rtl/>
        </w:rPr>
      </w:pPr>
    </w:p>
    <w:p w:rsidR="00000000" w:rsidRDefault="009B6EAE">
      <w:pPr>
        <w:jc w:val="both"/>
        <w:rPr>
          <w:b/>
          <w:bCs/>
          <w:rtl/>
        </w:rPr>
      </w:pPr>
    </w:p>
    <w:p w:rsidR="00000000" w:rsidRDefault="009B6EAE">
      <w:pPr>
        <w:jc w:val="both"/>
        <w:rPr>
          <w:b/>
          <w:bCs/>
          <w:rtl/>
        </w:rPr>
      </w:pPr>
    </w:p>
    <w:p w:rsidR="00000000" w:rsidRDefault="009B6EAE">
      <w:pPr>
        <w:jc w:val="center"/>
        <w:rPr>
          <w:b/>
          <w:bCs/>
          <w:rtl/>
        </w:rPr>
      </w:pPr>
      <w:r>
        <w:rPr>
          <w:b/>
          <w:bCs/>
          <w:rtl/>
        </w:rPr>
        <w:t>פרוטוקול מס' 40</w:t>
      </w:r>
    </w:p>
    <w:p w:rsidR="00000000" w:rsidRDefault="009B6EAE">
      <w:pPr>
        <w:jc w:val="center"/>
        <w:rPr>
          <w:rtl/>
        </w:rPr>
      </w:pPr>
      <w:r>
        <w:rPr>
          <w:b/>
          <w:bCs/>
          <w:rtl/>
        </w:rPr>
        <w:t>מישיבת ועדת החוקה, חוק ומשפט</w:t>
      </w:r>
    </w:p>
    <w:p w:rsidR="00000000" w:rsidRDefault="009B6EAE">
      <w:pPr>
        <w:jc w:val="center"/>
        <w:rPr>
          <w:rtl/>
        </w:rPr>
      </w:pPr>
      <w:r>
        <w:rPr>
          <w:b/>
          <w:bCs/>
          <w:u w:val="single"/>
          <w:rtl/>
        </w:rPr>
        <w:t xml:space="preserve">יום רביעי, ט"ו בכסלו התש"ס (24 בנובמבר 1999), שעה 09:30 </w:t>
      </w:r>
    </w:p>
    <w:p w:rsidR="00000000" w:rsidRDefault="009B6EAE">
      <w:pPr>
        <w:jc w:val="center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0000" w:rsidRDefault="009B6EAE">
      <w:pPr>
        <w:jc w:val="both"/>
        <w:rPr>
          <w:b/>
          <w:bCs/>
          <w:u w:val="single"/>
          <w:rtl/>
        </w:rPr>
      </w:pP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1471"/>
        <w:gridCol w:w="3526"/>
        <w:gridCol w:w="3526"/>
      </w:tblGrid>
      <w:tr w:rsidR="009B6EAE" w:rsidTr="009B6EAE">
        <w:tblPrEx>
          <w:tblCellMar>
            <w:top w:w="0" w:type="dxa"/>
            <w:bottom w:w="0" w:type="dxa"/>
          </w:tblCellMar>
        </w:tblPrEx>
        <w:tc>
          <w:tcPr>
            <w:tcW w:w="1471" w:type="dxa"/>
          </w:tcPr>
          <w:p w:rsidR="009B6EAE" w:rsidRDefault="009B6EAE">
            <w:pPr>
              <w:jc w:val="both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חברי הוועדה:</w:t>
            </w:r>
          </w:p>
        </w:tc>
        <w:tc>
          <w:tcPr>
            <w:tcW w:w="3526" w:type="dxa"/>
          </w:tcPr>
          <w:p w:rsidR="009B6EAE" w:rsidRDefault="009B6EAE">
            <w:pPr>
              <w:jc w:val="both"/>
              <w:rPr>
                <w:b/>
                <w:bCs/>
                <w:u w:val="single"/>
                <w:rtl/>
              </w:rPr>
            </w:pPr>
            <w:r>
              <w:rPr>
                <w:rtl/>
              </w:rPr>
              <w:t>אמנון רובינשטיין  -  היו"ר</w:t>
            </w:r>
          </w:p>
        </w:tc>
        <w:tc>
          <w:tcPr>
            <w:tcW w:w="3526" w:type="dxa"/>
          </w:tcPr>
          <w:p w:rsidR="009B6EAE" w:rsidRDefault="009B6EAE">
            <w:pPr>
              <w:jc w:val="both"/>
              <w:rPr>
                <w:b/>
                <w:bCs/>
                <w:u w:val="single"/>
                <w:rtl/>
              </w:rPr>
            </w:pPr>
          </w:p>
        </w:tc>
      </w:tr>
      <w:tr w:rsidR="009B6EAE" w:rsidTr="009B6EAE">
        <w:tblPrEx>
          <w:tblCellMar>
            <w:top w:w="0" w:type="dxa"/>
            <w:bottom w:w="0" w:type="dxa"/>
          </w:tblCellMar>
        </w:tblPrEx>
        <w:tc>
          <w:tcPr>
            <w:tcW w:w="1471" w:type="dxa"/>
          </w:tcPr>
          <w:p w:rsidR="009B6EAE" w:rsidRDefault="009B6EAE">
            <w:pPr>
              <w:jc w:val="both"/>
              <w:rPr>
                <w:b/>
                <w:bCs/>
                <w:u w:val="single"/>
                <w:rtl/>
              </w:rPr>
            </w:pPr>
          </w:p>
        </w:tc>
        <w:tc>
          <w:tcPr>
            <w:tcW w:w="3526" w:type="dxa"/>
          </w:tcPr>
          <w:p w:rsidR="009B6EAE" w:rsidRDefault="009B6EAE">
            <w:pPr>
              <w:jc w:val="both"/>
              <w:rPr>
                <w:b/>
                <w:bCs/>
                <w:u w:val="single"/>
                <w:rtl/>
              </w:rPr>
            </w:pPr>
            <w:r>
              <w:rPr>
                <w:rtl/>
              </w:rPr>
              <w:t>דליה רבין-פילוסוף</w:t>
            </w:r>
          </w:p>
        </w:tc>
        <w:tc>
          <w:tcPr>
            <w:tcW w:w="3526" w:type="dxa"/>
          </w:tcPr>
          <w:p w:rsidR="009B6EAE" w:rsidRDefault="009B6EAE">
            <w:pPr>
              <w:jc w:val="both"/>
              <w:rPr>
                <w:b/>
                <w:bCs/>
                <w:u w:val="single"/>
                <w:rtl/>
              </w:rPr>
            </w:pPr>
          </w:p>
        </w:tc>
      </w:tr>
    </w:tbl>
    <w:p w:rsidR="00000000" w:rsidRDefault="009B6EAE">
      <w:pPr>
        <w:jc w:val="both"/>
        <w:rPr>
          <w:b/>
          <w:bCs/>
          <w:u w:val="single"/>
          <w:rtl/>
        </w:rPr>
      </w:pPr>
    </w:p>
    <w:p w:rsidR="00000000" w:rsidRDefault="009B6EAE">
      <w:pPr>
        <w:tabs>
          <w:tab w:val="left" w:pos="1505"/>
        </w:tabs>
        <w:jc w:val="both"/>
        <w:rPr>
          <w:rtl/>
        </w:rPr>
      </w:pPr>
    </w:p>
    <w:p w:rsidR="00000000" w:rsidRDefault="009B6EAE">
      <w:pPr>
        <w:tabs>
          <w:tab w:val="left" w:pos="1505"/>
        </w:tabs>
        <w:jc w:val="both"/>
        <w:rPr>
          <w:rtl/>
        </w:rPr>
      </w:pPr>
    </w:p>
    <w:p w:rsidR="00000000" w:rsidRDefault="009B6EAE">
      <w:pPr>
        <w:tabs>
          <w:tab w:val="left" w:pos="1505"/>
        </w:tabs>
        <w:jc w:val="both"/>
        <w:rPr>
          <w:rtl/>
        </w:rPr>
      </w:pPr>
    </w:p>
    <w:tbl>
      <w:tblPr>
        <w:bidiVisual/>
        <w:tblW w:w="0" w:type="auto"/>
        <w:tblLayout w:type="fixed"/>
        <w:tblLook w:val="0000" w:firstRow="0" w:lastRow="0" w:firstColumn="0" w:lastColumn="0" w:noHBand="0" w:noVBand="0"/>
      </w:tblPr>
      <w:tblGrid>
        <w:gridCol w:w="1471"/>
        <w:gridCol w:w="2693"/>
        <w:gridCol w:w="4359"/>
      </w:tblGrid>
      <w:tr w:rsidR="009B6EAE" w:rsidTr="009B6EAE">
        <w:tblPrEx>
          <w:tblCellMar>
            <w:top w:w="0" w:type="dxa"/>
            <w:bottom w:w="0" w:type="dxa"/>
          </w:tblCellMar>
        </w:tblPrEx>
        <w:tc>
          <w:tcPr>
            <w:tcW w:w="1471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b/>
                <w:bCs/>
                <w:u w:val="single"/>
                <w:rtl/>
              </w:rPr>
              <w:t>מוזמנים:</w:t>
            </w:r>
          </w:p>
        </w:tc>
        <w:tc>
          <w:tcPr>
            <w:tcW w:w="2693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rtl/>
              </w:rPr>
              <w:t>עו"ד יפעת רווה</w:t>
            </w:r>
          </w:p>
        </w:tc>
        <w:tc>
          <w:tcPr>
            <w:tcW w:w="4359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rtl/>
              </w:rPr>
              <w:t>- משרד המשפטים</w:t>
            </w:r>
          </w:p>
        </w:tc>
      </w:tr>
      <w:tr w:rsidR="009B6EAE" w:rsidTr="009B6EAE">
        <w:tblPrEx>
          <w:tblCellMar>
            <w:top w:w="0" w:type="dxa"/>
            <w:bottom w:w="0" w:type="dxa"/>
          </w:tblCellMar>
        </w:tblPrEx>
        <w:tc>
          <w:tcPr>
            <w:tcW w:w="1471" w:type="dxa"/>
          </w:tcPr>
          <w:p w:rsidR="009B6EAE" w:rsidRDefault="009B6EAE">
            <w:pPr>
              <w:jc w:val="both"/>
              <w:rPr>
                <w:rtl/>
              </w:rPr>
            </w:pPr>
          </w:p>
        </w:tc>
        <w:tc>
          <w:tcPr>
            <w:tcW w:w="2693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rtl/>
              </w:rPr>
              <w:t>עו"ד יעל אביר</w:t>
            </w:r>
          </w:p>
        </w:tc>
        <w:tc>
          <w:tcPr>
            <w:tcW w:w="4359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rtl/>
              </w:rPr>
              <w:t>- משרד האוצר, יועמ"ש אגף מכס</w:t>
            </w:r>
          </w:p>
        </w:tc>
      </w:tr>
      <w:tr w:rsidR="009B6EAE" w:rsidTr="009B6EAE">
        <w:tblPrEx>
          <w:tblCellMar>
            <w:top w:w="0" w:type="dxa"/>
            <w:bottom w:w="0" w:type="dxa"/>
          </w:tblCellMar>
        </w:tblPrEx>
        <w:tc>
          <w:tcPr>
            <w:tcW w:w="1471" w:type="dxa"/>
          </w:tcPr>
          <w:p w:rsidR="009B6EAE" w:rsidRDefault="009B6EAE">
            <w:pPr>
              <w:jc w:val="both"/>
              <w:rPr>
                <w:rtl/>
              </w:rPr>
            </w:pPr>
          </w:p>
        </w:tc>
        <w:tc>
          <w:tcPr>
            <w:tcW w:w="2693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rtl/>
              </w:rPr>
              <w:t>עו"ד טל ירון-אלדר</w:t>
            </w:r>
          </w:p>
        </w:tc>
        <w:tc>
          <w:tcPr>
            <w:tcW w:w="4359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rtl/>
              </w:rPr>
              <w:t>- משרד האוצר, יועמ"ש אגף מכס</w:t>
            </w:r>
          </w:p>
        </w:tc>
      </w:tr>
      <w:tr w:rsidR="009B6EAE" w:rsidTr="009B6EAE">
        <w:tblPrEx>
          <w:tblCellMar>
            <w:top w:w="0" w:type="dxa"/>
            <w:bottom w:w="0" w:type="dxa"/>
          </w:tblCellMar>
        </w:tblPrEx>
        <w:tc>
          <w:tcPr>
            <w:tcW w:w="1471" w:type="dxa"/>
          </w:tcPr>
          <w:p w:rsidR="009B6EAE" w:rsidRDefault="009B6EAE">
            <w:pPr>
              <w:jc w:val="both"/>
              <w:rPr>
                <w:rtl/>
              </w:rPr>
            </w:pPr>
          </w:p>
        </w:tc>
        <w:tc>
          <w:tcPr>
            <w:tcW w:w="2693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rtl/>
              </w:rPr>
              <w:t>עו"ד שרה קנדלר</w:t>
            </w:r>
          </w:p>
        </w:tc>
        <w:tc>
          <w:tcPr>
            <w:tcW w:w="4359" w:type="dxa"/>
          </w:tcPr>
          <w:p w:rsidR="009B6EAE" w:rsidRDefault="009B6EAE">
            <w:pPr>
              <w:jc w:val="both"/>
              <w:rPr>
                <w:rtl/>
              </w:rPr>
            </w:pPr>
            <w:r>
              <w:rPr>
                <w:rtl/>
              </w:rPr>
              <w:t>- משרד האוצר מח' משפטית המכס והמע"מ</w:t>
            </w:r>
          </w:p>
        </w:tc>
      </w:tr>
    </w:tbl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יועץ משפטי</w:t>
      </w:r>
      <w:r>
        <w:rPr>
          <w:rtl/>
        </w:rPr>
        <w:t>:</w:t>
      </w:r>
      <w:r>
        <w:rPr>
          <w:rtl/>
        </w:rPr>
        <w:tab/>
        <w:t>שלמה ש</w:t>
      </w:r>
      <w:r>
        <w:rPr>
          <w:rtl/>
        </w:rPr>
        <w:t>הם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מנהל/ת הוועדה</w:t>
      </w:r>
      <w:r>
        <w:rPr>
          <w:rtl/>
        </w:rPr>
        <w:t>:</w:t>
      </w:r>
      <w:r>
        <w:rPr>
          <w:rtl/>
        </w:rPr>
        <w:tab/>
        <w:t>דורית ואג</w:t>
      </w:r>
    </w:p>
    <w:p w:rsidR="00000000" w:rsidRDefault="009B6EAE">
      <w:pPr>
        <w:tabs>
          <w:tab w:val="left" w:pos="2835"/>
        </w:tabs>
        <w:jc w:val="both"/>
        <w:rPr>
          <w:rtl/>
        </w:rPr>
      </w:pPr>
    </w:p>
    <w:p w:rsidR="00000000" w:rsidRDefault="009B6EAE">
      <w:pPr>
        <w:tabs>
          <w:tab w:val="left" w:pos="2835"/>
        </w:tabs>
        <w:jc w:val="both"/>
        <w:rPr>
          <w:rtl/>
        </w:rPr>
      </w:pPr>
    </w:p>
    <w:p w:rsidR="00000000" w:rsidRDefault="009B6EAE">
      <w:pPr>
        <w:tabs>
          <w:tab w:val="left" w:pos="2835"/>
        </w:tabs>
        <w:jc w:val="both"/>
        <w:rPr>
          <w:rtl/>
        </w:rPr>
      </w:pPr>
    </w:p>
    <w:p w:rsidR="00000000" w:rsidRDefault="009B6EAE">
      <w:pPr>
        <w:tabs>
          <w:tab w:val="left" w:pos="2835"/>
        </w:tabs>
        <w:jc w:val="both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מתמחה ליועץ המשפטי:</w:t>
      </w:r>
      <w:r>
        <w:rPr>
          <w:rtl/>
        </w:rPr>
        <w:tab/>
        <w:t>הראל ארנון</w:t>
      </w:r>
    </w:p>
    <w:p w:rsidR="00000000" w:rsidRDefault="009B6EAE">
      <w:pPr>
        <w:jc w:val="both"/>
        <w:rPr>
          <w:b/>
          <w:bCs/>
          <w:u w:val="single"/>
          <w:rtl/>
        </w:rPr>
      </w:pPr>
    </w:p>
    <w:p w:rsidR="00000000" w:rsidRDefault="009B6EAE">
      <w:pPr>
        <w:jc w:val="both"/>
        <w:rPr>
          <w:b/>
          <w:bCs/>
          <w:u w:val="single"/>
          <w:rtl/>
        </w:rPr>
      </w:pPr>
    </w:p>
    <w:p w:rsidR="00000000" w:rsidRDefault="009B6EAE">
      <w:pPr>
        <w:jc w:val="both"/>
        <w:rPr>
          <w:b/>
          <w:bCs/>
          <w:u w:val="single"/>
          <w:rtl/>
        </w:rPr>
      </w:pPr>
    </w:p>
    <w:p w:rsidR="00000000" w:rsidRDefault="009B6EAE">
      <w:pPr>
        <w:tabs>
          <w:tab w:val="left" w:pos="2835"/>
        </w:tabs>
        <w:jc w:val="both"/>
        <w:rPr>
          <w:rtl/>
        </w:rPr>
      </w:pPr>
      <w:r>
        <w:rPr>
          <w:b/>
          <w:bCs/>
          <w:u w:val="single"/>
          <w:rtl/>
        </w:rPr>
        <w:t>קצרנית</w:t>
      </w:r>
      <w:r>
        <w:rPr>
          <w:rtl/>
        </w:rPr>
        <w:t>:</w:t>
      </w:r>
      <w:r>
        <w:rPr>
          <w:rtl/>
        </w:rPr>
        <w:tab/>
        <w:t>אסתר מימון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</w:p>
    <w:p w:rsidR="00000000" w:rsidRDefault="009B6EAE">
      <w:pPr>
        <w:ind w:left="1646" w:hanging="1646"/>
        <w:jc w:val="both"/>
        <w:rPr>
          <w:rtl/>
        </w:rPr>
      </w:pPr>
      <w:r>
        <w:rPr>
          <w:b/>
          <w:bCs/>
          <w:u w:val="single"/>
          <w:rtl/>
        </w:rPr>
        <w:t>סדר היום:</w:t>
      </w:r>
      <w:r>
        <w:rPr>
          <w:rtl/>
        </w:rPr>
        <w:tab/>
        <w:t>תקנות העבירות המינהליות (קנס מינהלי - חיקוקי מסים) (תיקון), התשנ"ט1999-</w:t>
      </w:r>
    </w:p>
    <w:p w:rsidR="00000000" w:rsidRDefault="009B6EAE">
      <w:pPr>
        <w:rPr>
          <w:rtl/>
        </w:rPr>
      </w:pPr>
      <w:r>
        <w:rPr>
          <w:rtl/>
        </w:rPr>
        <w:br w:type="page"/>
      </w:r>
      <w:r>
        <w:rPr>
          <w:b/>
          <w:bCs/>
          <w:u w:val="single"/>
          <w:rtl/>
        </w:rPr>
        <w:lastRenderedPageBreak/>
        <w:t>תקנות העבירות המינהליות (קנס מינהלי - חיקוקי מסים) (תיקון), התשנ"ט1999-</w:t>
      </w:r>
    </w:p>
    <w:p w:rsidR="00000000" w:rsidRDefault="009B6EAE">
      <w:pPr>
        <w:rPr>
          <w:rtl/>
        </w:rPr>
      </w:pPr>
    </w:p>
    <w:p w:rsidR="00000000" w:rsidRDefault="009B6EAE">
      <w:pPr>
        <w:rPr>
          <w:u w:val="single"/>
          <w:rtl/>
        </w:rPr>
      </w:pPr>
      <w:r>
        <w:rPr>
          <w:u w:val="single"/>
          <w:rtl/>
        </w:rPr>
        <w:t>היו"ר אמנון</w:t>
      </w:r>
      <w:r>
        <w:rPr>
          <w:u w:val="single"/>
          <w:rtl/>
        </w:rPr>
        <w:t xml:space="preserve"> רובינשטיין:</w:t>
      </w:r>
    </w:p>
    <w:p w:rsidR="00000000" w:rsidRDefault="009B6EAE">
      <w:pPr>
        <w:rPr>
          <w:u w:val="single"/>
          <w:rtl/>
        </w:rPr>
      </w:pPr>
    </w:p>
    <w:p w:rsidR="00000000" w:rsidRDefault="009B6EAE">
      <w:pPr>
        <w:rPr>
          <w:rtl/>
        </w:rPr>
      </w:pPr>
      <w:r>
        <w:rPr>
          <w:rtl/>
        </w:rPr>
        <w:tab/>
        <w:t>בוקר טוב. הישיבה פתוחה. הנושא הראשון והיחיד בישיבה: תקנות העבירות המינהליות (קנס מינהלי - חיקוקי מסים) (תיקון). יש כאן עניין טכני.</w:t>
      </w:r>
    </w:p>
    <w:p w:rsidR="00000000" w:rsidRDefault="009B6EAE">
      <w:pPr>
        <w:rPr>
          <w:rtl/>
        </w:rPr>
      </w:pPr>
    </w:p>
    <w:p w:rsidR="00000000" w:rsidRDefault="009B6EAE">
      <w:pPr>
        <w:rPr>
          <w:rtl/>
        </w:rPr>
      </w:pPr>
      <w:r>
        <w:rPr>
          <w:rtl/>
        </w:rPr>
        <w:tab/>
        <w:t>מי מסביר?</w:t>
      </w:r>
    </w:p>
    <w:p w:rsidR="00000000" w:rsidRDefault="009B6EAE">
      <w:pPr>
        <w:rPr>
          <w:rtl/>
        </w:rPr>
      </w:pPr>
    </w:p>
    <w:p w:rsidR="00000000" w:rsidRDefault="009B6EAE">
      <w:pPr>
        <w:rPr>
          <w:rtl/>
        </w:rPr>
      </w:pPr>
      <w:r>
        <w:rPr>
          <w:u w:val="single"/>
          <w:rtl/>
        </w:rPr>
        <w:t>טלי אלדר-ירון:</w:t>
      </w:r>
    </w:p>
    <w:p w:rsidR="00000000" w:rsidRDefault="009B6EAE">
      <w:pPr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 xml:space="preserve">אנחנו מדברים על מעבר שאנחנו קוראים לו ביומיום "מסלול אדום ירוק" בשדה התעופה. יש </w:t>
      </w:r>
      <w:r>
        <w:rPr>
          <w:rtl/>
        </w:rPr>
        <w:t>קביעה בתקנות המכס שזו מעין הצהרה, ומי שמצהיר הצהרה לא נכונה למכס, עובר במסלול הירוק, ויש לו טובין שהוא חייב עליהם במסים, מותר להטיל עליו קנס מינהלי בגובה 100% מתשלום המס.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9B6EAE">
      <w:pPr>
        <w:rPr>
          <w:u w:val="single"/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זה הכול?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u w:val="single"/>
          <w:rtl/>
        </w:rPr>
        <w:t>טלי אלדר-ירון: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חוץ מהמס שאתה צריך לשלם, אתה צר</w:t>
      </w:r>
      <w:r>
        <w:rPr>
          <w:rtl/>
        </w:rPr>
        <w:t>יך גם לשלם קנס בגובה 100% מהמס.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9B6EAE">
      <w:pPr>
        <w:rPr>
          <w:u w:val="single"/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אמרו לי שההפחתות מאוד קטנו, מכיוון שהמחירים בחוץ-לארץ כל כך יקרים.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u w:val="single"/>
          <w:rtl/>
        </w:rPr>
        <w:t>טלי אלדר-ירון: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גם, ויש הרבה מוצרים שהחלטנו לוותר עליהם מראש, בגלל ה200- דולר.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9B6EAE">
      <w:pPr>
        <w:rPr>
          <w:u w:val="single"/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הניסוי שעשה המכס עם הפ</w:t>
      </w:r>
      <w:r>
        <w:rPr>
          <w:rtl/>
        </w:rPr>
        <w:t>חתת המסים בשוק המקומי על טלוויזיות קטנות הצליח?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u w:val="single"/>
          <w:rtl/>
        </w:rPr>
        <w:t>טלי אלדר ירון: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אני לא מכירה את הנושא הזה.</w:t>
      </w:r>
    </w:p>
    <w:p w:rsidR="00000000" w:rsidRDefault="009B6EAE">
      <w:pPr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בשנת 1995 תיקנו את סעיף 30א לפקודת המכס, ונעשה איזה תיקון בניסוח שלו, שזה הסעיף המסמיך לקביעת התקנות ולקביעת האחריות בגינן. המשכנו להפעיל את הקנס המינהלי בינתיים</w:t>
      </w:r>
      <w:r>
        <w:rPr>
          <w:rtl/>
        </w:rPr>
        <w:t>, והבנו שיש בעיה ניסוחית, והבאנו את זה לכאן.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9B6EAE">
      <w:pPr>
        <w:rPr>
          <w:u w:val="single"/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נאשר את התקנות, אבל יש לי הערה אחת. אני חושב שהעונש הזה לא מספיק מרתיע.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u w:val="single"/>
          <w:rtl/>
        </w:rPr>
        <w:t>טלי אלדר-ירון: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אני מבינה שנעשית בכלל בדיקה.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9B6EAE">
      <w:pPr>
        <w:rPr>
          <w:u w:val="single"/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זה לא עונש מרתיע. אם זה רק פי-שניים זה</w:t>
      </w:r>
      <w:r>
        <w:rPr>
          <w:rtl/>
        </w:rPr>
        <w:t xml:space="preserve"> לא מרתיע. אם כי ההברחות מאוד קטנו, והם יקטנו עוד יותר, אם הניסוי עם הטלוויזיות הקטנות יצליח, מכיוון שהמחירים של מוצרי אלקטרוניקה בחוץ-לארץ, למעט ארצות-הברית, באופן בסיסי הם גבוהים מאוד היום, ויש ביקורת של הדיוטי-פרי. </w:t>
      </w:r>
    </w:p>
    <w:p w:rsidR="00000000" w:rsidRDefault="009B6EAE">
      <w:pPr>
        <w:jc w:val="both"/>
        <w:rPr>
          <w:rtl/>
        </w:rPr>
      </w:pPr>
      <w:r>
        <w:rPr>
          <w:u w:val="single"/>
          <w:rtl/>
        </w:rPr>
        <w:br w:type="page"/>
      </w:r>
      <w:r>
        <w:rPr>
          <w:u w:val="single"/>
          <w:rtl/>
        </w:rPr>
        <w:lastRenderedPageBreak/>
        <w:t>טלי אלדר-ירון: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הם יקטנו עוד יותר ב</w:t>
      </w:r>
      <w:r>
        <w:rPr>
          <w:rtl/>
        </w:rPr>
        <w:t>רגע שירדו מסי הקנייה.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rPr>
          <w:u w:val="single"/>
          <w:rtl/>
        </w:rPr>
      </w:pPr>
      <w:r>
        <w:rPr>
          <w:u w:val="single"/>
          <w:rtl/>
        </w:rPr>
        <w:t>היו"ר אמנון רובינשטיין:</w:t>
      </w:r>
    </w:p>
    <w:p w:rsidR="00000000" w:rsidRDefault="009B6EAE">
      <w:pPr>
        <w:rPr>
          <w:u w:val="single"/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 xml:space="preserve">על זה אני מדבר. הורידו את מסי הקנייה לטלוויזיות הקטנות. 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ind w:firstLine="567"/>
        <w:jc w:val="both"/>
        <w:rPr>
          <w:rtl/>
        </w:rPr>
      </w:pPr>
      <w:r>
        <w:rPr>
          <w:rtl/>
        </w:rPr>
        <w:t>תבקשי ממנהל המכס שישלח סקירה בכתב, הוא לא חייב בהתייצבות אישית, על תוצאות הניסוי של הפחתת המיסוי על הטלוויזיות הקטנות, האם זה הגדיל את המכירות בחנויו</w:t>
      </w:r>
      <w:r>
        <w:rPr>
          <w:rtl/>
        </w:rPr>
        <w:t>ת והאם זה שינה משהו. הרי זו היתה הפשרה שהצענו בעניין הדיוטי-פרי, לפני שזה הגיע לבג"ץ. הצענו שהמיסוי על אלקטרוניקה ירד באופן הדרגתי, והכנסות המכס לא תפחתנה, מכיוון שאז יקנו יותר בישראל.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u w:val="single"/>
          <w:rtl/>
        </w:rPr>
        <w:t>טלי אלדר-ירון: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יש מגמה כזאת, וגם יש מטרה של המכס להוריד מסים.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rPr>
          <w:u w:val="single"/>
          <w:rtl/>
        </w:rPr>
      </w:pPr>
      <w:r>
        <w:rPr>
          <w:u w:val="single"/>
          <w:rtl/>
        </w:rPr>
        <w:t>היו"ר</w:t>
      </w:r>
      <w:r>
        <w:rPr>
          <w:u w:val="single"/>
          <w:rtl/>
        </w:rPr>
        <w:t xml:space="preserve"> אמנון רובינשטיין:</w:t>
      </w:r>
    </w:p>
    <w:p w:rsidR="00000000" w:rsidRDefault="009B6EAE">
      <w:pPr>
        <w:rPr>
          <w:u w:val="single"/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אני כבר שומע את זה 20 שנה.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דליה רבין-פילוסוף, את מסכימה שנאשר את זה?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both"/>
        <w:rPr>
          <w:rtl/>
        </w:rPr>
      </w:pPr>
      <w:r>
        <w:rPr>
          <w:rtl/>
        </w:rPr>
        <w:tab/>
        <w:t>אישרנו את הבקשות של שר המשפטים.</w:t>
      </w:r>
    </w:p>
    <w:p w:rsidR="00000000" w:rsidRDefault="009B6EAE">
      <w:pPr>
        <w:jc w:val="both"/>
        <w:rPr>
          <w:rtl/>
        </w:rPr>
      </w:pPr>
    </w:p>
    <w:p w:rsidR="00000000" w:rsidRDefault="009B6EAE">
      <w:pPr>
        <w:jc w:val="center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תקנות העבירות המינהליות (קנס מינהלי - חיקוקי מסים) (תיקון), התשנ"ט1999- - אושרו</w:t>
      </w:r>
    </w:p>
    <w:p w:rsidR="00000000" w:rsidRDefault="009B6EAE">
      <w:pPr>
        <w:jc w:val="center"/>
        <w:rPr>
          <w:b/>
          <w:bCs/>
          <w:u w:val="single"/>
          <w:rtl/>
        </w:rPr>
      </w:pPr>
    </w:p>
    <w:p w:rsidR="00000000" w:rsidRDefault="009B6EAE">
      <w:pPr>
        <w:jc w:val="center"/>
        <w:rPr>
          <w:rtl/>
        </w:rPr>
      </w:pPr>
      <w:r>
        <w:rPr>
          <w:b/>
          <w:bCs/>
          <w:u w:val="single"/>
          <w:rtl/>
        </w:rPr>
        <w:t>הישיבה ננעלה בשעה 09:35</w:t>
      </w:r>
    </w:p>
    <w:p w:rsidR="00000000" w:rsidRDefault="009B6EAE">
      <w:pPr>
        <w:jc w:val="right"/>
        <w:rPr>
          <w:rtl/>
        </w:rPr>
      </w:pP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endnotePr>
        <w:numFmt w:val="lowerLetter"/>
      </w:endnotePr>
      <w:pgSz w:w="11906" w:h="16838" w:code="9"/>
      <w:pgMar w:top="1440" w:right="1800" w:bottom="1440" w:left="1800" w:header="706" w:footer="706" w:gutter="0"/>
      <w:cols w:space="720"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B6EAE">
      <w:r>
        <w:separator/>
      </w:r>
    </w:p>
  </w:endnote>
  <w:endnote w:type="continuationSeparator" w:id="0">
    <w:p w:rsidR="00000000" w:rsidRDefault="009B6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riam">
    <w:panose1 w:val="020B050205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6EAE">
    <w:pPr>
      <w:pStyle w:val="a5"/>
      <w:rPr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6EAE">
    <w:pPr>
      <w:pStyle w:val="a5"/>
      <w:rPr>
        <w:rtl/>
      </w:rPr>
    </w:pPr>
  </w:p>
  <w:p w:rsidR="00000000" w:rsidRDefault="009B6EAE">
    <w:pPr>
      <w:pStyle w:val="a5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6EAE">
    <w:pPr>
      <w:pStyle w:val="a5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9B6EAE">
      <w:r>
        <w:separator/>
      </w:r>
    </w:p>
  </w:footnote>
  <w:footnote w:type="continuationSeparator" w:id="0">
    <w:p w:rsidR="00000000" w:rsidRDefault="009B6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6EAE">
    <w:pPr>
      <w:pStyle w:val="a4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6EAE">
    <w:pPr>
      <w:pStyle w:val="a4"/>
      <w:framePr w:wrap="around" w:vAnchor="text" w:hAnchor="margin" w:y="1"/>
      <w:rPr>
        <w:rStyle w:val="a6"/>
        <w:rtl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>
      <w:rPr>
        <w:rStyle w:val="a6"/>
        <w:noProof/>
        <w:rtl/>
      </w:rPr>
      <w:t>3</w:t>
    </w:r>
    <w:r>
      <w:rPr>
        <w:rStyle w:val="a6"/>
        <w:rtl/>
      </w:rPr>
      <w:fldChar w:fldCharType="end"/>
    </w:r>
  </w:p>
  <w:p w:rsidR="00000000" w:rsidRDefault="009B6EAE">
    <w:pPr>
      <w:pStyle w:val="a4"/>
      <w:ind w:right="360"/>
      <w:rPr>
        <w:rtl/>
      </w:rPr>
    </w:pPr>
    <w:r>
      <w:rPr>
        <w:rtl/>
      </w:rPr>
      <w:t>ועדת החוקה</w:t>
    </w:r>
    <w:r>
      <w:rPr>
        <w:rtl/>
      </w:rPr>
      <w:t>, חוק ומשפט</w:t>
    </w:r>
    <w:r>
      <w:rPr>
        <w:rtl/>
      </w:rPr>
      <w:tab/>
    </w:r>
    <w:r>
      <w:rPr>
        <w:rtl/>
      </w:rPr>
      <w:tab/>
    </w:r>
  </w:p>
  <w:p w:rsidR="00000000" w:rsidRDefault="009B6EAE">
    <w:pPr>
      <w:pStyle w:val="a4"/>
      <w:ind w:right="360"/>
      <w:rPr>
        <w:rStyle w:val="a6"/>
        <w:rtl/>
      </w:rPr>
    </w:pPr>
    <w:r>
      <w:rPr>
        <w:rtl/>
      </w:rPr>
      <w:t>24.11.1999</w:t>
    </w:r>
  </w:p>
  <w:p w:rsidR="00000000" w:rsidRDefault="009B6EAE">
    <w:pPr>
      <w:pStyle w:val="a4"/>
      <w:rPr>
        <w:sz w:val="20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B6EAE">
    <w:pPr>
      <w:pStyle w:val="a4"/>
      <w:rPr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20"/>
  <w:drawingGridHorizontalSpacing w:val="171"/>
  <w:drawingGridVerticalSpacing w:val="148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הכנסת"/>
    <w:docVar w:name="EntryID" w:val="000000008B844D5253E8D311957000508B44D07707003136EF91B853D311954A00508B44D077000000379D3600005D07CEC2E8DED3118F2D00805F9F08A900000007584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9B6EAE"/>
    <w:rsid w:val="009B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5B58E692-0C13-4BF6-A831-E949CEDAA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textAlignment w:val="baseline"/>
    </w:pPr>
    <w:rPr>
      <w:rFonts w:cs="David"/>
      <w:sz w:val="22"/>
      <w:szCs w:val="24"/>
      <w:lang w:eastAsia="he-IL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Cs w:val="32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</Template>
  <TotalTime>0</TotalTime>
  <Pages>3</Pages>
  <Words>508</Words>
  <Characters>2541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פרוטוקולים/ועדת חוקה/1826</vt:lpstr>
    </vt:vector>
  </TitlesOfParts>
  <Company/>
  <LinksUpToDate>false</LinksUpToDate>
  <CharactersWithSpaces>3043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חוקה/1826</dc:title>
  <dc:subject>חוקה 24.11.99 א</dc:subject>
  <dc:creator>אסתר מימון</dc:creator>
  <cp:keywords/>
  <cp:lastModifiedBy>רינה דבורה קדרון</cp:lastModifiedBy>
  <cp:revision>2</cp:revision>
  <cp:lastPrinted>1601-01-01T00:00:00Z</cp:lastPrinted>
  <dcterms:created xsi:type="dcterms:W3CDTF">2017-04-19T08:37:00Z</dcterms:created>
  <dcterms:modified xsi:type="dcterms:W3CDTF">2017-04-19T08:37:00Z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