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34B5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חוקה/1158</w:t>
      </w:r>
    </w:p>
    <w:p w:rsidR="00000000" w:rsidRDefault="00834B5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</w:t>
      </w:r>
      <w:r>
        <w:rPr>
          <w:rFonts w:cs="David"/>
          <w:sz w:val="24"/>
          <w:rtl/>
        </w:rPr>
        <w:t>ז באב, תש"ס</w:t>
      </w:r>
    </w:p>
    <w:p w:rsidR="00000000" w:rsidRDefault="00834B5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28 באוגוסט, 2000</w:t>
      </w:r>
    </w:p>
    <w:p w:rsidR="00000000" w:rsidRDefault="00834B5A">
      <w:pPr>
        <w:jc w:val="right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</w:p>
    <w:p w:rsidR="00000000" w:rsidRDefault="00834B5A">
      <w:pPr>
        <w:jc w:val="both"/>
        <w:rPr>
          <w:rFonts w:cs="David"/>
          <w:b/>
          <w:bCs/>
          <w:sz w:val="24"/>
          <w:rtl/>
        </w:rPr>
      </w:pPr>
    </w:p>
    <w:p w:rsidR="00000000" w:rsidRDefault="00834B5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64</w:t>
      </w:r>
    </w:p>
    <w:p w:rsidR="00000000" w:rsidRDefault="00834B5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החוקה, חוק ומשפט</w:t>
      </w:r>
    </w:p>
    <w:p w:rsidR="00000000" w:rsidRDefault="00834B5A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ה' בשבט התש"ס (12 בינואר 2000), שעה 09:00</w:t>
      </w:r>
    </w:p>
    <w:p w:rsidR="00000000" w:rsidRDefault="00834B5A">
      <w:pPr>
        <w:jc w:val="center"/>
        <w:rPr>
          <w:rFonts w:cs="David"/>
          <w:b/>
          <w:bCs/>
          <w:sz w:val="24"/>
          <w:rtl/>
        </w:rPr>
      </w:pPr>
    </w:p>
    <w:p w:rsidR="00000000" w:rsidRDefault="00834B5A">
      <w:pPr>
        <w:jc w:val="center"/>
        <w:rPr>
          <w:rFonts w:cs="David"/>
          <w:sz w:val="24"/>
          <w:rtl/>
        </w:rPr>
      </w:pPr>
    </w:p>
    <w:p w:rsidR="00000000" w:rsidRDefault="00834B5A">
      <w:pPr>
        <w:jc w:val="center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834B5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34B5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 -  היו"ר</w:t>
      </w:r>
    </w:p>
    <w:p w:rsidR="00000000" w:rsidRDefault="00834B5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34B5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אלן זיסב</w:t>
      </w:r>
      <w:r>
        <w:rPr>
          <w:rFonts w:cs="David"/>
          <w:sz w:val="24"/>
          <w:rtl/>
        </w:rPr>
        <w:t>לט</w:t>
      </w:r>
      <w:r>
        <w:rPr>
          <w:rFonts w:cs="David"/>
          <w:sz w:val="24"/>
          <w:rtl/>
        </w:rPr>
        <w:tab/>
        <w:t>- משרד המשפטים, ממונה בכיר על ייעוץ וחקיקה</w:t>
      </w: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שלמה שחר</w:t>
      </w:r>
      <w:r>
        <w:rPr>
          <w:rFonts w:cs="David"/>
          <w:sz w:val="24"/>
          <w:rtl/>
        </w:rPr>
        <w:tab/>
        <w:t>- משרד המשפטים, יועץ משפטי</w:t>
      </w: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יהודית וייס</w:t>
      </w:r>
      <w:r>
        <w:rPr>
          <w:rFonts w:cs="David"/>
          <w:sz w:val="24"/>
          <w:rtl/>
        </w:rPr>
        <w:tab/>
        <w:t>- משרד המשפטים, רשמת המתווכים</w:t>
      </w: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גדעון בן-דוד</w:t>
      </w:r>
      <w:r>
        <w:rPr>
          <w:rFonts w:cs="David"/>
          <w:sz w:val="24"/>
          <w:rtl/>
        </w:rPr>
        <w:tab/>
        <w:t>- משרד המשפטים, ממונה על התקציבים</w:t>
      </w: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חוליו שוץ</w:t>
      </w:r>
      <w:r>
        <w:rPr>
          <w:rFonts w:cs="David"/>
          <w:sz w:val="24"/>
          <w:rtl/>
        </w:rPr>
        <w:tab/>
        <w:t>- יו"ר מלד"ן</w:t>
      </w:r>
    </w:p>
    <w:p w:rsidR="00000000" w:rsidRDefault="00834B5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משה קיהן</w:t>
      </w:r>
      <w:r>
        <w:rPr>
          <w:rFonts w:cs="David"/>
          <w:sz w:val="24"/>
          <w:rtl/>
        </w:rPr>
        <w:tab/>
        <w:t>- מלד"ן, מבקר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34B5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שלמה שהם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</w:t>
      </w:r>
      <w:r>
        <w:rPr>
          <w:rFonts w:cs="David"/>
          <w:b/>
          <w:bCs/>
          <w:sz w:val="24"/>
          <w:u w:val="single"/>
          <w:rtl/>
        </w:rPr>
        <w:t>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834B5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834B5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עוזר ליועץ המשפטי:</w:t>
      </w:r>
      <w:r>
        <w:rPr>
          <w:rFonts w:cs="David"/>
          <w:sz w:val="24"/>
          <w:rtl/>
        </w:rPr>
        <w:tab/>
        <w:t>הראל ארנון</w:t>
      </w:r>
    </w:p>
    <w:p w:rsidR="00000000" w:rsidRDefault="00834B5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34B5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>תקנות המתווכים במקרקעין (תיקון), התש"ס-2000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תקנות המתווכים במקרקעין (תיקון), התש"ס-2000</w:t>
      </w:r>
    </w:p>
    <w:p w:rsidR="00000000" w:rsidRDefault="00834B5A">
      <w:pPr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ועדת החוקה, חוק ומשפט. אנחנו עוסקי</w:t>
      </w:r>
      <w:r>
        <w:rPr>
          <w:rFonts w:cs="David"/>
          <w:sz w:val="24"/>
          <w:rtl/>
        </w:rPr>
        <w:t>ם בהצעה לאפשר את תקנות המתווכים במקרקעין (תיקון). מי מציג את התקנות מטעם משרד המשפטים?</w:t>
      </w:r>
    </w:p>
    <w:p w:rsidR="00000000" w:rsidRDefault="00834B5A">
      <w:pPr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שחר:</w:t>
      </w:r>
    </w:p>
    <w:p w:rsidR="00000000" w:rsidRDefault="00834B5A">
      <w:pPr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היועץ המשפטי של המשרד. עיקרן של התקנות זה ייעול עבודת רשם המתווכים, שהתועלת שצומחת מכך היא גם לרשם עצמו אבל גם למתווכים. במצב הקיים היום, החיוב של מתווכ</w:t>
      </w:r>
      <w:r>
        <w:rPr>
          <w:rFonts w:cs="David"/>
          <w:sz w:val="24"/>
          <w:rtl/>
        </w:rPr>
        <w:t xml:space="preserve">ים באגרה נעשה לפי הסיומת של מספר הרשיון שלהם. זה קיים מאז תיקון התקנות ועד היום, ומסתבר שזה לא סידור מוצלח ביותר. צריך לבדוק אם הספרה זוגית או אי-זוגית, נוצרות בעיות, במיוחד לאחר השנה הראשונה שבה המתווך הוסמך, או משלם אגרה חד-פעמית, וכאשר הוא צריך לשלם את </w:t>
      </w:r>
      <w:r>
        <w:rPr>
          <w:rFonts w:cs="David"/>
          <w:sz w:val="24"/>
          <w:rtl/>
        </w:rPr>
        <w:t>האגרה הבאה, אנחנו מתחילים לברר אם הוא סיים ספרה זוגית או אי-זוגית, ועל סמך זה, אם אנחנו נמצאים בשנה זוגית או אי-זוגית. זה עורר בעיות.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התיקון הוא בהסכמה עם מלד"ן?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חוליו שוץ: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אין לנו בעיה בנושא הזה.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שהם: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עם גובה האגרה</w:t>
      </w:r>
      <w:r>
        <w:rPr>
          <w:rFonts w:cs="David"/>
          <w:sz w:val="24"/>
          <w:rtl/>
        </w:rPr>
        <w:t>?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שחר: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גובה האגרה נותן תמריץ למשלמים בזמן. מצד אחד, אנחנו קצת מקשים, ומצד שני מקילים. מי שמשלם את התשלום בזמן, כאשר האגרה היא דו-שנתית, היינו, בחודש ינואר של השנה הראשונה, הוא משלם אותו סכום של אגרה שיש לו היום, זה לא משתנה. היה והוא מאחר, אז יש מד</w:t>
      </w:r>
      <w:r>
        <w:rPr>
          <w:rFonts w:cs="David"/>
          <w:sz w:val="24"/>
          <w:rtl/>
        </w:rPr>
        <w:t>רגות, שנידונו גם בוועדת האגרות הבין-משרדית ונבחנו שם, ובעקבות הערה מסוימת הופחת הנושא הזה. יש מדרגות שהולכות וגדלות לאורך השנה, למי שמאחר.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דבר אחר שנתנו לו ביטוי ותיקנו אותו, זו האפשרות למתווך, למרות שהוא לא שילם את האגרה במשך שנה. על-פי התיקון הזה, הוא </w:t>
      </w:r>
      <w:r>
        <w:rPr>
          <w:rFonts w:cs="David"/>
          <w:sz w:val="24"/>
          <w:rtl/>
        </w:rPr>
        <w:t>עדיין יוכל לשמש כמתווך. זאת אומרת, סעיף 18(ב) לחוק אומר: לא שילם בעל הרשיון את האגרה במועדה, הוא לא יהיה רשאי לשמש כמתווך. לכאורה, היה ניתן להבין את זה, על-פי הפרשנות הקיימת היום, שהחל מהיום הראשון של השנה הראשונה, אם הוא לא משלם הוא עבריין.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</w:t>
      </w:r>
      <w:r>
        <w:rPr>
          <w:rFonts w:cs="David"/>
          <w:sz w:val="24"/>
          <w:u w:val="single"/>
          <w:rtl/>
        </w:rPr>
        <w:t>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איפה זה נמצא בתקנות?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שחר: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כרגע מדבר על החוק. </w:t>
      </w: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איפה שיניתם את זה?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שלמה שחר:</w:t>
      </w:r>
    </w:p>
    <w:p w:rsidR="00000000" w:rsidRDefault="00834B5A">
      <w:pPr>
        <w:jc w:val="both"/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הגדרנו את המועד לתשלום: "האגרה הדו-שנתית הנקובה בתקנה 12(א) תשולם לא יאוחר מיום 31 בדצמבר של השנה הראשונה...". זאת אומרת</w:t>
      </w:r>
      <w:r>
        <w:rPr>
          <w:rFonts w:cs="David"/>
          <w:sz w:val="24"/>
          <w:rtl/>
        </w:rPr>
        <w:t>, נתנו זמן לתשלום עד ה-31 בדצמבר. ובסעיף קטן 13(ב) כתוב: "לא שולמה האגרה השנתית בשנת התשלום, יחולו הוראות סעיף 18(ב) לחוק", שלא מאפשר. זאת אומרת, שאנחנו נותנים למתווך עוד שנה.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המסקנות מחוק המתווכים? הרי הוא היה חוק שנוי מאוד ב</w:t>
      </w:r>
      <w:r>
        <w:rPr>
          <w:rFonts w:cs="David"/>
          <w:sz w:val="24"/>
          <w:rtl/>
        </w:rPr>
        <w:t>מחלוקת, חבר הכנסת דן מרידור מאוד התנגד לו.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חוליו שוץ: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הרבה בעיות עם החוק, אבל החוק הוא טוב.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שהם: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השאלה, מה אומר משרד המשפטים על החוק.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חוליו שוץ: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הרבה דברים שהיו אתם בעיות.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תאמר למשרד המשפטים.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מחליטי</w:t>
      </w:r>
      <w:r>
        <w:rPr>
          <w:rFonts w:cs="David"/>
          <w:sz w:val="24"/>
          <w:rtl/>
        </w:rPr>
        <w:t>ם לאשר את התקנות האלה.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pStyle w:val="3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834B5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המתווכים במקרקעין (תיקון), התש"ס-2000 – אושרו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834B5A">
      <w:pPr>
        <w:rPr>
          <w:rFonts w:cs="David"/>
          <w:sz w:val="24"/>
          <w:u w:val="single"/>
          <w:rtl/>
        </w:rPr>
      </w:pPr>
    </w:p>
    <w:p w:rsidR="00000000" w:rsidRDefault="00834B5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הישיבה נעולה.</w:t>
      </w:r>
    </w:p>
    <w:p w:rsidR="00000000" w:rsidRDefault="00834B5A">
      <w:pPr>
        <w:jc w:val="both"/>
        <w:rPr>
          <w:rFonts w:cs="David"/>
          <w:sz w:val="24"/>
          <w:rtl/>
        </w:rPr>
      </w:pPr>
    </w:p>
    <w:p w:rsidR="00000000" w:rsidRDefault="00834B5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9:10</w:t>
      </w:r>
    </w:p>
    <w:p w:rsidR="00000000" w:rsidRDefault="00834B5A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34B5A">
      <w:r>
        <w:separator/>
      </w:r>
    </w:p>
  </w:endnote>
  <w:endnote w:type="continuationSeparator" w:id="0">
    <w:p w:rsidR="00000000" w:rsidRDefault="0083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4B5A">
    <w:pPr>
      <w:pStyle w:val="a7"/>
      <w:rPr>
        <w:rFonts w:cs="David"/>
        <w:sz w:val="24"/>
        <w:rtl/>
      </w:rPr>
    </w:pPr>
  </w:p>
  <w:p w:rsidR="00000000" w:rsidRDefault="00834B5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34B5A">
      <w:r>
        <w:separator/>
      </w:r>
    </w:p>
  </w:footnote>
  <w:footnote w:type="continuationSeparator" w:id="0">
    <w:p w:rsidR="00000000" w:rsidRDefault="0083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4B5A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834B5A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834B5A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12.1.2000</w:t>
    </w:r>
  </w:p>
  <w:p w:rsidR="00000000" w:rsidRDefault="00834B5A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0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34B5A"/>
    <w:rsid w:val="0083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EBF6AAA-0F19-471E-9F96-35E91B4B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544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חוקה/1158</dc:title>
  <dc:subject>12.1.2000 א</dc:subject>
  <dc:creator>תמר שפנייר</dc:creator>
  <cp:keywords/>
  <dc:description/>
  <cp:lastModifiedBy>רינה דבורה קדרון</cp:lastModifiedBy>
  <cp:revision>2</cp:revision>
  <dcterms:created xsi:type="dcterms:W3CDTF">2017-04-19T08:38:00Z</dcterms:created>
  <dcterms:modified xsi:type="dcterms:W3CDTF">2017-04-19T08:38:00Z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