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0B41">
      <w:pPr>
        <w:jc w:val="right"/>
        <w:rPr>
          <w:rFonts w:cs="David"/>
          <w:sz w:val="24"/>
          <w:rtl/>
        </w:rPr>
      </w:pPr>
      <w:bookmarkStart w:id="0" w:name="_GoBack"/>
      <w:bookmarkEnd w:id="0"/>
      <w:r>
        <w:rPr>
          <w:rFonts w:cs="David"/>
          <w:sz w:val="24"/>
          <w:rtl/>
        </w:rPr>
        <w:t>פרוטוקולים/ועדת חוקה/909</w:t>
      </w:r>
    </w:p>
    <w:p w:rsidR="00000000" w:rsidRDefault="00EA0B41">
      <w:pPr>
        <w:jc w:val="right"/>
        <w:rPr>
          <w:rFonts w:cs="David"/>
          <w:sz w:val="24"/>
          <w:rtl/>
        </w:rPr>
      </w:pPr>
      <w:r>
        <w:rPr>
          <w:rFonts w:cs="David"/>
          <w:sz w:val="24"/>
          <w:rtl/>
        </w:rPr>
        <w:tab/>
        <w:t xml:space="preserve">ירושלים, ה' </w:t>
      </w:r>
      <w:r>
        <w:rPr>
          <w:rFonts w:cs="David"/>
          <w:sz w:val="24"/>
          <w:rtl/>
        </w:rPr>
        <w:t>באב, תש"ס</w:t>
      </w:r>
    </w:p>
    <w:p w:rsidR="00000000" w:rsidRDefault="00EA0B41">
      <w:pPr>
        <w:jc w:val="right"/>
        <w:rPr>
          <w:rFonts w:cs="David"/>
          <w:sz w:val="24"/>
          <w:rtl/>
          <w:lang w:val="es"/>
        </w:rPr>
      </w:pPr>
      <w:r>
        <w:rPr>
          <w:rFonts w:cs="David"/>
          <w:sz w:val="24"/>
          <w:rtl/>
          <w:lang w:val="es"/>
        </w:rPr>
        <w:t>6 באוגוסט, 2000</w:t>
      </w:r>
    </w:p>
    <w:p w:rsidR="00000000" w:rsidRDefault="00EA0B41">
      <w:pPr>
        <w:jc w:val="right"/>
        <w:rPr>
          <w:rFonts w:cs="David"/>
          <w:sz w:val="24"/>
          <w:rtl/>
        </w:rPr>
      </w:pPr>
    </w:p>
    <w:p w:rsidR="00000000" w:rsidRDefault="00EA0B4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A0B41">
      <w:pPr>
        <w:jc w:val="both"/>
        <w:rPr>
          <w:rFonts w:cs="David"/>
          <w:b/>
          <w:bCs/>
          <w:sz w:val="24"/>
          <w:rtl/>
        </w:rPr>
      </w:pPr>
      <w:r>
        <w:rPr>
          <w:rFonts w:cs="David"/>
          <w:b/>
          <w:bCs/>
          <w:sz w:val="24"/>
          <w:rtl/>
        </w:rPr>
        <w:t>מושב שני</w:t>
      </w:r>
    </w:p>
    <w:p w:rsidR="00000000" w:rsidRDefault="00EA0B41">
      <w:pPr>
        <w:jc w:val="both"/>
        <w:rPr>
          <w:rFonts w:cs="David"/>
          <w:b/>
          <w:bCs/>
          <w:sz w:val="24"/>
          <w:rtl/>
        </w:rPr>
      </w:pPr>
    </w:p>
    <w:p w:rsidR="00000000" w:rsidRDefault="00EA0B41">
      <w:pPr>
        <w:jc w:val="both"/>
        <w:rPr>
          <w:rFonts w:cs="David"/>
          <w:b/>
          <w:bCs/>
          <w:sz w:val="24"/>
          <w:rtl/>
        </w:rPr>
      </w:pPr>
    </w:p>
    <w:p w:rsidR="00000000" w:rsidRDefault="00EA0B41">
      <w:pPr>
        <w:jc w:val="both"/>
        <w:rPr>
          <w:rFonts w:cs="David"/>
          <w:b/>
          <w:bCs/>
          <w:sz w:val="24"/>
          <w:rtl/>
        </w:rPr>
      </w:pPr>
    </w:p>
    <w:p w:rsidR="00000000" w:rsidRDefault="00EA0B41">
      <w:pPr>
        <w:jc w:val="both"/>
        <w:rPr>
          <w:rFonts w:cs="David"/>
          <w:b/>
          <w:bCs/>
          <w:sz w:val="24"/>
          <w:rtl/>
        </w:rPr>
      </w:pPr>
    </w:p>
    <w:p w:rsidR="00000000" w:rsidRDefault="00EA0B41">
      <w:pPr>
        <w:jc w:val="center"/>
        <w:rPr>
          <w:rFonts w:cs="David"/>
          <w:b/>
          <w:bCs/>
          <w:sz w:val="24"/>
          <w:rtl/>
        </w:rPr>
      </w:pPr>
      <w:r>
        <w:rPr>
          <w:rFonts w:cs="David"/>
          <w:b/>
          <w:bCs/>
          <w:sz w:val="24"/>
          <w:rtl/>
        </w:rPr>
        <w:t>פרוטוקול מס' 163</w:t>
      </w:r>
    </w:p>
    <w:p w:rsidR="00000000" w:rsidRDefault="00EA0B41">
      <w:pPr>
        <w:jc w:val="center"/>
        <w:rPr>
          <w:rFonts w:cs="David"/>
          <w:b/>
          <w:bCs/>
          <w:sz w:val="24"/>
          <w:rtl/>
        </w:rPr>
      </w:pPr>
      <w:r>
        <w:rPr>
          <w:rFonts w:cs="David"/>
          <w:b/>
          <w:bCs/>
          <w:sz w:val="24"/>
          <w:rtl/>
        </w:rPr>
        <w:t>מישיבת ועדת החוקה חוק ומשפט</w:t>
      </w:r>
    </w:p>
    <w:p w:rsidR="00000000" w:rsidRDefault="00EA0B41">
      <w:pPr>
        <w:pStyle w:val="1"/>
        <w:rPr>
          <w:rFonts w:cs="David"/>
          <w:sz w:val="24"/>
          <w:rtl/>
        </w:rPr>
      </w:pPr>
      <w:r>
        <w:rPr>
          <w:rFonts w:cs="David"/>
          <w:sz w:val="24"/>
          <w:rtl/>
        </w:rPr>
        <w:t>יום רביעי, א' באב התש"ס (2 באוגוסט 2000), שעה 15:45</w:t>
      </w:r>
    </w:p>
    <w:p w:rsidR="00000000" w:rsidRDefault="00EA0B41">
      <w:pPr>
        <w:jc w:val="center"/>
        <w:rPr>
          <w:rFonts w:cs="David"/>
          <w:b/>
          <w:bCs/>
          <w:sz w:val="24"/>
          <w:rtl/>
        </w:rPr>
      </w:pPr>
    </w:p>
    <w:p w:rsidR="00000000" w:rsidRDefault="00EA0B41">
      <w:pPr>
        <w:jc w:val="both"/>
        <w:rPr>
          <w:rFonts w:cs="David"/>
          <w:sz w:val="24"/>
          <w:rtl/>
        </w:rPr>
      </w:pPr>
    </w:p>
    <w:p w:rsidR="00000000" w:rsidRDefault="00EA0B41">
      <w:pPr>
        <w:jc w:val="both"/>
        <w:rPr>
          <w:rFonts w:cs="David"/>
          <w:b/>
          <w:bCs/>
          <w:sz w:val="24"/>
          <w:u w:val="single"/>
          <w:rtl/>
        </w:rPr>
      </w:pPr>
      <w:r>
        <w:rPr>
          <w:rFonts w:cs="David"/>
          <w:b/>
          <w:bCs/>
          <w:sz w:val="24"/>
          <w:u w:val="single"/>
          <w:rtl/>
        </w:rPr>
        <w:t>נכחו:</w:t>
      </w:r>
    </w:p>
    <w:p w:rsidR="00000000" w:rsidRDefault="00EA0B41">
      <w:pPr>
        <w:jc w:val="both"/>
        <w:rPr>
          <w:rFonts w:cs="David"/>
          <w:b/>
          <w:bCs/>
          <w:sz w:val="24"/>
          <w:u w:val="single"/>
          <w:rtl/>
        </w:rPr>
      </w:pPr>
    </w:p>
    <w:p w:rsidR="00000000" w:rsidRDefault="00EA0B4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EA0B41">
      <w:pPr>
        <w:tabs>
          <w:tab w:val="left" w:pos="1505"/>
        </w:tabs>
        <w:jc w:val="both"/>
        <w:rPr>
          <w:rFonts w:cs="David"/>
          <w:sz w:val="24"/>
          <w:rtl/>
        </w:rPr>
      </w:pPr>
      <w:r>
        <w:rPr>
          <w:rFonts w:cs="David"/>
          <w:sz w:val="24"/>
          <w:rtl/>
        </w:rPr>
        <w:tab/>
        <w:t>רומן ברונפמן</w:t>
      </w:r>
    </w:p>
    <w:p w:rsidR="00000000" w:rsidRDefault="00EA0B41">
      <w:pPr>
        <w:tabs>
          <w:tab w:val="left" w:pos="1505"/>
        </w:tabs>
        <w:jc w:val="both"/>
        <w:rPr>
          <w:rFonts w:cs="David"/>
          <w:sz w:val="24"/>
          <w:rtl/>
        </w:rPr>
      </w:pPr>
      <w:r>
        <w:rPr>
          <w:rFonts w:cs="David"/>
          <w:sz w:val="24"/>
          <w:rtl/>
        </w:rPr>
        <w:tab/>
        <w:t>אליעזר כהן</w:t>
      </w:r>
    </w:p>
    <w:p w:rsidR="00000000" w:rsidRDefault="00EA0B41">
      <w:pPr>
        <w:tabs>
          <w:tab w:val="left" w:pos="1505"/>
        </w:tabs>
        <w:jc w:val="both"/>
        <w:rPr>
          <w:rFonts w:cs="David"/>
          <w:sz w:val="24"/>
          <w:rtl/>
        </w:rPr>
      </w:pPr>
      <w:r>
        <w:rPr>
          <w:rFonts w:cs="David"/>
          <w:sz w:val="24"/>
          <w:rtl/>
        </w:rPr>
        <w:tab/>
        <w:t>ציפי לב</w:t>
      </w:r>
      <w:r>
        <w:rPr>
          <w:rFonts w:cs="David"/>
          <w:sz w:val="24"/>
          <w:rtl/>
        </w:rPr>
        <w:t>ני</w:t>
      </w:r>
    </w:p>
    <w:p w:rsidR="00000000" w:rsidRDefault="00EA0B41">
      <w:pPr>
        <w:tabs>
          <w:tab w:val="left" w:pos="1505"/>
        </w:tabs>
        <w:jc w:val="both"/>
        <w:rPr>
          <w:rFonts w:cs="David"/>
          <w:sz w:val="24"/>
          <w:rtl/>
        </w:rPr>
      </w:pPr>
      <w:r>
        <w:rPr>
          <w:rFonts w:cs="David"/>
          <w:sz w:val="24"/>
          <w:rtl/>
        </w:rPr>
        <w:tab/>
        <w:t>ענת מאור</w:t>
      </w:r>
    </w:p>
    <w:p w:rsidR="00000000" w:rsidRDefault="00EA0B41">
      <w:pPr>
        <w:tabs>
          <w:tab w:val="left" w:pos="1505"/>
        </w:tabs>
        <w:jc w:val="both"/>
        <w:rPr>
          <w:rFonts w:cs="David"/>
          <w:sz w:val="24"/>
          <w:rtl/>
        </w:rPr>
      </w:pPr>
      <w:r>
        <w:rPr>
          <w:rFonts w:cs="David"/>
          <w:sz w:val="24"/>
          <w:rtl/>
        </w:rPr>
        <w:tab/>
        <w:t>אברהם רביץ</w:t>
      </w:r>
    </w:p>
    <w:p w:rsidR="00000000" w:rsidRDefault="00EA0B41">
      <w:pPr>
        <w:tabs>
          <w:tab w:val="left" w:pos="1505"/>
        </w:tabs>
        <w:jc w:val="both"/>
        <w:rPr>
          <w:rFonts w:cs="David"/>
          <w:sz w:val="24"/>
          <w:rtl/>
        </w:rPr>
      </w:pPr>
      <w:r>
        <w:rPr>
          <w:rFonts w:cs="David"/>
          <w:sz w:val="24"/>
          <w:rtl/>
        </w:rPr>
        <w:tab/>
        <w:t>גנדי ריגר</w:t>
      </w:r>
    </w:p>
    <w:p w:rsidR="00000000" w:rsidRDefault="00EA0B41">
      <w:pPr>
        <w:tabs>
          <w:tab w:val="left" w:pos="1505"/>
        </w:tabs>
        <w:jc w:val="both"/>
        <w:rPr>
          <w:rFonts w:cs="David"/>
          <w:sz w:val="24"/>
          <w:rtl/>
        </w:rPr>
      </w:pPr>
      <w:r>
        <w:rPr>
          <w:rFonts w:cs="David"/>
          <w:sz w:val="24"/>
          <w:rtl/>
        </w:rPr>
        <w:tab/>
        <w:t>יורי שטרן</w:t>
      </w:r>
    </w:p>
    <w:p w:rsidR="00000000" w:rsidRDefault="00EA0B41">
      <w:pPr>
        <w:tabs>
          <w:tab w:val="left" w:pos="1505"/>
        </w:tabs>
        <w:jc w:val="both"/>
        <w:rPr>
          <w:rFonts w:cs="David"/>
          <w:sz w:val="24"/>
          <w:rtl/>
        </w:rPr>
      </w:pPr>
    </w:p>
    <w:p w:rsidR="00000000" w:rsidRDefault="00EA0B41">
      <w:pPr>
        <w:tabs>
          <w:tab w:val="left" w:pos="1505"/>
        </w:tabs>
        <w:jc w:val="both"/>
        <w:rPr>
          <w:rFonts w:cs="David"/>
          <w:sz w:val="24"/>
          <w:rtl/>
        </w:rPr>
      </w:pPr>
    </w:p>
    <w:p w:rsidR="00000000" w:rsidRDefault="00EA0B41">
      <w:pPr>
        <w:jc w:val="both"/>
        <w:rPr>
          <w:rFonts w:cs="David"/>
          <w:sz w:val="24"/>
          <w:rtl/>
        </w:rPr>
      </w:pPr>
    </w:p>
    <w:p w:rsidR="00000000" w:rsidRDefault="00EA0B4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EA0B41">
      <w:pPr>
        <w:tabs>
          <w:tab w:val="left" w:pos="1505"/>
          <w:tab w:val="left" w:pos="3969"/>
        </w:tabs>
        <w:jc w:val="both"/>
        <w:rPr>
          <w:rFonts w:cs="David"/>
          <w:sz w:val="24"/>
          <w:rtl/>
        </w:rPr>
      </w:pPr>
      <w:r>
        <w:rPr>
          <w:rFonts w:cs="David"/>
          <w:sz w:val="24"/>
          <w:rtl/>
        </w:rPr>
        <w:tab/>
        <w:t>לבנת משיח</w:t>
      </w:r>
      <w:r>
        <w:rPr>
          <w:rFonts w:cs="David"/>
          <w:sz w:val="24"/>
          <w:rtl/>
        </w:rPr>
        <w:tab/>
        <w:t>- משרד המשפטים</w:t>
      </w:r>
    </w:p>
    <w:p w:rsidR="00000000" w:rsidRDefault="00EA0B41">
      <w:pPr>
        <w:tabs>
          <w:tab w:val="left" w:pos="1505"/>
          <w:tab w:val="left" w:pos="3969"/>
        </w:tabs>
        <w:jc w:val="both"/>
        <w:rPr>
          <w:rFonts w:cs="David"/>
          <w:sz w:val="24"/>
          <w:rtl/>
        </w:rPr>
      </w:pPr>
      <w:r>
        <w:rPr>
          <w:rFonts w:cs="David"/>
          <w:sz w:val="24"/>
          <w:rtl/>
        </w:rPr>
        <w:tab/>
        <w:t>נצ"מ רחל גוטליב</w:t>
      </w:r>
      <w:r>
        <w:rPr>
          <w:rFonts w:cs="David"/>
          <w:sz w:val="24"/>
          <w:rtl/>
        </w:rPr>
        <w:tab/>
        <w:t>- המשרד לבטחון פנים</w:t>
      </w:r>
    </w:p>
    <w:p w:rsidR="00000000" w:rsidRDefault="00EA0B41">
      <w:pPr>
        <w:tabs>
          <w:tab w:val="left" w:pos="1505"/>
          <w:tab w:val="left" w:pos="3969"/>
        </w:tabs>
        <w:jc w:val="both"/>
        <w:rPr>
          <w:rFonts w:cs="David"/>
          <w:sz w:val="24"/>
          <w:rtl/>
        </w:rPr>
      </w:pPr>
      <w:r>
        <w:rPr>
          <w:rFonts w:cs="David"/>
          <w:sz w:val="24"/>
          <w:rtl/>
        </w:rPr>
        <w:tab/>
      </w: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EA0B41">
      <w:pPr>
        <w:jc w:val="both"/>
        <w:rPr>
          <w:rFonts w:cs="David"/>
          <w:sz w:val="24"/>
          <w:rtl/>
        </w:rPr>
      </w:pPr>
    </w:p>
    <w:p w:rsidR="00000000" w:rsidRDefault="00EA0B41">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EA0B41">
      <w:pPr>
        <w:jc w:val="both"/>
        <w:rPr>
          <w:rFonts w:cs="David"/>
          <w:b/>
          <w:bCs/>
          <w:sz w:val="24"/>
          <w:u w:val="single"/>
          <w:rtl/>
        </w:rPr>
      </w:pPr>
    </w:p>
    <w:p w:rsidR="00000000" w:rsidRDefault="00EA0B41">
      <w:pPr>
        <w:tabs>
          <w:tab w:val="left" w:pos="2835"/>
        </w:tabs>
        <w:jc w:val="both"/>
        <w:rPr>
          <w:rFonts w:cs="David"/>
          <w:sz w:val="24"/>
          <w:rtl/>
        </w:rPr>
      </w:pPr>
      <w:r>
        <w:rPr>
          <w:rFonts w:cs="David"/>
          <w:b/>
          <w:bCs/>
          <w:sz w:val="24"/>
          <w:u w:val="single"/>
          <w:rtl/>
        </w:rPr>
        <w:t>קצרנית</w:t>
      </w:r>
      <w:r>
        <w:rPr>
          <w:rFonts w:cs="David"/>
          <w:sz w:val="24"/>
          <w:rtl/>
        </w:rPr>
        <w:t>:               אביגי</w:t>
      </w:r>
      <w:r>
        <w:rPr>
          <w:rFonts w:cs="David"/>
          <w:sz w:val="24"/>
          <w:rtl/>
        </w:rPr>
        <w:t>ל זכאי</w:t>
      </w: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r>
        <w:rPr>
          <w:rFonts w:cs="David"/>
          <w:b/>
          <w:bCs/>
          <w:sz w:val="24"/>
          <w:u w:val="single"/>
          <w:rtl/>
        </w:rPr>
        <w:t>סדר היום:</w:t>
      </w:r>
      <w:r>
        <w:rPr>
          <w:rFonts w:cs="David"/>
          <w:sz w:val="24"/>
          <w:rtl/>
        </w:rPr>
        <w:t xml:space="preserve">      הצעת חוק איסור הלבנת הון, התש"ס-2000 – אישור לקריאה</w:t>
      </w:r>
    </w:p>
    <w:p w:rsidR="00000000" w:rsidRDefault="00EA0B41">
      <w:pPr>
        <w:jc w:val="both"/>
        <w:rPr>
          <w:rFonts w:cs="David"/>
          <w:sz w:val="24"/>
          <w:rtl/>
        </w:rPr>
      </w:pPr>
      <w:r>
        <w:rPr>
          <w:rFonts w:cs="David"/>
          <w:sz w:val="24"/>
          <w:rtl/>
        </w:rPr>
        <w:t xml:space="preserve">                        שניה ושלישית – הצבעה.</w:t>
      </w:r>
    </w:p>
    <w:p w:rsidR="00000000" w:rsidRDefault="00EA0B41">
      <w:pPr>
        <w:jc w:val="both"/>
        <w:rPr>
          <w:rFonts w:cs="David"/>
          <w:sz w:val="24"/>
          <w:rtl/>
        </w:rPr>
      </w:pPr>
    </w:p>
    <w:p w:rsidR="00000000" w:rsidRDefault="00EA0B41">
      <w:pPr>
        <w:jc w:val="center"/>
        <w:rPr>
          <w:rFonts w:cs="David"/>
          <w:b/>
          <w:bCs/>
          <w:sz w:val="24"/>
          <w:u w:val="single"/>
          <w:rtl/>
        </w:rPr>
      </w:pPr>
      <w:r>
        <w:rPr>
          <w:rFonts w:cs="David"/>
          <w:sz w:val="24"/>
          <w:rtl/>
        </w:rPr>
        <w:br w:type="page"/>
      </w:r>
      <w:r>
        <w:rPr>
          <w:rFonts w:cs="David"/>
          <w:b/>
          <w:bCs/>
          <w:sz w:val="24"/>
          <w:u w:val="single"/>
          <w:rtl/>
        </w:rPr>
        <w:lastRenderedPageBreak/>
        <w:t>הצעת חוק איסור הלבנת הון, התש"ס-2000</w:t>
      </w:r>
    </w:p>
    <w:p w:rsidR="00000000" w:rsidRDefault="00EA0B41">
      <w:pPr>
        <w:jc w:val="center"/>
        <w:rPr>
          <w:rFonts w:cs="David"/>
          <w:b/>
          <w:bCs/>
          <w:sz w:val="24"/>
          <w:u w:val="single"/>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אני פותח את ישיבת הוועדה לפי בקשה מיוחדת הנוגעת להצעת חוק איסור ה</w:t>
      </w:r>
      <w:r>
        <w:rPr>
          <w:rFonts w:cs="David"/>
          <w:sz w:val="24"/>
          <w:rtl/>
        </w:rPr>
        <w:t>לבנת הון, התש"ס-2000.  עורך-דין שופמן, בבקשה.</w:t>
      </w:r>
    </w:p>
    <w:p w:rsidR="00000000" w:rsidRDefault="00EA0B41">
      <w:pPr>
        <w:jc w:val="both"/>
        <w:rPr>
          <w:rFonts w:cs="David"/>
          <w:sz w:val="24"/>
          <w:rtl/>
        </w:rPr>
      </w:pPr>
    </w:p>
    <w:p w:rsidR="00000000" w:rsidRDefault="00EA0B41">
      <w:pPr>
        <w:jc w:val="both"/>
        <w:rPr>
          <w:rFonts w:cs="David"/>
          <w:sz w:val="24"/>
          <w:rtl/>
        </w:rPr>
      </w:pPr>
      <w:r>
        <w:rPr>
          <w:rFonts w:cs="David"/>
          <w:sz w:val="24"/>
          <w:u w:val="single"/>
          <w:rtl/>
        </w:rPr>
        <w:t>עו"ד יהושע שופמן:</w:t>
      </w:r>
    </w:p>
    <w:p w:rsidR="00000000" w:rsidRDefault="00EA0B41">
      <w:pPr>
        <w:jc w:val="both"/>
        <w:rPr>
          <w:rFonts w:cs="David"/>
          <w:sz w:val="24"/>
          <w:rtl/>
        </w:rPr>
      </w:pPr>
    </w:p>
    <w:p w:rsidR="00000000" w:rsidRDefault="00EA0B41">
      <w:pPr>
        <w:jc w:val="both"/>
        <w:rPr>
          <w:rFonts w:cs="David"/>
          <w:sz w:val="24"/>
          <w:rtl/>
        </w:rPr>
      </w:pPr>
      <w:r>
        <w:rPr>
          <w:rFonts w:cs="David"/>
          <w:sz w:val="24"/>
          <w:rtl/>
        </w:rPr>
        <w:tab/>
        <w:t>היו מספר רב של הסתייגויות לחוק וניסינו לעשות מאמץ להגיע לעמק השווה בנושאים האלו.  ברוב הדברים הצלחנו ויש נוסח להדפסה אבל מכיוון שזה כבר הונח על שולחן הכנסת התנאי הראשון להמשך הדיון הוא שהוו</w:t>
      </w:r>
      <w:r>
        <w:rPr>
          <w:rFonts w:cs="David"/>
          <w:sz w:val="24"/>
          <w:rtl/>
        </w:rPr>
        <w:t>עדה תחליט לחדש את הדיון לפי סעיף 124(ב) לתקנון.</w:t>
      </w:r>
    </w:p>
    <w:p w:rsidR="00000000" w:rsidRDefault="00EA0B41">
      <w:pPr>
        <w:jc w:val="both"/>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jc w:val="both"/>
        <w:rPr>
          <w:rFonts w:cs="David"/>
          <w:sz w:val="24"/>
          <w:rtl/>
        </w:rPr>
      </w:pPr>
    </w:p>
    <w:p w:rsidR="00000000" w:rsidRDefault="00EA0B41">
      <w:pPr>
        <w:jc w:val="both"/>
        <w:rPr>
          <w:rFonts w:cs="David"/>
          <w:sz w:val="24"/>
          <w:rtl/>
        </w:rPr>
      </w:pPr>
      <w:r>
        <w:rPr>
          <w:rFonts w:cs="David"/>
          <w:sz w:val="24"/>
          <w:rtl/>
        </w:rPr>
        <w:tab/>
        <w:t>היו הסתייגויות רבות וחשבנו שראוי לקיים דיונים על-מנת להגיע למצב שבו החוק עלול לא לעבור, או שאם הוא יעבור יהיה שוני גדול בין החוק לבין ההסתייגויות שלו.  בסופו של דבר חלק מן הדברים יישבנו היום בישי</w:t>
      </w:r>
      <w:r>
        <w:rPr>
          <w:rFonts w:cs="David"/>
          <w:sz w:val="24"/>
          <w:rtl/>
        </w:rPr>
        <w:t>בה ארוכה.  הגענו להסכמה מסוימת לגבי תיקונים שמשנים את הנוסח של החוק ובעקבותיהם הסרת חלק מההסתייגויות חוץ מההסתייגויות הפורמליות כדי שחברי הכנסת ידברו.  כרגע החוק בהדפסה.  אם יש כרגע הסכמה, אפשר תוך כדי הישיבה הזאת להעלות למליאה את הבקשה לחדש את הדיונים ולא</w:t>
      </w:r>
      <w:r>
        <w:rPr>
          <w:rFonts w:cs="David"/>
          <w:sz w:val="24"/>
          <w:rtl/>
        </w:rPr>
        <w:t>חר מכן החוק יהיה בפנינו.</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חבר-הכנסת שטרן, בבקשה.</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יורי שטרן: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ביקשנו שהחוק הזה יקח בחשבון את הייחודיות של מדינת ישראל כמדינה קולטת עליה דווקא מהארצות שבהן הדברים מסובכים כי מי שבא משם לא תמיד יכול להצהיר על כל הפרטים.</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האם יש כאן הסכמה כללית של חברי הכנסת שאפשר לבקש להחזיר לכאן את החוק בחזרה?  חבר-הכנסת ברונפמן רוצה הבהרה.</w:t>
      </w:r>
    </w:p>
    <w:p w:rsidR="00000000" w:rsidRDefault="00EA0B41">
      <w:pPr>
        <w:jc w:val="both"/>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jc w:val="both"/>
        <w:rPr>
          <w:rFonts w:cs="David"/>
          <w:sz w:val="24"/>
          <w:rtl/>
        </w:rPr>
      </w:pPr>
    </w:p>
    <w:p w:rsidR="00000000" w:rsidRDefault="00EA0B41">
      <w:pPr>
        <w:jc w:val="both"/>
        <w:rPr>
          <w:rFonts w:cs="David"/>
          <w:sz w:val="24"/>
          <w:rtl/>
        </w:rPr>
      </w:pPr>
      <w:r>
        <w:rPr>
          <w:rFonts w:cs="David"/>
          <w:sz w:val="24"/>
          <w:rtl/>
        </w:rPr>
        <w:tab/>
        <w:t>בסעיף 9 לחוק, פרק ד', חובת הדיווח, חשבנו שיש חשיבות לכך שהדיווח יהיה בשפה המובנת לאדם שחייב בדיווח.  לכן הוספנו שם את סע</w:t>
      </w:r>
      <w:r>
        <w:rPr>
          <w:rFonts w:cs="David"/>
          <w:sz w:val="24"/>
          <w:rtl/>
        </w:rPr>
        <w:t>יף קטן (ז) בו נאמר:  דרישת הדיווח לפי סעיף זה והפעלת סמכות לפי סעיף 11(א) תהיה ככל שניתן בשפה המובנת לאדם החייב בדיווח על-פי סעיף זה, או על אדם שכלפיו מופעלת הסמכות.  לכאורה זה תיקון טכני אבל מבחינת הנוסח הוא מהותי.</w:t>
      </w:r>
    </w:p>
    <w:p w:rsidR="00000000" w:rsidRDefault="00EA0B41">
      <w:pPr>
        <w:jc w:val="both"/>
        <w:rPr>
          <w:rFonts w:cs="David"/>
          <w:sz w:val="24"/>
          <w:rtl/>
        </w:rPr>
      </w:pPr>
    </w:p>
    <w:p w:rsidR="00000000" w:rsidRDefault="00EA0B41">
      <w:pPr>
        <w:jc w:val="both"/>
        <w:rPr>
          <w:rFonts w:cs="David"/>
          <w:sz w:val="24"/>
          <w:rtl/>
        </w:rPr>
      </w:pPr>
      <w:r>
        <w:rPr>
          <w:rFonts w:cs="David"/>
          <w:sz w:val="24"/>
          <w:rtl/>
        </w:rPr>
        <w:tab/>
        <w:t>בסעיף 22(א)(2) סעיף החילוט האזרחי לא י</w:t>
      </w:r>
      <w:r>
        <w:rPr>
          <w:rFonts w:cs="David"/>
          <w:sz w:val="24"/>
          <w:rtl/>
        </w:rPr>
        <w:t>כול להיות מופעל כלפי אדם שאינו נמצא בישראל.  רצינו להבטיח שדווקא מדובר באדם שמתחמק או שנמצא באופן קבוע מחוץ לישראל.  לכן קיבלנו את ההסתייגות שאמרה:  איננו נמצא בישראל דרך קבע.  בסעיף 22 הוספנו סעיף קטן (ד) שאומר:  אין לחלט רכוש לפי סעיף זה שהינו רכושו של ה</w:t>
      </w:r>
      <w:r>
        <w:rPr>
          <w:rFonts w:cs="David"/>
          <w:sz w:val="24"/>
          <w:rtl/>
        </w:rPr>
        <w:t>חשוד אלא אם הוכח – 1.  כי בעל הזכות ברכוש ידע שהרכוש שימש בעבירה או הסכים לכך;  או 2. כי בעל הזכות ברכוש לא רכש את זכותו בתמורה או בתום לב.</w:t>
      </w:r>
    </w:p>
    <w:p w:rsidR="00000000" w:rsidRDefault="00EA0B41">
      <w:pPr>
        <w:jc w:val="both"/>
        <w:rPr>
          <w:rFonts w:cs="David"/>
          <w:sz w:val="24"/>
          <w:rtl/>
        </w:rPr>
      </w:pPr>
    </w:p>
    <w:p w:rsidR="00000000" w:rsidRDefault="00EA0B41">
      <w:pPr>
        <w:jc w:val="both"/>
        <w:rPr>
          <w:rFonts w:cs="David"/>
          <w:sz w:val="24"/>
          <w:rtl/>
        </w:rPr>
      </w:pPr>
      <w:r>
        <w:rPr>
          <w:rFonts w:cs="David"/>
          <w:sz w:val="24"/>
          <w:rtl/>
        </w:rPr>
        <w:tab/>
        <w:t>בתוספת הרביעית היה ויכוח על הסכום המינימלי שמעליו עולה חדש חייב לדווח כשהוא בא לארץ בפעם הראשונה.  היו ויכוחים גדו</w:t>
      </w:r>
      <w:r>
        <w:rPr>
          <w:rFonts w:cs="David"/>
          <w:sz w:val="24"/>
          <w:rtl/>
        </w:rPr>
        <w:t>לים ולבסוף הגענו להסכמה שבמקום 750,000 שקלים חדשים יהיה כתוב 1,000,000 שקלים חדשים, כפי שהציע הרב רביץ.</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lastRenderedPageBreak/>
        <w:tab/>
        <w:t>אני מעמיד להצבעה את ההצעה למשוך את החוק בחזרה.  מי בעד?  מי נגד?</w:t>
      </w:r>
    </w:p>
    <w:p w:rsidR="00000000" w:rsidRDefault="00EA0B41">
      <w:pPr>
        <w:jc w:val="both"/>
        <w:rPr>
          <w:rFonts w:cs="David"/>
          <w:sz w:val="24"/>
          <w:rtl/>
        </w:rPr>
      </w:pPr>
    </w:p>
    <w:p w:rsidR="00000000" w:rsidRDefault="00EA0B41">
      <w:pPr>
        <w:jc w:val="center"/>
        <w:rPr>
          <w:rFonts w:cs="David"/>
          <w:sz w:val="24"/>
          <w:rtl/>
        </w:rPr>
      </w:pPr>
      <w:r>
        <w:rPr>
          <w:rFonts w:cs="David"/>
          <w:sz w:val="24"/>
          <w:rtl/>
        </w:rPr>
        <w:t>הצבעה</w:t>
      </w:r>
    </w:p>
    <w:p w:rsidR="00000000" w:rsidRDefault="00EA0B41">
      <w:pPr>
        <w:jc w:val="center"/>
        <w:rPr>
          <w:rFonts w:cs="David"/>
          <w:sz w:val="24"/>
          <w:rtl/>
        </w:rPr>
      </w:pPr>
      <w:r>
        <w:rPr>
          <w:rFonts w:cs="David"/>
          <w:sz w:val="24"/>
          <w:rtl/>
        </w:rPr>
        <w:t>ההצעה למשוך את הצעת החוק אושרה</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אין התנגדות.  נעביר את הבקשה להודיע על כך במליאה.</w:t>
      </w:r>
    </w:p>
    <w:p w:rsidR="00000000" w:rsidRDefault="00EA0B41">
      <w:pPr>
        <w:jc w:val="both"/>
        <w:rPr>
          <w:rFonts w:cs="David"/>
          <w:sz w:val="24"/>
          <w:rtl/>
        </w:rPr>
      </w:pPr>
    </w:p>
    <w:p w:rsidR="00000000" w:rsidRDefault="00EA0B41">
      <w:pPr>
        <w:rPr>
          <w:rFonts w:cs="David"/>
          <w:sz w:val="24"/>
          <w:rtl/>
        </w:rPr>
      </w:pPr>
      <w:r>
        <w:rPr>
          <w:rFonts w:cs="David"/>
          <w:sz w:val="24"/>
          <w:u w:val="single"/>
          <w:rtl/>
        </w:rPr>
        <w:t>דורית ואג:</w:t>
      </w:r>
    </w:p>
    <w:p w:rsidR="00000000" w:rsidRDefault="00EA0B41">
      <w:pPr>
        <w:jc w:val="both"/>
        <w:rPr>
          <w:rFonts w:cs="David"/>
          <w:sz w:val="24"/>
          <w:rtl/>
        </w:rPr>
      </w:pPr>
    </w:p>
    <w:p w:rsidR="00000000" w:rsidRDefault="00EA0B41">
      <w:pPr>
        <w:jc w:val="both"/>
        <w:rPr>
          <w:rFonts w:cs="David"/>
          <w:sz w:val="24"/>
          <w:rtl/>
        </w:rPr>
      </w:pPr>
      <w:r>
        <w:rPr>
          <w:rFonts w:cs="David"/>
          <w:sz w:val="24"/>
          <w:rtl/>
        </w:rPr>
        <w:tab/>
        <w:t>אני עולה למליאה כדי לבקש למסור את ההודעה במליאה.</w:t>
      </w:r>
    </w:p>
    <w:p w:rsidR="00000000" w:rsidRDefault="00EA0B41">
      <w:pPr>
        <w:jc w:val="both"/>
        <w:rPr>
          <w:rFonts w:cs="David"/>
          <w:sz w:val="24"/>
          <w:rtl/>
        </w:rPr>
      </w:pPr>
    </w:p>
    <w:p w:rsidR="00000000" w:rsidRDefault="00EA0B41">
      <w:pPr>
        <w:jc w:val="both"/>
        <w:rPr>
          <w:rFonts w:cs="David"/>
          <w:sz w:val="24"/>
          <w:rtl/>
        </w:rPr>
      </w:pPr>
      <w:r>
        <w:rPr>
          <w:rFonts w:cs="David"/>
          <w:sz w:val="24"/>
          <w:rtl/>
        </w:rPr>
        <w:t>(הישיבה הופסקה בשעה 15:50)</w:t>
      </w:r>
    </w:p>
    <w:p w:rsidR="00000000" w:rsidRDefault="00EA0B41">
      <w:pPr>
        <w:jc w:val="both"/>
        <w:rPr>
          <w:rFonts w:cs="David"/>
          <w:sz w:val="24"/>
          <w:rtl/>
        </w:rPr>
      </w:pPr>
    </w:p>
    <w:p w:rsidR="00000000" w:rsidRDefault="00EA0B41">
      <w:pPr>
        <w:jc w:val="both"/>
        <w:rPr>
          <w:rFonts w:cs="David"/>
          <w:sz w:val="24"/>
          <w:rtl/>
        </w:rPr>
      </w:pPr>
      <w:r>
        <w:rPr>
          <w:rFonts w:cs="David"/>
          <w:sz w:val="24"/>
          <w:rtl/>
        </w:rPr>
        <w:t>(הישיבה חודשה בשעה 15:55)</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אני מחדש את הישיבה.  שלמה שהם, תסביר שוב מה הם השינויים.</w:t>
      </w:r>
    </w:p>
    <w:p w:rsidR="00000000" w:rsidRDefault="00EA0B41">
      <w:pPr>
        <w:jc w:val="both"/>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בסעיף 9, סעיף קטן (ה), המלים "לגבי בעלי עיסוק מסוים" נמחקו.  זה אומר שלשר האוצר, בהתייעצות עם השר לבטחון פנים ולשר הנוגע בדבר יש סמכות לקבוע תחליף דיווח לא רק לגבי בעלי עיסוק מסוים לפי עיסוק אלא לגבי כל דבר.  אם למשל יחליטו לגבי עולים חדשים, </w:t>
      </w:r>
      <w:r>
        <w:rPr>
          <w:rFonts w:cs="David"/>
          <w:sz w:val="24"/>
          <w:rtl/>
        </w:rPr>
        <w:t>השר הנוגע בדבר יהיה שר הקליטה ואז יחליטו – אם יחליטו – מסיבות אלה ואחרות על תחליף דיווח.</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ציפי לבני:</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כל החלטה כזאת כפופה לאישור ועדת החוקה חוק ומשפט.</w:t>
      </w:r>
    </w:p>
    <w:p w:rsidR="00000000" w:rsidRDefault="00EA0B41">
      <w:pPr>
        <w:jc w:val="both"/>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jc w:val="both"/>
        <w:rPr>
          <w:rFonts w:cs="David"/>
          <w:sz w:val="24"/>
          <w:rtl/>
        </w:rPr>
      </w:pPr>
    </w:p>
    <w:p w:rsidR="00000000" w:rsidRDefault="00EA0B41">
      <w:pPr>
        <w:jc w:val="both"/>
        <w:rPr>
          <w:rFonts w:cs="David"/>
          <w:sz w:val="24"/>
          <w:rtl/>
        </w:rPr>
      </w:pPr>
      <w:r>
        <w:rPr>
          <w:rFonts w:cs="David"/>
          <w:sz w:val="24"/>
          <w:rtl/>
        </w:rPr>
        <w:tab/>
        <w:t xml:space="preserve">בסעיף 9 הוספנו סעיף (ז) שאומר:  דרישת הדיווח לפי סעיף זה והפעלת סמכות לפי סעיף 11(א) תהיה </w:t>
      </w:r>
      <w:r>
        <w:rPr>
          <w:rFonts w:cs="David"/>
          <w:sz w:val="24"/>
          <w:rtl/>
        </w:rPr>
        <w:t>ככל שניתן בשפה המובנת לאדם החייב בדיווח על-פי סעיף זה, או האדם שכלפיו מופעלת הסמכות.</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ענת מאור:</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זה סעיף חשוב.</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אני חוזר ואומר שקראתי לאחרונה כמה דירקטיבות מבריסל וכמה חוקים אנגליים.  קראתי את ההנחיות לגבי הלבנת הון באנגליה, זה </w:t>
      </w:r>
      <w:r>
        <w:rPr>
          <w:rFonts w:cs="David"/>
          <w:sz w:val="24"/>
          <w:rtl/>
        </w:rPr>
        <w:t>כתוב כמו המג'לה, זה בעצם סוגיות בתלמוד:  אם א' חייב כסף לב', וב' מישכן את רכושו לג', הרי ג' הוא הצפוי להחרמת רכושו.  כל יהודי וכל גוי יכול להבין זאת.</w:t>
      </w:r>
    </w:p>
    <w:p w:rsidR="00000000" w:rsidRDefault="00EA0B41">
      <w:pPr>
        <w:rPr>
          <w:rFonts w:cs="David"/>
          <w:sz w:val="24"/>
          <w:u w:val="single"/>
          <w:rtl/>
        </w:rPr>
      </w:pPr>
      <w:r>
        <w:rPr>
          <w:rFonts w:cs="David"/>
          <w:sz w:val="24"/>
          <w:u w:val="single"/>
          <w:rtl/>
        </w:rPr>
        <w:br w:type="page"/>
      </w:r>
      <w:r>
        <w:rPr>
          <w:rFonts w:cs="David"/>
          <w:sz w:val="24"/>
          <w:u w:val="single"/>
          <w:rtl/>
        </w:rPr>
        <w:lastRenderedPageBreak/>
        <w:t>יורי שטרן: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איזה חוק יותר דרקוני – שלנו או שלהם?</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החוק שלהם הרבה יותר דרקוני</w:t>
      </w:r>
      <w:r>
        <w:rPr>
          <w:rFonts w:cs="David"/>
          <w:sz w:val="24"/>
          <w:rtl/>
        </w:rPr>
        <w:t>.  המדינה הכי דרקונית היא שוויץ, היא ביטלה סודיות בנקאית, ביטלה חיסיון של עורכי דין.  החוק שלנו עם התיקונים הוא בכלל לא חוק דרקוני.</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אני מודיע שנמסרה הודעה במליאה.  אני מבקש לקרוא את הנוסח החדש של ארבעת התיקונים ונצביע עליהם.</w:t>
      </w:r>
    </w:p>
    <w:p w:rsidR="00000000" w:rsidRDefault="00EA0B41">
      <w:pPr>
        <w:jc w:val="both"/>
        <w:rPr>
          <w:rFonts w:cs="David"/>
          <w:sz w:val="24"/>
          <w:u w:val="single"/>
          <w:rtl/>
        </w:rPr>
      </w:pPr>
    </w:p>
    <w:p w:rsidR="00000000" w:rsidRDefault="00EA0B41">
      <w:pPr>
        <w:jc w:val="both"/>
        <w:rPr>
          <w:rFonts w:cs="David"/>
          <w:sz w:val="24"/>
          <w:u w:val="single"/>
          <w:rtl/>
        </w:rPr>
      </w:pPr>
      <w:r>
        <w:rPr>
          <w:rFonts w:cs="David"/>
          <w:sz w:val="24"/>
          <w:u w:val="single"/>
          <w:rtl/>
        </w:rPr>
        <w:t>של</w:t>
      </w:r>
      <w:r>
        <w:rPr>
          <w:rFonts w:cs="David"/>
          <w:sz w:val="24"/>
          <w:u w:val="single"/>
          <w:rtl/>
        </w:rPr>
        <w:t>מה שהם:</w:t>
      </w:r>
    </w:p>
    <w:p w:rsidR="00000000" w:rsidRDefault="00EA0B41">
      <w:pPr>
        <w:jc w:val="both"/>
        <w:rPr>
          <w:rFonts w:cs="David"/>
          <w:sz w:val="24"/>
          <w:rtl/>
        </w:rPr>
      </w:pPr>
    </w:p>
    <w:p w:rsidR="00000000" w:rsidRDefault="00EA0B41">
      <w:pPr>
        <w:jc w:val="both"/>
        <w:rPr>
          <w:rFonts w:cs="David"/>
          <w:sz w:val="24"/>
          <w:rtl/>
        </w:rPr>
      </w:pPr>
      <w:r>
        <w:rPr>
          <w:rFonts w:cs="David"/>
          <w:sz w:val="24"/>
          <w:rtl/>
        </w:rPr>
        <w:tab/>
        <w:t>אני קורא את הניסוח החדש שוב.</w:t>
      </w:r>
    </w:p>
    <w:p w:rsidR="00000000" w:rsidRDefault="00EA0B41">
      <w:pPr>
        <w:jc w:val="both"/>
        <w:rPr>
          <w:rFonts w:cs="David"/>
          <w:sz w:val="24"/>
          <w:rtl/>
        </w:rPr>
      </w:pPr>
    </w:p>
    <w:p w:rsidR="00000000" w:rsidRDefault="00EA0B41">
      <w:pPr>
        <w:jc w:val="both"/>
        <w:rPr>
          <w:rFonts w:cs="David"/>
          <w:sz w:val="24"/>
          <w:rtl/>
        </w:rPr>
      </w:pPr>
      <w:r>
        <w:rPr>
          <w:rFonts w:cs="David"/>
          <w:sz w:val="24"/>
          <w:rtl/>
        </w:rPr>
        <w:tab/>
        <w:t>1.  בסעיף 9, סעיף קטן (ה), בסיפא, המלים "לגבי בעלי עיסוק מסוים" יימחקו.  לסעיף 9 יתוסף סעיף קטן (ז) האומר:  דרישת הדיווח לפי סעיף זה והפעלת סמכות לפי סעיף 11(א) תהיה, ככל שניתן, בשפה המובנת לאדם החייב בדיווח על-פי ס</w:t>
      </w:r>
      <w:r>
        <w:rPr>
          <w:rFonts w:cs="David"/>
          <w:sz w:val="24"/>
          <w:rtl/>
        </w:rPr>
        <w:t>עיף זה או האדם שכלפיו מופעלת הסמכות.</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אני מעמיד זאת להצבעה.  מי בעד?  מי נגד?</w:t>
      </w:r>
    </w:p>
    <w:p w:rsidR="00000000" w:rsidRDefault="00EA0B41">
      <w:pPr>
        <w:jc w:val="both"/>
        <w:rPr>
          <w:rFonts w:cs="David"/>
          <w:sz w:val="24"/>
          <w:rtl/>
        </w:rPr>
      </w:pPr>
    </w:p>
    <w:p w:rsidR="00000000" w:rsidRDefault="00EA0B41">
      <w:pPr>
        <w:jc w:val="center"/>
        <w:rPr>
          <w:rFonts w:cs="David"/>
          <w:sz w:val="24"/>
          <w:rtl/>
        </w:rPr>
      </w:pPr>
      <w:r>
        <w:rPr>
          <w:rFonts w:cs="David"/>
          <w:sz w:val="24"/>
          <w:rtl/>
        </w:rPr>
        <w:t>הצבעה</w:t>
      </w:r>
    </w:p>
    <w:p w:rsidR="00000000" w:rsidRDefault="00EA0B41">
      <w:pPr>
        <w:jc w:val="center"/>
        <w:rPr>
          <w:rFonts w:cs="David"/>
          <w:sz w:val="24"/>
          <w:rtl/>
        </w:rPr>
      </w:pPr>
      <w:r>
        <w:rPr>
          <w:rFonts w:cs="David"/>
          <w:sz w:val="24"/>
          <w:rtl/>
        </w:rPr>
        <w:t>הסעיף אושר</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הסעיף אושר פה אחד לקריאה שניה ושלישית וההסתייגויות מוסרות בהתאם לכך.</w:t>
      </w:r>
    </w:p>
    <w:p w:rsidR="00000000" w:rsidRDefault="00EA0B41">
      <w:pPr>
        <w:jc w:val="both"/>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jc w:val="both"/>
        <w:rPr>
          <w:rFonts w:cs="David"/>
          <w:sz w:val="24"/>
          <w:rtl/>
        </w:rPr>
      </w:pPr>
    </w:p>
    <w:p w:rsidR="00000000" w:rsidRDefault="00EA0B41">
      <w:pPr>
        <w:jc w:val="both"/>
        <w:rPr>
          <w:rFonts w:cs="David"/>
          <w:sz w:val="24"/>
          <w:rtl/>
        </w:rPr>
      </w:pPr>
      <w:r>
        <w:rPr>
          <w:rFonts w:cs="David"/>
          <w:sz w:val="24"/>
          <w:rtl/>
        </w:rPr>
        <w:tab/>
        <w:t>סעיף 22 (א)(2) יהיה כדלקמ</w:t>
      </w:r>
      <w:r>
        <w:rPr>
          <w:rFonts w:cs="David"/>
          <w:sz w:val="24"/>
          <w:rtl/>
        </w:rPr>
        <w:t>ן:  האדם החשוד בביצוע עבירה כאמור אינו נמצא בישראל דרך קבע.</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אני מעמיד זאת להצבעה.  מי בעד?  מי נגד?</w:t>
      </w:r>
    </w:p>
    <w:p w:rsidR="00000000" w:rsidRDefault="00EA0B41">
      <w:pPr>
        <w:jc w:val="both"/>
        <w:rPr>
          <w:rFonts w:cs="David"/>
          <w:sz w:val="24"/>
          <w:rtl/>
        </w:rPr>
      </w:pPr>
    </w:p>
    <w:p w:rsidR="00000000" w:rsidRDefault="00EA0B41">
      <w:pPr>
        <w:jc w:val="center"/>
        <w:rPr>
          <w:rFonts w:cs="David"/>
          <w:sz w:val="24"/>
          <w:rtl/>
        </w:rPr>
      </w:pPr>
      <w:r>
        <w:rPr>
          <w:rFonts w:cs="David"/>
          <w:sz w:val="24"/>
          <w:rtl/>
        </w:rPr>
        <w:t>הצבעה</w:t>
      </w:r>
    </w:p>
    <w:p w:rsidR="00000000" w:rsidRDefault="00EA0B41">
      <w:pPr>
        <w:jc w:val="center"/>
        <w:rPr>
          <w:rFonts w:cs="David"/>
          <w:sz w:val="24"/>
          <w:rtl/>
        </w:rPr>
      </w:pPr>
      <w:r>
        <w:rPr>
          <w:rFonts w:cs="David"/>
          <w:sz w:val="24"/>
          <w:rtl/>
        </w:rPr>
        <w:t>הסעיף אושר</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הסעיף אושר לקריאה שניה ושלישית.</w:t>
      </w:r>
    </w:p>
    <w:p w:rsidR="00000000" w:rsidRDefault="00EA0B41">
      <w:pPr>
        <w:jc w:val="both"/>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jc w:val="both"/>
        <w:rPr>
          <w:rFonts w:cs="David"/>
          <w:sz w:val="24"/>
          <w:rtl/>
        </w:rPr>
      </w:pPr>
    </w:p>
    <w:p w:rsidR="00000000" w:rsidRDefault="00EA0B41">
      <w:pPr>
        <w:jc w:val="both"/>
        <w:rPr>
          <w:rFonts w:cs="David"/>
          <w:sz w:val="24"/>
          <w:rtl/>
        </w:rPr>
      </w:pPr>
      <w:r>
        <w:rPr>
          <w:rFonts w:cs="David"/>
          <w:sz w:val="24"/>
          <w:rtl/>
        </w:rPr>
        <w:tab/>
        <w:t>בסופו של סעיף 22, סעיף קטן (ד), יבואו ה</w:t>
      </w:r>
      <w:r>
        <w:rPr>
          <w:rFonts w:cs="David"/>
          <w:sz w:val="24"/>
          <w:rtl/>
        </w:rPr>
        <w:t xml:space="preserve">מלים הבאות:  אין לחלט רכוש לפי סעיף זה שהינו רכוש של החשוד בביצוע העבירה אלא אם הוכח שהרכוש שימש בעבירה בידיעתו ובהסכמתו של בעל הזכות ברכוש, או שבעל הזכות ברכוש לא רכש את זכותו ברכוש בתמורה או בתום לב.  </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ענת מאור:</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זה שינוי מהותי.  קיימנו על זה דיונים ר</w:t>
      </w:r>
      <w:r>
        <w:rPr>
          <w:rFonts w:cs="David"/>
          <w:sz w:val="24"/>
          <w:rtl/>
        </w:rPr>
        <w:t>בים והיתה אז הצבעה  על שתי חלופות.</w:t>
      </w:r>
    </w:p>
    <w:p w:rsidR="00000000" w:rsidRDefault="00EA0B41">
      <w:pPr>
        <w:jc w:val="both"/>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jc w:val="both"/>
        <w:rPr>
          <w:rFonts w:cs="David"/>
          <w:sz w:val="24"/>
          <w:rtl/>
        </w:rPr>
      </w:pPr>
    </w:p>
    <w:p w:rsidR="00000000" w:rsidRDefault="00EA0B41">
      <w:pPr>
        <w:jc w:val="both"/>
        <w:rPr>
          <w:rFonts w:cs="David"/>
          <w:sz w:val="24"/>
          <w:rtl/>
        </w:rPr>
      </w:pPr>
      <w:r>
        <w:rPr>
          <w:rFonts w:cs="David"/>
          <w:sz w:val="24"/>
          <w:rtl/>
        </w:rPr>
        <w:tab/>
        <w:t>זה לא קשור לכאן ואסביר מדוע.  זה עוסק אך ורק בחילוט אזרחי, אותו חילוט בו אין אדם שהורשע בעבירה  ורכושו נתפס, רק כאשר יש נכס ואדם לא נמצא בישראל או שלא ניתן לאתר אותו.  זה חל רק במקרה הזה.</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ענת מאור:</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למה פה</w:t>
      </w:r>
      <w:r>
        <w:rPr>
          <w:rFonts w:cs="David"/>
          <w:sz w:val="24"/>
          <w:rtl/>
        </w:rPr>
        <w:t xml:space="preserve"> צריך להעביר את חובת ההוכחה?</w:t>
      </w:r>
    </w:p>
    <w:p w:rsidR="00000000" w:rsidRDefault="00EA0B41">
      <w:pPr>
        <w:jc w:val="both"/>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jc w:val="both"/>
        <w:rPr>
          <w:rFonts w:cs="David"/>
          <w:sz w:val="24"/>
          <w:rtl/>
        </w:rPr>
      </w:pPr>
    </w:p>
    <w:p w:rsidR="00000000" w:rsidRDefault="00EA0B41">
      <w:pPr>
        <w:ind w:firstLine="567"/>
        <w:jc w:val="both"/>
        <w:rPr>
          <w:rFonts w:cs="David"/>
          <w:sz w:val="24"/>
          <w:rtl/>
        </w:rPr>
      </w:pPr>
      <w:r>
        <w:rPr>
          <w:rFonts w:cs="David"/>
          <w:sz w:val="24"/>
          <w:rtl/>
        </w:rPr>
        <w:t>העמדה של האנשים היתה שיכול להיות מצב שבו אדם מחזיק ברכוש, באים אליו פתאום ואומרים לו:  אנחנו רוצים לקחת את הרכוש הזה. המסתייגים אומרים כי במקרה הספציפי שבו אין אדם שהורשע בעבירה אלא יש רק רכוש שבא בעבירה – אנחנו הול</w:t>
      </w:r>
      <w:r>
        <w:rPr>
          <w:rFonts w:cs="David"/>
          <w:sz w:val="24"/>
          <w:rtl/>
        </w:rPr>
        <w:t>כים רק אחר הרכוש – תיכבד אתה התובע ותוכיח שהאיש הזה ידע שהרכוש בעבירה, או שהוא הסכים לכך, או שהוא לא רכש אותו בתום לב.</w:t>
      </w:r>
    </w:p>
    <w:p w:rsidR="00000000" w:rsidRDefault="00EA0B41">
      <w:pPr>
        <w:ind w:firstLine="567"/>
        <w:jc w:val="both"/>
        <w:rPr>
          <w:rFonts w:cs="David"/>
          <w:sz w:val="24"/>
          <w:rtl/>
        </w:rPr>
      </w:pPr>
    </w:p>
    <w:p w:rsidR="00000000" w:rsidRDefault="00EA0B41">
      <w:pPr>
        <w:rPr>
          <w:rFonts w:cs="David"/>
          <w:sz w:val="24"/>
          <w:u w:val="single"/>
          <w:rtl/>
        </w:rPr>
      </w:pPr>
      <w:r>
        <w:rPr>
          <w:rFonts w:cs="David"/>
          <w:sz w:val="24"/>
          <w:u w:val="single"/>
          <w:rtl/>
        </w:rPr>
        <w:t>ענת מאור:</w:t>
      </w:r>
    </w:p>
    <w:p w:rsidR="00000000" w:rsidRDefault="00EA0B41">
      <w:pPr>
        <w:rPr>
          <w:rFonts w:cs="David"/>
          <w:sz w:val="24"/>
          <w:u w:val="single"/>
          <w:rtl/>
        </w:rPr>
      </w:pPr>
    </w:p>
    <w:p w:rsidR="00000000" w:rsidRDefault="00EA0B41">
      <w:pPr>
        <w:ind w:firstLine="567"/>
        <w:jc w:val="both"/>
        <w:rPr>
          <w:rFonts w:cs="David"/>
          <w:sz w:val="24"/>
          <w:rtl/>
        </w:rPr>
      </w:pPr>
      <w:r>
        <w:rPr>
          <w:rFonts w:cs="David"/>
          <w:sz w:val="24"/>
          <w:rtl/>
        </w:rPr>
        <w:t>האם אין פה התרחקות מהוויכוח הקלסי שהיה כאן על עצימת עיניים.</w:t>
      </w:r>
    </w:p>
    <w:p w:rsidR="00000000" w:rsidRDefault="00EA0B41">
      <w:pPr>
        <w:ind w:firstLine="567"/>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rPr>
          <w:rFonts w:cs="David"/>
          <w:sz w:val="24"/>
          <w:rtl/>
        </w:rPr>
      </w:pPr>
      <w:r>
        <w:rPr>
          <w:rFonts w:cs="David"/>
          <w:sz w:val="24"/>
          <w:rtl/>
        </w:rPr>
        <w:tab/>
        <w:t xml:space="preserve"> יש כאן התרחקות.</w:t>
      </w:r>
    </w:p>
    <w:p w:rsidR="00000000" w:rsidRDefault="00EA0B41">
      <w:pPr>
        <w:rPr>
          <w:rFonts w:cs="David"/>
          <w:sz w:val="24"/>
          <w:rtl/>
        </w:rPr>
      </w:pPr>
    </w:p>
    <w:p w:rsidR="00000000" w:rsidRDefault="00EA0B41">
      <w:pPr>
        <w:rPr>
          <w:rFonts w:cs="David"/>
          <w:sz w:val="24"/>
          <w:u w:val="single"/>
          <w:rtl/>
        </w:rPr>
      </w:pPr>
      <w:r>
        <w:rPr>
          <w:rFonts w:cs="David"/>
          <w:sz w:val="24"/>
          <w:u w:val="single"/>
          <w:rtl/>
        </w:rPr>
        <w:t>ציפי לבני:</w:t>
      </w:r>
    </w:p>
    <w:p w:rsidR="00000000" w:rsidRDefault="00EA0B41">
      <w:pPr>
        <w:rPr>
          <w:rFonts w:cs="David"/>
          <w:sz w:val="24"/>
          <w:u w:val="single"/>
          <w:rtl/>
        </w:rPr>
      </w:pPr>
    </w:p>
    <w:p w:rsidR="00000000" w:rsidRDefault="00EA0B41">
      <w:pPr>
        <w:rPr>
          <w:rFonts w:cs="David"/>
          <w:sz w:val="24"/>
          <w:rtl/>
        </w:rPr>
      </w:pPr>
      <w:r>
        <w:rPr>
          <w:rFonts w:cs="David"/>
          <w:sz w:val="24"/>
          <w:rtl/>
        </w:rPr>
        <w:tab/>
        <w:t xml:space="preserve"> זה לא </w:t>
      </w:r>
      <w:r>
        <w:rPr>
          <w:rFonts w:cs="David"/>
          <w:sz w:val="24"/>
          <w:rtl/>
        </w:rPr>
        <w:t>מדבר לא על סעיף 3 ולא על סעיף 4.</w:t>
      </w:r>
    </w:p>
    <w:p w:rsidR="00000000" w:rsidRDefault="00EA0B41">
      <w:pPr>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rPr>
          <w:rFonts w:cs="David"/>
          <w:sz w:val="24"/>
          <w:rtl/>
        </w:rPr>
      </w:pPr>
      <w:r>
        <w:rPr>
          <w:rFonts w:cs="David"/>
          <w:sz w:val="24"/>
          <w:rtl/>
        </w:rPr>
        <w:tab/>
        <w:t>אני מעמיד להצבעה את סעיף 22, סעיף קטן (ד).  מי בעד?  מי נגד?</w:t>
      </w:r>
    </w:p>
    <w:p w:rsidR="00000000" w:rsidRDefault="00EA0B41">
      <w:pPr>
        <w:rPr>
          <w:rFonts w:cs="David"/>
          <w:sz w:val="24"/>
          <w:rtl/>
        </w:rPr>
      </w:pPr>
    </w:p>
    <w:p w:rsidR="00000000" w:rsidRDefault="00EA0B41">
      <w:pPr>
        <w:jc w:val="center"/>
        <w:rPr>
          <w:rFonts w:cs="David"/>
          <w:sz w:val="24"/>
          <w:rtl/>
        </w:rPr>
      </w:pPr>
      <w:r>
        <w:rPr>
          <w:rFonts w:cs="David"/>
          <w:sz w:val="24"/>
          <w:rtl/>
        </w:rPr>
        <w:t>הצבעה</w:t>
      </w:r>
    </w:p>
    <w:p w:rsidR="00000000" w:rsidRDefault="00EA0B41">
      <w:pPr>
        <w:jc w:val="center"/>
        <w:rPr>
          <w:rFonts w:cs="David"/>
          <w:sz w:val="24"/>
          <w:rtl/>
        </w:rPr>
      </w:pPr>
      <w:r>
        <w:rPr>
          <w:rFonts w:cs="David"/>
          <w:sz w:val="24"/>
          <w:rtl/>
        </w:rPr>
        <w:t>בעד – רוב; נמנע – 1</w:t>
      </w:r>
    </w:p>
    <w:p w:rsidR="00000000" w:rsidRDefault="00EA0B41">
      <w:pPr>
        <w:jc w:val="center"/>
        <w:rPr>
          <w:rFonts w:cs="David"/>
          <w:sz w:val="24"/>
          <w:rtl/>
        </w:rPr>
      </w:pPr>
      <w:r>
        <w:rPr>
          <w:rFonts w:cs="David"/>
          <w:sz w:val="24"/>
          <w:rtl/>
        </w:rPr>
        <w:t>הסעיף אושר</w:t>
      </w:r>
    </w:p>
    <w:p w:rsidR="00000000" w:rsidRDefault="00EA0B41">
      <w:pPr>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rPr>
          <w:rFonts w:cs="David"/>
          <w:sz w:val="24"/>
          <w:rtl/>
        </w:rPr>
      </w:pPr>
      <w:r>
        <w:rPr>
          <w:rFonts w:cs="David"/>
          <w:sz w:val="24"/>
          <w:rtl/>
        </w:rPr>
        <w:tab/>
        <w:t>אני נמנע.  הסעיף אושר לקריאה שניה ושלישית.</w:t>
      </w:r>
    </w:p>
    <w:p w:rsidR="00000000" w:rsidRDefault="00EA0B41">
      <w:pPr>
        <w:rPr>
          <w:rFonts w:cs="David"/>
          <w:sz w:val="24"/>
          <w:rtl/>
        </w:rPr>
      </w:pPr>
    </w:p>
    <w:p w:rsidR="00000000" w:rsidRDefault="00EA0B41">
      <w:pPr>
        <w:jc w:val="both"/>
        <w:rPr>
          <w:rFonts w:cs="David"/>
          <w:sz w:val="24"/>
          <w:u w:val="single"/>
          <w:rtl/>
        </w:rPr>
      </w:pPr>
      <w:r>
        <w:rPr>
          <w:rFonts w:cs="David"/>
          <w:sz w:val="24"/>
          <w:u w:val="single"/>
          <w:rtl/>
        </w:rPr>
        <w:t>שלמה שהם:</w:t>
      </w:r>
    </w:p>
    <w:p w:rsidR="00000000" w:rsidRDefault="00EA0B41">
      <w:pPr>
        <w:rPr>
          <w:rFonts w:cs="David"/>
          <w:sz w:val="24"/>
          <w:rtl/>
        </w:rPr>
      </w:pPr>
    </w:p>
    <w:p w:rsidR="00000000" w:rsidRDefault="00EA0B41">
      <w:pPr>
        <w:rPr>
          <w:rFonts w:cs="David"/>
          <w:sz w:val="24"/>
          <w:rtl/>
        </w:rPr>
      </w:pPr>
      <w:r>
        <w:rPr>
          <w:rFonts w:cs="David"/>
          <w:sz w:val="24"/>
          <w:rtl/>
        </w:rPr>
        <w:tab/>
        <w:t>בתוספת הרביעית</w:t>
      </w:r>
      <w:r>
        <w:rPr>
          <w:rFonts w:cs="David"/>
          <w:sz w:val="24"/>
          <w:rtl/>
        </w:rPr>
        <w:t xml:space="preserve"> הסכום המינימלי שמעליו עולה חדש צריך לדווח עלה מ-750,000 שקלים ל-1,000,000 מיליון שקלים.  אז כל ההסתייגויות שאומרות לא להחיל את החוק על עולים חדשים וכל ההסתייגויות האחרות יורדות.</w:t>
      </w:r>
    </w:p>
    <w:p w:rsidR="00000000" w:rsidRDefault="00EA0B41">
      <w:pPr>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אני מעמיד את התוספת הרביעית להצבעה.  מי בעד?  מי </w:t>
      </w:r>
      <w:r>
        <w:rPr>
          <w:rFonts w:cs="David"/>
          <w:sz w:val="24"/>
          <w:rtl/>
        </w:rPr>
        <w:t>נגד?</w:t>
      </w:r>
    </w:p>
    <w:p w:rsidR="00000000" w:rsidRDefault="00EA0B41">
      <w:pPr>
        <w:jc w:val="both"/>
        <w:rPr>
          <w:rFonts w:cs="David"/>
          <w:sz w:val="24"/>
          <w:rtl/>
        </w:rPr>
      </w:pPr>
    </w:p>
    <w:p w:rsidR="00000000" w:rsidRDefault="00EA0B41">
      <w:pPr>
        <w:jc w:val="center"/>
        <w:rPr>
          <w:rFonts w:cs="David"/>
          <w:sz w:val="24"/>
          <w:rtl/>
        </w:rPr>
      </w:pPr>
      <w:r>
        <w:rPr>
          <w:rFonts w:cs="David"/>
          <w:sz w:val="24"/>
          <w:rtl/>
        </w:rPr>
        <w:t>הצבעה</w:t>
      </w:r>
    </w:p>
    <w:p w:rsidR="00000000" w:rsidRDefault="00EA0B41">
      <w:pPr>
        <w:jc w:val="center"/>
        <w:rPr>
          <w:rFonts w:cs="David"/>
          <w:sz w:val="24"/>
          <w:rtl/>
        </w:rPr>
      </w:pPr>
      <w:r>
        <w:rPr>
          <w:rFonts w:cs="David"/>
          <w:sz w:val="24"/>
          <w:rtl/>
        </w:rPr>
        <w:t>בעד – רוב; נמנע - 1</w:t>
      </w:r>
    </w:p>
    <w:p w:rsidR="00000000" w:rsidRDefault="00EA0B41">
      <w:pPr>
        <w:jc w:val="center"/>
        <w:rPr>
          <w:rFonts w:cs="David"/>
          <w:sz w:val="24"/>
          <w:rtl/>
        </w:rPr>
      </w:pPr>
      <w:r>
        <w:rPr>
          <w:rFonts w:cs="David"/>
          <w:sz w:val="24"/>
          <w:rtl/>
        </w:rPr>
        <w:t>התוספת הרביעית אושרה</w:t>
      </w:r>
    </w:p>
    <w:p w:rsidR="00000000" w:rsidRDefault="00EA0B41">
      <w:pPr>
        <w:jc w:val="both"/>
        <w:rPr>
          <w:rFonts w:cs="David"/>
          <w:sz w:val="24"/>
          <w:rtl/>
        </w:rPr>
      </w:pPr>
    </w:p>
    <w:p w:rsidR="00000000" w:rsidRDefault="00EA0B41">
      <w:pPr>
        <w:rPr>
          <w:rFonts w:cs="David"/>
          <w:sz w:val="24"/>
          <w:u w:val="single"/>
          <w:rtl/>
        </w:rPr>
      </w:pPr>
      <w:r>
        <w:rPr>
          <w:rFonts w:cs="David"/>
          <w:sz w:val="24"/>
          <w:u w:val="single"/>
          <w:rtl/>
        </w:rPr>
        <w:t>היו"ר אמנון רובינשטיין:</w:t>
      </w:r>
    </w:p>
    <w:p w:rsidR="00000000" w:rsidRDefault="00EA0B41">
      <w:pPr>
        <w:rPr>
          <w:rFonts w:cs="David"/>
          <w:sz w:val="24"/>
          <w:u w:val="single"/>
          <w:rtl/>
        </w:rPr>
      </w:pPr>
    </w:p>
    <w:p w:rsidR="00000000" w:rsidRDefault="00EA0B41">
      <w:pPr>
        <w:jc w:val="both"/>
        <w:rPr>
          <w:rFonts w:cs="David"/>
          <w:sz w:val="24"/>
          <w:rtl/>
        </w:rPr>
      </w:pPr>
      <w:r>
        <w:rPr>
          <w:rFonts w:cs="David"/>
          <w:sz w:val="24"/>
          <w:rtl/>
        </w:rPr>
        <w:tab/>
        <w:t xml:space="preserve"> אני נמנע.  התוספת הרביעית אושרה לקריאה שניה ושלישית.</w:t>
      </w:r>
    </w:p>
    <w:p w:rsidR="00000000" w:rsidRDefault="00EA0B41">
      <w:pPr>
        <w:jc w:val="both"/>
        <w:rPr>
          <w:rFonts w:cs="David"/>
          <w:sz w:val="24"/>
          <w:rtl/>
        </w:rPr>
      </w:pPr>
    </w:p>
    <w:p w:rsidR="00000000" w:rsidRDefault="00EA0B41">
      <w:pPr>
        <w:jc w:val="both"/>
        <w:rPr>
          <w:rFonts w:cs="David"/>
          <w:sz w:val="24"/>
          <w:rtl/>
        </w:rPr>
      </w:pPr>
      <w:r>
        <w:rPr>
          <w:rFonts w:cs="David"/>
          <w:sz w:val="24"/>
          <w:rtl/>
        </w:rPr>
        <w:tab/>
        <w:t>החוק אושר לקריאה שניה ושלישית והוא עובר למליאה לפי סעיף 124(ב).</w:t>
      </w:r>
    </w:p>
    <w:p w:rsidR="00000000" w:rsidRDefault="00EA0B41">
      <w:pPr>
        <w:jc w:val="both"/>
        <w:rPr>
          <w:rFonts w:cs="David"/>
          <w:sz w:val="24"/>
          <w:rtl/>
        </w:rPr>
      </w:pPr>
    </w:p>
    <w:p w:rsidR="00000000" w:rsidRDefault="00EA0B41">
      <w:pPr>
        <w:jc w:val="both"/>
        <w:rPr>
          <w:rFonts w:cs="David"/>
          <w:sz w:val="24"/>
          <w:rtl/>
        </w:rPr>
      </w:pPr>
      <w:r>
        <w:rPr>
          <w:rFonts w:cs="David"/>
          <w:sz w:val="24"/>
          <w:rtl/>
        </w:rPr>
        <w:tab/>
        <w:t>תודה רבה.  הישיבה נעולה.</w:t>
      </w:r>
    </w:p>
    <w:p w:rsidR="00000000" w:rsidRDefault="00EA0B41">
      <w:pPr>
        <w:jc w:val="both"/>
        <w:rPr>
          <w:rFonts w:cs="David"/>
          <w:sz w:val="24"/>
          <w:rtl/>
        </w:rPr>
      </w:pPr>
    </w:p>
    <w:p w:rsidR="00000000" w:rsidRDefault="00EA0B41">
      <w:pPr>
        <w:jc w:val="both"/>
        <w:rPr>
          <w:rFonts w:cs="David"/>
          <w:sz w:val="24"/>
          <w:rtl/>
        </w:rPr>
      </w:pPr>
    </w:p>
    <w:p w:rsidR="00000000" w:rsidRDefault="00EA0B41">
      <w:pPr>
        <w:pStyle w:val="2"/>
        <w:rPr>
          <w:rFonts w:cs="David"/>
          <w:sz w:val="24"/>
          <w:rtl/>
        </w:rPr>
      </w:pPr>
      <w:r>
        <w:rPr>
          <w:rFonts w:cs="David"/>
          <w:sz w:val="24"/>
          <w:rtl/>
        </w:rPr>
        <w:t>הישיבה ננעלה בשעה 16:05</w:t>
      </w: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r>
        <w:rPr>
          <w:rFonts w:cs="David"/>
          <w:sz w:val="24"/>
          <w:rtl/>
        </w:rPr>
        <w:tab/>
      </w: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both"/>
        <w:rPr>
          <w:rFonts w:cs="David"/>
          <w:sz w:val="24"/>
          <w:rtl/>
        </w:rPr>
      </w:pPr>
    </w:p>
    <w:p w:rsidR="00000000" w:rsidRDefault="00EA0B4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0B41">
      <w:r>
        <w:separator/>
      </w:r>
    </w:p>
  </w:endnote>
  <w:endnote w:type="continuationSeparator" w:id="0">
    <w:p w:rsidR="00000000" w:rsidRDefault="00EA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0B41">
    <w:pPr>
      <w:pStyle w:val="a7"/>
      <w:rPr>
        <w:rFonts w:cs="David"/>
        <w:sz w:val="24"/>
        <w:rtl/>
      </w:rPr>
    </w:pPr>
  </w:p>
  <w:p w:rsidR="00000000" w:rsidRDefault="00EA0B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0B41">
      <w:r>
        <w:separator/>
      </w:r>
    </w:p>
  </w:footnote>
  <w:footnote w:type="continuationSeparator" w:id="0">
    <w:p w:rsidR="00000000" w:rsidRDefault="00EA0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0B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A0B41">
    <w:pPr>
      <w:pStyle w:val="a5"/>
      <w:ind w:right="360"/>
      <w:rPr>
        <w:rFonts w:cs="David"/>
        <w:sz w:val="24"/>
        <w:rtl/>
      </w:rPr>
    </w:pPr>
    <w:r>
      <w:rPr>
        <w:rFonts w:cs="David"/>
        <w:sz w:val="24"/>
        <w:rtl/>
      </w:rPr>
      <w:t>ועדת החוקה חוק ומשפט</w:t>
    </w:r>
  </w:p>
  <w:p w:rsidR="00000000" w:rsidRDefault="00EA0B41">
    <w:pPr>
      <w:pStyle w:val="a5"/>
      <w:ind w:right="360"/>
      <w:rPr>
        <w:rStyle w:val="a9"/>
        <w:rFonts w:cs="David"/>
        <w:sz w:val="24"/>
        <w:rtl/>
      </w:rPr>
    </w:pPr>
    <w:r>
      <w:rPr>
        <w:rFonts w:cs="David"/>
        <w:sz w:val="24"/>
        <w:rtl/>
      </w:rPr>
      <w:t>2.8.2000</w:t>
    </w:r>
  </w:p>
  <w:p w:rsidR="00000000" w:rsidRDefault="00EA0B4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D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A0B41"/>
    <w:rsid w:val="00EA0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3E44E1-46F8-4A31-9BF1-C64FF87C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1203</Words>
  <Characters>6015</Characters>
  <Application>Microsoft Office Word</Application>
  <DocSecurity>0</DocSecurity>
  <Lines>50</Lines>
  <Paragraphs>14</Paragraphs>
  <ScaleCrop>false</ScaleCrop>
  <Company/>
  <LinksUpToDate>false</LinksUpToDate>
  <CharactersWithSpaces>7204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חוקה/909</dc:title>
  <dc:subject>חוקה 2.8.2000 ג</dc:subject>
  <dc:creator>אביגיל זכאי</dc:creator>
  <cp:keywords/>
  <dc:description/>
  <cp:lastModifiedBy>רינה דבורה קדרון</cp:lastModifiedBy>
  <cp:revision>2</cp:revision>
  <dcterms:created xsi:type="dcterms:W3CDTF">2017-04-19T08:45:00Z</dcterms:created>
  <dcterms:modified xsi:type="dcterms:W3CDTF">2017-04-19T08:45:00Z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