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0C1248">
      <w:pPr>
        <w:jc w:val="right"/>
        <w:rPr>
          <w:rFonts w:cs="David"/>
          <w:sz w:val="24"/>
          <w:rtl/>
        </w:rPr>
      </w:pPr>
      <w:bookmarkStart w:id="0" w:name="_GoBack"/>
      <w:bookmarkEnd w:id="0"/>
      <w:r>
        <w:rPr>
          <w:rFonts w:cs="David"/>
          <w:sz w:val="24"/>
          <w:rtl/>
        </w:rPr>
        <w:t>פרוטוקולים/ועדת חוקה/1193</w:t>
      </w:r>
    </w:p>
    <w:p w:rsidR="00000000" w:rsidRDefault="000C1248">
      <w:pPr>
        <w:jc w:val="right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ירושלי</w:t>
      </w:r>
      <w:r>
        <w:rPr>
          <w:rFonts w:cs="David"/>
          <w:sz w:val="24"/>
          <w:rtl/>
        </w:rPr>
        <w:t>ם, כ"ט באב, תש"ס</w:t>
      </w:r>
    </w:p>
    <w:p w:rsidR="00000000" w:rsidRDefault="000C1248">
      <w:pPr>
        <w:jc w:val="right"/>
        <w:rPr>
          <w:rFonts w:cs="David"/>
          <w:sz w:val="24"/>
          <w:rtl/>
          <w:lang w:val="es"/>
        </w:rPr>
      </w:pPr>
      <w:r>
        <w:rPr>
          <w:rFonts w:cs="David"/>
          <w:sz w:val="24"/>
          <w:rtl/>
          <w:lang w:val="es"/>
        </w:rPr>
        <w:t>30 באוגוסט, 2000</w:t>
      </w:r>
    </w:p>
    <w:p w:rsidR="00000000" w:rsidRDefault="000C1248">
      <w:pPr>
        <w:jc w:val="right"/>
        <w:rPr>
          <w:rFonts w:cs="David"/>
          <w:sz w:val="24"/>
          <w:rtl/>
        </w:rPr>
      </w:pPr>
    </w:p>
    <w:p w:rsidR="00000000" w:rsidRDefault="000C1248">
      <w:pPr>
        <w:jc w:val="both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הכנסת החמש-עשרה</w:t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sz w:val="24"/>
          <w:rtl/>
        </w:rPr>
        <w:t>נוסח לא מתוקן</w:t>
      </w:r>
    </w:p>
    <w:p w:rsidR="00000000" w:rsidRDefault="000C1248">
      <w:pPr>
        <w:jc w:val="both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מושב שני</w:t>
      </w:r>
    </w:p>
    <w:p w:rsidR="00000000" w:rsidRDefault="000C1248">
      <w:pPr>
        <w:jc w:val="both"/>
        <w:rPr>
          <w:rFonts w:cs="David"/>
          <w:b/>
          <w:bCs/>
          <w:sz w:val="24"/>
          <w:rtl/>
        </w:rPr>
      </w:pPr>
    </w:p>
    <w:p w:rsidR="00000000" w:rsidRDefault="000C1248">
      <w:pPr>
        <w:jc w:val="both"/>
        <w:rPr>
          <w:rFonts w:cs="David"/>
          <w:b/>
          <w:bCs/>
          <w:sz w:val="24"/>
          <w:rtl/>
        </w:rPr>
      </w:pPr>
    </w:p>
    <w:p w:rsidR="00000000" w:rsidRDefault="000C1248">
      <w:pPr>
        <w:jc w:val="both"/>
        <w:rPr>
          <w:rFonts w:cs="David"/>
          <w:b/>
          <w:bCs/>
          <w:sz w:val="24"/>
          <w:rtl/>
        </w:rPr>
      </w:pPr>
    </w:p>
    <w:p w:rsidR="00000000" w:rsidRDefault="000C1248">
      <w:pPr>
        <w:jc w:val="both"/>
        <w:rPr>
          <w:rFonts w:cs="David"/>
          <w:b/>
          <w:bCs/>
          <w:sz w:val="24"/>
          <w:rtl/>
        </w:rPr>
      </w:pPr>
    </w:p>
    <w:p w:rsidR="00000000" w:rsidRDefault="000C1248">
      <w:pPr>
        <w:jc w:val="center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פרוטוקול מס' 170</w:t>
      </w:r>
    </w:p>
    <w:p w:rsidR="00000000" w:rsidRDefault="000C1248">
      <w:pPr>
        <w:jc w:val="center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מישיבת ועדת החוקה חוק ומשפט</w:t>
      </w:r>
    </w:p>
    <w:p w:rsidR="00000000" w:rsidRDefault="000C1248">
      <w:pPr>
        <w:pStyle w:val="1"/>
        <w:rPr>
          <w:rFonts w:cs="David"/>
          <w:sz w:val="24"/>
          <w:rtl/>
        </w:rPr>
      </w:pPr>
      <w:r>
        <w:rPr>
          <w:rFonts w:cs="David"/>
          <w:sz w:val="24"/>
          <w:rtl/>
        </w:rPr>
        <w:t>יום שלישי, כ"א באב התש"ס (22 באוגוסט 2000), שעה 12:30</w:t>
      </w:r>
    </w:p>
    <w:p w:rsidR="00000000" w:rsidRDefault="000C1248">
      <w:pPr>
        <w:jc w:val="both"/>
        <w:rPr>
          <w:rFonts w:cs="David"/>
          <w:sz w:val="24"/>
          <w:rtl/>
        </w:rPr>
      </w:pPr>
    </w:p>
    <w:p w:rsidR="00000000" w:rsidRDefault="000C1248">
      <w:pPr>
        <w:jc w:val="both"/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>נכחו:</w:t>
      </w:r>
    </w:p>
    <w:p w:rsidR="00000000" w:rsidRDefault="000C1248">
      <w:pPr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0C1248">
      <w:pPr>
        <w:tabs>
          <w:tab w:val="left" w:pos="1505"/>
        </w:tabs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חברי הוועדה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>אמנון רובינשטיין – היו"ר</w:t>
      </w:r>
    </w:p>
    <w:p w:rsidR="00000000" w:rsidRDefault="000C1248">
      <w:pPr>
        <w:tabs>
          <w:tab w:val="left" w:pos="1505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שאול יהלום</w:t>
      </w:r>
    </w:p>
    <w:p w:rsidR="00000000" w:rsidRDefault="000C1248">
      <w:pPr>
        <w:tabs>
          <w:tab w:val="left" w:pos="1505"/>
        </w:tabs>
        <w:jc w:val="both"/>
        <w:rPr>
          <w:rFonts w:cs="David"/>
          <w:sz w:val="24"/>
          <w:rtl/>
        </w:rPr>
      </w:pPr>
    </w:p>
    <w:p w:rsidR="00000000" w:rsidRDefault="000C1248">
      <w:pPr>
        <w:tabs>
          <w:tab w:val="left" w:pos="1505"/>
        </w:tabs>
        <w:jc w:val="both"/>
        <w:rPr>
          <w:rFonts w:cs="David"/>
          <w:sz w:val="24"/>
          <w:rtl/>
        </w:rPr>
      </w:pPr>
    </w:p>
    <w:p w:rsidR="00000000" w:rsidRDefault="000C1248">
      <w:pPr>
        <w:jc w:val="both"/>
        <w:rPr>
          <w:rFonts w:cs="David"/>
          <w:sz w:val="24"/>
          <w:rtl/>
        </w:rPr>
      </w:pPr>
    </w:p>
    <w:p w:rsidR="00000000" w:rsidRDefault="000C1248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מוזמנים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>ע</w:t>
      </w:r>
      <w:r>
        <w:rPr>
          <w:rFonts w:cs="David"/>
          <w:sz w:val="24"/>
          <w:rtl/>
        </w:rPr>
        <w:t>ו"ד לבנת משיח</w:t>
      </w:r>
      <w:r>
        <w:rPr>
          <w:rFonts w:cs="David"/>
          <w:sz w:val="24"/>
          <w:rtl/>
        </w:rPr>
        <w:tab/>
        <w:t>- משרד המשפטים</w:t>
      </w:r>
    </w:p>
    <w:p w:rsidR="00000000" w:rsidRDefault="000C1248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יורם כספי</w:t>
      </w:r>
      <w:r>
        <w:rPr>
          <w:rFonts w:cs="David"/>
          <w:sz w:val="24"/>
          <w:rtl/>
        </w:rPr>
        <w:tab/>
        <w:t>- משרד הבינוי והשיכון</w:t>
      </w:r>
    </w:p>
    <w:p w:rsidR="00000000" w:rsidRDefault="000C1248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עו"ד אד פרידמן</w:t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- לשכת עורכי הדין</w:t>
      </w:r>
      <w:r>
        <w:rPr>
          <w:rFonts w:cs="David"/>
          <w:sz w:val="24"/>
          <w:rtl/>
        </w:rPr>
        <w:tab/>
      </w:r>
    </w:p>
    <w:p w:rsidR="00000000" w:rsidRDefault="000C1248">
      <w:pPr>
        <w:jc w:val="both"/>
        <w:rPr>
          <w:rFonts w:cs="David"/>
          <w:sz w:val="24"/>
          <w:rtl/>
        </w:rPr>
      </w:pPr>
    </w:p>
    <w:p w:rsidR="00000000" w:rsidRDefault="000C1248">
      <w:pPr>
        <w:jc w:val="both"/>
        <w:rPr>
          <w:rFonts w:cs="David"/>
          <w:sz w:val="24"/>
          <w:rtl/>
        </w:rPr>
      </w:pPr>
    </w:p>
    <w:p w:rsidR="00000000" w:rsidRDefault="000C1248">
      <w:pPr>
        <w:tabs>
          <w:tab w:val="left" w:pos="2835"/>
        </w:tabs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0C1248">
      <w:pPr>
        <w:tabs>
          <w:tab w:val="left" w:pos="2835"/>
        </w:tabs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0C1248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מתמחה של היועץ המשפטי</w:t>
      </w:r>
      <w:r>
        <w:rPr>
          <w:rFonts w:cs="David"/>
          <w:sz w:val="24"/>
          <w:rtl/>
        </w:rPr>
        <w:t>:     בועז פרסלר</w:t>
      </w:r>
      <w:r>
        <w:rPr>
          <w:rFonts w:cs="David"/>
          <w:sz w:val="24"/>
          <w:rtl/>
        </w:rPr>
        <w:tab/>
      </w:r>
    </w:p>
    <w:p w:rsidR="00000000" w:rsidRDefault="000C1248">
      <w:pPr>
        <w:jc w:val="both"/>
        <w:rPr>
          <w:rFonts w:cs="David"/>
          <w:sz w:val="24"/>
          <w:rtl/>
        </w:rPr>
      </w:pPr>
    </w:p>
    <w:p w:rsidR="00000000" w:rsidRDefault="000C1248">
      <w:pPr>
        <w:tabs>
          <w:tab w:val="left" w:pos="2835"/>
        </w:tabs>
        <w:jc w:val="both"/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>מנהלת הוועדה</w:t>
      </w:r>
      <w:r>
        <w:rPr>
          <w:rFonts w:cs="David"/>
          <w:sz w:val="24"/>
          <w:rtl/>
        </w:rPr>
        <w:t>:                          דורית ואג</w:t>
      </w:r>
    </w:p>
    <w:p w:rsidR="00000000" w:rsidRDefault="000C1248">
      <w:pPr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0C1248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קצרנית</w:t>
      </w:r>
      <w:r>
        <w:rPr>
          <w:rFonts w:cs="David"/>
          <w:sz w:val="24"/>
          <w:rtl/>
        </w:rPr>
        <w:t>:                                      אביגיל זכאי</w:t>
      </w:r>
    </w:p>
    <w:p w:rsidR="00000000" w:rsidRDefault="000C1248">
      <w:pPr>
        <w:jc w:val="both"/>
        <w:rPr>
          <w:rFonts w:cs="David"/>
          <w:sz w:val="24"/>
          <w:rtl/>
        </w:rPr>
      </w:pPr>
    </w:p>
    <w:p w:rsidR="00000000" w:rsidRDefault="000C1248">
      <w:pPr>
        <w:jc w:val="both"/>
        <w:rPr>
          <w:rFonts w:cs="David"/>
          <w:sz w:val="24"/>
          <w:rtl/>
        </w:rPr>
      </w:pPr>
    </w:p>
    <w:p w:rsidR="00000000" w:rsidRDefault="000C1248">
      <w:pPr>
        <w:jc w:val="both"/>
        <w:rPr>
          <w:rFonts w:cs="David"/>
          <w:sz w:val="24"/>
          <w:rtl/>
        </w:rPr>
      </w:pPr>
    </w:p>
    <w:p w:rsidR="00000000" w:rsidRDefault="000C1248">
      <w:pPr>
        <w:jc w:val="both"/>
        <w:rPr>
          <w:rFonts w:cs="David"/>
          <w:sz w:val="24"/>
          <w:rtl/>
        </w:rPr>
      </w:pPr>
    </w:p>
    <w:p w:rsidR="00000000" w:rsidRDefault="000C1248">
      <w:pPr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סד</w:t>
      </w:r>
      <w:r>
        <w:rPr>
          <w:rFonts w:cs="David"/>
          <w:b/>
          <w:bCs/>
          <w:sz w:val="24"/>
          <w:u w:val="single"/>
          <w:rtl/>
        </w:rPr>
        <w:t>ר היום:</w:t>
      </w:r>
      <w:r>
        <w:rPr>
          <w:rFonts w:cs="David"/>
          <w:sz w:val="24"/>
          <w:rtl/>
        </w:rPr>
        <w:t xml:space="preserve">     צו בתי המשפט (שינוי התוספת השלישית לחוק), התש"ס-2000 –</w:t>
      </w:r>
    </w:p>
    <w:p w:rsidR="00000000" w:rsidRDefault="000C1248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                       אישור הצו.</w:t>
      </w:r>
    </w:p>
    <w:p w:rsidR="00000000" w:rsidRDefault="000C1248">
      <w:pPr>
        <w:jc w:val="both"/>
        <w:rPr>
          <w:rFonts w:cs="David"/>
          <w:sz w:val="24"/>
          <w:rtl/>
        </w:rPr>
      </w:pPr>
    </w:p>
    <w:p w:rsidR="00000000" w:rsidRDefault="000C1248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br w:type="page"/>
      </w:r>
    </w:p>
    <w:p w:rsidR="00000000" w:rsidRDefault="000C1248">
      <w:pPr>
        <w:pStyle w:val="2"/>
        <w:rPr>
          <w:rFonts w:cs="David"/>
          <w:sz w:val="24"/>
          <w:rtl/>
        </w:rPr>
      </w:pPr>
      <w:r>
        <w:rPr>
          <w:rFonts w:cs="David"/>
          <w:sz w:val="24"/>
          <w:rtl/>
        </w:rPr>
        <w:t>צו בתי-המשפט (שינוי התוספת השלישית לחוק), התש"ס-2000</w:t>
      </w:r>
    </w:p>
    <w:p w:rsidR="00000000" w:rsidRDefault="000C1248">
      <w:pPr>
        <w:jc w:val="center"/>
        <w:rPr>
          <w:rFonts w:cs="David"/>
          <w:b/>
          <w:bCs/>
          <w:sz w:val="24"/>
          <w:u w:val="single"/>
          <w:rtl/>
        </w:rPr>
      </w:pPr>
    </w:p>
    <w:p w:rsidR="00000000" w:rsidRDefault="000C1248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אמנון רובינשטיין:</w:t>
      </w:r>
    </w:p>
    <w:p w:rsidR="00000000" w:rsidRDefault="000C1248">
      <w:pPr>
        <w:rPr>
          <w:rFonts w:cs="David"/>
          <w:sz w:val="24"/>
          <w:u w:val="single"/>
          <w:rtl/>
        </w:rPr>
      </w:pPr>
    </w:p>
    <w:p w:rsidR="00000000" w:rsidRDefault="000C1248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אני פותח את ישיבת הוועדה.  הנושא שלנו:  צו בתי-המשפט (שינוי התוספת השלי</w:t>
      </w:r>
      <w:r>
        <w:rPr>
          <w:rFonts w:cs="David"/>
          <w:sz w:val="24"/>
          <w:rtl/>
        </w:rPr>
        <w:t>שית לחוק), התש"ס-2000.  בבקשה גב' לבנת משיח.</w:t>
      </w:r>
    </w:p>
    <w:p w:rsidR="00000000" w:rsidRDefault="000C1248">
      <w:pPr>
        <w:rPr>
          <w:rFonts w:cs="David"/>
          <w:sz w:val="24"/>
          <w:rtl/>
        </w:rPr>
      </w:pPr>
    </w:p>
    <w:p w:rsidR="00000000" w:rsidRDefault="000C1248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עו"ד לבנת משיח:</w:t>
      </w:r>
    </w:p>
    <w:p w:rsidR="00000000" w:rsidRDefault="000C1248">
      <w:pPr>
        <w:rPr>
          <w:rFonts w:cs="David"/>
          <w:sz w:val="24"/>
          <w:rtl/>
        </w:rPr>
      </w:pPr>
    </w:p>
    <w:p w:rsidR="00000000" w:rsidRDefault="000C1248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על-פי חוק רישום קבלנים לעבודות הנדסה בנאיות, עבודות מסוימות צריכות להתבצע על-ידי קבלנים רשומים ובהתאם לסיווג שהם רשומים בו.  מי שעובר על הוראות חוק זה מובא היום לדין בבית-משפט שלום.  לפני כשלו</w:t>
      </w:r>
      <w:r>
        <w:rPr>
          <w:rFonts w:cs="David"/>
          <w:sz w:val="24"/>
          <w:rtl/>
        </w:rPr>
        <w:t>ש שנים היתה החלטה של היועץ המשפטי לממשלה שהעבירות האלה ייאכפו על-ידי הרשויות המקומיות במסגרת הפיקוח על הבנייה – שהן גם עבירות של הפרת חוקי הבנייה – ומי שעוסק בזה הם התובעים של הרשויות המקומיות.  תובעים אלה מופיעים לרוב בבית-משפט לעניינים מקומיים וכאשר הם צ</w:t>
      </w:r>
      <w:r>
        <w:rPr>
          <w:rFonts w:cs="David"/>
          <w:sz w:val="24"/>
          <w:rtl/>
        </w:rPr>
        <w:t>ריכים לדון בתיק בנייה יהיה חבל שהם יצטרכו לפצל את התיק – קודם לגשת לבית-משפט לעניינים מקומיים לגבי תיק הבנייה פרופר, לאחר מכן אם יש הפרה של חוק רישום קבלנים לגשת לבית-משפט שלום כדי לדון באישום השני. לכן אנחנו מבקשים להוסיף לרשימת העבירות שבית-משפט לעניינים</w:t>
      </w:r>
      <w:r>
        <w:rPr>
          <w:rFonts w:cs="David"/>
          <w:sz w:val="24"/>
          <w:rtl/>
        </w:rPr>
        <w:t xml:space="preserve"> מקומיים יכול לדון בהן גם את העבירות על חוק רישום קבלנים.</w:t>
      </w:r>
    </w:p>
    <w:p w:rsidR="00000000" w:rsidRDefault="000C1248">
      <w:pPr>
        <w:jc w:val="both"/>
        <w:rPr>
          <w:rFonts w:cs="David"/>
          <w:sz w:val="24"/>
          <w:rtl/>
        </w:rPr>
      </w:pPr>
    </w:p>
    <w:p w:rsidR="00000000" w:rsidRDefault="000C1248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אמנון רובינשטיין:</w:t>
      </w:r>
    </w:p>
    <w:p w:rsidR="00000000" w:rsidRDefault="000C1248">
      <w:pPr>
        <w:rPr>
          <w:rFonts w:cs="David"/>
          <w:sz w:val="24"/>
          <w:u w:val="single"/>
          <w:rtl/>
        </w:rPr>
      </w:pPr>
    </w:p>
    <w:p w:rsidR="00000000" w:rsidRDefault="000C1248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נציג לשכת עורכי הדין.</w:t>
      </w:r>
    </w:p>
    <w:p w:rsidR="00000000" w:rsidRDefault="000C1248">
      <w:pPr>
        <w:jc w:val="both"/>
        <w:rPr>
          <w:rFonts w:cs="David"/>
          <w:sz w:val="24"/>
          <w:rtl/>
        </w:rPr>
      </w:pPr>
    </w:p>
    <w:p w:rsidR="00000000" w:rsidRDefault="000C1248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עו"ד אד פרידמן:</w:t>
      </w:r>
    </w:p>
    <w:p w:rsidR="00000000" w:rsidRDefault="000C1248">
      <w:pPr>
        <w:jc w:val="both"/>
        <w:rPr>
          <w:rFonts w:cs="David"/>
          <w:sz w:val="24"/>
          <w:rtl/>
        </w:rPr>
      </w:pPr>
    </w:p>
    <w:p w:rsidR="00000000" w:rsidRDefault="000C1248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יש לנו בעיה עם ההופעות של התובעים המשטרתיים.</w:t>
      </w:r>
    </w:p>
    <w:p w:rsidR="00000000" w:rsidRDefault="000C1248">
      <w:pPr>
        <w:jc w:val="both"/>
        <w:rPr>
          <w:rFonts w:cs="David"/>
          <w:sz w:val="24"/>
          <w:rtl/>
        </w:rPr>
      </w:pPr>
    </w:p>
    <w:p w:rsidR="00000000" w:rsidRDefault="000C1248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אמנון רובינשטיין:</w:t>
      </w:r>
    </w:p>
    <w:p w:rsidR="00000000" w:rsidRDefault="000C1248">
      <w:pPr>
        <w:rPr>
          <w:rFonts w:cs="David"/>
          <w:sz w:val="24"/>
          <w:u w:val="single"/>
          <w:rtl/>
        </w:rPr>
      </w:pPr>
    </w:p>
    <w:p w:rsidR="00000000" w:rsidRDefault="000C1248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יש פסק דין בחיפה שפוסל את זה.  אגב, אני וגם חלק מחברי הווע</w:t>
      </w:r>
      <w:r>
        <w:rPr>
          <w:rFonts w:cs="David"/>
          <w:sz w:val="24"/>
          <w:rtl/>
        </w:rPr>
        <w:t>דה הבענו את דעתנו לא באופן רשמי שמוכרחים לפתור את הבעיה של התובעים המשטרתיים.  באופן כללי אני בעד העברת סמכויות לרשויות המקומיות מכיוון שאנחנו מטילים עליהן אחריות ולא נותנים להן סמכויות.</w:t>
      </w:r>
    </w:p>
    <w:p w:rsidR="00000000" w:rsidRDefault="000C1248">
      <w:pPr>
        <w:jc w:val="both"/>
        <w:rPr>
          <w:rFonts w:cs="David"/>
          <w:sz w:val="24"/>
          <w:rtl/>
        </w:rPr>
      </w:pPr>
    </w:p>
    <w:p w:rsidR="00000000" w:rsidRDefault="000C1248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דורית ואג:</w:t>
      </w:r>
    </w:p>
    <w:p w:rsidR="00000000" w:rsidRDefault="000C1248">
      <w:pPr>
        <w:jc w:val="both"/>
        <w:rPr>
          <w:rFonts w:cs="David"/>
          <w:sz w:val="24"/>
          <w:rtl/>
        </w:rPr>
      </w:pPr>
    </w:p>
    <w:p w:rsidR="00000000" w:rsidRDefault="000C1248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אני רוצה לציין שהתאחדות הקבלנים הוזמנה לדיון.  נציגיה ל</w:t>
      </w:r>
      <w:r>
        <w:rPr>
          <w:rFonts w:cs="David"/>
          <w:sz w:val="24"/>
          <w:rtl/>
        </w:rPr>
        <w:t>א הגיעו אבל הם העבירו הודעה שהם תומכים בצו.</w:t>
      </w:r>
    </w:p>
    <w:p w:rsidR="00000000" w:rsidRDefault="000C1248">
      <w:pPr>
        <w:jc w:val="both"/>
        <w:rPr>
          <w:rFonts w:cs="David"/>
          <w:sz w:val="24"/>
          <w:rtl/>
        </w:rPr>
      </w:pPr>
    </w:p>
    <w:p w:rsidR="00000000" w:rsidRDefault="000C1248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אמנון רובינשטיין:</w:t>
      </w:r>
    </w:p>
    <w:p w:rsidR="00000000" w:rsidRDefault="000C1248">
      <w:pPr>
        <w:rPr>
          <w:rFonts w:cs="David"/>
          <w:sz w:val="24"/>
          <w:u w:val="single"/>
          <w:rtl/>
        </w:rPr>
      </w:pPr>
    </w:p>
    <w:p w:rsidR="00000000" w:rsidRDefault="000C1248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אני מעמיד זאת להצבעה.  מי בעד אישור הצו?</w:t>
      </w:r>
    </w:p>
    <w:p w:rsidR="00000000" w:rsidRDefault="000C1248">
      <w:pPr>
        <w:jc w:val="both"/>
        <w:rPr>
          <w:rFonts w:cs="David"/>
          <w:sz w:val="24"/>
          <w:rtl/>
        </w:rPr>
      </w:pPr>
    </w:p>
    <w:p w:rsidR="00000000" w:rsidRDefault="000C1248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הצבעה</w:t>
      </w:r>
    </w:p>
    <w:p w:rsidR="00000000" w:rsidRDefault="000C1248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הצו אושר</w:t>
      </w:r>
    </w:p>
    <w:p w:rsidR="00000000" w:rsidRDefault="000C1248">
      <w:pPr>
        <w:jc w:val="both"/>
        <w:rPr>
          <w:rFonts w:cs="David"/>
          <w:sz w:val="24"/>
          <w:rtl/>
        </w:rPr>
      </w:pPr>
    </w:p>
    <w:p w:rsidR="00000000" w:rsidRDefault="000C1248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אמנון רובינשטיין:</w:t>
      </w:r>
    </w:p>
    <w:p w:rsidR="00000000" w:rsidRDefault="000C1248">
      <w:pPr>
        <w:rPr>
          <w:rFonts w:cs="David"/>
          <w:sz w:val="24"/>
          <w:u w:val="single"/>
          <w:rtl/>
        </w:rPr>
      </w:pPr>
    </w:p>
    <w:p w:rsidR="00000000" w:rsidRDefault="000C1248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הצו אושר פה אחד.</w:t>
      </w:r>
    </w:p>
    <w:p w:rsidR="00000000" w:rsidRDefault="000C1248">
      <w:pPr>
        <w:jc w:val="both"/>
        <w:rPr>
          <w:rFonts w:cs="David"/>
          <w:sz w:val="24"/>
          <w:rtl/>
        </w:rPr>
      </w:pPr>
    </w:p>
    <w:p w:rsidR="00000000" w:rsidRDefault="000C1248">
      <w:pPr>
        <w:pStyle w:val="3"/>
        <w:rPr>
          <w:rFonts w:cs="David"/>
          <w:sz w:val="24"/>
          <w:rtl/>
        </w:rPr>
      </w:pPr>
      <w:r>
        <w:rPr>
          <w:rFonts w:cs="David"/>
          <w:sz w:val="24"/>
          <w:rtl/>
        </w:rPr>
        <w:t>הישיבה ננעלה בשעה 12:50</w:t>
      </w:r>
    </w:p>
    <w:p w:rsidR="00000000" w:rsidRDefault="000C1248">
      <w:pPr>
        <w:jc w:val="both"/>
        <w:rPr>
          <w:rFonts w:cs="David"/>
          <w:sz w:val="24"/>
          <w:rtl/>
        </w:rPr>
      </w:pPr>
    </w:p>
    <w:p w:rsidR="00000000" w:rsidRDefault="000C1248">
      <w:pPr>
        <w:jc w:val="both"/>
        <w:rPr>
          <w:rFonts w:cs="David"/>
          <w:sz w:val="24"/>
          <w:rtl/>
        </w:rPr>
      </w:pPr>
    </w:p>
    <w:p w:rsidR="00000000" w:rsidRDefault="000C1248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  </w:t>
      </w:r>
    </w:p>
    <w:p w:rsidR="00000000" w:rsidRDefault="000C1248">
      <w:pPr>
        <w:jc w:val="both"/>
        <w:rPr>
          <w:rFonts w:cs="David"/>
          <w:sz w:val="24"/>
          <w:rtl/>
        </w:rPr>
      </w:pPr>
    </w:p>
    <w:p w:rsidR="00000000" w:rsidRDefault="000C1248">
      <w:pPr>
        <w:jc w:val="right"/>
        <w:rPr>
          <w:rFonts w:cs="David"/>
          <w:sz w:val="24"/>
          <w:rtl/>
        </w:rPr>
      </w:pPr>
    </w:p>
    <w:sectPr w:rsidR="00000000">
      <w:headerReference w:type="default" r:id="rId6"/>
      <w:footerReference w:type="default" r:id="rId7"/>
      <w:pgSz w:w="11906" w:h="16838" w:code="9"/>
      <w:pgMar w:top="1440" w:right="1800" w:bottom="1440" w:left="1800" w:header="706" w:footer="706" w:gutter="0"/>
      <w:cols w:space="709"/>
      <w:bidi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0C1248">
      <w:r>
        <w:separator/>
      </w:r>
    </w:p>
  </w:endnote>
  <w:endnote w:type="continuationSeparator" w:id="0">
    <w:p w:rsidR="00000000" w:rsidRDefault="000C12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0C1248">
    <w:pPr>
      <w:pStyle w:val="a7"/>
      <w:rPr>
        <w:rFonts w:cs="David"/>
        <w:sz w:val="24"/>
        <w:rtl/>
      </w:rPr>
    </w:pPr>
  </w:p>
  <w:p w:rsidR="00000000" w:rsidRDefault="000C1248">
    <w:pPr>
      <w:pStyle w:val="a7"/>
      <w:rPr>
        <w:rFonts w:cs="David"/>
        <w:sz w:val="24"/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0C1248">
      <w:r>
        <w:separator/>
      </w:r>
    </w:p>
  </w:footnote>
  <w:footnote w:type="continuationSeparator" w:id="0">
    <w:p w:rsidR="00000000" w:rsidRDefault="000C12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0C1248">
    <w:pPr>
      <w:pStyle w:val="a5"/>
      <w:framePr w:wrap="auto" w:vAnchor="text" w:hAnchor="margin" w:y="1"/>
      <w:rPr>
        <w:rStyle w:val="a9"/>
        <w:sz w:val="24"/>
        <w:rtl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  <w:rtl/>
      </w:rPr>
      <w:t>2</w:t>
    </w:r>
    <w:r>
      <w:rPr>
        <w:rStyle w:val="a9"/>
      </w:rPr>
      <w:fldChar w:fldCharType="end"/>
    </w:r>
  </w:p>
  <w:p w:rsidR="00000000" w:rsidRDefault="000C1248">
    <w:pPr>
      <w:pStyle w:val="a5"/>
      <w:ind w:right="360"/>
      <w:rPr>
        <w:rFonts w:cs="David"/>
        <w:sz w:val="24"/>
        <w:rtl/>
      </w:rPr>
    </w:pPr>
    <w:r>
      <w:rPr>
        <w:rFonts w:cs="David"/>
        <w:sz w:val="24"/>
        <w:rtl/>
      </w:rPr>
      <w:t>ועדת החוקה חוק ומשפט</w:t>
    </w:r>
  </w:p>
  <w:p w:rsidR="00000000" w:rsidRDefault="000C1248">
    <w:pPr>
      <w:pStyle w:val="a5"/>
      <w:ind w:right="360"/>
      <w:rPr>
        <w:rStyle w:val="a9"/>
        <w:sz w:val="24"/>
        <w:rtl/>
      </w:rPr>
    </w:pPr>
    <w:r>
      <w:rPr>
        <w:rFonts w:cs="David"/>
        <w:sz w:val="24"/>
        <w:rtl/>
      </w:rPr>
      <w:t>22.8.2000</w:t>
    </w:r>
  </w:p>
  <w:p w:rsidR="00000000" w:rsidRDefault="000C1248">
    <w:pPr>
      <w:pStyle w:val="a5"/>
      <w:rPr>
        <w:rFonts w:cs="David"/>
        <w:sz w:val="24"/>
        <w:rtl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79D3600005D07CEC2E8DED3118F2D00805F9F08A900000007580A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4B4944524F4E002F6F3D4B4E45535345542D49535241454C2F6F753D4B4E45535345542F636E3D526563697069656E74732F636E3D70726F746F636F6C696D2F636E3D74616D61727300"/>
  </w:docVars>
  <w:rsids>
    <w:rsidRoot w:val="000C1248"/>
    <w:rsid w:val="000C1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5BD38004-E922-4093-863B-319D3AB7B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bidi/>
      <w:adjustRightInd w:val="0"/>
      <w:spacing w:after="0" w:line="240" w:lineRule="auto"/>
    </w:pPr>
    <w:rPr>
      <w:rFonts w:ascii="Times New Roman" w:eastAsia="Times New Roman" w:hAnsi="Times New Roman" w:cs="Times New Roman"/>
      <w:szCs w:val="24"/>
      <w:lang w:eastAsia="he-IL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b/>
      <w:bCs/>
      <w:u w:val="single"/>
    </w:rPr>
  </w:style>
  <w:style w:type="paragraph" w:styleId="2">
    <w:name w:val="heading 2"/>
    <w:basedOn w:val="a"/>
    <w:next w:val="a"/>
    <w:link w:val="20"/>
    <w:uiPriority w:val="99"/>
    <w:qFormat/>
    <w:pPr>
      <w:keepNext/>
      <w:jc w:val="center"/>
      <w:outlineLvl w:val="1"/>
    </w:pPr>
    <w:rPr>
      <w:b/>
      <w:bCs/>
      <w:u w:val="single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both"/>
      <w:outlineLvl w:val="2"/>
    </w:pPr>
    <w:rPr>
      <w:u w:val="single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20">
    <w:name w:val="כותרת 2 תו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he-IL"/>
    </w:rPr>
  </w:style>
  <w:style w:type="character" w:customStyle="1" w:styleId="30">
    <w:name w:val="כותרת 3 תו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eastAsia="he-IL"/>
    </w:rPr>
  </w:style>
  <w:style w:type="paragraph" w:styleId="a3">
    <w:name w:val="Title"/>
    <w:basedOn w:val="a"/>
    <w:link w:val="a4"/>
    <w:uiPriority w:val="99"/>
    <w:qFormat/>
    <w:pPr>
      <w:jc w:val="center"/>
    </w:pPr>
    <w:rPr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imes New Roman" w:eastAsia="Times New Roman" w:hAnsi="Times New Roman" w:cs="Times New Roman"/>
      <w:szCs w:val="24"/>
      <w:lang w:eastAsia="he-IL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imes New Roman" w:eastAsia="Times New Roman" w:hAnsi="Times New Roman" w:cs="Times New Roman"/>
      <w:szCs w:val="24"/>
      <w:lang w:eastAsia="he-IL"/>
    </w:rPr>
  </w:style>
  <w:style w:type="character" w:styleId="a9">
    <w:name w:val="page number"/>
    <w:basedOn w:val="a0"/>
    <w:uiPriority w:val="99"/>
    <w:rPr>
      <w:rFonts w:cs="David"/>
      <w:lang w:bidi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380</Words>
  <Characters>1905</Characters>
  <Application>Microsoft Office Word</Application>
  <DocSecurity>0</DocSecurity>
  <Lines>15</Lines>
  <Paragraphs>4</Paragraphs>
  <ScaleCrop>false</ScaleCrop>
  <Company>ComputerLand -DORCOM Ltd</Company>
  <LinksUpToDate>false</LinksUpToDate>
  <CharactersWithSpaces>2281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פרוטוקולים/ועדת חוקה/1193</dc:title>
  <dc:subject>חוקה 22.8.2000 ו</dc:subject>
  <dc:creator>אביגיל זכאי</dc:creator>
  <cp:keywords/>
  <dc:description/>
  <cp:lastModifiedBy>רינה דבורה קדרון</cp:lastModifiedBy>
  <cp:revision>2</cp:revision>
  <dcterms:created xsi:type="dcterms:W3CDTF">2017-04-19T08:46:00Z</dcterms:created>
  <dcterms:modified xsi:type="dcterms:W3CDTF">2017-04-19T08:46:00Z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Name">
    <vt:lpwstr>שאלון דיאטה</vt:lpwstr>
  </property>
  <property fmtid="{D5CDD505-2E9C-101B-9397-08002B2CF9AE}" pid="3" name="Form_Ver">
    <vt:lpwstr>1</vt:lpwstr>
  </property>
</Properties>
</file>