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67BD">
      <w:pPr>
        <w:jc w:val="right"/>
        <w:rPr>
          <w:rtl/>
        </w:rPr>
      </w:pPr>
      <w:bookmarkStart w:id="0" w:name="_GoBack"/>
      <w:bookmarkEnd w:id="0"/>
      <w:r>
        <w:rPr>
          <w:rtl/>
        </w:rPr>
        <w:t>פרוטוקולים/ועדת חוקה/2268</w:t>
      </w:r>
    </w:p>
    <w:p w:rsidR="00000000" w:rsidRDefault="005467BD">
      <w:pPr>
        <w:jc w:val="right"/>
        <w:rPr>
          <w:rtl/>
        </w:rPr>
      </w:pPr>
      <w:r>
        <w:rPr>
          <w:rtl/>
        </w:rPr>
        <w:tab/>
        <w:t xml:space="preserve">ירושלים, </w:t>
      </w:r>
      <w:r>
        <w:rPr>
          <w:rtl/>
        </w:rPr>
        <w:t>י"ד בכסלו, תשס"א</w:t>
      </w:r>
    </w:p>
    <w:p w:rsidR="00000000" w:rsidRDefault="005467BD">
      <w:pPr>
        <w:jc w:val="right"/>
        <w:rPr>
          <w:rtl/>
          <w:lang w:val="es"/>
        </w:rPr>
      </w:pPr>
      <w:r>
        <w:rPr>
          <w:rtl/>
          <w:lang w:val="es"/>
        </w:rPr>
        <w:t>11 בדצמבר, 2000</w:t>
      </w:r>
    </w:p>
    <w:p w:rsidR="00000000" w:rsidRDefault="005467BD">
      <w:pPr>
        <w:jc w:val="right"/>
        <w:rPr>
          <w:rtl/>
        </w:rPr>
      </w:pPr>
    </w:p>
    <w:p w:rsidR="00000000" w:rsidRDefault="005467BD">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5467BD">
      <w:pPr>
        <w:rPr>
          <w:rtl/>
        </w:rPr>
      </w:pPr>
      <w:r>
        <w:rPr>
          <w:rtl/>
        </w:rPr>
        <w:t>מושב שלישי</w:t>
      </w:r>
    </w:p>
    <w:p w:rsidR="00000000" w:rsidRDefault="005467BD">
      <w:pPr>
        <w:rPr>
          <w:rtl/>
        </w:rPr>
      </w:pPr>
    </w:p>
    <w:p w:rsidR="00000000" w:rsidRDefault="005467BD">
      <w:pPr>
        <w:rPr>
          <w:rtl/>
        </w:rPr>
      </w:pPr>
    </w:p>
    <w:p w:rsidR="00000000" w:rsidRDefault="005467BD">
      <w:pPr>
        <w:jc w:val="center"/>
        <w:rPr>
          <w:rtl/>
        </w:rPr>
      </w:pPr>
      <w:r>
        <w:rPr>
          <w:rtl/>
        </w:rPr>
        <w:t>פרוטוקול מס' 215</w:t>
      </w:r>
    </w:p>
    <w:p w:rsidR="00000000" w:rsidRDefault="005467BD">
      <w:pPr>
        <w:jc w:val="center"/>
        <w:rPr>
          <w:rtl/>
        </w:rPr>
      </w:pPr>
      <w:r>
        <w:rPr>
          <w:rtl/>
        </w:rPr>
        <w:t>מישיבת ועדת החוקה, חוק ומשפט</w:t>
      </w:r>
    </w:p>
    <w:p w:rsidR="00000000" w:rsidRDefault="005467BD">
      <w:pPr>
        <w:pStyle w:val="10"/>
        <w:rPr>
          <w:rtl/>
        </w:rPr>
      </w:pPr>
      <w:r>
        <w:rPr>
          <w:rtl/>
        </w:rPr>
        <w:t>יום ראשון, ו' בכסלו התשס"א (3 בדצמבר 2000), שעה 9:30</w:t>
      </w:r>
    </w:p>
    <w:p w:rsidR="00000000" w:rsidRDefault="005467BD">
      <w:pPr>
        <w:jc w:val="center"/>
        <w:rPr>
          <w:u w:val="single"/>
          <w:rtl/>
        </w:rPr>
      </w:pPr>
    </w:p>
    <w:p w:rsidR="00000000" w:rsidRDefault="005467BD">
      <w:pPr>
        <w:jc w:val="both"/>
        <w:rPr>
          <w:u w:val="single"/>
          <w:rtl/>
        </w:rPr>
      </w:pPr>
      <w:r>
        <w:rPr>
          <w:u w:val="single"/>
          <w:rtl/>
        </w:rPr>
        <w:t>נכחו:</w:t>
      </w:r>
    </w:p>
    <w:p w:rsidR="00000000" w:rsidRDefault="005467BD">
      <w:pPr>
        <w:jc w:val="both"/>
        <w:rPr>
          <w:u w:val="single"/>
          <w:rtl/>
        </w:rPr>
      </w:pPr>
    </w:p>
    <w:p w:rsidR="00000000" w:rsidRDefault="005467BD">
      <w:pPr>
        <w:jc w:val="both"/>
        <w:rPr>
          <w:rtl/>
        </w:rPr>
      </w:pPr>
      <w:r>
        <w:rPr>
          <w:u w:val="single"/>
          <w:rtl/>
        </w:rPr>
        <w:t>חברי הוועדה:</w:t>
      </w:r>
      <w:r>
        <w:rPr>
          <w:rtl/>
        </w:rPr>
        <w:t xml:space="preserve"> אמנון רובינשטיין-היו"ר</w:t>
      </w:r>
    </w:p>
    <w:p w:rsidR="00000000" w:rsidRDefault="005467BD">
      <w:pPr>
        <w:jc w:val="both"/>
        <w:rPr>
          <w:rtl/>
        </w:rPr>
      </w:pPr>
    </w:p>
    <w:p w:rsidR="00000000" w:rsidRDefault="005467BD">
      <w:pPr>
        <w:jc w:val="both"/>
        <w:rPr>
          <w:rtl/>
        </w:rPr>
      </w:pPr>
      <w:r>
        <w:rPr>
          <w:u w:val="single"/>
          <w:rtl/>
        </w:rPr>
        <w:t>מוזמנים:</w:t>
      </w:r>
      <w:r>
        <w:rPr>
          <w:rtl/>
        </w:rPr>
        <w:t xml:space="preserve">        גלי בן-אור, ע</w:t>
      </w:r>
      <w:r>
        <w:rPr>
          <w:rtl/>
        </w:rPr>
        <w:t>ו"ד                      משרד המשפטים</w:t>
      </w:r>
    </w:p>
    <w:p w:rsidR="00000000" w:rsidRDefault="005467BD">
      <w:pPr>
        <w:jc w:val="both"/>
        <w:rPr>
          <w:rtl/>
        </w:rPr>
      </w:pPr>
      <w:r>
        <w:rPr>
          <w:rtl/>
        </w:rPr>
        <w:t xml:space="preserve">                        שרית הכט                               מתמחה, משרד המשפטים</w:t>
      </w:r>
    </w:p>
    <w:p w:rsidR="00000000" w:rsidRDefault="005467BD">
      <w:pPr>
        <w:jc w:val="both"/>
        <w:rPr>
          <w:rtl/>
        </w:rPr>
      </w:pPr>
      <w:r>
        <w:rPr>
          <w:rtl/>
        </w:rPr>
        <w:t xml:space="preserve">                        רמי רובין, עו"ד                       יועץ משפטי, הנהלת בתי-המשפט</w:t>
      </w:r>
    </w:p>
    <w:p w:rsidR="00000000" w:rsidRDefault="005467BD">
      <w:pPr>
        <w:jc w:val="both"/>
        <w:rPr>
          <w:rtl/>
        </w:rPr>
      </w:pPr>
      <w:r>
        <w:rPr>
          <w:rtl/>
        </w:rPr>
        <w:t xml:space="preserve">                        לאה רקובר, עו"ד      </w:t>
      </w:r>
      <w:r>
        <w:rPr>
          <w:rtl/>
        </w:rPr>
        <w:t xml:space="preserve">              הנהלת בתי-המשפט</w:t>
      </w:r>
    </w:p>
    <w:p w:rsidR="00000000" w:rsidRDefault="005467BD">
      <w:pPr>
        <w:jc w:val="both"/>
        <w:rPr>
          <w:rtl/>
        </w:rPr>
      </w:pPr>
    </w:p>
    <w:p w:rsidR="00000000" w:rsidRDefault="005467BD">
      <w:pPr>
        <w:jc w:val="both"/>
        <w:rPr>
          <w:rtl/>
        </w:rPr>
      </w:pPr>
    </w:p>
    <w:p w:rsidR="00000000" w:rsidRDefault="005467BD">
      <w:pPr>
        <w:jc w:val="both"/>
        <w:rPr>
          <w:rtl/>
        </w:rPr>
      </w:pPr>
      <w:r>
        <w:rPr>
          <w:u w:val="single"/>
          <w:rtl/>
        </w:rPr>
        <w:t>יועץ משפטי</w:t>
      </w:r>
      <w:r>
        <w:rPr>
          <w:u w:val="single"/>
        </w:rPr>
        <w:t>:</w:t>
      </w:r>
      <w:r>
        <w:rPr>
          <w:rtl/>
        </w:rPr>
        <w:t xml:space="preserve"> שלמה שהם</w:t>
      </w:r>
    </w:p>
    <w:p w:rsidR="00000000" w:rsidRDefault="005467BD">
      <w:pPr>
        <w:jc w:val="both"/>
        <w:rPr>
          <w:rtl/>
        </w:rPr>
      </w:pPr>
      <w:r>
        <w:rPr>
          <w:rtl/>
        </w:rPr>
        <w:t xml:space="preserve">                      </w:t>
      </w:r>
    </w:p>
    <w:p w:rsidR="00000000" w:rsidRDefault="005467BD">
      <w:pPr>
        <w:jc w:val="both"/>
        <w:rPr>
          <w:rtl/>
        </w:rPr>
      </w:pPr>
      <w:r>
        <w:rPr>
          <w:u w:val="single"/>
          <w:rtl/>
        </w:rPr>
        <w:t>מנהלת הוועדה:</w:t>
      </w:r>
      <w:r>
        <w:rPr>
          <w:rtl/>
        </w:rPr>
        <w:t xml:space="preserve"> דורית ואג</w:t>
      </w:r>
    </w:p>
    <w:p w:rsidR="00000000" w:rsidRDefault="005467BD">
      <w:pPr>
        <w:jc w:val="both"/>
        <w:rPr>
          <w:rtl/>
        </w:rPr>
      </w:pPr>
    </w:p>
    <w:p w:rsidR="00000000" w:rsidRDefault="005467BD">
      <w:pPr>
        <w:jc w:val="both"/>
        <w:rPr>
          <w:rtl/>
        </w:rPr>
      </w:pPr>
      <w:r>
        <w:rPr>
          <w:u w:val="single"/>
          <w:rtl/>
        </w:rPr>
        <w:t>קצרנית:</w:t>
      </w:r>
      <w:r>
        <w:rPr>
          <w:rtl/>
        </w:rPr>
        <w:t xml:space="preserve"> יפעת שפרכר</w:t>
      </w:r>
    </w:p>
    <w:p w:rsidR="00000000" w:rsidRDefault="005467BD">
      <w:pPr>
        <w:jc w:val="both"/>
        <w:rPr>
          <w:rtl/>
        </w:rPr>
      </w:pPr>
    </w:p>
    <w:p w:rsidR="00000000" w:rsidRDefault="005467BD">
      <w:pPr>
        <w:jc w:val="both"/>
        <w:rPr>
          <w:rtl/>
        </w:rPr>
      </w:pPr>
      <w:r>
        <w:rPr>
          <w:u w:val="single"/>
          <w:rtl/>
        </w:rPr>
        <w:t>נושא:</w:t>
      </w:r>
      <w:r>
        <w:rPr>
          <w:rtl/>
        </w:rPr>
        <w:t xml:space="preserve"> תקנות בתי המשפט לעניינים מינהליים (אגרות), התשס"א-2000.</w:t>
      </w: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pStyle w:val="10"/>
        <w:rPr>
          <w:rtl/>
        </w:rPr>
      </w:pPr>
      <w:r>
        <w:rPr>
          <w:rtl/>
        </w:rPr>
        <w:t>תקנות בתי המשפט לעניינים מינהליים (אגרות), ה</w:t>
      </w:r>
      <w:r>
        <w:rPr>
          <w:rtl/>
        </w:rPr>
        <w:t>תשס"א-2000</w:t>
      </w:r>
    </w:p>
    <w:p w:rsidR="00000000" w:rsidRDefault="005467BD">
      <w:pPr>
        <w:rPr>
          <w:u w:val="single"/>
          <w:rtl/>
        </w:rPr>
      </w:pPr>
    </w:p>
    <w:p w:rsidR="00000000" w:rsidRDefault="005467BD">
      <w:pPr>
        <w:rPr>
          <w:u w:val="single"/>
          <w:rtl/>
        </w:rPr>
      </w:pPr>
    </w:p>
    <w:p w:rsidR="00000000" w:rsidRDefault="005467BD">
      <w:pPr>
        <w:jc w:val="both"/>
        <w:rPr>
          <w:rtl/>
        </w:rPr>
      </w:pPr>
      <w:r>
        <w:rPr>
          <w:u w:val="single"/>
          <w:rtl/>
        </w:rPr>
        <w:t>היו"ר אמנון רובינשטיין:</w:t>
      </w:r>
    </w:p>
    <w:p w:rsidR="00000000" w:rsidRDefault="005467BD">
      <w:pPr>
        <w:jc w:val="both"/>
        <w:rPr>
          <w:rtl/>
        </w:rPr>
      </w:pPr>
    </w:p>
    <w:p w:rsidR="00000000" w:rsidRDefault="005467BD">
      <w:pPr>
        <w:jc w:val="both"/>
        <w:rPr>
          <w:rtl/>
        </w:rPr>
      </w:pPr>
      <w:r>
        <w:rPr>
          <w:rtl/>
        </w:rPr>
        <w:tab/>
        <w:t>בוקר טוב. אני פותח את ישיבת הוועדה. הנושא הראשון: בקשת שר המשפטים לאשר את האגרות בתקנות בתי המשפט לעניינים מינהליים (אגרות), התשס"א-2000.</w:t>
      </w:r>
    </w:p>
    <w:p w:rsidR="00000000" w:rsidRDefault="005467BD">
      <w:pPr>
        <w:jc w:val="both"/>
        <w:rPr>
          <w:rtl/>
        </w:rPr>
      </w:pPr>
    </w:p>
    <w:p w:rsidR="00000000" w:rsidRDefault="005467BD">
      <w:pPr>
        <w:jc w:val="both"/>
        <w:rPr>
          <w:rtl/>
        </w:rPr>
      </w:pPr>
      <w:r>
        <w:rPr>
          <w:u w:val="single"/>
          <w:rtl/>
        </w:rPr>
        <w:t>גלי בן-אור:</w:t>
      </w:r>
    </w:p>
    <w:p w:rsidR="00000000" w:rsidRDefault="005467BD">
      <w:pPr>
        <w:jc w:val="both"/>
        <w:rPr>
          <w:rtl/>
        </w:rPr>
      </w:pPr>
    </w:p>
    <w:p w:rsidR="00000000" w:rsidRDefault="005467BD">
      <w:pPr>
        <w:jc w:val="both"/>
        <w:rPr>
          <w:rtl/>
        </w:rPr>
      </w:pPr>
      <w:r>
        <w:rPr>
          <w:rtl/>
        </w:rPr>
        <w:tab/>
        <w:t>חוק בתי המשפט לעניינים מינהליים פורסם ב-11 ליוני ונכנס לתוקף 6 ח</w:t>
      </w:r>
      <w:r>
        <w:rPr>
          <w:rtl/>
        </w:rPr>
        <w:t xml:space="preserve">ודשים מיום פירסומו. החוק הזה מסמיך את בתי המשפט המחוזיים לדון כבתי משפט לעניינים מינהליים בעניינים שמורדים מבג"ץ. לפי סעיף 13 לחוק, שר המשפטים מוסמך להתקין תקנות, ובכלל זה גם תקנות לעניין אגרות. אלה התקנות שמונחות על שולחן הוועדה. לפי החוק אנחנו מחלקים את </w:t>
      </w:r>
      <w:r>
        <w:rPr>
          <w:rtl/>
        </w:rPr>
        <w:t>האגרות ל3 סוגי הליכים שיידונו.</w:t>
      </w:r>
    </w:p>
    <w:p w:rsidR="00000000" w:rsidRDefault="005467BD">
      <w:pPr>
        <w:jc w:val="both"/>
        <w:rPr>
          <w:rtl/>
        </w:rPr>
      </w:pPr>
    </w:p>
    <w:p w:rsidR="00000000" w:rsidRDefault="005467BD">
      <w:pPr>
        <w:jc w:val="both"/>
        <w:rPr>
          <w:rtl/>
        </w:rPr>
      </w:pPr>
      <w:r>
        <w:rPr>
          <w:u w:val="single"/>
          <w:rtl/>
        </w:rPr>
        <w:t>היו"ר אמנון רובינשטיין:</w:t>
      </w:r>
    </w:p>
    <w:p w:rsidR="00000000" w:rsidRDefault="005467BD">
      <w:pPr>
        <w:jc w:val="both"/>
        <w:rPr>
          <w:rtl/>
        </w:rPr>
      </w:pPr>
    </w:p>
    <w:p w:rsidR="00000000" w:rsidRDefault="005467BD">
      <w:pPr>
        <w:jc w:val="both"/>
        <w:rPr>
          <w:rtl/>
        </w:rPr>
      </w:pPr>
      <w:r>
        <w:rPr>
          <w:rtl/>
        </w:rPr>
        <w:tab/>
        <w:t xml:space="preserve">הבעיה היחידה שיש לנו זה עם עתירות מינהליות. </w:t>
      </w:r>
    </w:p>
    <w:p w:rsidR="00000000" w:rsidRDefault="005467BD">
      <w:pPr>
        <w:jc w:val="both"/>
        <w:rPr>
          <w:rtl/>
        </w:rPr>
      </w:pPr>
    </w:p>
    <w:p w:rsidR="00000000" w:rsidRDefault="005467BD">
      <w:pPr>
        <w:jc w:val="both"/>
        <w:rPr>
          <w:rtl/>
        </w:rPr>
      </w:pPr>
      <w:r>
        <w:rPr>
          <w:u w:val="single"/>
          <w:rtl/>
        </w:rPr>
        <w:t>דורית ואג:</w:t>
      </w:r>
    </w:p>
    <w:p w:rsidR="00000000" w:rsidRDefault="005467BD">
      <w:pPr>
        <w:jc w:val="both"/>
        <w:rPr>
          <w:rtl/>
        </w:rPr>
      </w:pPr>
    </w:p>
    <w:p w:rsidR="00000000" w:rsidRDefault="005467BD">
      <w:pPr>
        <w:jc w:val="both"/>
        <w:rPr>
          <w:rtl/>
        </w:rPr>
      </w:pPr>
      <w:r>
        <w:rPr>
          <w:rtl/>
        </w:rPr>
        <w:tab/>
        <w:t>כמה זה בכסף?</w:t>
      </w:r>
    </w:p>
    <w:p w:rsidR="00000000" w:rsidRDefault="005467BD">
      <w:pPr>
        <w:jc w:val="both"/>
        <w:rPr>
          <w:rtl/>
        </w:rPr>
      </w:pPr>
    </w:p>
    <w:p w:rsidR="00000000" w:rsidRDefault="005467BD">
      <w:pPr>
        <w:jc w:val="both"/>
        <w:rPr>
          <w:rtl/>
        </w:rPr>
      </w:pPr>
      <w:r>
        <w:rPr>
          <w:u w:val="single"/>
          <w:rtl/>
        </w:rPr>
        <w:t>גלי בן-אור:</w:t>
      </w:r>
    </w:p>
    <w:p w:rsidR="00000000" w:rsidRDefault="005467BD">
      <w:pPr>
        <w:jc w:val="both"/>
        <w:rPr>
          <w:rtl/>
        </w:rPr>
      </w:pPr>
    </w:p>
    <w:p w:rsidR="00000000" w:rsidRDefault="005467BD">
      <w:pPr>
        <w:jc w:val="both"/>
        <w:rPr>
          <w:rtl/>
        </w:rPr>
      </w:pPr>
      <w:r>
        <w:rPr>
          <w:rtl/>
        </w:rPr>
        <w:tab/>
        <w:t xml:space="preserve">2256 שקלים זה הסכום שאושר על ידי ועדת חוקה לפני כ-4 שנים כשאישרנו את הנושא של העברת העניינים המינהליים. יש לנו </w:t>
      </w:r>
      <w:r>
        <w:rPr>
          <w:rtl/>
        </w:rPr>
        <w:t>שני ראשים עיקריים: ראש אחד זה עתירות בענייני תכנון ובנייה, שזו המסה המרכזית, והמסה השנייה זה ענייני מכרזים. בענייני תכנון ובנייה האגרה בעד העתירה היא 2256 שקלים. מכרזים שנדונים היום בבית המשפט המחוזי מוגשים לפני המרצת פתיחה. גם בגינם משולמת אותה אגרה. במקב</w:t>
      </w:r>
      <w:r>
        <w:rPr>
          <w:rtl/>
        </w:rPr>
        <w:t>יל לקביעה הזאת, יצאה הנחיה של פרקליטת המדינה לפרקליטים המינהליים, ובמקביל יוצאת הנחיה מטעם נשיא בית המשפט העליון לשופטים המינהליים, לתת את הפטור מאגרה ביד מאוד רחבה למי שנזקק לזה. אנחנו סבורים שמרבית העניינים בתכנון ובנייה ובמכרזים הם עניינים בנושאים כלכלי</w:t>
      </w:r>
      <w:r>
        <w:rPr>
          <w:rtl/>
        </w:rPr>
        <w:t>ים כבדי משקל. אנחנו חושבים שזה לא יהיה נכון מבחינת המערכת לתת את ההנחה הכוללת לכלל העותרים. אנחנו סבורים בהחלט שיהיה גם את המקרה שבו אדם עותר בגלל שלא אישרו לו לסגור מרפסת.</w:t>
      </w:r>
    </w:p>
    <w:p w:rsidR="00000000" w:rsidRDefault="005467BD">
      <w:pPr>
        <w:jc w:val="both"/>
        <w:rPr>
          <w:rtl/>
        </w:rPr>
      </w:pPr>
    </w:p>
    <w:p w:rsidR="00000000" w:rsidRDefault="005467BD">
      <w:pPr>
        <w:jc w:val="both"/>
        <w:rPr>
          <w:u w:val="single"/>
          <w:rtl/>
        </w:rPr>
      </w:pPr>
      <w:r>
        <w:rPr>
          <w:u w:val="single"/>
          <w:rtl/>
        </w:rPr>
        <w:t>היו"ר אמנון רובינשטיין:</w:t>
      </w:r>
    </w:p>
    <w:p w:rsidR="00000000" w:rsidRDefault="005467BD">
      <w:pPr>
        <w:jc w:val="both"/>
        <w:rPr>
          <w:u w:val="single"/>
          <w:rtl/>
        </w:rPr>
      </w:pPr>
    </w:p>
    <w:p w:rsidR="00000000" w:rsidRDefault="005467BD">
      <w:pPr>
        <w:jc w:val="both"/>
        <w:rPr>
          <w:rtl/>
        </w:rPr>
      </w:pPr>
      <w:r>
        <w:rPr>
          <w:rtl/>
        </w:rPr>
        <w:tab/>
        <w:t>כמה עתירות יש בעניין תכנון ובנייה במחוזי?</w:t>
      </w:r>
    </w:p>
    <w:p w:rsidR="00000000" w:rsidRDefault="005467BD">
      <w:pPr>
        <w:jc w:val="both"/>
        <w:rPr>
          <w:rtl/>
        </w:rPr>
      </w:pPr>
    </w:p>
    <w:p w:rsidR="00000000" w:rsidRDefault="005467BD">
      <w:pPr>
        <w:jc w:val="both"/>
        <w:rPr>
          <w:rtl/>
        </w:rPr>
      </w:pPr>
      <w:r>
        <w:rPr>
          <w:u w:val="single"/>
          <w:rtl/>
        </w:rPr>
        <w:t>גלי בן-אור:</w:t>
      </w:r>
    </w:p>
    <w:p w:rsidR="00000000" w:rsidRDefault="005467BD">
      <w:pPr>
        <w:jc w:val="both"/>
        <w:rPr>
          <w:rtl/>
        </w:rPr>
      </w:pPr>
    </w:p>
    <w:p w:rsidR="00000000" w:rsidRDefault="005467BD">
      <w:pPr>
        <w:jc w:val="both"/>
        <w:rPr>
          <w:rtl/>
        </w:rPr>
      </w:pPr>
      <w:r>
        <w:rPr>
          <w:rtl/>
        </w:rPr>
        <w:tab/>
        <w:t xml:space="preserve">בענייני תכנון ובנייה יש כ-300 או 400 עתירות במחוזי, ובבית המשפט העליון 30,40.   </w:t>
      </w:r>
    </w:p>
    <w:p w:rsidR="00000000" w:rsidRDefault="005467BD">
      <w:pPr>
        <w:jc w:val="both"/>
        <w:rPr>
          <w:rtl/>
        </w:rPr>
      </w:pPr>
    </w:p>
    <w:p w:rsidR="00000000" w:rsidRDefault="005467BD">
      <w:pPr>
        <w:jc w:val="both"/>
        <w:rPr>
          <w:rtl/>
        </w:rPr>
      </w:pPr>
      <w:r>
        <w:rPr>
          <w:u w:val="single"/>
          <w:rtl/>
        </w:rPr>
        <w:t>היו"ר אמנון רובינשטיין:</w:t>
      </w:r>
    </w:p>
    <w:p w:rsidR="00000000" w:rsidRDefault="005467BD">
      <w:pPr>
        <w:jc w:val="both"/>
        <w:rPr>
          <w:rtl/>
        </w:rPr>
      </w:pPr>
    </w:p>
    <w:p w:rsidR="00000000" w:rsidRDefault="005467BD">
      <w:pPr>
        <w:jc w:val="both"/>
        <w:rPr>
          <w:rtl/>
        </w:rPr>
      </w:pPr>
      <w:r>
        <w:rPr>
          <w:rtl/>
        </w:rPr>
        <w:tab/>
        <w:t xml:space="preserve">אז מה עשינו? </w:t>
      </w:r>
    </w:p>
    <w:p w:rsidR="00000000" w:rsidRDefault="005467BD">
      <w:pPr>
        <w:jc w:val="both"/>
        <w:rPr>
          <w:rtl/>
        </w:rPr>
      </w:pPr>
    </w:p>
    <w:p w:rsidR="00000000" w:rsidRDefault="005467BD">
      <w:pPr>
        <w:jc w:val="both"/>
        <w:rPr>
          <w:u w:val="single"/>
          <w:rtl/>
        </w:rPr>
      </w:pPr>
    </w:p>
    <w:p w:rsidR="00000000" w:rsidRDefault="005467BD">
      <w:pPr>
        <w:jc w:val="both"/>
        <w:rPr>
          <w:u w:val="single"/>
          <w:rtl/>
        </w:rPr>
      </w:pPr>
    </w:p>
    <w:p w:rsidR="00000000" w:rsidRDefault="005467BD">
      <w:pPr>
        <w:jc w:val="both"/>
        <w:rPr>
          <w:u w:val="single"/>
          <w:rtl/>
        </w:rPr>
      </w:pPr>
    </w:p>
    <w:p w:rsidR="00000000" w:rsidRDefault="005467BD">
      <w:pPr>
        <w:jc w:val="both"/>
        <w:rPr>
          <w:rtl/>
        </w:rPr>
      </w:pPr>
      <w:r>
        <w:rPr>
          <w:u w:val="single"/>
          <w:rtl/>
        </w:rPr>
        <w:t>גלי בן-אור:</w:t>
      </w:r>
    </w:p>
    <w:p w:rsidR="00000000" w:rsidRDefault="005467BD">
      <w:pPr>
        <w:jc w:val="both"/>
        <w:rPr>
          <w:rtl/>
        </w:rPr>
      </w:pPr>
    </w:p>
    <w:p w:rsidR="00000000" w:rsidRDefault="005467BD">
      <w:pPr>
        <w:jc w:val="both"/>
        <w:rPr>
          <w:rtl/>
        </w:rPr>
      </w:pPr>
      <w:r>
        <w:rPr>
          <w:rtl/>
        </w:rPr>
        <w:tab/>
        <w:t>צפינו מלכתחילה שההורדה של הנושאים מבג"ץ למחוזי תגביל את ההתדיינות, משום שהיא מגבירה את הנגישות של האזרחים לבתי המשפ</w:t>
      </w:r>
      <w:r>
        <w:rPr>
          <w:rtl/>
        </w:rPr>
        <w:t xml:space="preserve">ט ומורידה את אלמנט היראה שיש מלגשת לבית המשפט העליון. </w:t>
      </w:r>
    </w:p>
    <w:p w:rsidR="00000000" w:rsidRDefault="005467BD">
      <w:pPr>
        <w:jc w:val="both"/>
        <w:rPr>
          <w:rtl/>
        </w:rPr>
      </w:pPr>
    </w:p>
    <w:p w:rsidR="00000000" w:rsidRDefault="005467BD">
      <w:pPr>
        <w:jc w:val="both"/>
        <w:rPr>
          <w:rtl/>
        </w:rPr>
      </w:pPr>
      <w:r>
        <w:rPr>
          <w:u w:val="single"/>
          <w:rtl/>
        </w:rPr>
        <w:t>היו"ר אמנון רובינשטיין:</w:t>
      </w:r>
    </w:p>
    <w:p w:rsidR="00000000" w:rsidRDefault="005467BD">
      <w:pPr>
        <w:jc w:val="both"/>
        <w:rPr>
          <w:rtl/>
        </w:rPr>
      </w:pPr>
    </w:p>
    <w:p w:rsidR="00000000" w:rsidRDefault="005467BD">
      <w:pPr>
        <w:jc w:val="both"/>
        <w:rPr>
          <w:rtl/>
        </w:rPr>
      </w:pPr>
      <w:r>
        <w:rPr>
          <w:rtl/>
        </w:rPr>
        <w:tab/>
        <w:t xml:space="preserve">מצד שני, זה מקטין את הפרסום. </w:t>
      </w:r>
    </w:p>
    <w:p w:rsidR="00000000" w:rsidRDefault="005467BD">
      <w:pPr>
        <w:jc w:val="both"/>
        <w:rPr>
          <w:rtl/>
        </w:rPr>
      </w:pPr>
    </w:p>
    <w:p w:rsidR="00000000" w:rsidRDefault="005467BD">
      <w:pPr>
        <w:jc w:val="both"/>
        <w:rPr>
          <w:rtl/>
        </w:rPr>
      </w:pPr>
      <w:r>
        <w:rPr>
          <w:u w:val="single"/>
          <w:rtl/>
        </w:rPr>
        <w:t>גלי בן-אור:</w:t>
      </w:r>
    </w:p>
    <w:p w:rsidR="00000000" w:rsidRDefault="005467BD">
      <w:pPr>
        <w:jc w:val="both"/>
        <w:rPr>
          <w:rtl/>
        </w:rPr>
      </w:pPr>
    </w:p>
    <w:p w:rsidR="00000000" w:rsidRDefault="005467BD">
      <w:pPr>
        <w:jc w:val="both"/>
        <w:rPr>
          <w:rtl/>
        </w:rPr>
      </w:pPr>
      <w:r>
        <w:rPr>
          <w:rtl/>
        </w:rPr>
        <w:tab/>
        <w:t>אם נקבע שיעור אגרה מאוד נמוך, אז בנוסף לכך שהנגישות תהיה מאוד גדולה והאגרה תהיה מאוד מאוד נמוכה, יהיה מאוד קל לפנות לבתי המשפט. א</w:t>
      </w:r>
      <w:r>
        <w:rPr>
          <w:rtl/>
        </w:rPr>
        <w:t>נחנו בהחלט לא רוצים לעודד את זה.</w:t>
      </w:r>
    </w:p>
    <w:p w:rsidR="00000000" w:rsidRDefault="005467BD">
      <w:pPr>
        <w:jc w:val="both"/>
        <w:rPr>
          <w:rtl/>
        </w:rPr>
      </w:pPr>
    </w:p>
    <w:p w:rsidR="00000000" w:rsidRDefault="005467BD">
      <w:pPr>
        <w:jc w:val="both"/>
        <w:rPr>
          <w:rtl/>
        </w:rPr>
      </w:pPr>
      <w:r>
        <w:rPr>
          <w:u w:val="single"/>
          <w:rtl/>
        </w:rPr>
        <w:t>היו"ר אמנון רובינשטיין:</w:t>
      </w:r>
    </w:p>
    <w:p w:rsidR="00000000" w:rsidRDefault="005467BD">
      <w:pPr>
        <w:jc w:val="both"/>
        <w:rPr>
          <w:rtl/>
        </w:rPr>
      </w:pPr>
    </w:p>
    <w:p w:rsidR="00000000" w:rsidRDefault="005467BD">
      <w:pPr>
        <w:jc w:val="both"/>
        <w:rPr>
          <w:rtl/>
        </w:rPr>
      </w:pPr>
      <w:r>
        <w:rPr>
          <w:rtl/>
        </w:rPr>
        <w:tab/>
        <w:t>יש מישהו שעוסק במשרד המשפטים בהשוואת התדיינות? האם יש מדען ראשי במשרד המשפטים?</w:t>
      </w:r>
    </w:p>
    <w:p w:rsidR="00000000" w:rsidRDefault="005467BD">
      <w:pPr>
        <w:jc w:val="both"/>
        <w:rPr>
          <w:rtl/>
        </w:rPr>
      </w:pPr>
    </w:p>
    <w:p w:rsidR="00000000" w:rsidRDefault="005467BD">
      <w:pPr>
        <w:jc w:val="both"/>
        <w:rPr>
          <w:rtl/>
        </w:rPr>
      </w:pPr>
      <w:r>
        <w:rPr>
          <w:u w:val="single"/>
          <w:rtl/>
        </w:rPr>
        <w:t>גלי בן-אור:</w:t>
      </w:r>
    </w:p>
    <w:p w:rsidR="00000000" w:rsidRDefault="005467BD">
      <w:pPr>
        <w:jc w:val="both"/>
        <w:rPr>
          <w:rtl/>
        </w:rPr>
      </w:pPr>
    </w:p>
    <w:p w:rsidR="00000000" w:rsidRDefault="005467BD">
      <w:pPr>
        <w:jc w:val="both"/>
        <w:rPr>
          <w:rtl/>
        </w:rPr>
      </w:pPr>
      <w:r>
        <w:rPr>
          <w:rtl/>
        </w:rPr>
        <w:tab/>
        <w:t>מדען ראשי אין לנו. אנחנו אוספים את הסטטיסטיקות מהנהלת בתי המשפט.</w:t>
      </w:r>
    </w:p>
    <w:p w:rsidR="00000000" w:rsidRDefault="005467BD">
      <w:pPr>
        <w:jc w:val="both"/>
        <w:rPr>
          <w:rtl/>
        </w:rPr>
      </w:pPr>
    </w:p>
    <w:p w:rsidR="00000000" w:rsidRDefault="005467BD">
      <w:pPr>
        <w:jc w:val="both"/>
        <w:rPr>
          <w:rtl/>
        </w:rPr>
      </w:pPr>
      <w:r>
        <w:rPr>
          <w:u w:val="single"/>
          <w:rtl/>
        </w:rPr>
        <w:t>היו"ר אמנון רובינשטיין:</w:t>
      </w:r>
    </w:p>
    <w:p w:rsidR="00000000" w:rsidRDefault="005467BD">
      <w:pPr>
        <w:jc w:val="both"/>
        <w:rPr>
          <w:rtl/>
        </w:rPr>
      </w:pPr>
    </w:p>
    <w:p w:rsidR="00000000" w:rsidRDefault="005467BD">
      <w:pPr>
        <w:jc w:val="both"/>
        <w:rPr>
          <w:rtl/>
        </w:rPr>
      </w:pPr>
      <w:r>
        <w:rPr>
          <w:rtl/>
        </w:rPr>
        <w:tab/>
        <w:t>לדעתי, אין</w:t>
      </w:r>
      <w:r>
        <w:rPr>
          <w:rtl/>
        </w:rPr>
        <w:t xml:space="preserve"> דבר דומה להתדיינות הישראלית אם אתם אומרים שזה עלה מ-40 ל-400.</w:t>
      </w:r>
    </w:p>
    <w:p w:rsidR="00000000" w:rsidRDefault="005467BD">
      <w:pPr>
        <w:jc w:val="both"/>
        <w:rPr>
          <w:rtl/>
        </w:rPr>
      </w:pPr>
    </w:p>
    <w:p w:rsidR="00000000" w:rsidRDefault="005467BD">
      <w:pPr>
        <w:jc w:val="both"/>
        <w:rPr>
          <w:rtl/>
        </w:rPr>
      </w:pPr>
      <w:r>
        <w:rPr>
          <w:u w:val="single"/>
          <w:rtl/>
        </w:rPr>
        <w:t>שלמה שהם:</w:t>
      </w:r>
    </w:p>
    <w:p w:rsidR="00000000" w:rsidRDefault="005467BD">
      <w:pPr>
        <w:jc w:val="both"/>
        <w:rPr>
          <w:rtl/>
        </w:rPr>
      </w:pPr>
    </w:p>
    <w:p w:rsidR="00000000" w:rsidRDefault="005467BD">
      <w:pPr>
        <w:jc w:val="both"/>
        <w:rPr>
          <w:rtl/>
        </w:rPr>
      </w:pPr>
      <w:r>
        <w:rPr>
          <w:rtl/>
        </w:rPr>
        <w:tab/>
        <w:t>בל נשכח שאנחנו מדברים בהתדיינות שבין האזרח לרשות. זה נכון שבמדינת ישראל יש התדיינות רבה מאוד, על זה אין ויכוח. דווקא את העניין הזה שהנגשנו יותר את הפנייה לבתי המשפט, הבאנו את זה למ</w:t>
      </w:r>
      <w:r>
        <w:rPr>
          <w:rtl/>
        </w:rPr>
        <w:t>חוזות ואזרח היה יכול לפנות נגד הרשות, זה היה צריך להיות מסר לציבור שאדם יכול כן לפנות לרשות ביתר בקלות. לפי דעתי, האגרה גבוהה.</w:t>
      </w:r>
    </w:p>
    <w:p w:rsidR="00000000" w:rsidRDefault="005467BD">
      <w:pPr>
        <w:jc w:val="both"/>
        <w:rPr>
          <w:rtl/>
        </w:rPr>
      </w:pPr>
    </w:p>
    <w:p w:rsidR="00000000" w:rsidRDefault="005467BD">
      <w:pPr>
        <w:jc w:val="both"/>
        <w:rPr>
          <w:rtl/>
        </w:rPr>
      </w:pPr>
      <w:r>
        <w:rPr>
          <w:u w:val="single"/>
          <w:rtl/>
        </w:rPr>
        <w:t>היו"ר אמנון רובינשטיין:</w:t>
      </w:r>
    </w:p>
    <w:p w:rsidR="00000000" w:rsidRDefault="005467BD">
      <w:pPr>
        <w:jc w:val="both"/>
        <w:rPr>
          <w:rtl/>
        </w:rPr>
      </w:pPr>
    </w:p>
    <w:p w:rsidR="00000000" w:rsidRDefault="005467BD">
      <w:pPr>
        <w:jc w:val="both"/>
        <w:rPr>
          <w:rtl/>
        </w:rPr>
      </w:pPr>
      <w:r>
        <w:rPr>
          <w:rtl/>
        </w:rPr>
        <w:tab/>
        <w:t>בעתירות המינהליות.</w:t>
      </w:r>
    </w:p>
    <w:p w:rsidR="00000000" w:rsidRDefault="005467BD">
      <w:pPr>
        <w:jc w:val="both"/>
        <w:rPr>
          <w:rtl/>
        </w:rPr>
      </w:pPr>
    </w:p>
    <w:p w:rsidR="00000000" w:rsidRDefault="005467BD">
      <w:pPr>
        <w:jc w:val="both"/>
        <w:rPr>
          <w:rtl/>
        </w:rPr>
      </w:pPr>
      <w:r>
        <w:rPr>
          <w:u w:val="single"/>
          <w:rtl/>
        </w:rPr>
        <w:t>שלמה שהם:</w:t>
      </w:r>
    </w:p>
    <w:p w:rsidR="00000000" w:rsidRDefault="005467BD">
      <w:pPr>
        <w:jc w:val="both"/>
        <w:rPr>
          <w:rtl/>
        </w:rPr>
      </w:pPr>
    </w:p>
    <w:p w:rsidR="00000000" w:rsidRDefault="005467BD">
      <w:pPr>
        <w:jc w:val="both"/>
        <w:rPr>
          <w:rtl/>
        </w:rPr>
      </w:pPr>
      <w:r>
        <w:rPr>
          <w:rtl/>
        </w:rPr>
        <w:tab/>
        <w:t>היה צריך להשאיר אגרה בסך 700 שקל. פה אנחנו משלשים את האגרה.</w:t>
      </w:r>
    </w:p>
    <w:p w:rsidR="00000000" w:rsidRDefault="005467BD">
      <w:pPr>
        <w:jc w:val="both"/>
        <w:rPr>
          <w:rtl/>
        </w:rPr>
      </w:pPr>
    </w:p>
    <w:p w:rsidR="00000000" w:rsidRDefault="005467BD">
      <w:pPr>
        <w:jc w:val="both"/>
        <w:rPr>
          <w:rtl/>
        </w:rPr>
      </w:pPr>
      <w:r>
        <w:rPr>
          <w:u w:val="single"/>
          <w:rtl/>
        </w:rPr>
        <w:t>היו"ר אמנ</w:t>
      </w:r>
      <w:r>
        <w:rPr>
          <w:u w:val="single"/>
          <w:rtl/>
        </w:rPr>
        <w:t>ון רובינשטיין:</w:t>
      </w:r>
    </w:p>
    <w:p w:rsidR="00000000" w:rsidRDefault="005467BD">
      <w:pPr>
        <w:jc w:val="both"/>
        <w:rPr>
          <w:rtl/>
        </w:rPr>
      </w:pPr>
    </w:p>
    <w:p w:rsidR="00000000" w:rsidRDefault="005467BD">
      <w:pPr>
        <w:jc w:val="both"/>
        <w:rPr>
          <w:rtl/>
        </w:rPr>
      </w:pPr>
      <w:r>
        <w:rPr>
          <w:rtl/>
        </w:rPr>
        <w:tab/>
        <w:t xml:space="preserve">לבג"ץ יש הוצאות הרבה יותר גדולות. </w:t>
      </w:r>
    </w:p>
    <w:p w:rsidR="00000000" w:rsidRDefault="005467BD">
      <w:pPr>
        <w:jc w:val="both"/>
        <w:rPr>
          <w:rtl/>
        </w:rPr>
      </w:pPr>
    </w:p>
    <w:p w:rsidR="00000000" w:rsidRDefault="005467BD">
      <w:pPr>
        <w:jc w:val="both"/>
        <w:rPr>
          <w:rtl/>
        </w:rPr>
      </w:pPr>
      <w:r>
        <w:rPr>
          <w:u w:val="single"/>
          <w:rtl/>
        </w:rPr>
        <w:t>גלי בן-אור:</w:t>
      </w:r>
    </w:p>
    <w:p w:rsidR="00000000" w:rsidRDefault="005467BD">
      <w:pPr>
        <w:jc w:val="both"/>
        <w:rPr>
          <w:rtl/>
        </w:rPr>
      </w:pPr>
    </w:p>
    <w:p w:rsidR="00000000" w:rsidRDefault="005467BD">
      <w:pPr>
        <w:jc w:val="both"/>
        <w:rPr>
          <w:rtl/>
        </w:rPr>
      </w:pPr>
      <w:r>
        <w:rPr>
          <w:rtl/>
        </w:rPr>
        <w:tab/>
        <w:t>מאז 1991, שפסק דין פסטרנק הוריד את ענייני המכרזים ועניינים הנידונים בהמרצת פתיחה, משולמת האגרה הגבוהה. מאז 1995, שענייני תכנון ובנייה ירדו, משולמת האגרה הגבוהה. צריך לזכור שבמרבית הנושאים ש</w:t>
      </w:r>
      <w:r>
        <w:rPr>
          <w:rtl/>
        </w:rPr>
        <w:t>מורדים אנחנו מדברים על נושאים כלכליים כבדי משקל. אני לא חושבת שיש איזו שהיא הצדקה לתת למספנות ישראל או לכל גוף כלכלי כבד לשלם אגרה מאוד נמוכה. אנחנו לא עובדים פה לפי איזה שהוא מנגנון שמודד מי העותר ואת עומק כיסו.</w:t>
      </w:r>
    </w:p>
    <w:p w:rsidR="00000000" w:rsidRDefault="005467BD">
      <w:pPr>
        <w:jc w:val="both"/>
        <w:rPr>
          <w:rtl/>
        </w:rPr>
      </w:pPr>
    </w:p>
    <w:p w:rsidR="00000000" w:rsidRDefault="005467BD">
      <w:pPr>
        <w:jc w:val="both"/>
        <w:rPr>
          <w:rtl/>
        </w:rPr>
      </w:pPr>
      <w:r>
        <w:rPr>
          <w:u w:val="single"/>
          <w:rtl/>
        </w:rPr>
        <w:t>שלמה שהם:</w:t>
      </w:r>
    </w:p>
    <w:p w:rsidR="00000000" w:rsidRDefault="005467BD">
      <w:pPr>
        <w:jc w:val="both"/>
        <w:rPr>
          <w:rtl/>
        </w:rPr>
      </w:pPr>
    </w:p>
    <w:p w:rsidR="00000000" w:rsidRDefault="005467BD">
      <w:pPr>
        <w:jc w:val="both"/>
        <w:rPr>
          <w:rtl/>
        </w:rPr>
      </w:pPr>
      <w:r>
        <w:rPr>
          <w:rtl/>
        </w:rPr>
        <w:tab/>
        <w:t>אני מציע, אם כבר דנים על זה, ש</w:t>
      </w:r>
      <w:r>
        <w:rPr>
          <w:rtl/>
        </w:rPr>
        <w:t>תשאירי בתקנות את הנושא של שיקול הדעת לגבי זה ובצורה יותר ברורה. אם תאמרי שברגע שבית המשפט שקל והתרשם שמדובר באדם פרטי וכו'..</w:t>
      </w:r>
    </w:p>
    <w:p w:rsidR="00000000" w:rsidRDefault="005467BD">
      <w:pPr>
        <w:jc w:val="both"/>
        <w:rPr>
          <w:rtl/>
        </w:rPr>
      </w:pPr>
    </w:p>
    <w:p w:rsidR="00000000" w:rsidRDefault="005467BD">
      <w:pPr>
        <w:jc w:val="both"/>
        <w:rPr>
          <w:rtl/>
        </w:rPr>
      </w:pPr>
      <w:r>
        <w:rPr>
          <w:u w:val="single"/>
          <w:rtl/>
        </w:rPr>
        <w:t>גלי בן-אור:</w:t>
      </w:r>
    </w:p>
    <w:p w:rsidR="00000000" w:rsidRDefault="005467BD">
      <w:pPr>
        <w:jc w:val="both"/>
        <w:rPr>
          <w:rtl/>
        </w:rPr>
      </w:pPr>
    </w:p>
    <w:p w:rsidR="00000000" w:rsidRDefault="005467BD">
      <w:pPr>
        <w:jc w:val="both"/>
        <w:rPr>
          <w:rtl/>
        </w:rPr>
      </w:pPr>
      <w:r>
        <w:rPr>
          <w:rtl/>
        </w:rPr>
        <w:lastRenderedPageBreak/>
        <w:tab/>
        <w:t xml:space="preserve">אז האופציה הזאת קיימת. </w:t>
      </w:r>
    </w:p>
    <w:p w:rsidR="00000000" w:rsidRDefault="005467BD">
      <w:pPr>
        <w:jc w:val="both"/>
        <w:rPr>
          <w:rtl/>
        </w:rPr>
      </w:pPr>
    </w:p>
    <w:p w:rsidR="00000000" w:rsidRDefault="005467BD">
      <w:pPr>
        <w:jc w:val="both"/>
        <w:rPr>
          <w:rtl/>
        </w:rPr>
      </w:pPr>
      <w:r>
        <w:rPr>
          <w:u w:val="single"/>
          <w:rtl/>
        </w:rPr>
        <w:t>שלמה שהם:</w:t>
      </w:r>
    </w:p>
    <w:p w:rsidR="00000000" w:rsidRDefault="005467BD">
      <w:pPr>
        <w:jc w:val="both"/>
        <w:rPr>
          <w:rtl/>
        </w:rPr>
      </w:pPr>
    </w:p>
    <w:p w:rsidR="00000000" w:rsidRDefault="005467BD">
      <w:pPr>
        <w:jc w:val="both"/>
        <w:rPr>
          <w:rtl/>
        </w:rPr>
      </w:pPr>
      <w:r>
        <w:rPr>
          <w:rtl/>
        </w:rPr>
        <w:tab/>
        <w:t>כמו שיש דחיית תשלום אגרה..</w:t>
      </w:r>
    </w:p>
    <w:p w:rsidR="00000000" w:rsidRDefault="005467BD">
      <w:pPr>
        <w:jc w:val="both"/>
        <w:rPr>
          <w:rtl/>
        </w:rPr>
      </w:pPr>
    </w:p>
    <w:p w:rsidR="00000000" w:rsidRDefault="005467BD">
      <w:pPr>
        <w:jc w:val="both"/>
        <w:rPr>
          <w:rtl/>
        </w:rPr>
      </w:pPr>
      <w:r>
        <w:rPr>
          <w:u w:val="single"/>
          <w:rtl/>
        </w:rPr>
        <w:t>גלי בן-אור:</w:t>
      </w:r>
    </w:p>
    <w:p w:rsidR="00000000" w:rsidRDefault="005467BD">
      <w:pPr>
        <w:jc w:val="both"/>
        <w:rPr>
          <w:rtl/>
        </w:rPr>
      </w:pPr>
    </w:p>
    <w:p w:rsidR="00000000" w:rsidRDefault="005467BD">
      <w:pPr>
        <w:jc w:val="both"/>
        <w:rPr>
          <w:rtl/>
        </w:rPr>
      </w:pPr>
      <w:r>
        <w:rPr>
          <w:rtl/>
        </w:rPr>
        <w:tab/>
        <w:t>קיים מנגנון של פטור מאגרה ומנגנון שבו</w:t>
      </w:r>
      <w:r>
        <w:rPr>
          <w:rtl/>
        </w:rPr>
        <w:t xml:space="preserve"> היועץ המשפטי לממשלה יכול להסכים ואז בכלל לא צריך לעשות את כל ההליך של..</w:t>
      </w:r>
    </w:p>
    <w:p w:rsidR="00000000" w:rsidRDefault="005467BD">
      <w:pPr>
        <w:jc w:val="both"/>
        <w:rPr>
          <w:rtl/>
        </w:rPr>
      </w:pPr>
    </w:p>
    <w:p w:rsidR="00000000" w:rsidRDefault="005467BD">
      <w:pPr>
        <w:jc w:val="both"/>
        <w:rPr>
          <w:rtl/>
        </w:rPr>
      </w:pPr>
      <w:r>
        <w:rPr>
          <w:u w:val="single"/>
          <w:rtl/>
        </w:rPr>
        <w:t>שלמה שהם:</w:t>
      </w:r>
    </w:p>
    <w:p w:rsidR="00000000" w:rsidRDefault="005467BD">
      <w:pPr>
        <w:jc w:val="both"/>
        <w:rPr>
          <w:rtl/>
        </w:rPr>
      </w:pPr>
    </w:p>
    <w:p w:rsidR="00000000" w:rsidRDefault="005467BD">
      <w:pPr>
        <w:jc w:val="both"/>
        <w:rPr>
          <w:rtl/>
        </w:rPr>
      </w:pPr>
      <w:r>
        <w:rPr>
          <w:rtl/>
        </w:rPr>
        <w:tab/>
        <w:t>המציאות היא שמשתמשים במנגנון הזה מעט ובמשורה.</w:t>
      </w:r>
    </w:p>
    <w:p w:rsidR="00000000" w:rsidRDefault="005467BD">
      <w:pPr>
        <w:jc w:val="both"/>
        <w:rPr>
          <w:rtl/>
        </w:rPr>
      </w:pPr>
    </w:p>
    <w:p w:rsidR="00000000" w:rsidRDefault="005467BD">
      <w:pPr>
        <w:jc w:val="both"/>
        <w:rPr>
          <w:rtl/>
        </w:rPr>
      </w:pPr>
      <w:r>
        <w:rPr>
          <w:u w:val="single"/>
          <w:rtl/>
        </w:rPr>
        <w:t>גלי בן-אור:</w:t>
      </w:r>
    </w:p>
    <w:p w:rsidR="00000000" w:rsidRDefault="005467BD">
      <w:pPr>
        <w:jc w:val="both"/>
        <w:rPr>
          <w:rtl/>
        </w:rPr>
      </w:pPr>
    </w:p>
    <w:p w:rsidR="00000000" w:rsidRDefault="005467BD">
      <w:pPr>
        <w:jc w:val="both"/>
        <w:rPr>
          <w:rtl/>
        </w:rPr>
      </w:pPr>
      <w:r>
        <w:rPr>
          <w:rtl/>
        </w:rPr>
        <w:tab/>
        <w:t>בגלל זה אמרנו שתצא הנחיה משולבת. אנחנו מאוד התעקשנו לגבי הנושא של התמחות שופטים, ואנחנו מאוד מתעקשים במערכת ש</w:t>
      </w:r>
      <w:r>
        <w:rPr>
          <w:rtl/>
        </w:rPr>
        <w:t xml:space="preserve">לנו פנימה על התמחות פרקליטים. </w:t>
      </w:r>
    </w:p>
    <w:p w:rsidR="00000000" w:rsidRDefault="005467BD">
      <w:pPr>
        <w:jc w:val="both"/>
        <w:rPr>
          <w:rtl/>
        </w:rPr>
      </w:pPr>
    </w:p>
    <w:p w:rsidR="00000000" w:rsidRDefault="005467BD">
      <w:pPr>
        <w:jc w:val="both"/>
        <w:rPr>
          <w:rtl/>
        </w:rPr>
      </w:pPr>
      <w:r>
        <w:rPr>
          <w:u w:val="single"/>
          <w:rtl/>
        </w:rPr>
        <w:t>דורית ואג:</w:t>
      </w:r>
    </w:p>
    <w:p w:rsidR="00000000" w:rsidRDefault="005467BD">
      <w:pPr>
        <w:jc w:val="both"/>
        <w:rPr>
          <w:rtl/>
        </w:rPr>
      </w:pPr>
    </w:p>
    <w:p w:rsidR="00000000" w:rsidRDefault="005467BD">
      <w:pPr>
        <w:jc w:val="both"/>
        <w:rPr>
          <w:rtl/>
        </w:rPr>
      </w:pPr>
      <w:r>
        <w:rPr>
          <w:rtl/>
        </w:rPr>
        <w:tab/>
        <w:t>גלי, 2256 זה עתירה מינהלית. כמה זה השניים האחרים?</w:t>
      </w:r>
    </w:p>
    <w:p w:rsidR="00000000" w:rsidRDefault="005467BD">
      <w:pPr>
        <w:jc w:val="both"/>
        <w:rPr>
          <w:rtl/>
        </w:rPr>
      </w:pPr>
    </w:p>
    <w:p w:rsidR="00000000" w:rsidRDefault="005467BD">
      <w:pPr>
        <w:jc w:val="both"/>
        <w:rPr>
          <w:rtl/>
        </w:rPr>
      </w:pPr>
      <w:r>
        <w:rPr>
          <w:u w:val="single"/>
          <w:rtl/>
        </w:rPr>
        <w:t>גלי בן-אור:</w:t>
      </w:r>
    </w:p>
    <w:p w:rsidR="00000000" w:rsidRDefault="005467BD">
      <w:pPr>
        <w:jc w:val="both"/>
        <w:rPr>
          <w:rtl/>
        </w:rPr>
      </w:pPr>
    </w:p>
    <w:p w:rsidR="00000000" w:rsidRDefault="005467BD">
      <w:pPr>
        <w:jc w:val="both"/>
        <w:rPr>
          <w:rtl/>
        </w:rPr>
      </w:pPr>
      <w:r>
        <w:rPr>
          <w:rtl/>
        </w:rPr>
        <w:tab/>
        <w:t>944 זה ערעור מינהלי. בעד הגשת תובענה מינהלית זה 2.5%. ההנחייה מאוד ברורה: לנהוג ביד רחבה ולאפשר את מתן הפטור גם בלי כל ההליך המורכב של הצגת מסמכים</w:t>
      </w:r>
      <w:r>
        <w:rPr>
          <w:rtl/>
        </w:rPr>
        <w:t xml:space="preserve">. </w:t>
      </w:r>
    </w:p>
    <w:p w:rsidR="00000000" w:rsidRDefault="005467BD">
      <w:pPr>
        <w:jc w:val="both"/>
        <w:rPr>
          <w:rtl/>
        </w:rPr>
      </w:pPr>
    </w:p>
    <w:p w:rsidR="00000000" w:rsidRDefault="005467BD">
      <w:pPr>
        <w:jc w:val="both"/>
        <w:rPr>
          <w:rtl/>
        </w:rPr>
      </w:pPr>
      <w:r>
        <w:rPr>
          <w:u w:val="single"/>
          <w:rtl/>
        </w:rPr>
        <w:t>שלמה שהם:</w:t>
      </w:r>
    </w:p>
    <w:p w:rsidR="00000000" w:rsidRDefault="005467BD">
      <w:pPr>
        <w:jc w:val="both"/>
        <w:rPr>
          <w:rtl/>
        </w:rPr>
      </w:pPr>
    </w:p>
    <w:p w:rsidR="00000000" w:rsidRDefault="005467BD">
      <w:pPr>
        <w:jc w:val="both"/>
        <w:rPr>
          <w:rtl/>
        </w:rPr>
      </w:pPr>
      <w:r>
        <w:rPr>
          <w:rtl/>
        </w:rPr>
        <w:tab/>
        <w:t xml:space="preserve">כרגע זה לא קיים. </w:t>
      </w:r>
    </w:p>
    <w:p w:rsidR="00000000" w:rsidRDefault="005467BD">
      <w:pPr>
        <w:jc w:val="both"/>
        <w:rPr>
          <w:rtl/>
        </w:rPr>
      </w:pPr>
    </w:p>
    <w:p w:rsidR="00000000" w:rsidRDefault="005467BD">
      <w:pPr>
        <w:jc w:val="both"/>
        <w:rPr>
          <w:rtl/>
        </w:rPr>
      </w:pPr>
      <w:r>
        <w:rPr>
          <w:u w:val="single"/>
          <w:rtl/>
        </w:rPr>
        <w:t>גלי בן-אור:</w:t>
      </w:r>
    </w:p>
    <w:p w:rsidR="00000000" w:rsidRDefault="005467BD">
      <w:pPr>
        <w:jc w:val="both"/>
        <w:rPr>
          <w:rtl/>
        </w:rPr>
      </w:pPr>
    </w:p>
    <w:p w:rsidR="00000000" w:rsidRDefault="005467BD">
      <w:pPr>
        <w:jc w:val="both"/>
        <w:rPr>
          <w:rtl/>
        </w:rPr>
      </w:pPr>
      <w:r>
        <w:rPr>
          <w:rtl/>
        </w:rPr>
        <w:tab/>
        <w:t>תצא הנחייה מסודרת לנשיא בית המשפט העליון ולפרקליטת המדינה.</w:t>
      </w:r>
    </w:p>
    <w:p w:rsidR="00000000" w:rsidRDefault="005467BD">
      <w:pPr>
        <w:jc w:val="both"/>
        <w:rPr>
          <w:rtl/>
        </w:rPr>
      </w:pPr>
    </w:p>
    <w:p w:rsidR="00000000" w:rsidRDefault="005467BD">
      <w:pPr>
        <w:jc w:val="both"/>
        <w:rPr>
          <w:rtl/>
        </w:rPr>
      </w:pPr>
      <w:r>
        <w:rPr>
          <w:u w:val="single"/>
          <w:rtl/>
        </w:rPr>
        <w:t>היו"ר אמנון רובינשטיין:</w:t>
      </w:r>
    </w:p>
    <w:p w:rsidR="00000000" w:rsidRDefault="005467BD">
      <w:pPr>
        <w:jc w:val="both"/>
        <w:rPr>
          <w:rtl/>
        </w:rPr>
      </w:pPr>
    </w:p>
    <w:p w:rsidR="00000000" w:rsidRDefault="005467BD">
      <w:pPr>
        <w:jc w:val="both"/>
        <w:rPr>
          <w:rtl/>
        </w:rPr>
      </w:pPr>
      <w:r>
        <w:rPr>
          <w:rtl/>
        </w:rPr>
        <w:tab/>
        <w:t>אני מבקש להביא לידיעת הוועדה את ההנחיות האלה תוך חודש ימים.</w:t>
      </w:r>
    </w:p>
    <w:p w:rsidR="00000000" w:rsidRDefault="005467BD">
      <w:pPr>
        <w:jc w:val="both"/>
        <w:rPr>
          <w:rtl/>
        </w:rPr>
      </w:pPr>
    </w:p>
    <w:p w:rsidR="00000000" w:rsidRDefault="005467BD">
      <w:pPr>
        <w:jc w:val="both"/>
        <w:rPr>
          <w:rtl/>
        </w:rPr>
      </w:pPr>
      <w:r>
        <w:rPr>
          <w:u w:val="single"/>
          <w:rtl/>
        </w:rPr>
        <w:t>גלי בן-אור:</w:t>
      </w:r>
    </w:p>
    <w:p w:rsidR="00000000" w:rsidRDefault="005467BD">
      <w:pPr>
        <w:jc w:val="both"/>
        <w:rPr>
          <w:rtl/>
        </w:rPr>
      </w:pPr>
    </w:p>
    <w:p w:rsidR="00000000" w:rsidRDefault="005467BD">
      <w:pPr>
        <w:jc w:val="both"/>
        <w:rPr>
          <w:rtl/>
        </w:rPr>
      </w:pPr>
      <w:r>
        <w:rPr>
          <w:rtl/>
        </w:rPr>
        <w:tab/>
        <w:t xml:space="preserve">בהחלט. </w:t>
      </w:r>
    </w:p>
    <w:p w:rsidR="00000000" w:rsidRDefault="005467BD">
      <w:pPr>
        <w:jc w:val="both"/>
        <w:rPr>
          <w:rtl/>
        </w:rPr>
      </w:pPr>
    </w:p>
    <w:p w:rsidR="00000000" w:rsidRDefault="005467BD">
      <w:pPr>
        <w:jc w:val="both"/>
        <w:rPr>
          <w:rtl/>
        </w:rPr>
      </w:pPr>
      <w:r>
        <w:rPr>
          <w:u w:val="single"/>
          <w:rtl/>
        </w:rPr>
        <w:t>היו"ר אמנון רובינשטיין:</w:t>
      </w:r>
    </w:p>
    <w:p w:rsidR="00000000" w:rsidRDefault="005467BD">
      <w:pPr>
        <w:jc w:val="both"/>
        <w:rPr>
          <w:rtl/>
        </w:rPr>
      </w:pPr>
    </w:p>
    <w:p w:rsidR="00000000" w:rsidRDefault="005467BD">
      <w:pPr>
        <w:jc w:val="both"/>
        <w:rPr>
          <w:rtl/>
        </w:rPr>
      </w:pPr>
      <w:r>
        <w:rPr>
          <w:rtl/>
        </w:rPr>
        <w:tab/>
        <w:t>אנחנו מאשרי</w:t>
      </w:r>
      <w:r>
        <w:rPr>
          <w:rtl/>
        </w:rPr>
        <w:t xml:space="preserve">ם את זה בכפוף להערה שלי. אם הוועדה תמצא, תוך זמן של שנה, שגובה האגרה פוגע במספר העתירות המינהליות, אנחנו נדון מחדש בדבר הזה. </w:t>
      </w:r>
    </w:p>
    <w:p w:rsidR="00000000" w:rsidRDefault="005467BD">
      <w:pPr>
        <w:jc w:val="both"/>
        <w:rPr>
          <w:rtl/>
        </w:rPr>
      </w:pPr>
    </w:p>
    <w:p w:rsidR="00000000" w:rsidRDefault="005467BD">
      <w:pPr>
        <w:jc w:val="both"/>
        <w:rPr>
          <w:rtl/>
        </w:rPr>
      </w:pPr>
      <w:r>
        <w:rPr>
          <w:rtl/>
        </w:rPr>
        <w:t>הישיבה ננעלה בשעה 9:50</w:t>
      </w:r>
    </w:p>
    <w:p w:rsidR="00000000" w:rsidRDefault="005467BD">
      <w:pPr>
        <w:jc w:val="both"/>
        <w:rPr>
          <w:rtl/>
        </w:rPr>
      </w:pPr>
    </w:p>
    <w:p w:rsidR="00000000" w:rsidRDefault="005467BD">
      <w:pPr>
        <w:pStyle w:val="20"/>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both"/>
        <w:rPr>
          <w:rtl/>
        </w:rPr>
      </w:pPr>
    </w:p>
    <w:p w:rsidR="00000000" w:rsidRDefault="005467BD">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67BD">
      <w:r>
        <w:separator/>
      </w:r>
    </w:p>
  </w:endnote>
  <w:endnote w:type="continuationSeparator" w:id="0">
    <w:p w:rsidR="00000000" w:rsidRDefault="00546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67BD">
    <w:pPr>
      <w:pStyle w:val="a7"/>
      <w:rPr>
        <w:rtl/>
      </w:rPr>
    </w:pPr>
  </w:p>
  <w:p w:rsidR="00000000" w:rsidRDefault="005467B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67BD">
    <w:pPr>
      <w:pStyle w:val="a7"/>
      <w:rPr>
        <w:rtl/>
      </w:rPr>
    </w:pPr>
  </w:p>
  <w:p w:rsidR="00000000" w:rsidRDefault="005467B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67BD">
      <w:r>
        <w:separator/>
      </w:r>
    </w:p>
  </w:footnote>
  <w:footnote w:type="continuationSeparator" w:id="0">
    <w:p w:rsidR="00000000" w:rsidRDefault="005467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67B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5467BD">
    <w:pPr>
      <w:pStyle w:val="a5"/>
      <w:ind w:right="360"/>
      <w:rPr>
        <w:rtl/>
      </w:rPr>
    </w:pPr>
    <w:r>
      <w:rPr>
        <w:rtl/>
      </w:rPr>
      <w:t>ועדת חוקה, חוק ומשפט</w:t>
    </w:r>
  </w:p>
  <w:p w:rsidR="00000000" w:rsidRDefault="005467BD">
    <w:pPr>
      <w:pStyle w:val="a5"/>
      <w:rPr>
        <w:rtl/>
      </w:rPr>
    </w:pPr>
    <w:r>
      <w:rPr>
        <w:rtl/>
      </w:rPr>
      <w:t>3.12.2000</w:t>
    </w:r>
  </w:p>
  <w:p w:rsidR="00000000" w:rsidRDefault="005467BD">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67BD">
    <w:pPr>
      <w:pStyle w:val="a5"/>
      <w:rPr>
        <w:rtl/>
      </w:rPr>
    </w:pPr>
  </w:p>
  <w:p w:rsidR="00000000" w:rsidRDefault="005467B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7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467BD"/>
    <w:rsid w:val="0054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75E463-21BE-497D-8EEC-DD920656D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5</Pages>
  <Words>887</Words>
  <Characters>4436</Characters>
  <Application>Microsoft Office Word</Application>
  <DocSecurity>0</DocSecurity>
  <Lines>36</Lines>
  <Paragraphs>10</Paragraphs>
  <ScaleCrop>false</ScaleCrop>
  <Company/>
  <LinksUpToDate>false</LinksUpToDate>
  <CharactersWithSpaces>5313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חוקה/2268</dc:title>
  <dc:subject>חוקה 3.12.2000א</dc:subject>
  <dc:creator>יפעת שפרכר</dc:creator>
  <cp:keywords/>
  <dc:description/>
  <cp:lastModifiedBy>רינה דבורה קדרון</cp:lastModifiedBy>
  <cp:revision>2</cp:revision>
  <dcterms:created xsi:type="dcterms:W3CDTF">2017-04-19T08:50:00Z</dcterms:created>
  <dcterms:modified xsi:type="dcterms:W3CDTF">2017-04-19T08:50:00Z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