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201D">
      <w:pPr>
        <w:jc w:val="right"/>
        <w:rPr>
          <w:rFonts w:cs="David"/>
          <w:rtl/>
        </w:rPr>
      </w:pPr>
      <w:bookmarkStart w:id="0" w:name="_GoBack"/>
      <w:bookmarkEnd w:id="0"/>
      <w:r>
        <w:rPr>
          <w:rFonts w:cs="David"/>
          <w:rtl/>
        </w:rPr>
        <w:t>פרוטוקולים/ועדת חוקה/5160</w:t>
      </w:r>
    </w:p>
    <w:p w:rsidR="00000000" w:rsidRDefault="00E8201D">
      <w:pPr>
        <w:jc w:val="right"/>
        <w:rPr>
          <w:rFonts w:cs="David"/>
          <w:rtl/>
        </w:rPr>
      </w:pPr>
      <w:r>
        <w:rPr>
          <w:rFonts w:cs="David"/>
          <w:rtl/>
        </w:rPr>
        <w:tab/>
        <w:t>ירושלים, כ"ג בסיון, תשס"ב</w:t>
      </w:r>
    </w:p>
    <w:p w:rsidR="00000000" w:rsidRDefault="00E8201D">
      <w:pPr>
        <w:jc w:val="right"/>
        <w:rPr>
          <w:rFonts w:cs="David"/>
          <w:rtl/>
          <w:lang w:val="es"/>
        </w:rPr>
      </w:pPr>
      <w:r>
        <w:rPr>
          <w:rFonts w:cs="David"/>
          <w:rtl/>
          <w:lang w:val="es"/>
        </w:rPr>
        <w:t>3 ביוני, 2002</w:t>
      </w:r>
    </w:p>
    <w:p w:rsidR="00000000" w:rsidRDefault="00E8201D">
      <w:pPr>
        <w:jc w:val="right"/>
        <w:rPr>
          <w:rFonts w:cs="David"/>
          <w:rtl/>
        </w:rPr>
      </w:pPr>
    </w:p>
    <w:p w:rsidR="00000000" w:rsidRDefault="00E8201D">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8201D">
      <w:pPr>
        <w:rPr>
          <w:rFonts w:cs="David"/>
          <w:b/>
          <w:bCs/>
          <w:rtl/>
        </w:rPr>
      </w:pPr>
      <w:r>
        <w:rPr>
          <w:rFonts w:cs="David"/>
          <w:b/>
          <w:bCs/>
          <w:rtl/>
        </w:rPr>
        <w:t>מושב רביעי</w:t>
      </w:r>
    </w:p>
    <w:p w:rsidR="00000000" w:rsidRDefault="00E8201D">
      <w:pPr>
        <w:rPr>
          <w:rFonts w:cs="David"/>
          <w:b/>
          <w:bCs/>
          <w:rtl/>
        </w:rPr>
      </w:pPr>
    </w:p>
    <w:p w:rsidR="00000000" w:rsidRDefault="00E8201D">
      <w:pPr>
        <w:rPr>
          <w:rFonts w:cs="David"/>
          <w:b/>
          <w:bCs/>
          <w:rtl/>
        </w:rPr>
      </w:pPr>
    </w:p>
    <w:p w:rsidR="00000000" w:rsidRDefault="00E8201D">
      <w:pPr>
        <w:rPr>
          <w:rFonts w:cs="David"/>
          <w:b/>
          <w:bCs/>
          <w:rtl/>
        </w:rPr>
      </w:pPr>
    </w:p>
    <w:p w:rsidR="00000000" w:rsidRDefault="00E8201D">
      <w:pPr>
        <w:rPr>
          <w:rFonts w:cs="David"/>
          <w:b/>
          <w:bCs/>
          <w:rtl/>
        </w:rPr>
      </w:pPr>
    </w:p>
    <w:p w:rsidR="00000000" w:rsidRDefault="00E8201D">
      <w:pPr>
        <w:pStyle w:val="10"/>
        <w:rPr>
          <w:rFonts w:cs="David"/>
          <w:rtl/>
        </w:rPr>
      </w:pPr>
      <w:r>
        <w:rPr>
          <w:rFonts w:cs="David"/>
          <w:rtl/>
        </w:rPr>
        <w:t>פרוטוקול מס' 472</w:t>
      </w:r>
    </w:p>
    <w:p w:rsidR="00000000" w:rsidRDefault="00E8201D">
      <w:pPr>
        <w:pStyle w:val="10"/>
        <w:rPr>
          <w:rFonts w:cs="David"/>
          <w:rtl/>
        </w:rPr>
      </w:pPr>
      <w:r>
        <w:rPr>
          <w:rFonts w:cs="David"/>
          <w:rtl/>
        </w:rPr>
        <w:t>מישיבת ועדת החוקה חוק ומשפט</w:t>
      </w:r>
    </w:p>
    <w:p w:rsidR="00000000" w:rsidRDefault="00E8201D">
      <w:pPr>
        <w:pStyle w:val="40"/>
        <w:rPr>
          <w:rFonts w:cs="David"/>
          <w:rtl/>
        </w:rPr>
      </w:pPr>
      <w:r>
        <w:rPr>
          <w:rFonts w:cs="David"/>
          <w:rtl/>
        </w:rPr>
        <w:t>יום רביעי, ד' בסיוון התשס"ב (15 במאי 2002), שעה 10:55</w:t>
      </w:r>
    </w:p>
    <w:p w:rsidR="00000000" w:rsidRDefault="00E8201D">
      <w:pPr>
        <w:rPr>
          <w:rFonts w:cs="David"/>
          <w:b/>
          <w:bCs/>
          <w:rtl/>
        </w:rPr>
      </w:pPr>
    </w:p>
    <w:p w:rsidR="00000000" w:rsidRDefault="00E8201D">
      <w:pPr>
        <w:rPr>
          <w:rFonts w:cs="David"/>
          <w:rtl/>
        </w:rPr>
      </w:pPr>
    </w:p>
    <w:p w:rsidR="00000000" w:rsidRDefault="00E8201D">
      <w:pPr>
        <w:rPr>
          <w:rFonts w:cs="David"/>
          <w:b/>
          <w:bCs/>
          <w:u w:val="single"/>
          <w:rtl/>
        </w:rPr>
      </w:pPr>
    </w:p>
    <w:p w:rsidR="00000000" w:rsidRDefault="00E8201D">
      <w:pPr>
        <w:rPr>
          <w:rFonts w:cs="David"/>
          <w:b/>
          <w:bCs/>
          <w:u w:val="single"/>
          <w:rtl/>
        </w:rPr>
      </w:pPr>
    </w:p>
    <w:p w:rsidR="00000000" w:rsidRDefault="00E8201D">
      <w:pPr>
        <w:tabs>
          <w:tab w:val="left" w:pos="1221"/>
        </w:tabs>
        <w:ind w:left="1646" w:hanging="1646"/>
        <w:rPr>
          <w:rFonts w:cs="David"/>
          <w:rtl/>
        </w:rPr>
      </w:pPr>
      <w:r>
        <w:rPr>
          <w:rFonts w:cs="David"/>
          <w:b/>
          <w:bCs/>
          <w:u w:val="single"/>
          <w:rtl/>
        </w:rPr>
        <w:t>סדר היום:</w:t>
      </w:r>
      <w:r>
        <w:rPr>
          <w:rFonts w:cs="David"/>
          <w:rtl/>
        </w:rPr>
        <w:tab/>
        <w:t>א.</w:t>
      </w:r>
      <w:r>
        <w:rPr>
          <w:rFonts w:cs="David"/>
          <w:rtl/>
        </w:rPr>
        <w:tab/>
        <w:t>צו איסור הלבנת הון (חובות זיהוי, דיווח וניהול רישומים של מנהל תיקים) (תיקון), התשס"ב-‏2002</w:t>
      </w:r>
    </w:p>
    <w:p w:rsidR="00000000" w:rsidRDefault="00E8201D">
      <w:pPr>
        <w:tabs>
          <w:tab w:val="left" w:pos="1221"/>
        </w:tabs>
        <w:ind w:left="1646" w:hanging="1646"/>
        <w:rPr>
          <w:rFonts w:cs="David"/>
          <w:rtl/>
        </w:rPr>
      </w:pPr>
      <w:r>
        <w:rPr>
          <w:rFonts w:cs="David"/>
          <w:rtl/>
        </w:rPr>
        <w:tab/>
        <w:t>ב.</w:t>
      </w:r>
      <w:r>
        <w:rPr>
          <w:rFonts w:cs="David"/>
          <w:rtl/>
        </w:rPr>
        <w:tab/>
        <w:t xml:space="preserve">צו איסור </w:t>
      </w:r>
      <w:r>
        <w:rPr>
          <w:rFonts w:cs="David"/>
          <w:rtl/>
        </w:rPr>
        <w:t>הלבנת הון (חובות זיהוי, דיווח וניהול רישומים של חבר בורסה) (תיקון), התשס"ב-2002</w:t>
      </w:r>
    </w:p>
    <w:p w:rsidR="00000000" w:rsidRDefault="00E8201D">
      <w:pPr>
        <w:rPr>
          <w:rFonts w:cs="David"/>
          <w:rtl/>
        </w:rPr>
      </w:pPr>
    </w:p>
    <w:p w:rsidR="00000000" w:rsidRDefault="00E8201D">
      <w:pPr>
        <w:rPr>
          <w:rFonts w:cs="David"/>
          <w:rtl/>
        </w:rPr>
      </w:pPr>
    </w:p>
    <w:p w:rsidR="00000000" w:rsidRDefault="00E8201D">
      <w:pPr>
        <w:rPr>
          <w:rFonts w:cs="David"/>
          <w:rtl/>
        </w:rPr>
      </w:pPr>
    </w:p>
    <w:p w:rsidR="00000000" w:rsidRDefault="00E8201D">
      <w:pPr>
        <w:rPr>
          <w:rFonts w:cs="David"/>
          <w:b/>
          <w:bCs/>
          <w:u w:val="single"/>
          <w:rtl/>
        </w:rPr>
      </w:pPr>
      <w:r>
        <w:rPr>
          <w:rFonts w:cs="David"/>
          <w:b/>
          <w:bCs/>
          <w:u w:val="single"/>
          <w:rtl/>
        </w:rPr>
        <w:t>נכחו:</w:t>
      </w:r>
    </w:p>
    <w:p w:rsidR="00000000" w:rsidRDefault="00E8201D">
      <w:pPr>
        <w:rPr>
          <w:rFonts w:cs="David"/>
          <w:b/>
          <w:bCs/>
          <w:u w:val="single"/>
          <w:rtl/>
        </w:rPr>
      </w:pPr>
    </w:p>
    <w:p w:rsidR="00000000" w:rsidRDefault="00E8201D">
      <w:pPr>
        <w:rPr>
          <w:rFonts w:cs="David"/>
          <w:rtl/>
        </w:rPr>
      </w:pPr>
      <w:r>
        <w:rPr>
          <w:rFonts w:cs="David"/>
          <w:b/>
          <w:bCs/>
          <w:u w:val="single"/>
          <w:rtl/>
        </w:rPr>
        <w:t>חברי הוועדה</w:t>
      </w:r>
      <w:r>
        <w:rPr>
          <w:rFonts w:cs="David"/>
          <w:rtl/>
        </w:rPr>
        <w:t>:</w:t>
      </w:r>
      <w:r>
        <w:rPr>
          <w:rFonts w:cs="David"/>
          <w:rtl/>
        </w:rPr>
        <w:tab/>
        <w:t>אופיר פינס-פז  -  היו"ר</w:t>
      </w:r>
    </w:p>
    <w:p w:rsidR="00000000" w:rsidRDefault="00E8201D">
      <w:pPr>
        <w:rPr>
          <w:rFonts w:cs="David"/>
          <w:rtl/>
        </w:rPr>
      </w:pPr>
    </w:p>
    <w:p w:rsidR="00000000" w:rsidRDefault="00E8201D">
      <w:pPr>
        <w:rPr>
          <w:rFonts w:cs="David"/>
          <w:rtl/>
        </w:rPr>
      </w:pPr>
    </w:p>
    <w:p w:rsidR="00000000" w:rsidRDefault="00E8201D">
      <w:pPr>
        <w:rPr>
          <w:rFonts w:cs="David"/>
          <w:rtl/>
        </w:rPr>
      </w:pPr>
    </w:p>
    <w:p w:rsidR="00000000" w:rsidRDefault="00E8201D">
      <w:pPr>
        <w:rPr>
          <w:rFonts w:cs="David"/>
          <w:rtl/>
        </w:rPr>
      </w:pPr>
      <w:r>
        <w:rPr>
          <w:rFonts w:cs="David"/>
          <w:b/>
          <w:bCs/>
          <w:u w:val="single"/>
          <w:rtl/>
        </w:rPr>
        <w:t>מוזמנים</w:t>
      </w:r>
      <w:r>
        <w:rPr>
          <w:rFonts w:cs="David"/>
          <w:rtl/>
        </w:rPr>
        <w:t>:</w:t>
      </w:r>
      <w:r>
        <w:rPr>
          <w:rFonts w:cs="David"/>
          <w:rtl/>
        </w:rPr>
        <w:tab/>
        <w:t>עו"ד גלוריה וייסמן</w:t>
      </w:r>
      <w:r>
        <w:rPr>
          <w:rFonts w:cs="David"/>
          <w:rtl/>
        </w:rPr>
        <w:tab/>
      </w:r>
      <w:r>
        <w:rPr>
          <w:rFonts w:cs="David"/>
          <w:rtl/>
        </w:rPr>
        <w:tab/>
        <w:t>- משרד המשפטים</w:t>
      </w:r>
    </w:p>
    <w:p w:rsidR="00000000" w:rsidRDefault="00E8201D">
      <w:pPr>
        <w:rPr>
          <w:rFonts w:cs="David"/>
          <w:rtl/>
        </w:rPr>
      </w:pPr>
      <w:r>
        <w:rPr>
          <w:rFonts w:cs="David"/>
          <w:rtl/>
        </w:rPr>
        <w:tab/>
      </w:r>
      <w:r>
        <w:rPr>
          <w:rFonts w:cs="David"/>
          <w:rtl/>
        </w:rPr>
        <w:tab/>
        <w:t>עו"ד קרן רפלנסקי</w:t>
      </w:r>
      <w:r>
        <w:rPr>
          <w:rFonts w:cs="David"/>
          <w:rtl/>
        </w:rPr>
        <w:tab/>
      </w:r>
      <w:r>
        <w:rPr>
          <w:rFonts w:cs="David"/>
          <w:rtl/>
        </w:rPr>
        <w:tab/>
        <w:t>- משרד האוצר</w:t>
      </w:r>
    </w:p>
    <w:p w:rsidR="00000000" w:rsidRDefault="00E8201D">
      <w:pPr>
        <w:rPr>
          <w:rFonts w:cs="David"/>
          <w:rtl/>
        </w:rPr>
      </w:pPr>
      <w:r>
        <w:rPr>
          <w:rFonts w:cs="David"/>
          <w:rtl/>
        </w:rPr>
        <w:tab/>
      </w:r>
      <w:r>
        <w:rPr>
          <w:rFonts w:cs="David"/>
          <w:rtl/>
        </w:rPr>
        <w:tab/>
        <w:t>שרה קנדלר</w:t>
      </w:r>
      <w:r>
        <w:rPr>
          <w:rFonts w:cs="David"/>
          <w:rtl/>
        </w:rPr>
        <w:tab/>
      </w:r>
      <w:r>
        <w:rPr>
          <w:rFonts w:cs="David"/>
          <w:rtl/>
        </w:rPr>
        <w:tab/>
      </w:r>
      <w:r>
        <w:rPr>
          <w:rFonts w:cs="David"/>
          <w:rtl/>
        </w:rPr>
        <w:tab/>
        <w:t>- הרשות לניירות ערך, סגנית ליועמ"ש</w:t>
      </w:r>
    </w:p>
    <w:p w:rsidR="00000000" w:rsidRDefault="00E8201D">
      <w:pPr>
        <w:rPr>
          <w:rFonts w:cs="David"/>
          <w:rtl/>
        </w:rPr>
      </w:pPr>
    </w:p>
    <w:p w:rsidR="00000000" w:rsidRDefault="00E8201D">
      <w:pPr>
        <w:rPr>
          <w:rFonts w:cs="David"/>
          <w:rtl/>
        </w:rPr>
      </w:pPr>
    </w:p>
    <w:p w:rsidR="00000000" w:rsidRDefault="00E8201D">
      <w:pPr>
        <w:rPr>
          <w:rFonts w:cs="David"/>
          <w:rtl/>
        </w:rPr>
      </w:pPr>
    </w:p>
    <w:p w:rsidR="00000000" w:rsidRDefault="00E8201D">
      <w:pPr>
        <w:rPr>
          <w:rFonts w:cs="David"/>
          <w:rtl/>
        </w:rPr>
      </w:pPr>
      <w:r>
        <w:rPr>
          <w:rFonts w:cs="David"/>
          <w:b/>
          <w:bCs/>
          <w:u w:val="single"/>
          <w:rtl/>
        </w:rPr>
        <w:t>יועצת משפטית</w:t>
      </w:r>
      <w:r>
        <w:rPr>
          <w:rFonts w:cs="David"/>
          <w:rtl/>
        </w:rPr>
        <w:t>:</w:t>
      </w:r>
      <w:r>
        <w:rPr>
          <w:rFonts w:cs="David"/>
          <w:rtl/>
        </w:rPr>
        <w:tab/>
        <w:t>סיגל קוגוט</w:t>
      </w:r>
    </w:p>
    <w:p w:rsidR="00000000" w:rsidRDefault="00E8201D">
      <w:pPr>
        <w:rPr>
          <w:rFonts w:cs="David"/>
          <w:rtl/>
        </w:rPr>
      </w:pPr>
    </w:p>
    <w:p w:rsidR="00000000" w:rsidRDefault="00E8201D">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E8201D">
      <w:pPr>
        <w:rPr>
          <w:rFonts w:cs="David"/>
          <w:b/>
          <w:bCs/>
          <w:u w:val="single"/>
          <w:rtl/>
        </w:rPr>
      </w:pPr>
    </w:p>
    <w:p w:rsidR="00000000" w:rsidRDefault="00E8201D">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E8201D">
      <w:pPr>
        <w:rPr>
          <w:rFonts w:cs="David"/>
          <w:rtl/>
        </w:rPr>
      </w:pPr>
    </w:p>
    <w:p w:rsidR="00000000" w:rsidRDefault="00E8201D">
      <w:pPr>
        <w:numPr>
          <w:ilvl w:val="0"/>
          <w:numId w:val="9"/>
        </w:numPr>
        <w:rPr>
          <w:rFonts w:cs="David"/>
          <w:rtl/>
        </w:rPr>
      </w:pPr>
      <w:r>
        <w:rPr>
          <w:rFonts w:cs="David"/>
          <w:rtl/>
        </w:rPr>
        <w:br w:type="page"/>
      </w:r>
      <w:r>
        <w:rPr>
          <w:rFonts w:cs="David"/>
          <w:rtl/>
        </w:rPr>
        <w:lastRenderedPageBreak/>
        <w:t>צו איסור הלבנת הון (חובות זיהוי, דיווח וניהול רישומים של מנהל תיקים) (תיקון), התשס"ב-‏2002</w:t>
      </w:r>
    </w:p>
    <w:p w:rsidR="00000000" w:rsidRDefault="00E8201D">
      <w:pPr>
        <w:numPr>
          <w:ilvl w:val="0"/>
          <w:numId w:val="9"/>
        </w:numPr>
        <w:rPr>
          <w:rFonts w:cs="David"/>
          <w:rtl/>
        </w:rPr>
      </w:pPr>
      <w:r>
        <w:rPr>
          <w:rFonts w:cs="David"/>
          <w:rtl/>
        </w:rPr>
        <w:t>צו איסור הלבנת הון (חובות זיהוי, דיווח וניהול רישומים של חבר בורסה) (תיקון), התשס"</w:t>
      </w:r>
      <w:r>
        <w:rPr>
          <w:rFonts w:cs="David"/>
          <w:rtl/>
        </w:rPr>
        <w:t>ב-‏2002</w:t>
      </w:r>
    </w:p>
    <w:p w:rsidR="00000000" w:rsidRDefault="00E8201D">
      <w:pPr>
        <w:rPr>
          <w:rFonts w:cs="David"/>
          <w:rtl/>
        </w:rPr>
      </w:pPr>
    </w:p>
    <w:p w:rsidR="00000000" w:rsidRDefault="00E8201D">
      <w:pPr>
        <w:rPr>
          <w:rFonts w:cs="David"/>
          <w:rtl/>
        </w:rPr>
      </w:pPr>
      <w:r>
        <w:rPr>
          <w:rFonts w:cs="David"/>
          <w:u w:val="single"/>
          <w:rtl/>
        </w:rPr>
        <w:t>היו"ר אופיר פינס:</w:t>
      </w:r>
    </w:p>
    <w:p w:rsidR="00000000" w:rsidRDefault="00E8201D">
      <w:pPr>
        <w:rPr>
          <w:rFonts w:cs="David"/>
          <w:rtl/>
        </w:rPr>
      </w:pPr>
    </w:p>
    <w:p w:rsidR="00000000" w:rsidRDefault="00E8201D">
      <w:pPr>
        <w:rPr>
          <w:rFonts w:cs="David"/>
          <w:rtl/>
        </w:rPr>
      </w:pPr>
      <w:r>
        <w:rPr>
          <w:rFonts w:cs="David"/>
          <w:rtl/>
        </w:rPr>
        <w:tab/>
        <w:t>אני פותח את הישיבה השנייה של ועדת החוקה, חוק ומשפט. הנושא הוא צו איסור הלבנת הון, חובות זיהוי, דיווח וניהול רישומים של מנהל תיקים ושל חבר בורסה. מה קורה עם זה?</w:t>
      </w:r>
    </w:p>
    <w:p w:rsidR="00000000" w:rsidRDefault="00E8201D">
      <w:pPr>
        <w:rPr>
          <w:rFonts w:cs="David"/>
          <w:rtl/>
        </w:rPr>
      </w:pPr>
    </w:p>
    <w:p w:rsidR="00000000" w:rsidRDefault="00E8201D">
      <w:pPr>
        <w:rPr>
          <w:rFonts w:cs="David"/>
          <w:u w:val="single"/>
          <w:rtl/>
        </w:rPr>
      </w:pPr>
      <w:r>
        <w:rPr>
          <w:rFonts w:cs="David"/>
          <w:u w:val="single"/>
          <w:rtl/>
        </w:rPr>
        <w:t>שרה קנדלר:</w:t>
      </w:r>
    </w:p>
    <w:p w:rsidR="00000000" w:rsidRDefault="00E8201D">
      <w:pPr>
        <w:rPr>
          <w:rFonts w:cs="David"/>
          <w:rtl/>
        </w:rPr>
      </w:pPr>
    </w:p>
    <w:p w:rsidR="00000000" w:rsidRDefault="00E8201D">
      <w:pPr>
        <w:rPr>
          <w:rFonts w:cs="David"/>
          <w:rtl/>
        </w:rPr>
      </w:pPr>
      <w:r>
        <w:rPr>
          <w:rFonts w:cs="David"/>
          <w:rtl/>
        </w:rPr>
        <w:tab/>
        <w:t>מלכתחילה הצו ניתן כהוראת מעבר לשלושה חודשים לגבי לקוח</w:t>
      </w:r>
      <w:r>
        <w:rPr>
          <w:rFonts w:cs="David"/>
          <w:rtl/>
        </w:rPr>
        <w:t>ות קיימים, והצו נכנס לתוקף, וצריך לזהות כל לקוח ולאמת את הפרטים. נתנו שלושה חודשים והסתבר שזה לא מספיק. מנהלי התיקים וחברי הבורסה פנו לשר האוצר ואמרו לו שזה לא מספיק זמן לזהות, והוא הסכים להאריך את הוראת המעבר לתקופה של שנה.</w:t>
      </w:r>
    </w:p>
    <w:p w:rsidR="00000000" w:rsidRDefault="00E8201D">
      <w:pPr>
        <w:rPr>
          <w:rFonts w:cs="David"/>
          <w:rtl/>
        </w:rPr>
      </w:pPr>
    </w:p>
    <w:p w:rsidR="00000000" w:rsidRDefault="00E8201D">
      <w:pPr>
        <w:rPr>
          <w:rFonts w:cs="David"/>
          <w:rtl/>
        </w:rPr>
      </w:pPr>
      <w:r>
        <w:rPr>
          <w:rFonts w:cs="David"/>
          <w:u w:val="single"/>
          <w:rtl/>
        </w:rPr>
        <w:t>היו"ר אופיר פינס:</w:t>
      </w:r>
    </w:p>
    <w:p w:rsidR="00000000" w:rsidRDefault="00E8201D">
      <w:pPr>
        <w:rPr>
          <w:rFonts w:cs="David"/>
          <w:rtl/>
        </w:rPr>
      </w:pPr>
    </w:p>
    <w:p w:rsidR="00000000" w:rsidRDefault="00E8201D">
      <w:pPr>
        <w:rPr>
          <w:rFonts w:cs="David"/>
          <w:rtl/>
        </w:rPr>
      </w:pPr>
      <w:r>
        <w:rPr>
          <w:rFonts w:cs="David"/>
          <w:rtl/>
        </w:rPr>
        <w:tab/>
        <w:t>אתם גם מסכ</w:t>
      </w:r>
      <w:r>
        <w:rPr>
          <w:rFonts w:cs="David"/>
          <w:rtl/>
        </w:rPr>
        <w:t>ימים?</w:t>
      </w:r>
    </w:p>
    <w:p w:rsidR="00000000" w:rsidRDefault="00E8201D">
      <w:pPr>
        <w:rPr>
          <w:rFonts w:cs="David"/>
          <w:rtl/>
        </w:rPr>
      </w:pPr>
    </w:p>
    <w:p w:rsidR="00000000" w:rsidRDefault="00E8201D">
      <w:pPr>
        <w:rPr>
          <w:rFonts w:cs="David"/>
          <w:rtl/>
        </w:rPr>
      </w:pPr>
      <w:r>
        <w:rPr>
          <w:rFonts w:cs="David"/>
          <w:u w:val="single"/>
          <w:rtl/>
        </w:rPr>
        <w:t>דורית ואג:</w:t>
      </w:r>
    </w:p>
    <w:p w:rsidR="00000000" w:rsidRDefault="00E8201D">
      <w:pPr>
        <w:rPr>
          <w:rFonts w:cs="David"/>
          <w:rtl/>
        </w:rPr>
      </w:pPr>
    </w:p>
    <w:p w:rsidR="00000000" w:rsidRDefault="00E8201D">
      <w:pPr>
        <w:rPr>
          <w:rFonts w:cs="David"/>
          <w:rtl/>
        </w:rPr>
      </w:pPr>
      <w:r>
        <w:rPr>
          <w:rFonts w:cs="David"/>
          <w:rtl/>
        </w:rPr>
        <w:tab/>
        <w:t>כל האחרים קיבלו שנה.</w:t>
      </w:r>
    </w:p>
    <w:p w:rsidR="00000000" w:rsidRDefault="00E8201D">
      <w:pPr>
        <w:rPr>
          <w:rFonts w:cs="David"/>
          <w:rtl/>
        </w:rPr>
      </w:pPr>
    </w:p>
    <w:p w:rsidR="00000000" w:rsidRDefault="00E8201D">
      <w:pPr>
        <w:rPr>
          <w:rFonts w:cs="David"/>
          <w:rtl/>
        </w:rPr>
      </w:pPr>
      <w:r>
        <w:rPr>
          <w:rFonts w:cs="David"/>
          <w:u w:val="single"/>
          <w:rtl/>
        </w:rPr>
        <w:t>שרה קנדלר:</w:t>
      </w:r>
    </w:p>
    <w:p w:rsidR="00000000" w:rsidRDefault="00E8201D">
      <w:pPr>
        <w:rPr>
          <w:rFonts w:cs="David"/>
          <w:rtl/>
        </w:rPr>
      </w:pPr>
    </w:p>
    <w:p w:rsidR="00000000" w:rsidRDefault="00E8201D">
      <w:pPr>
        <w:rPr>
          <w:rFonts w:cs="David"/>
          <w:rtl/>
        </w:rPr>
      </w:pPr>
      <w:r>
        <w:rPr>
          <w:rFonts w:cs="David"/>
          <w:rtl/>
        </w:rPr>
        <w:tab/>
        <w:t>הבנקים קיבלו שנה וחצי, קופות גמל שנה, מבטחים שנה.</w:t>
      </w:r>
    </w:p>
    <w:p w:rsidR="00000000" w:rsidRDefault="00E8201D">
      <w:pPr>
        <w:rPr>
          <w:rFonts w:cs="David"/>
          <w:rtl/>
        </w:rPr>
      </w:pPr>
    </w:p>
    <w:p w:rsidR="00000000" w:rsidRDefault="00E8201D">
      <w:pPr>
        <w:rPr>
          <w:rFonts w:cs="David"/>
          <w:rtl/>
        </w:rPr>
      </w:pPr>
      <w:r>
        <w:rPr>
          <w:rFonts w:cs="David"/>
          <w:u w:val="single"/>
          <w:rtl/>
        </w:rPr>
        <w:t>היו"ר אופיר פינס:</w:t>
      </w:r>
    </w:p>
    <w:p w:rsidR="00000000" w:rsidRDefault="00E8201D">
      <w:pPr>
        <w:rPr>
          <w:rFonts w:cs="David"/>
          <w:rtl/>
        </w:rPr>
      </w:pPr>
    </w:p>
    <w:p w:rsidR="00000000" w:rsidRDefault="00E8201D">
      <w:pPr>
        <w:rPr>
          <w:rFonts w:cs="David"/>
          <w:rtl/>
        </w:rPr>
      </w:pPr>
      <w:r>
        <w:rPr>
          <w:rFonts w:cs="David"/>
          <w:rtl/>
        </w:rPr>
        <w:tab/>
        <w:t>למה הצעתם לגביהם שלושה חודשים?</w:t>
      </w:r>
    </w:p>
    <w:p w:rsidR="00000000" w:rsidRDefault="00E8201D">
      <w:pPr>
        <w:rPr>
          <w:rFonts w:cs="David"/>
          <w:rtl/>
        </w:rPr>
      </w:pPr>
    </w:p>
    <w:p w:rsidR="00000000" w:rsidRDefault="00E8201D">
      <w:pPr>
        <w:rPr>
          <w:rFonts w:cs="David"/>
          <w:u w:val="single"/>
          <w:rtl/>
        </w:rPr>
      </w:pPr>
      <w:r>
        <w:rPr>
          <w:rFonts w:cs="David"/>
          <w:u w:val="single"/>
          <w:rtl/>
        </w:rPr>
        <w:t>שרה קנדלר:</w:t>
      </w:r>
    </w:p>
    <w:p w:rsidR="00000000" w:rsidRDefault="00E8201D">
      <w:pPr>
        <w:rPr>
          <w:rFonts w:cs="David"/>
          <w:rtl/>
        </w:rPr>
      </w:pPr>
    </w:p>
    <w:p w:rsidR="00000000" w:rsidRDefault="00E8201D">
      <w:pPr>
        <w:rPr>
          <w:rFonts w:cs="David"/>
          <w:rtl/>
        </w:rPr>
      </w:pPr>
      <w:r>
        <w:rPr>
          <w:rFonts w:cs="David"/>
          <w:rtl/>
        </w:rPr>
        <w:tab/>
        <w:t>מי שרצה את זה היה ראש הרשות דאז, ליאור חורב, והסכמנו. עקב הפניות הבנו שהם צודקים.</w:t>
      </w:r>
    </w:p>
    <w:p w:rsidR="00000000" w:rsidRDefault="00E8201D">
      <w:pPr>
        <w:rPr>
          <w:rFonts w:cs="David"/>
          <w:rtl/>
        </w:rPr>
      </w:pPr>
    </w:p>
    <w:p w:rsidR="00000000" w:rsidRDefault="00E8201D">
      <w:pPr>
        <w:rPr>
          <w:rFonts w:cs="David"/>
          <w:rtl/>
        </w:rPr>
      </w:pPr>
      <w:r>
        <w:rPr>
          <w:rFonts w:cs="David"/>
          <w:u w:val="single"/>
          <w:rtl/>
        </w:rPr>
        <w:t>הי</w:t>
      </w:r>
      <w:r>
        <w:rPr>
          <w:rFonts w:cs="David"/>
          <w:u w:val="single"/>
          <w:rtl/>
        </w:rPr>
        <w:t>ו"ר אופיר פינס:</w:t>
      </w:r>
    </w:p>
    <w:p w:rsidR="00000000" w:rsidRDefault="00E8201D">
      <w:pPr>
        <w:rPr>
          <w:rFonts w:cs="David"/>
          <w:rtl/>
        </w:rPr>
      </w:pPr>
    </w:p>
    <w:p w:rsidR="00000000" w:rsidRDefault="00E8201D">
      <w:pPr>
        <w:rPr>
          <w:rFonts w:cs="David"/>
          <w:rtl/>
        </w:rPr>
      </w:pPr>
      <w:r>
        <w:rPr>
          <w:rFonts w:cs="David"/>
          <w:rtl/>
        </w:rPr>
        <w:tab/>
        <w:t xml:space="preserve"> אם הם צודקים, אישרנו את הצווים.</w:t>
      </w:r>
    </w:p>
    <w:p w:rsidR="00000000" w:rsidRDefault="00E8201D">
      <w:pPr>
        <w:rPr>
          <w:rFonts w:cs="David"/>
          <w:rtl/>
        </w:rPr>
      </w:pPr>
    </w:p>
    <w:p w:rsidR="00000000" w:rsidRDefault="00E8201D">
      <w:pPr>
        <w:pStyle w:val="40"/>
        <w:rPr>
          <w:rFonts w:cs="David"/>
          <w:rtl/>
        </w:rPr>
      </w:pPr>
      <w:r>
        <w:rPr>
          <w:rFonts w:cs="David"/>
          <w:rtl/>
        </w:rPr>
        <w:t>הישיבה ננעלה בשעה 11:00</w:t>
      </w:r>
    </w:p>
    <w:p w:rsidR="00000000" w:rsidRDefault="00E8201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201D">
      <w:r>
        <w:separator/>
      </w:r>
    </w:p>
  </w:endnote>
  <w:endnote w:type="continuationSeparator" w:id="0">
    <w:p w:rsidR="00000000" w:rsidRDefault="00E82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201D">
    <w:pPr>
      <w:pStyle w:val="a7"/>
      <w:rPr>
        <w:rFonts w:cs="David"/>
        <w:rtl/>
      </w:rPr>
    </w:pPr>
  </w:p>
  <w:p w:rsidR="00000000" w:rsidRDefault="00E8201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201D">
    <w:pPr>
      <w:pStyle w:val="a7"/>
      <w:rPr>
        <w:rFonts w:cs="David"/>
        <w:rtl/>
      </w:rPr>
    </w:pPr>
  </w:p>
  <w:p w:rsidR="00000000" w:rsidRDefault="00E8201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201D">
      <w:r>
        <w:separator/>
      </w:r>
    </w:p>
  </w:footnote>
  <w:footnote w:type="continuationSeparator" w:id="0">
    <w:p w:rsidR="00000000" w:rsidRDefault="00E820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201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8201D">
    <w:pPr>
      <w:pStyle w:val="a5"/>
      <w:ind w:right="360"/>
      <w:rPr>
        <w:rFonts w:cs="David"/>
        <w:rtl/>
      </w:rPr>
    </w:pPr>
    <w:r>
      <w:rPr>
        <w:rFonts w:cs="David"/>
        <w:rtl/>
      </w:rPr>
      <w:t>ועדת החוקה חוק ומשפט</w:t>
    </w:r>
  </w:p>
  <w:p w:rsidR="00000000" w:rsidRDefault="00E8201D">
    <w:pPr>
      <w:pStyle w:val="a5"/>
      <w:ind w:right="360"/>
      <w:rPr>
        <w:rStyle w:val="a9"/>
        <w:rFonts w:cs="David"/>
        <w:rtl/>
      </w:rPr>
    </w:pPr>
    <w:r>
      <w:rPr>
        <w:rFonts w:cs="David"/>
        <w:rtl/>
      </w:rPr>
      <w:t>15.5.2002</w:t>
    </w:r>
  </w:p>
  <w:p w:rsidR="00000000" w:rsidRDefault="00E8201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201D">
    <w:pPr>
      <w:pStyle w:val="a5"/>
      <w:rPr>
        <w:rFonts w:cs="David"/>
        <w:rtl/>
      </w:rPr>
    </w:pPr>
  </w:p>
  <w:p w:rsidR="00000000" w:rsidRDefault="00E8201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4B14DC"/>
    <w:multiLevelType w:val="hybridMultilevel"/>
    <w:tmpl w:val="A57C11FE"/>
    <w:lvl w:ilvl="0" w:tplc="667401F0">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0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8201D"/>
    <w:rsid w:val="00E820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5428AA-437E-4E3F-ABDC-1488D17D8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282</Words>
  <Characters>1410</Characters>
  <Application>Microsoft Office Word</Application>
  <DocSecurity>0</DocSecurity>
  <Lines>11</Lines>
  <Paragraphs>3</Paragraphs>
  <ScaleCrop>false</ScaleCrop>
  <Company>knesset</Company>
  <LinksUpToDate>false</LinksUpToDate>
  <CharactersWithSpaces>1689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חוקה/5160</dc:title>
  <dc:subject>חוקה 15.5.2002ב</dc:subject>
  <dc:creator>אסתר מימון</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