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22E4">
      <w:pPr>
        <w:jc w:val="right"/>
        <w:rPr>
          <w:rtl/>
        </w:rPr>
      </w:pPr>
      <w:bookmarkStart w:id="0" w:name="_GoBack"/>
      <w:bookmarkEnd w:id="0"/>
      <w:r>
        <w:rPr>
          <w:rtl/>
        </w:rPr>
        <w:t>פרוטוקולים/ועדת חוקה/5703</w:t>
      </w:r>
    </w:p>
    <w:p w:rsidR="00000000" w:rsidRDefault="000522E4">
      <w:pPr>
        <w:jc w:val="right"/>
        <w:rPr>
          <w:rtl/>
        </w:rPr>
      </w:pPr>
      <w:r>
        <w:rPr>
          <w:rtl/>
        </w:rPr>
        <w:tab/>
        <w:t>ירושלים, ה' באלול, תשס"ב</w:t>
      </w:r>
    </w:p>
    <w:p w:rsidR="00000000" w:rsidRDefault="000522E4">
      <w:pPr>
        <w:jc w:val="right"/>
        <w:rPr>
          <w:rtl/>
          <w:lang w:val="es"/>
        </w:rPr>
      </w:pPr>
      <w:r>
        <w:rPr>
          <w:rtl/>
          <w:lang w:val="es"/>
        </w:rPr>
        <w:t>13 באוגוסט, 2002</w:t>
      </w:r>
    </w:p>
    <w:p w:rsidR="00000000" w:rsidRDefault="000522E4">
      <w:pPr>
        <w:jc w:val="right"/>
        <w:rPr>
          <w:rtl/>
        </w:rPr>
      </w:pPr>
    </w:p>
    <w:p w:rsidR="00000000" w:rsidRDefault="000522E4">
      <w:pPr>
        <w:jc w:val="both"/>
        <w:rPr>
          <w:rFonts w:cs="David"/>
          <w:b/>
          <w:bCs/>
          <w:sz w:val="24"/>
          <w:szCs w:val="24"/>
          <w:rtl/>
        </w:rPr>
      </w:pPr>
      <w:r>
        <w:rPr>
          <w:rFonts w:cs="David"/>
          <w:b/>
          <w:bCs/>
          <w:sz w:val="24"/>
          <w:szCs w:val="24"/>
          <w:rtl/>
        </w:rPr>
        <w:t>הכנסת ה</w:t>
      </w:r>
      <w:r>
        <w:rPr>
          <w:rFonts w:cs="David"/>
          <w:b/>
          <w:bCs/>
          <w:sz w:val="24"/>
          <w:szCs w:val="24"/>
          <w:rtl/>
        </w:rPr>
        <w:t>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0522E4">
      <w:pPr>
        <w:jc w:val="both"/>
        <w:rPr>
          <w:rFonts w:cs="David"/>
          <w:b/>
          <w:bCs/>
          <w:sz w:val="24"/>
          <w:szCs w:val="24"/>
          <w:rtl/>
        </w:rPr>
      </w:pPr>
      <w:r>
        <w:rPr>
          <w:rFonts w:cs="David"/>
          <w:b/>
          <w:bCs/>
          <w:sz w:val="24"/>
          <w:szCs w:val="24"/>
          <w:rtl/>
        </w:rPr>
        <w:t>מושב רביעי</w:t>
      </w: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pStyle w:val="10"/>
        <w:rPr>
          <w:rFonts w:cs="David"/>
          <w:sz w:val="24"/>
          <w:rtl/>
        </w:rPr>
      </w:pPr>
      <w:r>
        <w:rPr>
          <w:rFonts w:cs="David"/>
          <w:sz w:val="24"/>
          <w:rtl/>
        </w:rPr>
        <w:t>פרוטוקול מס' 512</w:t>
      </w:r>
    </w:p>
    <w:p w:rsidR="00000000" w:rsidRDefault="000522E4">
      <w:pPr>
        <w:pStyle w:val="5"/>
        <w:rPr>
          <w:rFonts w:cs="David"/>
          <w:sz w:val="24"/>
          <w:rtl/>
        </w:rPr>
      </w:pPr>
      <w:r>
        <w:rPr>
          <w:rFonts w:cs="David"/>
          <w:sz w:val="24"/>
          <w:rtl/>
        </w:rPr>
        <w:t>מישיבת ועדת החוקה, חוק ומשפט</w:t>
      </w:r>
    </w:p>
    <w:p w:rsidR="00000000" w:rsidRDefault="000522E4">
      <w:pPr>
        <w:pStyle w:val="40"/>
        <w:rPr>
          <w:rFonts w:cs="David"/>
          <w:sz w:val="24"/>
          <w:rtl/>
        </w:rPr>
      </w:pPr>
      <w:r>
        <w:rPr>
          <w:rFonts w:cs="David"/>
          <w:sz w:val="24"/>
          <w:rtl/>
        </w:rPr>
        <w:t>יום שלישי, י"ד באב התשס"ב (23 ביולי 2002), שעה 10:00</w:t>
      </w: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jc w:val="both"/>
        <w:rPr>
          <w:rFonts w:cs="David"/>
          <w:b/>
          <w:bCs/>
          <w:sz w:val="24"/>
          <w:szCs w:val="24"/>
          <w:rtl/>
        </w:rPr>
      </w:pPr>
    </w:p>
    <w:p w:rsidR="00000000" w:rsidRDefault="000522E4">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1. תקנות בית המשפט (אגרות) (תיקון), התשס"ב-2002</w:t>
      </w:r>
    </w:p>
    <w:p w:rsidR="00000000" w:rsidRDefault="000522E4">
      <w:pPr>
        <w:ind w:left="1134" w:hanging="1134"/>
        <w:jc w:val="both"/>
        <w:rPr>
          <w:rFonts w:cs="David"/>
          <w:b/>
          <w:bCs/>
          <w:sz w:val="24"/>
          <w:szCs w:val="24"/>
          <w:rtl/>
        </w:rPr>
      </w:pPr>
      <w:r>
        <w:rPr>
          <w:rFonts w:cs="David"/>
          <w:b/>
          <w:bCs/>
          <w:sz w:val="24"/>
          <w:szCs w:val="24"/>
          <w:rtl/>
        </w:rPr>
        <w:tab/>
        <w:t>2. תקנות בתי משפט לעניינים מנהליים (אגרות) (תיקו</w:t>
      </w:r>
      <w:r>
        <w:rPr>
          <w:rFonts w:cs="David"/>
          <w:b/>
          <w:bCs/>
          <w:sz w:val="24"/>
          <w:szCs w:val="24"/>
          <w:rtl/>
        </w:rPr>
        <w:t>ן), התשס"ב-2002</w:t>
      </w:r>
    </w:p>
    <w:p w:rsidR="00000000" w:rsidRDefault="000522E4">
      <w:pPr>
        <w:ind w:left="1134" w:hanging="1134"/>
        <w:jc w:val="both"/>
        <w:rPr>
          <w:rFonts w:cs="David"/>
          <w:sz w:val="24"/>
          <w:szCs w:val="24"/>
          <w:rtl/>
        </w:rPr>
      </w:pPr>
      <w:r>
        <w:rPr>
          <w:rFonts w:cs="David"/>
          <w:b/>
          <w:bCs/>
          <w:sz w:val="24"/>
          <w:szCs w:val="24"/>
          <w:rtl/>
        </w:rPr>
        <w:tab/>
        <w:t>3. צו בתי המשפט (שינוי התוספת השלישית לחוק), התשס"ב-2002, אישור התקנות והצו</w:t>
      </w:r>
    </w:p>
    <w:p w:rsidR="00000000" w:rsidRDefault="000522E4">
      <w:pPr>
        <w:jc w:val="both"/>
        <w:rPr>
          <w:rFonts w:cs="David"/>
          <w:sz w:val="24"/>
          <w:szCs w:val="24"/>
          <w:rtl/>
        </w:rPr>
      </w:pPr>
    </w:p>
    <w:p w:rsidR="00000000" w:rsidRDefault="000522E4">
      <w:pPr>
        <w:jc w:val="both"/>
        <w:rPr>
          <w:rFonts w:cs="David"/>
          <w:sz w:val="24"/>
          <w:szCs w:val="24"/>
          <w:rtl/>
        </w:rPr>
      </w:pPr>
    </w:p>
    <w:p w:rsidR="00000000" w:rsidRDefault="000522E4">
      <w:pPr>
        <w:jc w:val="both"/>
        <w:rPr>
          <w:rFonts w:cs="David"/>
          <w:sz w:val="24"/>
          <w:szCs w:val="24"/>
          <w:rtl/>
        </w:rPr>
      </w:pPr>
    </w:p>
    <w:p w:rsidR="00000000" w:rsidRDefault="000522E4">
      <w:pPr>
        <w:jc w:val="both"/>
        <w:rPr>
          <w:rFonts w:cs="David"/>
          <w:sz w:val="24"/>
          <w:szCs w:val="24"/>
          <w:rtl/>
        </w:rPr>
      </w:pPr>
    </w:p>
    <w:p w:rsidR="00000000" w:rsidRDefault="000522E4">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מיכאל איתן – היו"ר</w:t>
      </w:r>
    </w:p>
    <w:p w:rsidR="00000000" w:rsidRDefault="000522E4">
      <w:pPr>
        <w:pStyle w:val="a9"/>
        <w:rPr>
          <w:rFonts w:cs="Miriam"/>
          <w:sz w:val="24"/>
          <w:rtl/>
        </w:rPr>
      </w:pPr>
      <w:r>
        <w:rPr>
          <w:rFonts w:cs="Miriam"/>
          <w:sz w:val="24"/>
          <w:rtl/>
        </w:rPr>
        <w:tab/>
      </w:r>
      <w:r>
        <w:rPr>
          <w:rFonts w:cs="Miriam"/>
          <w:sz w:val="24"/>
          <w:rtl/>
        </w:rPr>
        <w:tab/>
      </w:r>
    </w:p>
    <w:p w:rsidR="00000000" w:rsidRDefault="000522E4">
      <w:pPr>
        <w:ind w:left="567" w:firstLine="567"/>
        <w:jc w:val="both"/>
        <w:rPr>
          <w:rFonts w:cs="David"/>
          <w:sz w:val="24"/>
          <w:szCs w:val="24"/>
          <w:rtl/>
        </w:rPr>
      </w:pPr>
    </w:p>
    <w:p w:rsidR="00000000" w:rsidRDefault="000522E4">
      <w:pPr>
        <w:ind w:left="567" w:firstLine="567"/>
        <w:jc w:val="both"/>
        <w:rPr>
          <w:rFonts w:cs="David"/>
          <w:sz w:val="24"/>
          <w:szCs w:val="24"/>
          <w:rtl/>
        </w:rPr>
      </w:pPr>
    </w:p>
    <w:p w:rsidR="00000000" w:rsidRDefault="000522E4">
      <w:pPr>
        <w:ind w:left="567" w:firstLine="567"/>
        <w:jc w:val="both"/>
        <w:rPr>
          <w:rFonts w:cs="David"/>
          <w:sz w:val="24"/>
          <w:szCs w:val="24"/>
          <w:rtl/>
        </w:rPr>
      </w:pPr>
    </w:p>
    <w:p w:rsidR="00000000" w:rsidRDefault="000522E4">
      <w:pPr>
        <w:ind w:left="567" w:firstLine="567"/>
        <w:jc w:val="both"/>
        <w:rPr>
          <w:rFonts w:cs="David"/>
          <w:sz w:val="24"/>
          <w:szCs w:val="24"/>
          <w:rtl/>
        </w:rPr>
      </w:pPr>
    </w:p>
    <w:p w:rsidR="00000000" w:rsidRDefault="000522E4">
      <w:pPr>
        <w:pStyle w:val="a9"/>
        <w:rPr>
          <w:rFonts w:cs="David"/>
          <w:sz w:val="24"/>
          <w:rtl/>
        </w:rPr>
      </w:pPr>
      <w:r>
        <w:rPr>
          <w:rFonts w:cs="David"/>
          <w:b/>
          <w:bCs/>
          <w:sz w:val="24"/>
          <w:u w:val="single"/>
          <w:rtl/>
        </w:rPr>
        <w:t>מוזמנים</w:t>
      </w:r>
      <w:r>
        <w:rPr>
          <w:rFonts w:cs="David"/>
          <w:sz w:val="24"/>
          <w:rtl/>
        </w:rPr>
        <w:t>:</w:t>
      </w:r>
      <w:r>
        <w:rPr>
          <w:rFonts w:cs="David"/>
          <w:sz w:val="24"/>
          <w:rtl/>
        </w:rPr>
        <w:tab/>
        <w:t>עו"ד מני מזוז</w:t>
      </w:r>
      <w:r>
        <w:rPr>
          <w:rFonts w:cs="David"/>
          <w:sz w:val="24"/>
          <w:rtl/>
        </w:rPr>
        <w:tab/>
      </w:r>
      <w:r>
        <w:rPr>
          <w:rFonts w:cs="David"/>
          <w:sz w:val="24"/>
          <w:rtl/>
        </w:rPr>
        <w:tab/>
        <w:t>משנה ליועץ המשפטי לממשלה</w:t>
      </w:r>
    </w:p>
    <w:p w:rsidR="00000000" w:rsidRDefault="000522E4">
      <w:pPr>
        <w:pStyle w:val="a9"/>
        <w:rPr>
          <w:rFonts w:cs="David"/>
          <w:sz w:val="24"/>
          <w:rtl/>
        </w:rPr>
      </w:pPr>
      <w:r>
        <w:rPr>
          <w:rFonts w:cs="David"/>
          <w:sz w:val="24"/>
          <w:rtl/>
        </w:rPr>
        <w:tab/>
      </w:r>
      <w:r>
        <w:rPr>
          <w:rFonts w:cs="David"/>
          <w:sz w:val="24"/>
          <w:rtl/>
        </w:rPr>
        <w:tab/>
        <w:t>השופט אלון גילון</w:t>
      </w:r>
      <w:r>
        <w:rPr>
          <w:rFonts w:cs="David"/>
          <w:sz w:val="24"/>
          <w:rtl/>
        </w:rPr>
        <w:tab/>
        <w:t xml:space="preserve">סגן מנהל הנהלת בית המשפט </w:t>
      </w:r>
    </w:p>
    <w:p w:rsidR="00000000" w:rsidRDefault="000522E4">
      <w:pPr>
        <w:pStyle w:val="a9"/>
        <w:rPr>
          <w:rFonts w:cs="David"/>
          <w:sz w:val="24"/>
          <w:rtl/>
        </w:rPr>
      </w:pPr>
      <w:r>
        <w:rPr>
          <w:rFonts w:cs="David"/>
          <w:sz w:val="24"/>
          <w:rtl/>
        </w:rPr>
        <w:tab/>
      </w:r>
      <w:r>
        <w:rPr>
          <w:rFonts w:cs="David"/>
          <w:sz w:val="24"/>
          <w:rtl/>
        </w:rPr>
        <w:tab/>
        <w:t>אדוארד בלאו</w:t>
      </w:r>
      <w:r>
        <w:rPr>
          <w:rFonts w:cs="David"/>
          <w:sz w:val="24"/>
          <w:rtl/>
        </w:rPr>
        <w:tab/>
      </w:r>
      <w:r>
        <w:rPr>
          <w:rFonts w:cs="David"/>
          <w:sz w:val="24"/>
          <w:rtl/>
        </w:rPr>
        <w:tab/>
        <w:t>משרד התשתיות הלאו</w:t>
      </w:r>
      <w:r>
        <w:rPr>
          <w:rFonts w:cs="David"/>
          <w:sz w:val="24"/>
          <w:rtl/>
        </w:rPr>
        <w:t>מיות</w:t>
      </w:r>
    </w:p>
    <w:p w:rsidR="00000000" w:rsidRDefault="000522E4">
      <w:pPr>
        <w:pStyle w:val="a9"/>
        <w:rPr>
          <w:rFonts w:cs="David"/>
          <w:sz w:val="24"/>
          <w:rtl/>
        </w:rPr>
      </w:pPr>
      <w:r>
        <w:rPr>
          <w:rFonts w:cs="David"/>
          <w:sz w:val="24"/>
          <w:rtl/>
        </w:rPr>
        <w:tab/>
      </w:r>
      <w:r>
        <w:rPr>
          <w:rFonts w:cs="David"/>
          <w:sz w:val="24"/>
          <w:rtl/>
        </w:rPr>
        <w:tab/>
        <w:t>עו"ד אמיר ילניק</w:t>
      </w:r>
      <w:r>
        <w:rPr>
          <w:rFonts w:cs="David"/>
          <w:sz w:val="24"/>
          <w:rtl/>
        </w:rPr>
        <w:tab/>
      </w:r>
      <w:r>
        <w:rPr>
          <w:rFonts w:cs="David"/>
          <w:sz w:val="24"/>
          <w:rtl/>
        </w:rPr>
        <w:tab/>
        <w:t>הלשכה המשפטית, משרד התשתיות הלאומיות</w:t>
      </w:r>
    </w:p>
    <w:p w:rsidR="00000000" w:rsidRDefault="000522E4">
      <w:pPr>
        <w:pStyle w:val="a9"/>
        <w:rPr>
          <w:rFonts w:cs="David"/>
          <w:sz w:val="24"/>
          <w:rtl/>
        </w:rPr>
      </w:pPr>
      <w:r>
        <w:rPr>
          <w:rFonts w:cs="David"/>
          <w:sz w:val="24"/>
          <w:rtl/>
        </w:rPr>
        <w:tab/>
      </w:r>
      <w:r>
        <w:rPr>
          <w:rFonts w:cs="David"/>
          <w:sz w:val="24"/>
          <w:rtl/>
        </w:rPr>
        <w:tab/>
        <w:t>עו"ד תמי סלע</w:t>
      </w:r>
      <w:r>
        <w:rPr>
          <w:rFonts w:cs="David"/>
          <w:sz w:val="24"/>
          <w:rtl/>
        </w:rPr>
        <w:tab/>
      </w:r>
      <w:r>
        <w:rPr>
          <w:rFonts w:cs="David"/>
          <w:sz w:val="24"/>
          <w:rtl/>
        </w:rPr>
        <w:tab/>
        <w:t>הלשכה המשפטית, הכנסת</w:t>
      </w:r>
      <w:r>
        <w:rPr>
          <w:rFonts w:cs="David"/>
          <w:sz w:val="24"/>
          <w:rtl/>
        </w:rPr>
        <w:tab/>
      </w:r>
      <w:r>
        <w:rPr>
          <w:rFonts w:cs="David"/>
          <w:sz w:val="24"/>
          <w:rtl/>
        </w:rPr>
        <w:tab/>
      </w:r>
    </w:p>
    <w:p w:rsidR="00000000" w:rsidRDefault="000522E4">
      <w:pPr>
        <w:pStyle w:val="a9"/>
        <w:rPr>
          <w:rFonts w:cs="David"/>
          <w:sz w:val="24"/>
          <w:rtl/>
        </w:rPr>
      </w:pPr>
    </w:p>
    <w:p w:rsidR="00000000" w:rsidRDefault="000522E4">
      <w:pPr>
        <w:pStyle w:val="a9"/>
        <w:rPr>
          <w:rFonts w:cs="David"/>
          <w:sz w:val="24"/>
          <w:rtl/>
        </w:rPr>
      </w:pPr>
    </w:p>
    <w:p w:rsidR="00000000" w:rsidRDefault="000522E4">
      <w:pPr>
        <w:pStyle w:val="a9"/>
        <w:rPr>
          <w:rFonts w:cs="David"/>
          <w:sz w:val="24"/>
          <w:rtl/>
        </w:rPr>
      </w:pPr>
    </w:p>
    <w:p w:rsidR="00000000" w:rsidRDefault="000522E4">
      <w:pPr>
        <w:pStyle w:val="a9"/>
        <w:rPr>
          <w:rFonts w:cs="David"/>
          <w:sz w:val="24"/>
          <w:rtl/>
        </w:rPr>
      </w:pPr>
    </w:p>
    <w:p w:rsidR="00000000" w:rsidRDefault="000522E4">
      <w:pPr>
        <w:pStyle w:val="a9"/>
        <w:rPr>
          <w:rFonts w:cs="David"/>
          <w:sz w:val="24"/>
          <w:rtl/>
        </w:rPr>
      </w:pPr>
    </w:p>
    <w:p w:rsidR="00000000" w:rsidRDefault="000522E4">
      <w:pPr>
        <w:pStyle w:val="a9"/>
        <w:rPr>
          <w:rFonts w:cs="David"/>
          <w:sz w:val="24"/>
          <w:rtl/>
        </w:rPr>
      </w:pPr>
    </w:p>
    <w:p w:rsidR="00000000" w:rsidRDefault="000522E4">
      <w:pPr>
        <w:pStyle w:val="a9"/>
        <w:rPr>
          <w:rFonts w:cs="David"/>
          <w:sz w:val="24"/>
          <w:rtl/>
        </w:rPr>
      </w:pPr>
      <w:r>
        <w:rPr>
          <w:rFonts w:cs="David"/>
          <w:b/>
          <w:bCs/>
          <w:sz w:val="24"/>
          <w:u w:val="single"/>
          <w:rtl/>
        </w:rPr>
        <w:t>יועצת משפטית</w:t>
      </w:r>
      <w:r>
        <w:rPr>
          <w:rFonts w:cs="David"/>
          <w:sz w:val="24"/>
          <w:rtl/>
        </w:rPr>
        <w:tab/>
      </w:r>
      <w:r>
        <w:rPr>
          <w:rFonts w:cs="David"/>
          <w:sz w:val="24"/>
          <w:rtl/>
        </w:rPr>
        <w:tab/>
        <w:t>סיגל קוגוט</w:t>
      </w:r>
    </w:p>
    <w:p w:rsidR="00000000" w:rsidRDefault="000522E4">
      <w:pPr>
        <w:pStyle w:val="a9"/>
        <w:rPr>
          <w:rFonts w:cs="David"/>
          <w:sz w:val="24"/>
          <w:rtl/>
        </w:rPr>
      </w:pPr>
    </w:p>
    <w:p w:rsidR="00000000" w:rsidRDefault="000522E4">
      <w:pPr>
        <w:pStyle w:val="a9"/>
        <w:rPr>
          <w:rFonts w:cs="David"/>
          <w:sz w:val="24"/>
          <w:rtl/>
        </w:rPr>
      </w:pPr>
    </w:p>
    <w:p w:rsidR="00000000" w:rsidRDefault="000522E4">
      <w:pPr>
        <w:pStyle w:val="a9"/>
        <w:rPr>
          <w:rFonts w:cs="David"/>
          <w:sz w:val="24"/>
          <w:rtl/>
        </w:rPr>
      </w:pPr>
    </w:p>
    <w:p w:rsidR="00000000" w:rsidRDefault="000522E4">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דורית ואג</w:t>
      </w:r>
    </w:p>
    <w:p w:rsidR="00000000" w:rsidRDefault="000522E4">
      <w:pPr>
        <w:jc w:val="both"/>
        <w:rPr>
          <w:rFonts w:cs="David"/>
          <w:sz w:val="24"/>
          <w:szCs w:val="24"/>
          <w:rtl/>
        </w:rPr>
      </w:pPr>
    </w:p>
    <w:p w:rsidR="00000000" w:rsidRDefault="000522E4">
      <w:pPr>
        <w:jc w:val="both"/>
        <w:rPr>
          <w:rFonts w:cs="David"/>
          <w:sz w:val="24"/>
          <w:szCs w:val="24"/>
          <w:rtl/>
        </w:rPr>
      </w:pPr>
    </w:p>
    <w:p w:rsidR="00000000" w:rsidRDefault="000522E4">
      <w:pPr>
        <w:jc w:val="both"/>
        <w:rPr>
          <w:rFonts w:cs="David"/>
          <w:sz w:val="24"/>
          <w:szCs w:val="24"/>
          <w:rtl/>
        </w:rPr>
      </w:pPr>
    </w:p>
    <w:p w:rsidR="00000000" w:rsidRDefault="000522E4">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0522E4">
      <w:pPr>
        <w:ind w:left="1134" w:hanging="1134"/>
        <w:jc w:val="center"/>
        <w:rPr>
          <w:rFonts w:cs="David"/>
          <w:sz w:val="24"/>
          <w:szCs w:val="24"/>
          <w:u w:val="single"/>
          <w:rtl/>
        </w:rPr>
      </w:pPr>
    </w:p>
    <w:p w:rsidR="00000000" w:rsidRDefault="000522E4">
      <w:pPr>
        <w:ind w:left="1134" w:hanging="1134"/>
        <w:jc w:val="center"/>
        <w:rPr>
          <w:rFonts w:cs="David"/>
          <w:sz w:val="24"/>
          <w:szCs w:val="24"/>
          <w:u w:val="single"/>
          <w:rtl/>
        </w:rPr>
      </w:pPr>
    </w:p>
    <w:p w:rsidR="00000000" w:rsidRDefault="000522E4">
      <w:pPr>
        <w:ind w:left="1134" w:hanging="1134"/>
        <w:jc w:val="center"/>
        <w:rPr>
          <w:rFonts w:cs="Miriam"/>
          <w:rtl/>
        </w:rPr>
      </w:pPr>
      <w:r>
        <w:rPr>
          <w:rFonts w:cs="Miriam"/>
          <w:rtl/>
        </w:rPr>
        <w:br w:type="page"/>
      </w:r>
    </w:p>
    <w:p w:rsidR="00000000" w:rsidRDefault="000522E4">
      <w:pPr>
        <w:ind w:left="1134" w:hanging="1134"/>
        <w:jc w:val="center"/>
        <w:rPr>
          <w:rFonts w:cs="David"/>
          <w:b/>
          <w:bCs/>
          <w:sz w:val="24"/>
          <w:szCs w:val="24"/>
          <w:rtl/>
        </w:rPr>
      </w:pPr>
      <w:r>
        <w:rPr>
          <w:rFonts w:cs="David"/>
          <w:b/>
          <w:bCs/>
          <w:sz w:val="24"/>
          <w:szCs w:val="24"/>
          <w:rtl/>
        </w:rPr>
        <w:t>1. תקנות בית המשפט (אגרות) (תיקון), התשס"ב-2002</w:t>
      </w:r>
    </w:p>
    <w:p w:rsidR="00000000" w:rsidRDefault="000522E4">
      <w:pPr>
        <w:ind w:left="1134" w:hanging="1134"/>
        <w:jc w:val="center"/>
        <w:rPr>
          <w:rFonts w:cs="David"/>
          <w:b/>
          <w:bCs/>
          <w:sz w:val="24"/>
          <w:szCs w:val="24"/>
          <w:u w:val="single"/>
          <w:rtl/>
        </w:rPr>
      </w:pPr>
      <w:r>
        <w:rPr>
          <w:rFonts w:cs="David"/>
          <w:b/>
          <w:bCs/>
          <w:sz w:val="24"/>
          <w:szCs w:val="24"/>
          <w:u w:val="single"/>
          <w:rtl/>
        </w:rPr>
        <w:t>2. תקנות בתי משפט לע</w:t>
      </w:r>
      <w:r>
        <w:rPr>
          <w:rFonts w:cs="David"/>
          <w:b/>
          <w:bCs/>
          <w:sz w:val="24"/>
          <w:szCs w:val="24"/>
          <w:u w:val="single"/>
          <w:rtl/>
        </w:rPr>
        <w:t>ניינים מנהליים (אגרות) (תיקון), התשס"ב-2002</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שלום לכולם. אני פותח את הישיבה. האם יש בעיה בשני הנושאים הראשונים שעל סדר היום?</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סיגל קוגוט:</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לא, אפשר לאשר אותם בכפוף לאישור שר האוצר.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אם כן אנחנו מאשרים את התקנות שבס</w:t>
      </w:r>
      <w:r>
        <w:rPr>
          <w:rFonts w:cs="David"/>
          <w:sz w:val="24"/>
          <w:szCs w:val="24"/>
          <w:rtl/>
        </w:rPr>
        <w:t xml:space="preserve">עיף 1 ובסעיף 2 לסדר היום, בכפוף לאישור שר האוצר שעדיין חסר מבחינה פורמלית.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דורית ואג:</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נשלח את מכתב האישור הפורמלי ברגע שיגיע אישור שר האוצר בכתב אלינו. </w:t>
      </w:r>
    </w:p>
    <w:p w:rsidR="00000000" w:rsidRDefault="000522E4">
      <w:pPr>
        <w:ind w:left="1134" w:hanging="1134"/>
        <w:jc w:val="center"/>
        <w:rPr>
          <w:rFonts w:cs="David"/>
          <w:sz w:val="24"/>
          <w:szCs w:val="24"/>
          <w:u w:val="single"/>
          <w:rtl/>
        </w:rPr>
      </w:pPr>
      <w:r>
        <w:rPr>
          <w:rFonts w:cs="David"/>
          <w:sz w:val="24"/>
          <w:szCs w:val="24"/>
          <w:rtl/>
        </w:rPr>
        <w:br w:type="page"/>
      </w:r>
      <w:r>
        <w:rPr>
          <w:rFonts w:cs="David"/>
          <w:b/>
          <w:bCs/>
          <w:sz w:val="24"/>
          <w:szCs w:val="24"/>
          <w:u w:val="single"/>
          <w:rtl/>
        </w:rPr>
        <w:lastRenderedPageBreak/>
        <w:t>3. צו בתי המשפט (שינוי התוספת השלישית לחוק), התשס"ב-2002, אישור התקנות והצו</w:t>
      </w:r>
    </w:p>
    <w:p w:rsidR="00000000" w:rsidRDefault="000522E4">
      <w:pPr>
        <w:jc w:val="both"/>
        <w:rPr>
          <w:rFonts w:cs="David"/>
          <w:sz w:val="24"/>
          <w:szCs w:val="24"/>
          <w:rtl/>
        </w:rPr>
      </w:pPr>
    </w:p>
    <w:p w:rsidR="00000000" w:rsidRDefault="000522E4">
      <w:pPr>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א</w:t>
      </w:r>
      <w:r>
        <w:rPr>
          <w:rFonts w:cs="David"/>
          <w:sz w:val="24"/>
          <w:szCs w:val="24"/>
          <w:rtl/>
        </w:rPr>
        <w:t xml:space="preserve">ני מבקש שנציג אחד המשרדים הממשלתיים הנוגעים לדבר יציג את הנושא. </w:t>
      </w:r>
    </w:p>
    <w:p w:rsidR="00000000" w:rsidRDefault="000522E4">
      <w:pPr>
        <w:jc w:val="both"/>
        <w:rPr>
          <w:rFonts w:cs="David"/>
          <w:sz w:val="24"/>
          <w:szCs w:val="24"/>
          <w:rtl/>
        </w:rPr>
      </w:pPr>
      <w:r>
        <w:rPr>
          <w:rFonts w:cs="David"/>
          <w:sz w:val="24"/>
          <w:szCs w:val="24"/>
          <w:rtl/>
        </w:rPr>
        <w:tab/>
      </w:r>
    </w:p>
    <w:p w:rsidR="00000000" w:rsidRDefault="000522E4">
      <w:pPr>
        <w:jc w:val="both"/>
        <w:rPr>
          <w:rFonts w:cs="David"/>
          <w:sz w:val="24"/>
          <w:szCs w:val="24"/>
          <w:u w:val="single"/>
          <w:rtl/>
        </w:rPr>
      </w:pPr>
      <w:r>
        <w:rPr>
          <w:rFonts w:cs="David"/>
          <w:sz w:val="24"/>
          <w:szCs w:val="24"/>
          <w:u w:val="single"/>
          <w:rtl/>
        </w:rPr>
        <w:t>מני מזוז:</w:t>
      </w:r>
    </w:p>
    <w:p w:rsidR="00000000" w:rsidRDefault="000522E4">
      <w:pPr>
        <w:jc w:val="both"/>
        <w:rPr>
          <w:rFonts w:cs="David"/>
          <w:sz w:val="24"/>
          <w:szCs w:val="24"/>
          <w:u w:val="single"/>
          <w:rtl/>
        </w:rPr>
      </w:pPr>
    </w:p>
    <w:p w:rsidR="00000000" w:rsidRDefault="000522E4">
      <w:pPr>
        <w:jc w:val="both"/>
        <w:rPr>
          <w:rFonts w:cs="David"/>
          <w:sz w:val="24"/>
          <w:szCs w:val="24"/>
          <w:rtl/>
        </w:rPr>
      </w:pPr>
      <w:r>
        <w:rPr>
          <w:rFonts w:cs="David"/>
          <w:sz w:val="24"/>
          <w:szCs w:val="24"/>
          <w:rtl/>
        </w:rPr>
        <w:tab/>
        <w:t xml:space="preserve">פורמלית מדובר בנושא של שר המשפטים אף על פי שהפנייה היא של משרד התשתיות. נציג משרד התשתיות שמצטרף כעת לדיון יבהיר את הנושא.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תמי סלע:</w:t>
      </w:r>
    </w:p>
    <w:p w:rsidR="00000000" w:rsidRDefault="000522E4">
      <w:pPr>
        <w:jc w:val="both"/>
        <w:rPr>
          <w:rFonts w:cs="David"/>
          <w:sz w:val="24"/>
          <w:szCs w:val="24"/>
          <w:u w:val="single"/>
          <w:rtl/>
        </w:rPr>
      </w:pPr>
    </w:p>
    <w:p w:rsidR="00000000" w:rsidRDefault="000522E4">
      <w:pPr>
        <w:pStyle w:val="20"/>
        <w:rPr>
          <w:rFonts w:cs="David"/>
          <w:sz w:val="24"/>
          <w:rtl/>
        </w:rPr>
      </w:pPr>
      <w:r>
        <w:rPr>
          <w:rFonts w:cs="David"/>
          <w:sz w:val="24"/>
          <w:rtl/>
        </w:rPr>
        <w:tab/>
        <w:t>אני מבקשת לשאול את נציג משרד התשתיות שאלה</w:t>
      </w:r>
      <w:r>
        <w:rPr>
          <w:rFonts w:cs="David"/>
          <w:sz w:val="24"/>
          <w:rtl/>
        </w:rPr>
        <w:t xml:space="preserve">: הבנתי שהתיקון לחוק המים שבעקבותיו רוצים להעביר את הסמכות לבתי המשפט לעניינים מקומיים הוא בעיקר לצורך התקנות החדשות שהותקנו בעניין רחיצת מכוניות והשקיית גינות.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שלמה אבוהב:</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לא רק לנושאים אלה.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סיגל קוגוט:</w:t>
      </w:r>
    </w:p>
    <w:p w:rsidR="00000000" w:rsidRDefault="000522E4">
      <w:pPr>
        <w:jc w:val="both"/>
        <w:rPr>
          <w:rFonts w:cs="David"/>
          <w:sz w:val="24"/>
          <w:szCs w:val="24"/>
          <w:u w:val="single"/>
          <w:rtl/>
        </w:rPr>
      </w:pPr>
    </w:p>
    <w:p w:rsidR="00000000" w:rsidRDefault="000522E4">
      <w:pPr>
        <w:jc w:val="both"/>
        <w:rPr>
          <w:rFonts w:cs="David"/>
          <w:sz w:val="24"/>
          <w:szCs w:val="24"/>
          <w:rtl/>
        </w:rPr>
      </w:pPr>
      <w:r>
        <w:rPr>
          <w:rFonts w:cs="David"/>
          <w:sz w:val="24"/>
          <w:szCs w:val="24"/>
          <w:rtl/>
        </w:rPr>
        <w:tab/>
        <w:t xml:space="preserve">כלומר רוצים שכל התקנות מכוח חוק המים יידונו </w:t>
      </w:r>
      <w:r>
        <w:rPr>
          <w:rFonts w:cs="David"/>
          <w:sz w:val="24"/>
          <w:szCs w:val="24"/>
          <w:rtl/>
        </w:rPr>
        <w:t xml:space="preserve">בבית המשפט לעניינים מנהליים?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שלמה אבוהב:</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מצאנו, גם בדיון עם הרשויות המקומיות, שהדרך היחידה לגרום לכך שהרשות המקומית אכן תאכוף את החוק היא אם יהיה לה מניע לכך. לכן נבנה המבנה שקובע שהעברה תהפוך לעברה מנהלית, שבית המשפט המוסמך יהיה בית המשפט לעניינים מקו</w:t>
      </w:r>
      <w:r>
        <w:rPr>
          <w:rFonts w:cs="David"/>
          <w:sz w:val="24"/>
          <w:szCs w:val="24"/>
          <w:rtl/>
        </w:rPr>
        <w:t xml:space="preserve">מיים ושהכסף שיתקבל מהקנסות יגיע לרשויות המקומיות.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אנחנו מתבקשים להוסיף את חוק המים לתוספת השלישית.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אלון גילון:</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נכון, הכוונה לתוספת השלישית לחוק בתי המשפט.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מני מזוז:</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בתי המשפט לעניינים מקומיים דנים בעברות מוניציפליות. התוספת הש</w:t>
      </w:r>
      <w:r>
        <w:rPr>
          <w:rFonts w:cs="David"/>
          <w:sz w:val="24"/>
          <w:szCs w:val="24"/>
          <w:rtl/>
        </w:rPr>
        <w:t>לישית היא רשימה של חוקים שבסמכות בית המשפט לעניינים מקומיים. כשהיועץ המשפטי לממשלה נותן הסמכה לתובע עירוני, ההסמכה היא לפי הרשימה.</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וכעת הוועדה מתבקשת להוסיף לתוספת עוד נושא, להוסיף סמכות לבתי המשפט לעניינים מקומיים?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מני מזוז:</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נכון</w:t>
      </w:r>
      <w:r>
        <w:rPr>
          <w:rFonts w:cs="David"/>
          <w:sz w:val="24"/>
          <w:szCs w:val="24"/>
          <w:rtl/>
        </w:rPr>
        <w:t xml:space="preserve">, כדי שבתי משפט לעניינים מקומיים יוכלו לדון בעברות על חוק המים.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סיגל קוגוט:</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שאלנו את השאלה לעיל רק כדי לברר אם רוצים לצמצם נושאים מסוימים ולא לכלול את כל חוק המים, אך כעת התברר שהמשמעות היא שכל העברות על חוק המים יידונו בבית המשפט לעניינים מקומיים.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ת</w:t>
      </w:r>
      <w:r>
        <w:rPr>
          <w:rFonts w:cs="David"/>
          <w:sz w:val="24"/>
          <w:szCs w:val="24"/>
          <w:u w:val="single"/>
          <w:rtl/>
        </w:rPr>
        <w:t>מי סלע:</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מה בנוגע למקרים שהרשות המקומית עצמה היא העבריינית?</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 xml:space="preserve">אך משרד ממשלתי ביקש בקשה ומשרד המשפטים הממונה על הנושא אומר שהכול בסדר מבחינתו, מדוע עלינו, על הוועדה, להסתבך מעבר לכך?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מני מזוז:</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לגופו של עניין, בחוק המים עצמו כתוב שהקנ</w:t>
      </w:r>
      <w:r>
        <w:rPr>
          <w:rFonts w:cs="David"/>
          <w:sz w:val="24"/>
          <w:szCs w:val="24"/>
          <w:rtl/>
        </w:rPr>
        <w:t xml:space="preserve">סות יעברו לרשות המקומית למעט במקרים שכתב האישום הוא נגד הרשות עצמה. ממילא אין בעיה. זה כתוב בדברי ההסבר.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r>
        <w:rPr>
          <w:rFonts w:cs="David"/>
          <w:sz w:val="24"/>
          <w:szCs w:val="24"/>
          <w:rtl/>
        </w:rPr>
        <w:tab/>
      </w:r>
    </w:p>
    <w:p w:rsidR="00000000" w:rsidRDefault="000522E4">
      <w:pPr>
        <w:jc w:val="both"/>
        <w:rPr>
          <w:rFonts w:cs="David"/>
          <w:sz w:val="24"/>
          <w:szCs w:val="24"/>
          <w:rtl/>
        </w:rPr>
      </w:pPr>
      <w:r>
        <w:rPr>
          <w:rFonts w:cs="David"/>
          <w:sz w:val="24"/>
          <w:szCs w:val="24"/>
          <w:rtl/>
        </w:rPr>
        <w:tab/>
        <w:t>מי יהיו התובעים?</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מני מזוז:</w:t>
      </w:r>
    </w:p>
    <w:p w:rsidR="00000000" w:rsidRDefault="000522E4">
      <w:pPr>
        <w:jc w:val="both"/>
        <w:rPr>
          <w:rFonts w:cs="David"/>
          <w:sz w:val="24"/>
          <w:szCs w:val="24"/>
          <w:rtl/>
        </w:rPr>
      </w:pPr>
    </w:p>
    <w:p w:rsidR="00000000" w:rsidRDefault="000522E4">
      <w:pPr>
        <w:jc w:val="both"/>
        <w:rPr>
          <w:rFonts w:cs="David"/>
          <w:sz w:val="24"/>
          <w:szCs w:val="24"/>
          <w:rtl/>
        </w:rPr>
      </w:pPr>
      <w:r>
        <w:rPr>
          <w:rFonts w:cs="David"/>
          <w:sz w:val="24"/>
          <w:szCs w:val="24"/>
          <w:rtl/>
        </w:rPr>
        <w:tab/>
        <w:t>התובעים שמקבלים הסמכה לכך מהיועץ המשפטי לממשלה. הם עובדי עירייה או תובעים חיצוניים. הם מקבלים הנחי</w:t>
      </w:r>
      <w:r>
        <w:rPr>
          <w:rFonts w:cs="David"/>
          <w:sz w:val="24"/>
          <w:szCs w:val="24"/>
          <w:rtl/>
        </w:rPr>
        <w:t xml:space="preserve">ות מהיועץ המשפטי בלבד. אני מבהיר שאת כתבי האישום נגד העירייה לא מגישים התובעים של העירייה, אלא נציבות המים או הפרקליטות. </w:t>
      </w:r>
    </w:p>
    <w:p w:rsidR="00000000" w:rsidRDefault="000522E4">
      <w:pPr>
        <w:jc w:val="both"/>
        <w:rPr>
          <w:rFonts w:cs="David"/>
          <w:sz w:val="24"/>
          <w:szCs w:val="24"/>
          <w:rtl/>
        </w:rPr>
      </w:pPr>
    </w:p>
    <w:p w:rsidR="00000000" w:rsidRDefault="000522E4">
      <w:pPr>
        <w:jc w:val="both"/>
        <w:rPr>
          <w:rFonts w:cs="David"/>
          <w:sz w:val="24"/>
          <w:szCs w:val="24"/>
          <w:u w:val="single"/>
          <w:rtl/>
        </w:rPr>
      </w:pPr>
      <w:r>
        <w:rPr>
          <w:rFonts w:cs="David"/>
          <w:sz w:val="24"/>
          <w:szCs w:val="24"/>
          <w:u w:val="single"/>
          <w:rtl/>
        </w:rPr>
        <w:t>היו"ר מיכאל איתן:</w:t>
      </w:r>
    </w:p>
    <w:p w:rsidR="00000000" w:rsidRDefault="000522E4">
      <w:pPr>
        <w:jc w:val="both"/>
        <w:rPr>
          <w:rFonts w:cs="David"/>
          <w:sz w:val="24"/>
          <w:szCs w:val="24"/>
          <w:rtl/>
        </w:rPr>
      </w:pPr>
    </w:p>
    <w:p w:rsidR="00000000" w:rsidRDefault="000522E4">
      <w:pPr>
        <w:ind w:firstLine="720"/>
        <w:jc w:val="both"/>
        <w:rPr>
          <w:rFonts w:cs="David"/>
          <w:sz w:val="24"/>
          <w:szCs w:val="24"/>
          <w:rtl/>
        </w:rPr>
      </w:pPr>
      <w:r>
        <w:rPr>
          <w:rFonts w:cs="David"/>
          <w:sz w:val="24"/>
          <w:szCs w:val="24"/>
          <w:rtl/>
        </w:rPr>
        <w:t xml:space="preserve">הצו אושר. </w:t>
      </w:r>
    </w:p>
    <w:p w:rsidR="00000000" w:rsidRDefault="000522E4">
      <w:pPr>
        <w:ind w:firstLine="720"/>
        <w:jc w:val="both"/>
        <w:rPr>
          <w:rFonts w:cs="David"/>
          <w:sz w:val="24"/>
          <w:szCs w:val="24"/>
          <w:rtl/>
        </w:rPr>
      </w:pPr>
    </w:p>
    <w:p w:rsidR="00000000" w:rsidRDefault="000522E4">
      <w:pPr>
        <w:ind w:firstLine="720"/>
        <w:jc w:val="both"/>
        <w:rPr>
          <w:rFonts w:cs="David"/>
          <w:sz w:val="24"/>
          <w:szCs w:val="24"/>
          <w:u w:val="single"/>
          <w:rtl/>
        </w:rPr>
      </w:pPr>
      <w:r>
        <w:rPr>
          <w:rFonts w:cs="David"/>
          <w:sz w:val="24"/>
          <w:szCs w:val="24"/>
          <w:u w:val="single"/>
          <w:rtl/>
        </w:rPr>
        <w:t xml:space="preserve">הישיבה ננעלה בשעה 10:10. </w:t>
      </w:r>
    </w:p>
    <w:p w:rsidR="00000000" w:rsidRDefault="000522E4">
      <w:pPr>
        <w:jc w:val="both"/>
        <w:rPr>
          <w:rFonts w:cs="David"/>
          <w:sz w:val="24"/>
          <w:szCs w:val="24"/>
          <w:rtl/>
        </w:rPr>
      </w:pPr>
    </w:p>
    <w:p w:rsidR="00000000" w:rsidRDefault="000522E4">
      <w:pPr>
        <w:jc w:val="both"/>
        <w:rPr>
          <w:rFonts w:cs="David"/>
          <w:sz w:val="24"/>
          <w:szCs w:val="24"/>
          <w:rtl/>
        </w:rPr>
      </w:pPr>
    </w:p>
    <w:p w:rsidR="00000000" w:rsidRDefault="000522E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22E4">
      <w:r>
        <w:separator/>
      </w:r>
    </w:p>
  </w:endnote>
  <w:endnote w:type="continuationSeparator" w:id="0">
    <w:p w:rsidR="00000000" w:rsidRDefault="0005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E4">
    <w:pPr>
      <w:pStyle w:val="a7"/>
      <w:rPr>
        <w:rtl/>
      </w:rPr>
    </w:pPr>
  </w:p>
  <w:p w:rsidR="00000000" w:rsidRDefault="000522E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E4">
    <w:pPr>
      <w:pStyle w:val="a7"/>
      <w:rPr>
        <w:rtl/>
      </w:rPr>
    </w:pPr>
  </w:p>
  <w:p w:rsidR="00000000" w:rsidRDefault="000522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22E4">
      <w:r>
        <w:separator/>
      </w:r>
    </w:p>
  </w:footnote>
  <w:footnote w:type="continuationSeparator" w:id="0">
    <w:p w:rsidR="00000000" w:rsidRDefault="00052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E4">
    <w:pPr>
      <w:pStyle w:val="a5"/>
      <w:framePr w:wrap="auto" w:vAnchor="text" w:hAnchor="margin" w:y="1"/>
      <w:rPr>
        <w:rStyle w:val="aa"/>
        <w:rFonts w:cs="David"/>
        <w:sz w:val="24"/>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4</w:t>
    </w:r>
    <w:r>
      <w:rPr>
        <w:rStyle w:val="aa"/>
        <w:rFonts w:cs="David"/>
      </w:rPr>
      <w:fldChar w:fldCharType="end"/>
    </w:r>
  </w:p>
  <w:p w:rsidR="00000000" w:rsidRDefault="000522E4">
    <w:pPr>
      <w:pStyle w:val="a5"/>
      <w:ind w:right="360"/>
      <w:rPr>
        <w:rFonts w:cs="David"/>
        <w:sz w:val="24"/>
        <w:rtl/>
      </w:rPr>
    </w:pPr>
    <w:r>
      <w:rPr>
        <w:rFonts w:cs="David"/>
        <w:sz w:val="24"/>
        <w:rtl/>
      </w:rPr>
      <w:t>ועדת החוקה, חוק ומשפט</w:t>
    </w:r>
  </w:p>
  <w:p w:rsidR="00000000" w:rsidRDefault="000522E4">
    <w:pPr>
      <w:pStyle w:val="a5"/>
      <w:ind w:right="360"/>
      <w:rPr>
        <w:rStyle w:val="aa"/>
        <w:rFonts w:cs="David"/>
        <w:sz w:val="24"/>
        <w:rtl/>
      </w:rPr>
    </w:pPr>
    <w:r>
      <w:rPr>
        <w:rStyle w:val="aa"/>
        <w:rFonts w:cs="David"/>
        <w:sz w:val="24"/>
        <w:rtl/>
      </w:rPr>
      <w:t>23/07/2002</w:t>
    </w:r>
  </w:p>
  <w:p w:rsidR="00000000" w:rsidRDefault="000522E4">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E4">
    <w:pPr>
      <w:pStyle w:val="a5"/>
      <w:rPr>
        <w:sz w:val="24"/>
        <w:rtl/>
      </w:rPr>
    </w:pPr>
  </w:p>
  <w:p w:rsidR="00000000" w:rsidRDefault="000522E4">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22E4"/>
    <w:rsid w:val="00052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D90783-2E46-4365-85F6-15725087E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jc w:val="both"/>
    </w:pPr>
    <w:rPr>
      <w:szCs w:val="24"/>
    </w:rPr>
  </w:style>
  <w:style w:type="character" w:customStyle="1" w:styleId="21">
    <w:name w:val="גוף טקסט 2 תו"/>
    <w:basedOn w:val="a0"/>
    <w:link w:val="20"/>
    <w:uiPriority w:val="99"/>
    <w:semiHidden/>
    <w:rPr>
      <w:rFonts w:ascii="Times New Roman" w:hAnsi="Times New Roman" w:cs="Times New Roman"/>
      <w:sz w:val="20"/>
      <w:szCs w:val="20"/>
      <w:lang w:eastAsia="he-IL"/>
    </w:rPr>
  </w:style>
  <w:style w:type="paragraph" w:customStyle="1" w:styleId="a9">
    <w:name w:val="מאשט"/>
    <w:uiPriority w:val="99"/>
    <w:pPr>
      <w:autoSpaceDE w:val="0"/>
      <w:autoSpaceDN w:val="0"/>
      <w:bidi/>
      <w:spacing w:after="0" w:line="240" w:lineRule="auto"/>
    </w:pPr>
    <w:rPr>
      <w:rFonts w:ascii="Times New Roman" w:hAnsi="Times New Roman" w:cs="Times New Roman"/>
      <w:szCs w:val="24"/>
      <w:lang w:eastAsia="he-IL"/>
    </w:rPr>
  </w:style>
  <w:style w:type="character" w:styleId="aa">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598</Words>
  <Characters>2990</Characters>
  <Application>Microsoft Office Word</Application>
  <DocSecurity>0</DocSecurity>
  <Lines>24</Lines>
  <Paragraphs>7</Paragraphs>
  <ScaleCrop>false</ScaleCrop>
  <Company>knesset</Company>
  <LinksUpToDate>false</LinksUpToDate>
  <CharactersWithSpaces>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חוקה/5703</dc:title>
  <dc:subject>חוקה 23.7.2002ב</dc:subject>
  <dc:creator>דקלה אברבנאל</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