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E40">
      <w:pPr>
        <w:jc w:val="right"/>
        <w:rPr>
          <w:rtl/>
        </w:rPr>
      </w:pPr>
      <w:bookmarkStart w:id="0" w:name="_GoBack"/>
      <w:bookmarkEnd w:id="0"/>
      <w:r>
        <w:rPr>
          <w:rtl/>
        </w:rPr>
        <w:t>פרוטוקולים/עבודה/2779</w:t>
      </w:r>
    </w:p>
    <w:p w:rsidR="00000000" w:rsidRDefault="00072E40">
      <w:pPr>
        <w:jc w:val="right"/>
        <w:rPr>
          <w:rtl/>
        </w:rPr>
      </w:pPr>
      <w:r>
        <w:rPr>
          <w:rtl/>
        </w:rPr>
        <w:tab/>
        <w:t>ירושל</w:t>
      </w:r>
      <w:r>
        <w:rPr>
          <w:rtl/>
        </w:rPr>
        <w:t>ים, ו' באדר, תשס"א</w:t>
      </w:r>
    </w:p>
    <w:p w:rsidR="00000000" w:rsidRDefault="00072E40">
      <w:pPr>
        <w:jc w:val="right"/>
        <w:rPr>
          <w:rtl/>
          <w:lang w:val="es"/>
        </w:rPr>
      </w:pPr>
      <w:r>
        <w:rPr>
          <w:rtl/>
          <w:lang w:val="es"/>
        </w:rPr>
        <w:t>1 במרץ, 2001</w:t>
      </w:r>
    </w:p>
    <w:p w:rsidR="00000000" w:rsidRDefault="00072E40">
      <w:pPr>
        <w:jc w:val="right"/>
        <w:rPr>
          <w:rtl/>
        </w:rPr>
      </w:pPr>
    </w:p>
    <w:p w:rsidR="00000000" w:rsidRDefault="00072E40">
      <w:pPr>
        <w:pStyle w:val="a3"/>
        <w:jc w:val="both"/>
        <w:rPr>
          <w:b w:val="0"/>
          <w:bCs w:val="0"/>
          <w:u w:val="none"/>
          <w:rtl/>
        </w:rPr>
      </w:pPr>
      <w:r>
        <w:rPr>
          <w:u w:val="none"/>
          <w:rtl/>
        </w:rPr>
        <w:t xml:space="preserve">הכנסת החמש-עשרה                                                                                             </w:t>
      </w:r>
      <w:r>
        <w:rPr>
          <w:b w:val="0"/>
          <w:bCs w:val="0"/>
          <w:u w:val="none"/>
          <w:rtl/>
        </w:rPr>
        <w:t>נוסח לא מתוקן</w:t>
      </w:r>
    </w:p>
    <w:p w:rsidR="00000000" w:rsidRDefault="00072E40">
      <w:pPr>
        <w:pStyle w:val="a3"/>
        <w:jc w:val="both"/>
        <w:rPr>
          <w:u w:val="none"/>
          <w:rtl/>
        </w:rPr>
      </w:pPr>
      <w:r>
        <w:rPr>
          <w:u w:val="none"/>
          <w:rtl/>
        </w:rPr>
        <w:t xml:space="preserve">          מושב שלישי</w:t>
      </w:r>
    </w:p>
    <w:p w:rsidR="00000000" w:rsidRDefault="00072E40">
      <w:pPr>
        <w:pStyle w:val="a3"/>
        <w:jc w:val="both"/>
        <w:rPr>
          <w:u w:val="none"/>
          <w:rtl/>
        </w:rPr>
      </w:pPr>
    </w:p>
    <w:p w:rsidR="00000000" w:rsidRDefault="00072E40">
      <w:pPr>
        <w:pStyle w:val="a3"/>
        <w:jc w:val="both"/>
        <w:rPr>
          <w:u w:val="none"/>
          <w:rtl/>
        </w:rPr>
      </w:pPr>
    </w:p>
    <w:p w:rsidR="00000000" w:rsidRDefault="00072E40">
      <w:pPr>
        <w:pStyle w:val="a3"/>
        <w:jc w:val="both"/>
        <w:rPr>
          <w:u w:val="none"/>
          <w:rtl/>
        </w:rPr>
      </w:pPr>
    </w:p>
    <w:p w:rsidR="00000000" w:rsidRDefault="00072E40">
      <w:pPr>
        <w:pStyle w:val="a3"/>
        <w:jc w:val="both"/>
        <w:rPr>
          <w:u w:val="none"/>
          <w:rtl/>
        </w:rPr>
      </w:pPr>
    </w:p>
    <w:p w:rsidR="00000000" w:rsidRDefault="00072E40">
      <w:pPr>
        <w:pStyle w:val="a3"/>
        <w:rPr>
          <w:u w:val="none"/>
          <w:rtl/>
        </w:rPr>
      </w:pPr>
      <w:r>
        <w:rPr>
          <w:u w:val="none"/>
          <w:rtl/>
        </w:rPr>
        <w:t>פרוטוקול מס' 269</w:t>
      </w:r>
    </w:p>
    <w:p w:rsidR="00000000" w:rsidRDefault="00072E40">
      <w:pPr>
        <w:pStyle w:val="a3"/>
        <w:rPr>
          <w:u w:val="none"/>
          <w:rtl/>
        </w:rPr>
      </w:pPr>
    </w:p>
    <w:p w:rsidR="00000000" w:rsidRDefault="00072E40">
      <w:pPr>
        <w:pStyle w:val="a3"/>
        <w:rPr>
          <w:u w:val="none"/>
          <w:rtl/>
        </w:rPr>
      </w:pPr>
      <w:r>
        <w:rPr>
          <w:u w:val="none"/>
          <w:rtl/>
        </w:rPr>
        <w:t>מישיבת ועדת העבודה, הרווחה והבריאות</w:t>
      </w:r>
    </w:p>
    <w:p w:rsidR="00000000" w:rsidRDefault="00072E40">
      <w:pPr>
        <w:pStyle w:val="a3"/>
        <w:rPr>
          <w:rtl/>
        </w:rPr>
      </w:pPr>
      <w:r>
        <w:rPr>
          <w:rtl/>
        </w:rPr>
        <w:t>יום שלישי, כ"ז בשבט הת</w:t>
      </w:r>
      <w:r>
        <w:rPr>
          <w:rtl/>
        </w:rPr>
        <w:t>שס"א (20 בפברואר 2001), שעה 11:40</w:t>
      </w:r>
    </w:p>
    <w:p w:rsidR="00000000" w:rsidRDefault="00072E40">
      <w:pPr>
        <w:pStyle w:val="a3"/>
        <w:jc w:val="both"/>
        <w:rPr>
          <w:u w:val="none"/>
          <w:rtl/>
        </w:rPr>
      </w:pPr>
    </w:p>
    <w:p w:rsidR="00000000" w:rsidRDefault="00072E40">
      <w:pPr>
        <w:pStyle w:val="a3"/>
        <w:jc w:val="both"/>
        <w:rPr>
          <w:u w:val="none"/>
          <w:rtl/>
        </w:rPr>
      </w:pPr>
    </w:p>
    <w:p w:rsidR="00000000" w:rsidRDefault="00072E40">
      <w:pPr>
        <w:pStyle w:val="a3"/>
        <w:jc w:val="both"/>
        <w:rPr>
          <w:u w:val="none"/>
          <w:rtl/>
        </w:rPr>
      </w:pPr>
    </w:p>
    <w:p w:rsidR="00000000" w:rsidRDefault="00072E40">
      <w:pPr>
        <w:pStyle w:val="a3"/>
        <w:jc w:val="both"/>
        <w:rPr>
          <w:u w:val="none"/>
          <w:rtl/>
        </w:rPr>
      </w:pPr>
    </w:p>
    <w:p w:rsidR="00000000" w:rsidRDefault="00072E40">
      <w:pPr>
        <w:pStyle w:val="a3"/>
        <w:jc w:val="both"/>
        <w:rPr>
          <w:u w:val="none"/>
          <w:rtl/>
        </w:rPr>
      </w:pPr>
      <w:r>
        <w:rPr>
          <w:b w:val="0"/>
          <w:bCs w:val="0"/>
          <w:rtl/>
        </w:rPr>
        <w:t>נכחו:</w:t>
      </w: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r>
        <w:rPr>
          <w:b w:val="0"/>
          <w:bCs w:val="0"/>
          <w:u w:val="none"/>
          <w:rtl/>
        </w:rPr>
        <w:tab/>
      </w:r>
      <w:r>
        <w:rPr>
          <w:b w:val="0"/>
          <w:bCs w:val="0"/>
          <w:rtl/>
        </w:rPr>
        <w:t>חברי הוועדה:</w:t>
      </w:r>
      <w:r>
        <w:rPr>
          <w:b w:val="0"/>
          <w:bCs w:val="0"/>
          <w:u w:val="none"/>
          <w:rtl/>
        </w:rPr>
        <w:tab/>
        <w:t>יאיר פרץ - מ"מ היו"ר</w:t>
      </w: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r>
        <w:rPr>
          <w:b w:val="0"/>
          <w:bCs w:val="0"/>
          <w:u w:val="none"/>
          <w:rtl/>
        </w:rPr>
        <w:tab/>
      </w:r>
      <w:r>
        <w:rPr>
          <w:b w:val="0"/>
          <w:bCs w:val="0"/>
          <w:rtl/>
        </w:rPr>
        <w:t>מוזמנים:</w:t>
      </w:r>
      <w:r>
        <w:rPr>
          <w:b w:val="0"/>
          <w:bCs w:val="0"/>
          <w:u w:val="none"/>
          <w:rtl/>
        </w:rPr>
        <w:tab/>
        <w:t>שי סומך</w:t>
      </w:r>
      <w:r>
        <w:rPr>
          <w:b w:val="0"/>
          <w:bCs w:val="0"/>
          <w:u w:val="none"/>
          <w:rtl/>
        </w:rPr>
        <w:tab/>
      </w:r>
      <w:r>
        <w:rPr>
          <w:b w:val="0"/>
          <w:bCs w:val="0"/>
          <w:u w:val="none"/>
          <w:rtl/>
        </w:rPr>
        <w:tab/>
        <w:t>- משרד  המשפטים</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שושנה שטראוס</w:t>
      </w:r>
      <w:r>
        <w:rPr>
          <w:b w:val="0"/>
          <w:bCs w:val="0"/>
          <w:u w:val="none"/>
          <w:rtl/>
        </w:rPr>
        <w:tab/>
      </w:r>
      <w:r>
        <w:rPr>
          <w:b w:val="0"/>
          <w:bCs w:val="0"/>
          <w:u w:val="none"/>
          <w:rtl/>
        </w:rPr>
        <w:tab/>
        <w:t>- עו"ד, משרד העבודה והרווחה</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פאני יוז</w:t>
      </w:r>
      <w:r>
        <w:rPr>
          <w:b w:val="0"/>
          <w:bCs w:val="0"/>
          <w:u w:val="none"/>
          <w:rtl/>
        </w:rPr>
        <w:tab/>
      </w:r>
      <w:r>
        <w:rPr>
          <w:b w:val="0"/>
          <w:bCs w:val="0"/>
          <w:u w:val="none"/>
          <w:rtl/>
        </w:rPr>
        <w:tab/>
      </w:r>
      <w:r>
        <w:rPr>
          <w:b w:val="0"/>
          <w:bCs w:val="0"/>
          <w:u w:val="none"/>
          <w:rtl/>
        </w:rPr>
        <w:tab/>
        <w:t>- משרד העבודה והרווחה</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לאה רוזנברג</w:t>
      </w:r>
      <w:r>
        <w:rPr>
          <w:b w:val="0"/>
          <w:bCs w:val="0"/>
          <w:u w:val="none"/>
          <w:rtl/>
        </w:rPr>
        <w:tab/>
      </w:r>
      <w:r>
        <w:rPr>
          <w:b w:val="0"/>
          <w:bCs w:val="0"/>
          <w:u w:val="none"/>
          <w:rtl/>
        </w:rPr>
        <w:tab/>
        <w:t>- עו"ד, המוסד לביטוח לאומי</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מרים ש</w:t>
      </w:r>
      <w:r>
        <w:rPr>
          <w:b w:val="0"/>
          <w:bCs w:val="0"/>
          <w:u w:val="none"/>
          <w:rtl/>
        </w:rPr>
        <w:t>מלצר</w:t>
      </w:r>
      <w:r>
        <w:rPr>
          <w:b w:val="0"/>
          <w:bCs w:val="0"/>
          <w:u w:val="none"/>
          <w:rtl/>
        </w:rPr>
        <w:tab/>
      </w:r>
      <w:r>
        <w:rPr>
          <w:b w:val="0"/>
          <w:bCs w:val="0"/>
          <w:u w:val="none"/>
          <w:rtl/>
        </w:rPr>
        <w:tab/>
        <w:t>- המוסד לביטוח לאומי</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רפאל קיים</w:t>
      </w:r>
      <w:r>
        <w:rPr>
          <w:b w:val="0"/>
          <w:bCs w:val="0"/>
          <w:u w:val="none"/>
          <w:rtl/>
        </w:rPr>
        <w:tab/>
      </w:r>
      <w:r>
        <w:rPr>
          <w:b w:val="0"/>
          <w:bCs w:val="0"/>
          <w:u w:val="none"/>
          <w:rtl/>
        </w:rPr>
        <w:tab/>
        <w:t>- קופת-חולים לאומית</w:t>
      </w: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r>
        <w:rPr>
          <w:b w:val="0"/>
          <w:bCs w:val="0"/>
          <w:rtl/>
        </w:rPr>
        <w:t>מנהלת הוועדה:</w:t>
      </w:r>
      <w:r>
        <w:rPr>
          <w:b w:val="0"/>
          <w:bCs w:val="0"/>
          <w:u w:val="none"/>
          <w:rtl/>
        </w:rPr>
        <w:tab/>
      </w:r>
      <w:r>
        <w:rPr>
          <w:b w:val="0"/>
          <w:bCs w:val="0"/>
          <w:u w:val="none"/>
          <w:rtl/>
        </w:rPr>
        <w:tab/>
        <w:t>שירלי אברמי</w:t>
      </w:r>
    </w:p>
    <w:p w:rsidR="00000000" w:rsidRDefault="00072E40">
      <w:pPr>
        <w:pStyle w:val="a3"/>
        <w:jc w:val="both"/>
        <w:rPr>
          <w:b w:val="0"/>
          <w:bCs w:val="0"/>
          <w:u w:val="none"/>
          <w:rtl/>
        </w:rPr>
      </w:pPr>
      <w:r>
        <w:rPr>
          <w:b w:val="0"/>
          <w:bCs w:val="0"/>
          <w:rtl/>
        </w:rPr>
        <w:t>יועצת משפטית:</w:t>
      </w:r>
      <w:r>
        <w:rPr>
          <w:b w:val="0"/>
          <w:bCs w:val="0"/>
          <w:u w:val="none"/>
          <w:rtl/>
        </w:rPr>
        <w:tab/>
      </w:r>
      <w:r>
        <w:rPr>
          <w:b w:val="0"/>
          <w:bCs w:val="0"/>
          <w:u w:val="none"/>
          <w:rtl/>
        </w:rPr>
        <w:tab/>
        <w:t>ג'ודי וסרמן</w:t>
      </w:r>
    </w:p>
    <w:p w:rsidR="00000000" w:rsidRDefault="00072E40">
      <w:pPr>
        <w:pStyle w:val="a3"/>
        <w:jc w:val="both"/>
        <w:rPr>
          <w:b w:val="0"/>
          <w:bCs w:val="0"/>
          <w:u w:val="none"/>
          <w:rtl/>
        </w:rPr>
      </w:pPr>
      <w:r>
        <w:rPr>
          <w:b w:val="0"/>
          <w:bCs w:val="0"/>
          <w:rtl/>
        </w:rPr>
        <w:t>קצרנית:</w:t>
      </w:r>
      <w:r>
        <w:rPr>
          <w:b w:val="0"/>
          <w:bCs w:val="0"/>
          <w:u w:val="none"/>
          <w:rtl/>
        </w:rPr>
        <w:tab/>
      </w:r>
      <w:r>
        <w:rPr>
          <w:b w:val="0"/>
          <w:bCs w:val="0"/>
          <w:u w:val="none"/>
          <w:rtl/>
        </w:rPr>
        <w:tab/>
        <w:t>חפציבה צנעני</w:t>
      </w: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p>
    <w:p w:rsidR="00000000" w:rsidRDefault="00072E40">
      <w:pPr>
        <w:pStyle w:val="a3"/>
        <w:jc w:val="both"/>
        <w:rPr>
          <w:b w:val="0"/>
          <w:bCs w:val="0"/>
          <w:u w:val="none"/>
          <w:rtl/>
        </w:rPr>
      </w:pPr>
      <w:r>
        <w:rPr>
          <w:b w:val="0"/>
          <w:bCs w:val="0"/>
          <w:rtl/>
        </w:rPr>
        <w:t>סדר-היום:</w:t>
      </w:r>
      <w:r>
        <w:rPr>
          <w:b w:val="0"/>
          <w:bCs w:val="0"/>
          <w:u w:val="none"/>
          <w:rtl/>
        </w:rPr>
        <w:tab/>
      </w:r>
      <w:r>
        <w:rPr>
          <w:b w:val="0"/>
          <w:bCs w:val="0"/>
          <w:u w:val="none"/>
          <w:rtl/>
        </w:rPr>
        <w:tab/>
        <w:t>הצעת חוק פ/1400 - הצעת חוק הביטוח הלאומי (תיקון - הזכאות</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 xml:space="preserve">לקבלת קיצבת זקנה שלמה), התש"ס-2000  - </w:t>
      </w:r>
      <w:r>
        <w:rPr>
          <w:b w:val="0"/>
          <w:bCs w:val="0"/>
          <w:u w:val="none"/>
          <w:rtl/>
        </w:rPr>
        <w:t xml:space="preserve"> חה"כ ע' א' דהאמשה</w:t>
      </w:r>
    </w:p>
    <w:p w:rsidR="00000000" w:rsidRDefault="00072E40">
      <w:pPr>
        <w:pStyle w:val="a3"/>
        <w:jc w:val="both"/>
        <w:rPr>
          <w:b w:val="0"/>
          <w:bCs w:val="0"/>
          <w:u w:val="none"/>
          <w:rtl/>
        </w:rPr>
      </w:pPr>
      <w:r>
        <w:rPr>
          <w:b w:val="0"/>
          <w:bCs w:val="0"/>
          <w:u w:val="none"/>
          <w:rtl/>
        </w:rPr>
        <w:tab/>
      </w:r>
      <w:r>
        <w:rPr>
          <w:b w:val="0"/>
          <w:bCs w:val="0"/>
          <w:u w:val="none"/>
          <w:rtl/>
        </w:rPr>
        <w:tab/>
      </w:r>
      <w:r>
        <w:rPr>
          <w:b w:val="0"/>
          <w:bCs w:val="0"/>
          <w:u w:val="none"/>
          <w:rtl/>
        </w:rPr>
        <w:tab/>
        <w:t>ואח'  -  הכנה לקריאה ראשונה.</w:t>
      </w:r>
    </w:p>
    <w:p w:rsidR="00000000" w:rsidRDefault="00072E40">
      <w:pPr>
        <w:pStyle w:val="a3"/>
        <w:jc w:val="both"/>
        <w:rPr>
          <w:rtl/>
        </w:rPr>
      </w:pPr>
    </w:p>
    <w:p w:rsidR="00000000" w:rsidRDefault="00072E40">
      <w:pPr>
        <w:pStyle w:val="a3"/>
        <w:rPr>
          <w:rtl/>
        </w:rPr>
      </w:pPr>
      <w:r>
        <w:rPr>
          <w:rtl/>
        </w:rPr>
        <w:br w:type="page"/>
      </w:r>
      <w:r>
        <w:rPr>
          <w:rtl/>
        </w:rPr>
        <w:lastRenderedPageBreak/>
        <w:t>הצעת חוק פ/1400</w:t>
      </w:r>
    </w:p>
    <w:p w:rsidR="00000000" w:rsidRDefault="00072E40">
      <w:pPr>
        <w:pStyle w:val="a3"/>
        <w:rPr>
          <w:rtl/>
        </w:rPr>
      </w:pPr>
    </w:p>
    <w:p w:rsidR="00000000" w:rsidRDefault="00072E40">
      <w:pPr>
        <w:pStyle w:val="a3"/>
        <w:rPr>
          <w:rtl/>
        </w:rPr>
      </w:pPr>
      <w:r>
        <w:rPr>
          <w:rtl/>
        </w:rPr>
        <w:t>הצעת חוק הביטוח הלאומי (תיקון - הזכאות לקבלת קצבת זיקנה שלמה), התשס"א-2001</w:t>
      </w:r>
    </w:p>
    <w:p w:rsidR="00000000" w:rsidRDefault="00072E40">
      <w:pPr>
        <w:jc w:val="center"/>
        <w:rPr>
          <w:rFonts w:cs="David"/>
          <w:b/>
          <w:bCs/>
          <w:rtl/>
        </w:rPr>
      </w:pPr>
      <w:r>
        <w:rPr>
          <w:rFonts w:cs="David"/>
          <w:b/>
          <w:bCs/>
          <w:rtl/>
        </w:rPr>
        <w:t>(מאת חה"כ ע' א' דהאמשה ואח')</w:t>
      </w:r>
    </w:p>
    <w:p w:rsidR="00000000" w:rsidRDefault="00072E40">
      <w:pPr>
        <w:jc w:val="center"/>
        <w:rPr>
          <w:rFonts w:cs="David"/>
          <w:b/>
          <w:bCs/>
          <w:rtl/>
        </w:rPr>
      </w:pPr>
      <w:r>
        <w:rPr>
          <w:rFonts w:cs="David"/>
          <w:b/>
          <w:bCs/>
          <w:rtl/>
        </w:rPr>
        <w:t>(הכנה לקריאה ראשונה)</w:t>
      </w:r>
    </w:p>
    <w:p w:rsidR="00000000" w:rsidRDefault="00072E40">
      <w:pPr>
        <w:jc w:val="both"/>
        <w:rPr>
          <w:rFonts w:cs="David"/>
          <w:rtl/>
        </w:rPr>
      </w:pPr>
    </w:p>
    <w:p w:rsidR="00000000" w:rsidRDefault="00072E40">
      <w:pPr>
        <w:jc w:val="both"/>
        <w:rPr>
          <w:rFonts w:cs="David"/>
          <w:rtl/>
        </w:rPr>
      </w:pPr>
    </w:p>
    <w:p w:rsidR="00000000" w:rsidRDefault="00072E40">
      <w:pPr>
        <w:jc w:val="both"/>
        <w:rPr>
          <w:rFonts w:cs="David"/>
          <w:rtl/>
        </w:rPr>
      </w:pPr>
    </w:p>
    <w:p w:rsidR="00000000" w:rsidRDefault="00072E40">
      <w:pPr>
        <w:jc w:val="both"/>
        <w:rPr>
          <w:rFonts w:cs="David"/>
          <w:u w:val="single"/>
          <w:rtl/>
        </w:rPr>
      </w:pPr>
      <w:r>
        <w:rPr>
          <w:rFonts w:cs="David"/>
          <w:u w:val="single"/>
          <w:rtl/>
        </w:rPr>
        <w:t>היו"ר י' פרץ:</w:t>
      </w:r>
    </w:p>
    <w:p w:rsidR="00000000" w:rsidRDefault="00072E40">
      <w:pPr>
        <w:jc w:val="both"/>
        <w:rPr>
          <w:rFonts w:cs="David"/>
          <w:rtl/>
        </w:rPr>
      </w:pPr>
    </w:p>
    <w:p w:rsidR="00000000" w:rsidRDefault="00072E40">
      <w:pPr>
        <w:jc w:val="both"/>
        <w:rPr>
          <w:rFonts w:cs="David"/>
          <w:rtl/>
        </w:rPr>
      </w:pPr>
      <w:r>
        <w:rPr>
          <w:rFonts w:cs="David"/>
          <w:rtl/>
        </w:rPr>
        <w:tab/>
        <w:t>אני מתכבד לפתוח את הישיבה. על סדר היום: הצ</w:t>
      </w:r>
      <w:r>
        <w:rPr>
          <w:rFonts w:cs="David"/>
          <w:rtl/>
        </w:rPr>
        <w:t>עת חוק הביטוח הלאומי (תיקון - הזכאות לקבלת קיצבת זיקנה שלמה), התשס"א-2001. חבר-הכנסת דהאמשה יציג את הצעת החוק.</w:t>
      </w:r>
    </w:p>
    <w:p w:rsidR="00000000" w:rsidRDefault="00072E40">
      <w:pPr>
        <w:jc w:val="both"/>
        <w:rPr>
          <w:rFonts w:cs="David"/>
          <w:rtl/>
        </w:rPr>
      </w:pPr>
    </w:p>
    <w:p w:rsidR="00000000" w:rsidRDefault="00072E40">
      <w:pPr>
        <w:jc w:val="both"/>
        <w:rPr>
          <w:rFonts w:cs="David"/>
          <w:u w:val="single"/>
          <w:rtl/>
        </w:rPr>
      </w:pPr>
      <w:r>
        <w:rPr>
          <w:rFonts w:cs="David"/>
          <w:u w:val="single"/>
          <w:rtl/>
        </w:rPr>
        <w:t>ע' א' דהאמשה:</w:t>
      </w:r>
    </w:p>
    <w:p w:rsidR="00000000" w:rsidRDefault="00072E40">
      <w:pPr>
        <w:jc w:val="both"/>
        <w:rPr>
          <w:rFonts w:cs="David"/>
          <w:rtl/>
        </w:rPr>
      </w:pPr>
    </w:p>
    <w:p w:rsidR="00000000" w:rsidRDefault="00072E40">
      <w:pPr>
        <w:jc w:val="both"/>
        <w:rPr>
          <w:rFonts w:cs="David"/>
          <w:rtl/>
        </w:rPr>
      </w:pPr>
      <w:r>
        <w:rPr>
          <w:rFonts w:cs="David"/>
          <w:rtl/>
        </w:rPr>
        <w:tab/>
        <w:t xml:space="preserve">היועצת המשפטית אמרה דברים. מטרת החוק ברורה, ומטרת התיקון ידועה. אבל, כנראה, שחל שיבוש במחלקה המשפטית בניסוח הסעיף, ולכן 'נפלנו' </w:t>
      </w:r>
      <w:r>
        <w:rPr>
          <w:rFonts w:cs="David"/>
          <w:rtl/>
        </w:rPr>
        <w:t>על סעיף הלא נכון ואפילו בחוק הלא נכון.</w:t>
      </w:r>
    </w:p>
    <w:p w:rsidR="00000000" w:rsidRDefault="00072E40">
      <w:pPr>
        <w:jc w:val="both"/>
        <w:rPr>
          <w:rFonts w:cs="David"/>
          <w:rtl/>
        </w:rPr>
      </w:pPr>
    </w:p>
    <w:p w:rsidR="00000000" w:rsidRDefault="00072E40">
      <w:pPr>
        <w:jc w:val="both"/>
        <w:rPr>
          <w:rFonts w:cs="David"/>
          <w:u w:val="single"/>
          <w:rtl/>
        </w:rPr>
      </w:pPr>
      <w:r>
        <w:rPr>
          <w:rFonts w:cs="David"/>
          <w:u w:val="single"/>
          <w:rtl/>
        </w:rPr>
        <w:t>ל' רוזנברג:</w:t>
      </w:r>
    </w:p>
    <w:p w:rsidR="00000000" w:rsidRDefault="00072E40">
      <w:pPr>
        <w:jc w:val="both"/>
        <w:rPr>
          <w:rFonts w:cs="David"/>
          <w:rtl/>
        </w:rPr>
      </w:pPr>
      <w:r>
        <w:rPr>
          <w:rFonts w:cs="David"/>
          <w:rtl/>
        </w:rPr>
        <w:tab/>
        <w:t>זה יותר נכון. זה החוק לא נכון.</w:t>
      </w:r>
    </w:p>
    <w:p w:rsidR="00000000" w:rsidRDefault="00072E40">
      <w:pPr>
        <w:jc w:val="both"/>
        <w:rPr>
          <w:rFonts w:cs="David"/>
          <w:rtl/>
        </w:rPr>
      </w:pPr>
    </w:p>
    <w:p w:rsidR="00000000" w:rsidRDefault="00072E40">
      <w:pPr>
        <w:jc w:val="both"/>
        <w:rPr>
          <w:rFonts w:cs="David"/>
          <w:u w:val="single"/>
          <w:rtl/>
        </w:rPr>
      </w:pPr>
      <w:r>
        <w:rPr>
          <w:rFonts w:cs="David"/>
          <w:u w:val="single"/>
          <w:rtl/>
        </w:rPr>
        <w:t>ע' א' דהאמשה:</w:t>
      </w:r>
    </w:p>
    <w:p w:rsidR="00000000" w:rsidRDefault="00072E40">
      <w:pPr>
        <w:jc w:val="both"/>
        <w:rPr>
          <w:rFonts w:cs="David"/>
          <w:rtl/>
        </w:rPr>
      </w:pPr>
    </w:p>
    <w:p w:rsidR="00000000" w:rsidRDefault="00072E40">
      <w:pPr>
        <w:jc w:val="both"/>
        <w:rPr>
          <w:rFonts w:cs="David"/>
          <w:rtl/>
        </w:rPr>
      </w:pPr>
      <w:r>
        <w:rPr>
          <w:rFonts w:cs="David"/>
          <w:rtl/>
        </w:rPr>
        <w:tab/>
        <w:t>זה החוק הלא נכון והסעיף הלא נכון. הייתי מבקש, אם אנו יכולים, למצוא לזה דרך לנסח זאת בדרך הנכונה ולחזור. בנוסח הקיים אין תועלת, היות וזה חלק מחוק הבטחת הכנס</w:t>
      </w:r>
      <w:r>
        <w:rPr>
          <w:rFonts w:cs="David"/>
          <w:rtl/>
        </w:rPr>
        <w:t>ה בסעיף אחר.</w:t>
      </w:r>
    </w:p>
    <w:p w:rsidR="00000000" w:rsidRDefault="00072E40">
      <w:pPr>
        <w:jc w:val="both"/>
        <w:rPr>
          <w:rFonts w:cs="David"/>
          <w:rtl/>
        </w:rPr>
      </w:pPr>
    </w:p>
    <w:p w:rsidR="00000000" w:rsidRDefault="00072E40">
      <w:pPr>
        <w:jc w:val="both"/>
        <w:rPr>
          <w:rFonts w:cs="David"/>
          <w:u w:val="single"/>
          <w:rtl/>
        </w:rPr>
      </w:pPr>
      <w:r>
        <w:rPr>
          <w:rFonts w:cs="David"/>
          <w:u w:val="single"/>
          <w:rtl/>
        </w:rPr>
        <w:t>ג'' וסרמן:</w:t>
      </w:r>
    </w:p>
    <w:p w:rsidR="00000000" w:rsidRDefault="00072E40">
      <w:pPr>
        <w:jc w:val="both"/>
        <w:rPr>
          <w:rFonts w:cs="David"/>
          <w:rtl/>
        </w:rPr>
      </w:pPr>
    </w:p>
    <w:p w:rsidR="00000000" w:rsidRDefault="00072E40">
      <w:pPr>
        <w:jc w:val="both"/>
        <w:rPr>
          <w:rFonts w:cs="David"/>
          <w:rtl/>
        </w:rPr>
      </w:pPr>
      <w:r>
        <w:rPr>
          <w:rFonts w:cs="David"/>
          <w:rtl/>
        </w:rPr>
        <w:tab/>
        <w:t xml:space="preserve">מדובר בהצעה שעברה קריאה טרומית ונמצאת בוועדה להכנה לקריאה ראשונה. לצערי, לא מדובר בחוק הנכון ולא בסעיף הנכון, ולמעשה יש לתקן את חוק הבטחת הכנסה שם קבוע הכלל שלוקחים בחשבון נכסים שגם לא מניבים. רעיון הצעת החוק של חבר-הכנסת דהאמשה </w:t>
      </w:r>
      <w:r>
        <w:rPr>
          <w:rFonts w:cs="David"/>
          <w:rtl/>
        </w:rPr>
        <w:t>הוא לקבוע שלגבי נכסים מסויימים לא ילקחו בחשבון הכנסה רעיונית שאין בפועל. מדובר בתיקון לחוק הבטחת הכנסה, ולא בחוק הביטוח הלאומי. זה בכלל לא חוק הביטוח הלאומי. לכן, צריך להגיש הצעת חוק חדשה וצריך להעביר אותה קריאה טרומית. ואז, היא תבוא לדיון בוועדה ונוכל לשמ</w:t>
      </w:r>
      <w:r>
        <w:rPr>
          <w:rFonts w:cs="David"/>
          <w:rtl/>
        </w:rPr>
        <w:t>וע את הדברים.</w:t>
      </w:r>
    </w:p>
    <w:p w:rsidR="00000000" w:rsidRDefault="00072E40">
      <w:pPr>
        <w:jc w:val="both"/>
        <w:rPr>
          <w:rFonts w:cs="David"/>
          <w:rtl/>
        </w:rPr>
      </w:pPr>
    </w:p>
    <w:p w:rsidR="00000000" w:rsidRDefault="00072E40">
      <w:pPr>
        <w:jc w:val="both"/>
        <w:rPr>
          <w:rFonts w:cs="David"/>
          <w:u w:val="single"/>
          <w:rtl/>
        </w:rPr>
      </w:pPr>
      <w:r>
        <w:rPr>
          <w:rFonts w:cs="David"/>
          <w:u w:val="single"/>
          <w:rtl/>
        </w:rPr>
        <w:t>ע' א' דהאמשה:</w:t>
      </w:r>
    </w:p>
    <w:p w:rsidR="00000000" w:rsidRDefault="00072E40">
      <w:pPr>
        <w:jc w:val="both"/>
        <w:rPr>
          <w:rFonts w:cs="David"/>
          <w:rtl/>
        </w:rPr>
      </w:pPr>
      <w:r>
        <w:rPr>
          <w:rFonts w:cs="David"/>
          <w:rtl/>
        </w:rPr>
        <w:tab/>
        <w:t>אנו לא נוכל להפיק שום תועלת מכל ההליך הזה.</w:t>
      </w:r>
    </w:p>
    <w:p w:rsidR="00000000" w:rsidRDefault="00072E40">
      <w:pPr>
        <w:jc w:val="both"/>
        <w:rPr>
          <w:rFonts w:cs="David"/>
          <w:rtl/>
        </w:rPr>
      </w:pPr>
    </w:p>
    <w:p w:rsidR="00000000" w:rsidRDefault="00072E40">
      <w:pPr>
        <w:jc w:val="both"/>
        <w:rPr>
          <w:rFonts w:cs="David"/>
          <w:u w:val="single"/>
          <w:rtl/>
        </w:rPr>
      </w:pPr>
      <w:r>
        <w:rPr>
          <w:rFonts w:cs="David"/>
          <w:u w:val="single"/>
          <w:rtl/>
        </w:rPr>
        <w:t>ג'' וסרמן:</w:t>
      </w:r>
    </w:p>
    <w:p w:rsidR="00000000" w:rsidRDefault="00072E40">
      <w:pPr>
        <w:jc w:val="both"/>
        <w:rPr>
          <w:rFonts w:cs="David"/>
          <w:rtl/>
        </w:rPr>
      </w:pPr>
      <w:r>
        <w:rPr>
          <w:rFonts w:cs="David"/>
          <w:rtl/>
        </w:rPr>
        <w:tab/>
        <w:t>אי אפשר.</w:t>
      </w:r>
    </w:p>
    <w:p w:rsidR="00000000" w:rsidRDefault="00072E40">
      <w:pPr>
        <w:jc w:val="both"/>
        <w:rPr>
          <w:rFonts w:cs="David"/>
          <w:rtl/>
        </w:rPr>
      </w:pPr>
    </w:p>
    <w:p w:rsidR="00000000" w:rsidRDefault="00072E40">
      <w:pPr>
        <w:jc w:val="both"/>
        <w:rPr>
          <w:rFonts w:cs="David"/>
          <w:u w:val="single"/>
          <w:rtl/>
        </w:rPr>
      </w:pPr>
      <w:r>
        <w:rPr>
          <w:rFonts w:cs="David"/>
          <w:u w:val="single"/>
          <w:rtl/>
        </w:rPr>
        <w:t>היו"ר י' פרץ:</w:t>
      </w:r>
    </w:p>
    <w:p w:rsidR="00000000" w:rsidRDefault="00072E40">
      <w:pPr>
        <w:jc w:val="both"/>
        <w:rPr>
          <w:rFonts w:cs="David"/>
          <w:rtl/>
        </w:rPr>
      </w:pPr>
    </w:p>
    <w:p w:rsidR="00000000" w:rsidRDefault="00072E40">
      <w:pPr>
        <w:jc w:val="both"/>
        <w:rPr>
          <w:rFonts w:cs="David"/>
          <w:rtl/>
        </w:rPr>
      </w:pPr>
      <w:r>
        <w:rPr>
          <w:rFonts w:cs="David"/>
          <w:rtl/>
        </w:rPr>
        <w:tab/>
        <w:t>אני מציע לאפשר לחברים לשתות את כוס התה, לנעול את הישיבה ולהעביר זאת לדיון נוסף.</w:t>
      </w:r>
    </w:p>
    <w:p w:rsidR="00000000" w:rsidRDefault="00072E40">
      <w:pPr>
        <w:jc w:val="both"/>
        <w:rPr>
          <w:rFonts w:cs="David"/>
          <w:rtl/>
        </w:rPr>
      </w:pPr>
    </w:p>
    <w:p w:rsidR="00000000" w:rsidRDefault="00072E40">
      <w:pPr>
        <w:jc w:val="both"/>
        <w:rPr>
          <w:rFonts w:cs="David"/>
          <w:rtl/>
        </w:rPr>
      </w:pPr>
      <w:r>
        <w:rPr>
          <w:rFonts w:cs="David"/>
          <w:rtl/>
        </w:rPr>
        <w:tab/>
        <w:t>אני נועל את הישיבה.</w:t>
      </w:r>
    </w:p>
    <w:p w:rsidR="00000000" w:rsidRDefault="00072E40">
      <w:pPr>
        <w:jc w:val="both"/>
        <w:rPr>
          <w:rFonts w:cs="David"/>
          <w:rtl/>
        </w:rPr>
      </w:pPr>
    </w:p>
    <w:p w:rsidR="00000000" w:rsidRDefault="00072E40">
      <w:pPr>
        <w:jc w:val="both"/>
        <w:rPr>
          <w:rFonts w:cs="David"/>
          <w:rtl/>
        </w:rPr>
      </w:pPr>
      <w:r>
        <w:rPr>
          <w:rFonts w:cs="David"/>
          <w:rtl/>
        </w:rPr>
        <w:tab/>
        <w:t>אני מודה לכם.</w:t>
      </w:r>
    </w:p>
    <w:p w:rsidR="00000000" w:rsidRDefault="00072E40">
      <w:pPr>
        <w:jc w:val="both"/>
        <w:rPr>
          <w:rFonts w:cs="David"/>
          <w:rtl/>
        </w:rPr>
      </w:pPr>
    </w:p>
    <w:p w:rsidR="00000000" w:rsidRDefault="00072E40">
      <w:pPr>
        <w:jc w:val="both"/>
        <w:rPr>
          <w:rFonts w:cs="David"/>
          <w:u w:val="single"/>
          <w:rtl/>
        </w:rPr>
      </w:pPr>
      <w:r>
        <w:rPr>
          <w:rFonts w:cs="David"/>
          <w:rtl/>
        </w:rPr>
        <w:tab/>
      </w:r>
      <w:r>
        <w:rPr>
          <w:rFonts w:cs="David"/>
          <w:u w:val="single"/>
          <w:rtl/>
        </w:rPr>
        <w:t>הישיבה ננעלה בשעה 11:42.</w:t>
      </w:r>
    </w:p>
    <w:p w:rsidR="00000000" w:rsidRDefault="00072E4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E40">
      <w:r>
        <w:separator/>
      </w:r>
    </w:p>
  </w:endnote>
  <w:endnote w:type="continuationSeparator" w:id="0">
    <w:p w:rsidR="00000000" w:rsidRDefault="0007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E40">
    <w:pPr>
      <w:pStyle w:val="a7"/>
      <w:rPr>
        <w:rtl/>
      </w:rPr>
    </w:pPr>
  </w:p>
  <w:p w:rsidR="00000000" w:rsidRDefault="00072E4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E40">
    <w:pPr>
      <w:pStyle w:val="a7"/>
      <w:rPr>
        <w:rtl/>
      </w:rPr>
    </w:pPr>
  </w:p>
  <w:p w:rsidR="00000000" w:rsidRDefault="00072E4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E40">
      <w:r>
        <w:separator/>
      </w:r>
    </w:p>
  </w:footnote>
  <w:footnote w:type="continuationSeparator" w:id="0">
    <w:p w:rsidR="00000000" w:rsidRDefault="00072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E4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72E40">
    <w:pPr>
      <w:pStyle w:val="a5"/>
      <w:ind w:right="360"/>
      <w:rPr>
        <w:rFonts w:cs="David"/>
        <w:rtl/>
      </w:rPr>
    </w:pPr>
    <w:r>
      <w:rPr>
        <w:rFonts w:cs="David"/>
        <w:rtl/>
      </w:rPr>
      <w:t>ועדת העבודה, הרווחה והבריאות</w:t>
    </w:r>
  </w:p>
  <w:p w:rsidR="00000000" w:rsidRDefault="00072E40">
    <w:pPr>
      <w:pStyle w:val="a5"/>
      <w:ind w:right="360"/>
      <w:rPr>
        <w:rFonts w:cs="David"/>
        <w:rtl/>
      </w:rPr>
    </w:pPr>
    <w:r>
      <w:rPr>
        <w:rFonts w:cs="David"/>
        <w:rtl/>
      </w:rPr>
      <w:t>20/02/2001</w:t>
    </w:r>
  </w:p>
  <w:p w:rsidR="00000000" w:rsidRDefault="00072E4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E40">
    <w:pPr>
      <w:pStyle w:val="a5"/>
      <w:rPr>
        <w:rtl/>
      </w:rPr>
    </w:pPr>
  </w:p>
  <w:p w:rsidR="00000000" w:rsidRDefault="00072E4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2E40"/>
    <w:rsid w:val="00072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9C56E5-A1C6-48A6-AF20-7CE788AA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389</Words>
  <Characters>1945</Characters>
  <Application>Microsoft Office Word</Application>
  <DocSecurity>0</DocSecurity>
  <Lines>16</Lines>
  <Paragraphs>4</Paragraphs>
  <ScaleCrop>false</ScaleCrop>
  <Company/>
  <LinksUpToDate>false</LinksUpToDate>
  <CharactersWithSpaces>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פרוטוקולים/עבודה/2779</dc:title>
  <dc:subject>עבודה 20.2.2001ב</dc:subject>
  <dc:creator>חפציבה צנעני</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