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252E">
      <w:pPr>
        <w:jc w:val="right"/>
        <w:rPr>
          <w:rtl/>
        </w:rPr>
      </w:pPr>
      <w:bookmarkStart w:id="0" w:name="_GoBack"/>
      <w:bookmarkEnd w:id="0"/>
      <w:r>
        <w:rPr>
          <w:rtl/>
        </w:rPr>
        <w:t>פרוטוקולים/עבודה/8266</w:t>
      </w:r>
    </w:p>
    <w:p w:rsidR="00000000" w:rsidRDefault="0071252E">
      <w:pPr>
        <w:jc w:val="right"/>
        <w:rPr>
          <w:rtl/>
        </w:rPr>
      </w:pPr>
      <w:r>
        <w:rPr>
          <w:rtl/>
        </w:rPr>
        <w:tab/>
        <w:t>ירושלים, כ"ד בניסן, תשס"ד</w:t>
      </w:r>
    </w:p>
    <w:p w:rsidR="00000000" w:rsidRDefault="0071252E">
      <w:pPr>
        <w:jc w:val="right"/>
        <w:rPr>
          <w:rtl/>
          <w:lang w:val="es"/>
        </w:rPr>
      </w:pPr>
      <w:r>
        <w:rPr>
          <w:rtl/>
          <w:lang w:val="es"/>
        </w:rPr>
        <w:t>15 באפריל, 2004</w:t>
      </w:r>
    </w:p>
    <w:p w:rsidR="00000000" w:rsidRDefault="0071252E">
      <w:pPr>
        <w:jc w:val="right"/>
        <w:rPr>
          <w:rtl/>
        </w:rPr>
      </w:pPr>
    </w:p>
    <w:p w:rsidR="00000000" w:rsidRDefault="0071252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1252E">
      <w:pPr>
        <w:autoSpaceDE w:val="0"/>
        <w:autoSpaceDN w:val="0"/>
        <w:jc w:val="both"/>
        <w:rPr>
          <w:rFonts w:cs="David"/>
          <w:b/>
          <w:bCs/>
          <w:rtl/>
        </w:rPr>
      </w:pPr>
      <w:r>
        <w:rPr>
          <w:rFonts w:cs="David"/>
          <w:b/>
          <w:bCs/>
          <w:rtl/>
        </w:rPr>
        <w:t>מושב שני</w:t>
      </w:r>
    </w:p>
    <w:p w:rsidR="00000000" w:rsidRDefault="0071252E">
      <w:pPr>
        <w:autoSpaceDE w:val="0"/>
        <w:autoSpaceDN w:val="0"/>
        <w:jc w:val="both"/>
        <w:rPr>
          <w:rFonts w:cs="David"/>
          <w:b/>
          <w:bCs/>
          <w:rtl/>
        </w:rPr>
      </w:pPr>
    </w:p>
    <w:p w:rsidR="00000000" w:rsidRDefault="0071252E">
      <w:pPr>
        <w:autoSpaceDE w:val="0"/>
        <w:autoSpaceDN w:val="0"/>
        <w:jc w:val="center"/>
        <w:rPr>
          <w:rFonts w:cs="David"/>
          <w:b/>
          <w:bCs/>
          <w:rtl/>
        </w:rPr>
      </w:pPr>
      <w:r>
        <w:rPr>
          <w:rFonts w:cs="David"/>
          <w:b/>
          <w:bCs/>
          <w:rtl/>
        </w:rPr>
        <w:t>פרוטוקול מס' 152</w:t>
      </w:r>
    </w:p>
    <w:p w:rsidR="00000000" w:rsidRDefault="0071252E">
      <w:pPr>
        <w:autoSpaceDE w:val="0"/>
        <w:autoSpaceDN w:val="0"/>
        <w:jc w:val="center"/>
        <w:rPr>
          <w:rFonts w:cs="David"/>
          <w:b/>
          <w:bCs/>
          <w:rtl/>
        </w:rPr>
      </w:pPr>
      <w:r>
        <w:rPr>
          <w:rFonts w:cs="David"/>
          <w:b/>
          <w:bCs/>
          <w:rtl/>
        </w:rPr>
        <w:t>מישיבת ועדת העבודה הרווחה והבריאות</w:t>
      </w:r>
    </w:p>
    <w:p w:rsidR="00000000" w:rsidRDefault="0071252E">
      <w:pPr>
        <w:pStyle w:val="30"/>
        <w:rPr>
          <w:rFonts w:cs="David"/>
          <w:rtl/>
        </w:rPr>
      </w:pPr>
      <w:r>
        <w:rPr>
          <w:rFonts w:cs="David"/>
          <w:rtl/>
        </w:rPr>
        <w:t>שהתקיימה ביום א', כ"ח באדר התשס"ד  21.3.2004 בשעה 11:40</w:t>
      </w:r>
    </w:p>
    <w:p w:rsidR="00000000" w:rsidRDefault="0071252E">
      <w:pPr>
        <w:pStyle w:val="20"/>
        <w:rPr>
          <w:rFonts w:cs="David"/>
          <w:u w:val="single"/>
          <w:rtl/>
        </w:rPr>
      </w:pPr>
    </w:p>
    <w:p w:rsidR="00000000" w:rsidRDefault="0071252E">
      <w:pPr>
        <w:pStyle w:val="20"/>
        <w:rPr>
          <w:rFonts w:cs="David"/>
          <w:u w:val="single"/>
          <w:rtl/>
        </w:rPr>
      </w:pPr>
    </w:p>
    <w:p w:rsidR="00000000" w:rsidRDefault="0071252E">
      <w:pPr>
        <w:pStyle w:val="20"/>
        <w:rPr>
          <w:rFonts w:cs="David"/>
          <w:u w:val="single"/>
          <w:rtl/>
        </w:rPr>
      </w:pPr>
      <w:r>
        <w:rPr>
          <w:rFonts w:cs="David"/>
          <w:u w:val="single"/>
          <w:rtl/>
        </w:rPr>
        <w:t>ס ד ר    ה י ו ם</w:t>
      </w:r>
    </w:p>
    <w:p w:rsidR="00000000" w:rsidRDefault="0071252E">
      <w:pPr>
        <w:autoSpaceDE w:val="0"/>
        <w:autoSpaceDN w:val="0"/>
        <w:jc w:val="both"/>
        <w:rPr>
          <w:rFonts w:cs="David"/>
          <w:rtl/>
        </w:rPr>
      </w:pPr>
    </w:p>
    <w:p w:rsidR="00000000" w:rsidRDefault="0071252E">
      <w:pPr>
        <w:pStyle w:val="40"/>
        <w:ind w:left="720" w:firstLine="0"/>
        <w:rPr>
          <w:rFonts w:cs="David"/>
          <w:rtl/>
        </w:rPr>
      </w:pPr>
      <w:r>
        <w:rPr>
          <w:rFonts w:cs="David"/>
          <w:rtl/>
        </w:rPr>
        <w:t xml:space="preserve">הצעת חוק חניה לנכים (תיקון מס' 3) השוואת תנאים לקבלת תג נכה), התשס"ד - 2004 </w:t>
      </w:r>
    </w:p>
    <w:p w:rsidR="00000000" w:rsidRDefault="0071252E">
      <w:pPr>
        <w:autoSpaceDE w:val="0"/>
        <w:autoSpaceDN w:val="0"/>
        <w:jc w:val="both"/>
        <w:rPr>
          <w:rFonts w:cs="David"/>
          <w:rtl/>
        </w:rPr>
      </w:pPr>
    </w:p>
    <w:p w:rsidR="00000000" w:rsidRDefault="0071252E">
      <w:pPr>
        <w:autoSpaceDE w:val="0"/>
        <w:autoSpaceDN w:val="0"/>
        <w:jc w:val="both"/>
        <w:rPr>
          <w:rFonts w:cs="David"/>
          <w:rtl/>
        </w:rPr>
      </w:pPr>
    </w:p>
    <w:p w:rsidR="00000000" w:rsidRDefault="0071252E">
      <w:pPr>
        <w:autoSpaceDE w:val="0"/>
        <w:autoSpaceDN w:val="0"/>
        <w:jc w:val="both"/>
        <w:rPr>
          <w:rFonts w:cs="David"/>
          <w:b/>
          <w:bCs/>
          <w:u w:val="single"/>
          <w:rtl/>
        </w:rPr>
      </w:pPr>
      <w:r>
        <w:rPr>
          <w:rFonts w:cs="David"/>
          <w:b/>
          <w:bCs/>
          <w:u w:val="single"/>
          <w:rtl/>
        </w:rPr>
        <w:t>נכחו:</w:t>
      </w:r>
    </w:p>
    <w:p w:rsidR="00000000" w:rsidRDefault="0071252E">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w:t>
      </w:r>
      <w:r>
        <w:rPr>
          <w:rFonts w:cs="David"/>
          <w:rtl/>
        </w:rPr>
        <w:t>ר שאול יהלום</w:t>
      </w:r>
    </w:p>
    <w:p w:rsidR="00000000" w:rsidRDefault="0071252E">
      <w:pPr>
        <w:autoSpaceDE w:val="0"/>
        <w:autoSpaceDN w:val="0"/>
        <w:jc w:val="both"/>
        <w:rPr>
          <w:rFonts w:cs="David"/>
          <w:rtl/>
        </w:rPr>
      </w:pPr>
      <w:r>
        <w:rPr>
          <w:rFonts w:cs="David"/>
          <w:rtl/>
        </w:rPr>
        <w:tab/>
      </w:r>
      <w:r>
        <w:rPr>
          <w:rFonts w:cs="David"/>
          <w:rtl/>
        </w:rPr>
        <w:tab/>
        <w:t xml:space="preserve"> אריה אלדד</w:t>
      </w:r>
    </w:p>
    <w:p w:rsidR="00000000" w:rsidRDefault="0071252E">
      <w:pPr>
        <w:pStyle w:val="10"/>
        <w:ind w:left="1440"/>
        <w:rPr>
          <w:rFonts w:cs="David"/>
          <w:rtl/>
        </w:rPr>
      </w:pPr>
    </w:p>
    <w:p w:rsidR="00000000" w:rsidRDefault="0071252E">
      <w:pPr>
        <w:autoSpaceDE w:val="0"/>
        <w:autoSpaceDN w:val="0"/>
        <w:jc w:val="both"/>
        <w:rPr>
          <w:rFonts w:cs="David"/>
          <w:b/>
          <w:bCs/>
          <w:u w:val="single"/>
          <w:rtl/>
        </w:rPr>
      </w:pPr>
    </w:p>
    <w:p w:rsidR="00000000" w:rsidRDefault="0071252E">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חנה וייל, האגודה לזכויות האזרח</w:t>
      </w:r>
    </w:p>
    <w:p w:rsidR="00000000" w:rsidRDefault="0071252E">
      <w:pPr>
        <w:autoSpaceDE w:val="0"/>
        <w:autoSpaceDN w:val="0"/>
        <w:ind w:left="1440" w:hanging="1440"/>
        <w:jc w:val="both"/>
        <w:rPr>
          <w:rFonts w:cs="David"/>
          <w:rtl/>
        </w:rPr>
      </w:pPr>
      <w:r>
        <w:rPr>
          <w:rFonts w:cs="David"/>
          <w:rtl/>
        </w:rPr>
        <w:tab/>
        <w:t>חנן אהרון, סגן מנהל אגף הרישוי, משרד התחבורה</w:t>
      </w:r>
    </w:p>
    <w:p w:rsidR="00000000" w:rsidRDefault="0071252E">
      <w:pPr>
        <w:autoSpaceDE w:val="0"/>
        <w:autoSpaceDN w:val="0"/>
        <w:bidi w:val="0"/>
        <w:ind w:firstLine="720"/>
        <w:jc w:val="both"/>
        <w:rPr>
          <w:rFonts w:cs="David"/>
        </w:rPr>
      </w:pPr>
      <w:r>
        <w:rPr>
          <w:rFonts w:cs="David"/>
          <w:rtl/>
        </w:rPr>
        <w:tab/>
      </w:r>
    </w:p>
    <w:p w:rsidR="00000000" w:rsidRDefault="0071252E">
      <w:pPr>
        <w:autoSpaceDE w:val="0"/>
        <w:autoSpaceDN w:val="0"/>
        <w:jc w:val="both"/>
        <w:rPr>
          <w:rFonts w:cs="David"/>
          <w:rtl/>
        </w:rPr>
      </w:pPr>
    </w:p>
    <w:p w:rsidR="00000000" w:rsidRDefault="0071252E">
      <w:pPr>
        <w:autoSpaceDE w:val="0"/>
        <w:autoSpaceDN w:val="0"/>
        <w:jc w:val="both"/>
        <w:rPr>
          <w:rFonts w:cs="David"/>
          <w:rtl/>
        </w:rPr>
      </w:pPr>
      <w:r>
        <w:rPr>
          <w:rFonts w:cs="David"/>
          <w:b/>
          <w:bCs/>
          <w:u w:val="single"/>
          <w:rtl/>
        </w:rPr>
        <w:t>יועצת משפטית</w:t>
      </w:r>
      <w:r>
        <w:rPr>
          <w:rFonts w:cs="David"/>
          <w:rtl/>
        </w:rPr>
        <w:t>:  ג'ודי וסרמן</w:t>
      </w:r>
    </w:p>
    <w:p w:rsidR="00000000" w:rsidRDefault="0071252E">
      <w:pPr>
        <w:autoSpaceDE w:val="0"/>
        <w:autoSpaceDN w:val="0"/>
        <w:jc w:val="both"/>
        <w:rPr>
          <w:rFonts w:cs="David"/>
          <w:rtl/>
        </w:rPr>
      </w:pPr>
    </w:p>
    <w:p w:rsidR="00000000" w:rsidRDefault="0071252E">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וילמה מאור</w:t>
      </w:r>
    </w:p>
    <w:p w:rsidR="00000000" w:rsidRDefault="0071252E">
      <w:pPr>
        <w:autoSpaceDE w:val="0"/>
        <w:autoSpaceDN w:val="0"/>
        <w:jc w:val="both"/>
        <w:rPr>
          <w:rFonts w:cs="David"/>
          <w:rtl/>
        </w:rPr>
      </w:pPr>
    </w:p>
    <w:p w:rsidR="00000000" w:rsidRDefault="0071252E">
      <w:pPr>
        <w:autoSpaceDE w:val="0"/>
        <w:autoSpaceDN w:val="0"/>
        <w:jc w:val="both"/>
        <w:rPr>
          <w:rFonts w:cs="David"/>
          <w:rtl/>
        </w:rPr>
      </w:pPr>
    </w:p>
    <w:p w:rsidR="00000000" w:rsidRDefault="0071252E">
      <w:pPr>
        <w:autoSpaceDE w:val="0"/>
        <w:autoSpaceDN w:val="0"/>
        <w:jc w:val="both"/>
        <w:rPr>
          <w:rFonts w:cs="David"/>
          <w:rtl/>
        </w:rPr>
      </w:pPr>
    </w:p>
    <w:p w:rsidR="00000000" w:rsidRDefault="0071252E">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71252E">
      <w:pPr>
        <w:autoSpaceDE w:val="0"/>
        <w:autoSpaceDN w:val="0"/>
        <w:jc w:val="both"/>
        <w:rPr>
          <w:rFonts w:cs="David"/>
          <w:rtl/>
        </w:rPr>
      </w:pPr>
    </w:p>
    <w:p w:rsidR="00000000" w:rsidRDefault="0071252E">
      <w:pPr>
        <w:autoSpaceDE w:val="0"/>
        <w:autoSpaceDN w:val="0"/>
        <w:jc w:val="both"/>
        <w:rPr>
          <w:rFonts w:cs="David"/>
          <w:rtl/>
        </w:rPr>
      </w:pPr>
    </w:p>
    <w:p w:rsidR="00000000" w:rsidRDefault="0071252E">
      <w:pPr>
        <w:autoSpaceDE w:val="0"/>
        <w:autoSpaceDN w:val="0"/>
        <w:jc w:val="both"/>
        <w:rPr>
          <w:rFonts w:cs="David"/>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b/>
          <w:bCs/>
          <w:u w:val="single"/>
          <w:rtl/>
        </w:rPr>
      </w:pPr>
    </w:p>
    <w:p w:rsidR="00000000" w:rsidRDefault="0071252E">
      <w:pPr>
        <w:ind w:left="2880" w:hanging="2880"/>
        <w:jc w:val="both"/>
        <w:rPr>
          <w:rFonts w:cs="David"/>
          <w:rtl/>
        </w:rPr>
      </w:pPr>
      <w:r>
        <w:rPr>
          <w:rFonts w:cs="David"/>
          <w:b/>
          <w:bCs/>
          <w:u w:val="single"/>
          <w:rtl/>
        </w:rPr>
        <w:lastRenderedPageBreak/>
        <w:t>היו"ר שאול יהלום:</w:t>
      </w:r>
      <w:r>
        <w:rPr>
          <w:rFonts w:cs="David"/>
          <w:rtl/>
        </w:rPr>
        <w:tab/>
        <w:t>אני מתכבד לפתוח יש</w:t>
      </w:r>
      <w:r>
        <w:rPr>
          <w:rFonts w:cs="David"/>
          <w:rtl/>
        </w:rPr>
        <w:t>יבת הועדת העבודה והרווחה והבריאות. הנושא שלנו זה הכנה לקריאה שניה</w:t>
      </w:r>
    </w:p>
    <w:p w:rsidR="00000000" w:rsidRDefault="0071252E">
      <w:pPr>
        <w:jc w:val="both"/>
        <w:rPr>
          <w:rFonts w:cs="David"/>
          <w:rtl/>
        </w:rPr>
      </w:pPr>
      <w:r>
        <w:rPr>
          <w:rFonts w:cs="David"/>
          <w:rtl/>
        </w:rPr>
        <w:t xml:space="preserve">ושלישית של הצעת חוק חנייה לנכים, תיקון מספר 3, השוואת תנאים לקבלת תג נכה, התשמ"ד – 2004, של חבר הכנסת אריה אלדד הנמצא כאן, ושלי. </w:t>
      </w:r>
    </w:p>
    <w:p w:rsidR="00000000" w:rsidRDefault="0071252E">
      <w:pPr>
        <w:jc w:val="both"/>
        <w:rPr>
          <w:rFonts w:cs="David"/>
          <w:rtl/>
        </w:rPr>
      </w:pPr>
    </w:p>
    <w:p w:rsidR="00000000" w:rsidRDefault="0071252E">
      <w:pPr>
        <w:jc w:val="both"/>
        <w:rPr>
          <w:rFonts w:cs="David"/>
          <w:rtl/>
        </w:rPr>
      </w:pPr>
      <w:r>
        <w:rPr>
          <w:rFonts w:cs="David"/>
          <w:rtl/>
        </w:rPr>
        <w:t xml:space="preserve">החוק הזה עבר בכנסת בקריאה ראשונה בשבוע שעבר והתקבל פה אחד. </w:t>
      </w:r>
      <w:r>
        <w:rPr>
          <w:rFonts w:cs="David"/>
          <w:rtl/>
        </w:rPr>
        <w:t>ויש עליו יתרון אחד, שאומר שהתנאים לקבלת תג נכה לאדם שנעשה נכה בגיל 65 ומעלה יהיו זהים כמו במקרה שאדם נעשה נכה לפני גיל 65. זה ייחוד שתי ההצעות, וזה היתרון שלהן. האם יש הערות לקראת הכנת החוק לקריאה שניה ושלישית?</w:t>
      </w:r>
    </w:p>
    <w:p w:rsidR="00000000" w:rsidRDefault="0071252E">
      <w:pPr>
        <w:jc w:val="both"/>
        <w:rPr>
          <w:rFonts w:cs="David"/>
          <w:rtl/>
        </w:rPr>
      </w:pPr>
    </w:p>
    <w:p w:rsidR="00000000" w:rsidRDefault="0071252E">
      <w:pPr>
        <w:ind w:left="2880" w:hanging="2880"/>
        <w:jc w:val="both"/>
        <w:rPr>
          <w:rFonts w:cs="David"/>
          <w:rtl/>
        </w:rPr>
      </w:pPr>
      <w:r>
        <w:rPr>
          <w:rFonts w:cs="David"/>
          <w:b/>
          <w:bCs/>
          <w:u w:val="single"/>
          <w:rtl/>
        </w:rPr>
        <w:t>חנה וייל:</w:t>
      </w:r>
      <w:r>
        <w:rPr>
          <w:rFonts w:cs="David"/>
          <w:rtl/>
        </w:rPr>
        <w:tab/>
        <w:t>יש פה סיוג שאתה לא ציינת. מוצע לבט</w:t>
      </w:r>
      <w:r>
        <w:rPr>
          <w:rFonts w:cs="David"/>
          <w:rtl/>
        </w:rPr>
        <w:t>ל אבחנה זו ולהשוות את התנאים לקבלת התג בין אדם שנעשה</w:t>
      </w:r>
    </w:p>
    <w:p w:rsidR="00000000" w:rsidRDefault="0071252E">
      <w:pPr>
        <w:ind w:left="2880" w:hanging="2880"/>
        <w:jc w:val="both"/>
        <w:rPr>
          <w:rFonts w:cs="David"/>
          <w:rtl/>
        </w:rPr>
      </w:pPr>
      <w:r>
        <w:rPr>
          <w:rFonts w:cs="David"/>
          <w:rtl/>
        </w:rPr>
        <w:t>נכה לראשונה אחרי שמלאו לו 65 שנים,  ובלבד שהשימוש בו יוגבל לנהיגה ברכב בידי</w:t>
      </w:r>
    </w:p>
    <w:p w:rsidR="00000000" w:rsidRDefault="0071252E">
      <w:pPr>
        <w:jc w:val="both"/>
        <w:rPr>
          <w:rFonts w:cs="David"/>
          <w:rtl/>
        </w:rPr>
      </w:pPr>
      <w:r>
        <w:rPr>
          <w:rFonts w:cs="David"/>
          <w:rtl/>
        </w:rPr>
        <w:t>הנכה בלבד.</w:t>
      </w:r>
    </w:p>
    <w:p w:rsidR="00000000" w:rsidRDefault="0071252E">
      <w:pPr>
        <w:jc w:val="both"/>
        <w:rPr>
          <w:rFonts w:cs="David"/>
          <w:rtl/>
        </w:rPr>
      </w:pPr>
    </w:p>
    <w:p w:rsidR="00000000" w:rsidRDefault="0071252E">
      <w:pPr>
        <w:ind w:left="2880" w:hanging="2880"/>
        <w:jc w:val="both"/>
        <w:rPr>
          <w:rFonts w:cs="David"/>
          <w:rtl/>
        </w:rPr>
      </w:pPr>
      <w:r>
        <w:rPr>
          <w:rFonts w:cs="David"/>
          <w:b/>
          <w:bCs/>
          <w:u w:val="single"/>
          <w:rtl/>
        </w:rPr>
        <w:t>יו"ר שאול יהלום:</w:t>
      </w:r>
      <w:r>
        <w:rPr>
          <w:rFonts w:cs="David"/>
          <w:rtl/>
        </w:rPr>
        <w:tab/>
        <w:t>לא לא, זה טעות.  מראים לך מה המצב הקיים שאותו משנים. האם יש עוד הערות? מי בעד קבלת החוק</w:t>
      </w:r>
    </w:p>
    <w:p w:rsidR="00000000" w:rsidRDefault="0071252E">
      <w:pPr>
        <w:ind w:left="2880" w:hanging="2880"/>
        <w:jc w:val="both"/>
        <w:rPr>
          <w:rFonts w:cs="David"/>
          <w:rtl/>
        </w:rPr>
      </w:pPr>
      <w:r>
        <w:rPr>
          <w:rFonts w:cs="David"/>
          <w:rtl/>
        </w:rPr>
        <w:t>והכנתו לקר</w:t>
      </w:r>
      <w:r>
        <w:rPr>
          <w:rFonts w:cs="David"/>
          <w:rtl/>
        </w:rPr>
        <w:t>יאה שניה ושלישית? יש מישהו נגד?</w:t>
      </w:r>
    </w:p>
    <w:p w:rsidR="00000000" w:rsidRDefault="0071252E">
      <w:pPr>
        <w:ind w:left="2880" w:hanging="2880"/>
        <w:jc w:val="both"/>
        <w:rPr>
          <w:rFonts w:cs="David"/>
          <w:rtl/>
        </w:rPr>
      </w:pPr>
    </w:p>
    <w:p w:rsidR="00000000" w:rsidRDefault="0071252E">
      <w:pPr>
        <w:ind w:left="2880" w:hanging="2880"/>
        <w:jc w:val="both"/>
        <w:rPr>
          <w:rFonts w:cs="David"/>
          <w:rtl/>
        </w:rPr>
      </w:pPr>
      <w:r>
        <w:rPr>
          <w:rFonts w:cs="David"/>
          <w:b/>
          <w:bCs/>
          <w:u w:val="single"/>
          <w:rtl/>
        </w:rPr>
        <w:t>חנן אהרון:</w:t>
      </w:r>
      <w:r>
        <w:rPr>
          <w:rFonts w:cs="David"/>
          <w:rtl/>
        </w:rPr>
        <w:tab/>
        <w:t>רציתי להגיד משהו. אני מבין שהסעיף הזה שלפני כן, שנעשה נכה לראשונה בטרם מלאו לו, זכאי, ובלבד</w:t>
      </w:r>
    </w:p>
    <w:p w:rsidR="00000000" w:rsidRDefault="0071252E">
      <w:pPr>
        <w:jc w:val="both"/>
        <w:rPr>
          <w:rFonts w:cs="David"/>
          <w:rtl/>
        </w:rPr>
      </w:pPr>
      <w:r>
        <w:rPr>
          <w:rFonts w:cs="David"/>
          <w:rtl/>
        </w:rPr>
        <w:t>שיוכח שהרכב עומד לשימושו האישי. לא צריך להיות בבעלותו? אני סגן מנהל אגף הרישוי. שלושה חודשים אחרונים, הסגן של שוקי שלא י</w:t>
      </w:r>
      <w:r>
        <w:rPr>
          <w:rFonts w:cs="David"/>
          <w:rtl/>
        </w:rPr>
        <w:t>כל להגיע. הרכב לא צריך להיות בבעלותו. הוא צריך להוכיח שהרכב עומד לשימושו.</w:t>
      </w:r>
    </w:p>
    <w:p w:rsidR="00000000" w:rsidRDefault="0071252E">
      <w:pPr>
        <w:jc w:val="both"/>
        <w:rPr>
          <w:rFonts w:cs="David"/>
          <w:rtl/>
        </w:rPr>
      </w:pPr>
    </w:p>
    <w:p w:rsidR="00000000" w:rsidRDefault="0071252E">
      <w:pPr>
        <w:ind w:left="2880" w:hanging="2880"/>
        <w:jc w:val="both"/>
        <w:rPr>
          <w:rFonts w:cs="David"/>
          <w:rtl/>
        </w:rPr>
      </w:pPr>
      <w:r>
        <w:rPr>
          <w:rFonts w:cs="David"/>
          <w:b/>
          <w:bCs/>
          <w:u w:val="single"/>
          <w:rtl/>
        </w:rPr>
        <w:t>יו"ר שאול יהלום:</w:t>
      </w:r>
      <w:r>
        <w:rPr>
          <w:rFonts w:cs="David"/>
          <w:rtl/>
        </w:rPr>
        <w:tab/>
        <w:t>כמו אדם שנעשה נכה בגיל ארבעים, אז אותו דבר, לא משנה אם קרתה לו תאונה בגיל 66 וחצי. אז מה, הוא</w:t>
      </w:r>
    </w:p>
    <w:p w:rsidR="00000000" w:rsidRDefault="0071252E">
      <w:pPr>
        <w:jc w:val="both"/>
        <w:rPr>
          <w:rFonts w:cs="David"/>
          <w:rtl/>
        </w:rPr>
      </w:pPr>
      <w:r>
        <w:rPr>
          <w:rFonts w:cs="David"/>
          <w:rtl/>
        </w:rPr>
        <w:t>אשם? להפך. אנחנו באנו ואמרנו שנוצר מצב שככל שאדם יותר מבוגר הוא יותר נ</w:t>
      </w:r>
      <w:r>
        <w:rPr>
          <w:rFonts w:cs="David"/>
          <w:rtl/>
        </w:rPr>
        <w:t>זקק לזה שהבן שלו יביא אותו ברכב, וכל הדברים האלה. זה היה צריך להיות הפוך. אבל אנחנו השווינו.</w:t>
      </w:r>
    </w:p>
    <w:p w:rsidR="00000000" w:rsidRDefault="0071252E">
      <w:pPr>
        <w:jc w:val="both"/>
        <w:rPr>
          <w:rFonts w:cs="David"/>
          <w:rtl/>
        </w:rPr>
      </w:pPr>
    </w:p>
    <w:p w:rsidR="00000000" w:rsidRDefault="0071252E">
      <w:pPr>
        <w:jc w:val="both"/>
        <w:rPr>
          <w:rFonts w:cs="David"/>
          <w:rtl/>
        </w:rPr>
      </w:pPr>
      <w:r>
        <w:rPr>
          <w:rFonts w:cs="David"/>
          <w:rtl/>
        </w:rPr>
        <w:t xml:space="preserve">טוב, אנחנו אחרי הצבעה אני מאוד מודה למציע, יישר כוחך, ושתזכה באמת לקבלת חוקים טובים לטובת הנכים וכל אדם הזקוק לכך. </w:t>
      </w:r>
    </w:p>
    <w:p w:rsidR="00000000" w:rsidRDefault="0071252E">
      <w:pPr>
        <w:jc w:val="both"/>
        <w:rPr>
          <w:rFonts w:cs="David"/>
          <w:rtl/>
        </w:rPr>
      </w:pPr>
    </w:p>
    <w:p w:rsidR="00000000" w:rsidRDefault="0071252E">
      <w:pPr>
        <w:jc w:val="both"/>
        <w:rPr>
          <w:rFonts w:cs="David"/>
          <w:b/>
          <w:bCs/>
          <w:u w:val="single"/>
          <w:rtl/>
        </w:rPr>
      </w:pPr>
      <w:r>
        <w:rPr>
          <w:rFonts w:cs="David"/>
          <w:rtl/>
        </w:rPr>
        <w:tab/>
      </w:r>
      <w:r>
        <w:rPr>
          <w:rFonts w:cs="David"/>
          <w:rtl/>
        </w:rPr>
        <w:tab/>
      </w:r>
      <w:r>
        <w:rPr>
          <w:rFonts w:cs="David"/>
          <w:b/>
          <w:bCs/>
          <w:u w:val="single"/>
          <w:rtl/>
        </w:rPr>
        <w:t>הישיבה ננעלה בשעה 11:48</w:t>
      </w:r>
    </w:p>
    <w:p w:rsidR="00000000" w:rsidRDefault="0071252E">
      <w:pPr>
        <w:ind w:left="2880" w:hanging="2880"/>
        <w:jc w:val="both"/>
        <w:rPr>
          <w:rFonts w:cs="David"/>
          <w:rtl/>
        </w:rPr>
      </w:pPr>
    </w:p>
    <w:p w:rsidR="00000000" w:rsidRDefault="0071252E">
      <w:pPr>
        <w:ind w:left="2880" w:hanging="2880"/>
        <w:jc w:val="both"/>
        <w:rPr>
          <w:rFonts w:cs="David"/>
          <w:rtl/>
        </w:rPr>
      </w:pPr>
    </w:p>
    <w:p w:rsidR="00000000" w:rsidRDefault="0071252E">
      <w:pPr>
        <w:jc w:val="both"/>
        <w:rPr>
          <w:rFonts w:cs="David"/>
          <w:rtl/>
        </w:rPr>
      </w:pPr>
    </w:p>
    <w:p w:rsidR="00000000" w:rsidRDefault="0071252E">
      <w:pPr>
        <w:jc w:val="both"/>
        <w:rPr>
          <w:rFonts w:cs="David"/>
          <w:rtl/>
        </w:rPr>
      </w:pPr>
    </w:p>
    <w:p w:rsidR="00000000" w:rsidRDefault="0071252E">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252E">
      <w:r>
        <w:separator/>
      </w:r>
    </w:p>
  </w:endnote>
  <w:endnote w:type="continuationSeparator" w:id="0">
    <w:p w:rsidR="00000000" w:rsidRDefault="0071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52E">
    <w:pPr>
      <w:pStyle w:val="a7"/>
      <w:rPr>
        <w:rtl/>
      </w:rPr>
    </w:pPr>
  </w:p>
  <w:p w:rsidR="00000000" w:rsidRDefault="0071252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52E">
    <w:pPr>
      <w:pStyle w:val="a7"/>
      <w:rPr>
        <w:rtl/>
      </w:rPr>
    </w:pPr>
  </w:p>
  <w:p w:rsidR="00000000" w:rsidRDefault="007125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252E">
      <w:r>
        <w:separator/>
      </w:r>
    </w:p>
  </w:footnote>
  <w:footnote w:type="continuationSeparator" w:id="0">
    <w:p w:rsidR="00000000" w:rsidRDefault="00712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52E">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1252E">
    <w:pPr>
      <w:pStyle w:val="a5"/>
      <w:rPr>
        <w:rFonts w:cs="Guttman Miryam"/>
        <w:sz w:val="20"/>
        <w:szCs w:val="20"/>
        <w:rtl/>
      </w:rPr>
    </w:pPr>
    <w:r>
      <w:rPr>
        <w:rFonts w:cs="Guttman Miryam"/>
        <w:sz w:val="20"/>
        <w:szCs w:val="20"/>
        <w:rtl/>
      </w:rPr>
      <w:t>ועדת העבודה הרווחה והבריאות-</w:t>
    </w:r>
  </w:p>
  <w:p w:rsidR="00000000" w:rsidRDefault="0071252E">
    <w:pPr>
      <w:pStyle w:val="a5"/>
      <w:rPr>
        <w:rFonts w:cs="Guttman Miryam"/>
        <w:sz w:val="20"/>
        <w:szCs w:val="20"/>
        <w:rtl/>
      </w:rPr>
    </w:pPr>
    <w:r>
      <w:rPr>
        <w:rFonts w:cs="Guttman Miryam"/>
        <w:sz w:val="20"/>
        <w:szCs w:val="20"/>
        <w:rtl/>
      </w:rPr>
      <w:t>21/3/04</w:t>
    </w:r>
  </w:p>
  <w:p w:rsidR="00000000" w:rsidRDefault="0071252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52E">
    <w:pPr>
      <w:pStyle w:val="a5"/>
      <w:rPr>
        <w:rtl/>
      </w:rPr>
    </w:pPr>
  </w:p>
  <w:p w:rsidR="00000000" w:rsidRDefault="0071252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252E"/>
    <w:rsid w:val="00712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E0079D-CF1B-41DD-B162-7A0FD53D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07DF8-154E-42E3-B9CE-66E55B94BD23}"/>
</file>

<file path=customXml/itemProps2.xml><?xml version="1.0" encoding="utf-8"?>
<ds:datastoreItem xmlns:ds="http://schemas.openxmlformats.org/officeDocument/2006/customXml" ds:itemID="{4D22CF28-1031-4FD3-A291-1ED6CC7E9E85}"/>
</file>

<file path=customXml/itemProps3.xml><?xml version="1.0" encoding="utf-8"?>
<ds:datastoreItem xmlns:ds="http://schemas.openxmlformats.org/officeDocument/2006/customXml" ds:itemID="{93B23456-0758-4425-B27F-5F532CFD777D}"/>
</file>

<file path=docProps/app.xml><?xml version="1.0" encoding="utf-8"?>
<Properties xmlns="http://schemas.openxmlformats.org/officeDocument/2006/extended-properties" xmlns:vt="http://schemas.openxmlformats.org/officeDocument/2006/docPropsVTypes">
  <Template>Normal.dotm</Template>
  <TotalTime>0</TotalTime>
  <Pages>2</Pages>
  <Words>353</Words>
  <Characters>1766</Characters>
  <Application>Microsoft Office Word</Application>
  <DocSecurity>4</DocSecurity>
  <Lines>14</Lines>
  <Paragraphs>4</Paragraphs>
  <ScaleCrop>false</ScaleCrop>
  <Company>knesset</Company>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פרוטוקולים/עבודה/8266</dc:title>
  <dc:subject>עבודה 21.3.2004א</dc:subject>
  <dc:creator>חבר</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66655</vt:r8>
  </property>
</Properties>
</file>