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D64B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D64B2">
      <w:pPr>
        <w:rPr>
          <w:rFonts w:cs="David"/>
          <w:b/>
          <w:bCs/>
          <w:sz w:val="24"/>
          <w:rtl/>
        </w:rPr>
      </w:pPr>
      <w:r>
        <w:rPr>
          <w:rFonts w:cs="David"/>
          <w:b/>
          <w:bCs/>
          <w:sz w:val="24"/>
          <w:rtl/>
        </w:rPr>
        <w:t>מושב שני</w:t>
      </w:r>
    </w:p>
    <w:p w:rsidR="00000000" w:rsidRDefault="00ED64B2">
      <w:pPr>
        <w:rPr>
          <w:rFonts w:cs="David"/>
          <w:b/>
          <w:bCs/>
          <w:sz w:val="24"/>
          <w:rtl/>
        </w:rPr>
      </w:pPr>
    </w:p>
    <w:p w:rsidR="00000000" w:rsidRDefault="00ED64B2">
      <w:pPr>
        <w:rPr>
          <w:rFonts w:cs="David"/>
          <w:b/>
          <w:bCs/>
          <w:sz w:val="24"/>
          <w:rtl/>
        </w:rPr>
      </w:pPr>
    </w:p>
    <w:p w:rsidR="00000000" w:rsidRDefault="00ED64B2">
      <w:pPr>
        <w:rPr>
          <w:rFonts w:cs="David"/>
          <w:b/>
          <w:bCs/>
          <w:sz w:val="24"/>
          <w:rtl/>
        </w:rPr>
      </w:pPr>
    </w:p>
    <w:p w:rsidR="00000000" w:rsidRDefault="00ED64B2">
      <w:pPr>
        <w:rPr>
          <w:rFonts w:cs="David"/>
          <w:b/>
          <w:bCs/>
          <w:sz w:val="24"/>
          <w:rtl/>
        </w:rPr>
      </w:pPr>
    </w:p>
    <w:p w:rsidR="00000000" w:rsidRDefault="00ED64B2">
      <w:pPr>
        <w:pStyle w:val="1"/>
        <w:rPr>
          <w:rFonts w:cs="David"/>
          <w:sz w:val="24"/>
          <w:rtl/>
        </w:rPr>
      </w:pPr>
      <w:r>
        <w:rPr>
          <w:rFonts w:cs="David"/>
          <w:sz w:val="24"/>
          <w:rtl/>
        </w:rPr>
        <w:t>פרוטוקול מס'</w:t>
      </w:r>
      <w:r>
        <w:rPr>
          <w:rFonts w:cs="David"/>
          <w:sz w:val="24"/>
          <w:rtl/>
        </w:rPr>
        <w:t xml:space="preserve"> 224</w:t>
      </w:r>
    </w:p>
    <w:p w:rsidR="00000000" w:rsidRDefault="00ED64B2">
      <w:pPr>
        <w:jc w:val="center"/>
        <w:rPr>
          <w:rFonts w:cs="David"/>
          <w:b/>
          <w:bCs/>
          <w:sz w:val="24"/>
          <w:rtl/>
        </w:rPr>
      </w:pPr>
      <w:r>
        <w:rPr>
          <w:rFonts w:cs="David"/>
          <w:b/>
          <w:bCs/>
          <w:sz w:val="24"/>
          <w:rtl/>
        </w:rPr>
        <w:t>מישיבת ועדת העבודה הרווחה והבריאות</w:t>
      </w:r>
    </w:p>
    <w:p w:rsidR="00000000" w:rsidRDefault="00ED64B2">
      <w:pPr>
        <w:pStyle w:val="7"/>
        <w:rPr>
          <w:rFonts w:cs="David"/>
          <w:sz w:val="24"/>
          <w:u w:val="single"/>
          <w:rtl/>
        </w:rPr>
      </w:pPr>
      <w:r>
        <w:rPr>
          <w:rFonts w:cs="David"/>
          <w:sz w:val="24"/>
          <w:u w:val="single"/>
          <w:rtl/>
        </w:rPr>
        <w:t>יום שלישי, כ"ד בתמוז התשס"ד (13 ביולי 2004), שעה 12:00</w:t>
      </w:r>
    </w:p>
    <w:p w:rsidR="00000000" w:rsidRDefault="00ED64B2">
      <w:pPr>
        <w:rPr>
          <w:rFonts w:cs="David"/>
          <w:sz w:val="24"/>
          <w:rtl/>
        </w:rPr>
      </w:pPr>
    </w:p>
    <w:p w:rsidR="00000000" w:rsidRDefault="00ED64B2">
      <w:pPr>
        <w:rPr>
          <w:rFonts w:cs="David"/>
          <w:b/>
          <w:bCs/>
          <w:sz w:val="24"/>
          <w:rtl/>
        </w:rPr>
      </w:pPr>
    </w:p>
    <w:p w:rsidR="00000000" w:rsidRDefault="00ED64B2">
      <w:pPr>
        <w:rPr>
          <w:rFonts w:cs="David"/>
          <w:b/>
          <w:bCs/>
          <w:sz w:val="24"/>
          <w:rtl/>
        </w:rPr>
      </w:pPr>
    </w:p>
    <w:p w:rsidR="00000000" w:rsidRDefault="00ED64B2">
      <w:pPr>
        <w:tabs>
          <w:tab w:val="left" w:pos="1221"/>
        </w:tabs>
        <w:rPr>
          <w:rFonts w:cs="David"/>
          <w:b/>
          <w:bCs/>
          <w:sz w:val="24"/>
          <w:u w:val="single"/>
          <w:rtl/>
        </w:rPr>
      </w:pPr>
    </w:p>
    <w:p w:rsidR="00000000" w:rsidRDefault="00ED64B2">
      <w:pPr>
        <w:tabs>
          <w:tab w:val="left" w:pos="1221"/>
        </w:tabs>
        <w:rPr>
          <w:rFonts w:cs="David"/>
          <w:b/>
          <w:bCs/>
          <w:sz w:val="24"/>
          <w:rtl/>
        </w:rPr>
      </w:pPr>
      <w:r>
        <w:rPr>
          <w:rFonts w:cs="David"/>
          <w:b/>
          <w:bCs/>
          <w:sz w:val="24"/>
          <w:u w:val="single"/>
          <w:rtl/>
        </w:rPr>
        <w:t>סדר היום</w:t>
      </w:r>
      <w:r>
        <w:rPr>
          <w:rFonts w:cs="David"/>
          <w:sz w:val="24"/>
          <w:rtl/>
        </w:rPr>
        <w:t>: הצעת חוק הביטוח הביטוח הלאומי (תיקון מס' 75) (מענק במקרה של פטירה) התשס"ד – 2004 –ח"כ שאול יהלום</w:t>
      </w:r>
    </w:p>
    <w:p w:rsidR="00000000" w:rsidRDefault="00ED64B2">
      <w:pPr>
        <w:rPr>
          <w:rFonts w:cs="David"/>
          <w:b/>
          <w:bCs/>
          <w:sz w:val="24"/>
          <w:rtl/>
        </w:rPr>
      </w:pPr>
    </w:p>
    <w:p w:rsidR="00000000" w:rsidRDefault="00ED64B2">
      <w:pPr>
        <w:rPr>
          <w:rFonts w:cs="David"/>
          <w:sz w:val="24"/>
          <w:rtl/>
        </w:rPr>
      </w:pPr>
    </w:p>
    <w:p w:rsidR="00000000" w:rsidRDefault="00ED64B2">
      <w:pPr>
        <w:rPr>
          <w:rFonts w:cs="David"/>
          <w:sz w:val="24"/>
          <w:rtl/>
        </w:rPr>
      </w:pPr>
    </w:p>
    <w:p w:rsidR="00000000" w:rsidRDefault="00ED64B2">
      <w:pPr>
        <w:rPr>
          <w:rFonts w:cs="David"/>
          <w:b/>
          <w:bCs/>
          <w:sz w:val="24"/>
          <w:u w:val="single"/>
          <w:rtl/>
        </w:rPr>
      </w:pPr>
      <w:r>
        <w:rPr>
          <w:rFonts w:cs="David"/>
          <w:b/>
          <w:bCs/>
          <w:sz w:val="24"/>
          <w:u w:val="single"/>
          <w:rtl/>
        </w:rPr>
        <w:t>נכחו</w:t>
      </w:r>
      <w:r>
        <w:rPr>
          <w:rFonts w:cs="David"/>
          <w:sz w:val="24"/>
          <w:rtl/>
        </w:rPr>
        <w:t>:</w:t>
      </w:r>
    </w:p>
    <w:p w:rsidR="00000000" w:rsidRDefault="00ED64B2">
      <w:pPr>
        <w:rPr>
          <w:rFonts w:cs="David"/>
          <w:sz w:val="24"/>
          <w:rtl/>
        </w:rPr>
      </w:pPr>
    </w:p>
    <w:p w:rsidR="00000000" w:rsidRDefault="00ED64B2">
      <w:pPr>
        <w:tabs>
          <w:tab w:val="left" w:pos="1788"/>
        </w:tabs>
        <w:rPr>
          <w:rFonts w:cs="David"/>
          <w:sz w:val="24"/>
          <w:rtl/>
        </w:rPr>
      </w:pPr>
      <w:r>
        <w:rPr>
          <w:rFonts w:cs="David"/>
          <w:b/>
          <w:bCs/>
          <w:sz w:val="24"/>
          <w:u w:val="single"/>
          <w:rtl/>
        </w:rPr>
        <w:t>חברי הוועדה</w:t>
      </w:r>
      <w:r>
        <w:rPr>
          <w:rFonts w:cs="David"/>
          <w:sz w:val="24"/>
          <w:rtl/>
        </w:rPr>
        <w:t>:</w:t>
      </w:r>
    </w:p>
    <w:p w:rsidR="00000000" w:rsidRDefault="00ED64B2">
      <w:pPr>
        <w:rPr>
          <w:rFonts w:cs="David"/>
          <w:sz w:val="24"/>
          <w:rtl/>
        </w:rPr>
      </w:pPr>
    </w:p>
    <w:p w:rsidR="00000000" w:rsidRDefault="00ED64B2">
      <w:pPr>
        <w:rPr>
          <w:rFonts w:cs="David"/>
          <w:sz w:val="24"/>
          <w:rtl/>
        </w:rPr>
      </w:pPr>
      <w:r>
        <w:rPr>
          <w:rFonts w:cs="David"/>
          <w:sz w:val="24"/>
          <w:rtl/>
        </w:rPr>
        <w:tab/>
      </w:r>
      <w:r>
        <w:rPr>
          <w:rFonts w:cs="David"/>
          <w:sz w:val="24"/>
          <w:rtl/>
        </w:rPr>
        <w:tab/>
      </w:r>
      <w:r>
        <w:rPr>
          <w:rFonts w:cs="David"/>
          <w:sz w:val="24"/>
          <w:rtl/>
        </w:rPr>
        <w:tab/>
        <w:t>שאול יהלום – היו"ר</w:t>
      </w:r>
    </w:p>
    <w:p w:rsidR="00000000" w:rsidRDefault="00ED64B2">
      <w:pPr>
        <w:rPr>
          <w:rFonts w:cs="David"/>
          <w:sz w:val="24"/>
          <w:rtl/>
        </w:rPr>
      </w:pPr>
      <w:r>
        <w:rPr>
          <w:rFonts w:cs="David"/>
          <w:sz w:val="24"/>
          <w:rtl/>
        </w:rPr>
        <w:tab/>
      </w:r>
      <w:r>
        <w:rPr>
          <w:rFonts w:cs="David"/>
          <w:sz w:val="24"/>
          <w:rtl/>
        </w:rPr>
        <w:tab/>
      </w:r>
      <w:r>
        <w:rPr>
          <w:rFonts w:cs="David"/>
          <w:sz w:val="24"/>
          <w:rtl/>
        </w:rPr>
        <w:tab/>
        <w:t>א</w:t>
      </w:r>
      <w:r>
        <w:rPr>
          <w:rFonts w:cs="David"/>
          <w:sz w:val="24"/>
          <w:rtl/>
        </w:rPr>
        <w:t>ליעזר כהן</w:t>
      </w:r>
    </w:p>
    <w:p w:rsidR="00000000" w:rsidRDefault="00ED64B2">
      <w:pPr>
        <w:rPr>
          <w:rFonts w:cs="David"/>
          <w:sz w:val="24"/>
          <w:rtl/>
        </w:rPr>
      </w:pPr>
    </w:p>
    <w:p w:rsidR="00000000" w:rsidRDefault="00ED64B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D64B2">
      <w:pPr>
        <w:rPr>
          <w:rFonts w:cs="David"/>
          <w:sz w:val="24"/>
          <w:rtl/>
        </w:rPr>
      </w:pPr>
    </w:p>
    <w:p w:rsidR="00000000" w:rsidRDefault="00ED64B2">
      <w:pPr>
        <w:rPr>
          <w:rFonts w:cs="David"/>
          <w:sz w:val="24"/>
          <w:rtl/>
        </w:rPr>
      </w:pPr>
      <w:r>
        <w:rPr>
          <w:rFonts w:cs="David"/>
          <w:sz w:val="24"/>
          <w:rtl/>
        </w:rPr>
        <w:tab/>
      </w:r>
      <w:r>
        <w:rPr>
          <w:rFonts w:cs="David"/>
          <w:sz w:val="24"/>
          <w:rtl/>
        </w:rPr>
        <w:tab/>
      </w:r>
      <w:r>
        <w:rPr>
          <w:rFonts w:cs="David"/>
          <w:sz w:val="24"/>
          <w:rtl/>
        </w:rPr>
        <w:tab/>
        <w:t>שי סומך</w:t>
      </w:r>
      <w:r>
        <w:rPr>
          <w:rFonts w:cs="David"/>
          <w:sz w:val="24"/>
          <w:rtl/>
        </w:rPr>
        <w:tab/>
      </w:r>
      <w:r>
        <w:rPr>
          <w:rFonts w:cs="David"/>
          <w:sz w:val="24"/>
          <w:rtl/>
        </w:rPr>
        <w:tab/>
        <w:t>- משרד המשפטים</w:t>
      </w:r>
    </w:p>
    <w:p w:rsidR="00000000" w:rsidRDefault="00ED64B2">
      <w:pPr>
        <w:rPr>
          <w:rFonts w:cs="David"/>
          <w:sz w:val="24"/>
          <w:rtl/>
        </w:rPr>
      </w:pPr>
      <w:r>
        <w:rPr>
          <w:rFonts w:cs="David"/>
          <w:sz w:val="24"/>
          <w:rtl/>
        </w:rPr>
        <w:tab/>
      </w:r>
      <w:r>
        <w:rPr>
          <w:rFonts w:cs="David"/>
          <w:sz w:val="24"/>
          <w:rtl/>
        </w:rPr>
        <w:tab/>
      </w:r>
      <w:r>
        <w:rPr>
          <w:rFonts w:cs="David"/>
          <w:sz w:val="24"/>
          <w:rtl/>
        </w:rPr>
        <w:tab/>
        <w:t>יפה מרוז</w:t>
      </w:r>
      <w:r>
        <w:rPr>
          <w:rFonts w:cs="David"/>
          <w:sz w:val="24"/>
          <w:rtl/>
        </w:rPr>
        <w:tab/>
      </w:r>
      <w:r>
        <w:rPr>
          <w:rFonts w:cs="David"/>
          <w:sz w:val="24"/>
          <w:rtl/>
        </w:rPr>
        <w:tab/>
        <w:t>- מנהלת אגף זקנה ושאירם, המוסד לביטוח לאומי</w:t>
      </w:r>
    </w:p>
    <w:p w:rsidR="00000000" w:rsidRDefault="00ED64B2">
      <w:pPr>
        <w:rPr>
          <w:rFonts w:cs="David"/>
          <w:sz w:val="24"/>
          <w:rtl/>
        </w:rPr>
      </w:pPr>
      <w:r>
        <w:rPr>
          <w:rFonts w:cs="David"/>
          <w:sz w:val="24"/>
          <w:rtl/>
        </w:rPr>
        <w:tab/>
      </w:r>
      <w:r>
        <w:rPr>
          <w:rFonts w:cs="David"/>
          <w:sz w:val="24"/>
          <w:rtl/>
        </w:rPr>
        <w:tab/>
      </w:r>
      <w:r>
        <w:rPr>
          <w:rFonts w:cs="David"/>
          <w:sz w:val="24"/>
          <w:rtl/>
        </w:rPr>
        <w:tab/>
        <w:t>עו"ד כרמית נאור</w:t>
      </w:r>
      <w:r>
        <w:rPr>
          <w:rFonts w:cs="David"/>
          <w:sz w:val="24"/>
          <w:rtl/>
        </w:rPr>
        <w:tab/>
        <w:t>- המוסד לביטוח לאומי</w:t>
      </w:r>
    </w:p>
    <w:p w:rsidR="00000000" w:rsidRDefault="00ED64B2">
      <w:pPr>
        <w:rPr>
          <w:rFonts w:cs="David"/>
          <w:sz w:val="24"/>
          <w:rtl/>
        </w:rPr>
      </w:pPr>
      <w:r>
        <w:rPr>
          <w:rFonts w:cs="David"/>
          <w:sz w:val="24"/>
          <w:rtl/>
        </w:rPr>
        <w:tab/>
      </w:r>
      <w:r>
        <w:rPr>
          <w:rFonts w:cs="David"/>
          <w:sz w:val="24"/>
          <w:rtl/>
        </w:rPr>
        <w:tab/>
      </w:r>
      <w:r>
        <w:rPr>
          <w:rFonts w:cs="David"/>
          <w:sz w:val="24"/>
          <w:rtl/>
        </w:rPr>
        <w:tab/>
        <w:t>גיורא רמסיס</w:t>
      </w:r>
      <w:r>
        <w:rPr>
          <w:rFonts w:cs="David"/>
          <w:sz w:val="24"/>
          <w:rtl/>
        </w:rPr>
        <w:tab/>
        <w:t>- מנהל המחקר, המוסד לביטוח לאומי</w:t>
      </w:r>
    </w:p>
    <w:p w:rsidR="00000000" w:rsidRDefault="00ED64B2">
      <w:pPr>
        <w:rPr>
          <w:rFonts w:cs="David"/>
          <w:sz w:val="24"/>
          <w:rtl/>
        </w:rPr>
      </w:pPr>
    </w:p>
    <w:p w:rsidR="00000000" w:rsidRDefault="00ED64B2">
      <w:pPr>
        <w:rPr>
          <w:rFonts w:cs="David"/>
          <w:sz w:val="24"/>
          <w:rtl/>
        </w:rPr>
      </w:pPr>
    </w:p>
    <w:p w:rsidR="00000000" w:rsidRDefault="00ED64B2">
      <w:pPr>
        <w:tabs>
          <w:tab w:val="left" w:pos="1930"/>
        </w:tabs>
        <w:rPr>
          <w:rFonts w:cs="David"/>
          <w:b/>
          <w:bCs/>
          <w:sz w:val="24"/>
          <w:u w:val="single"/>
          <w:rtl/>
        </w:rPr>
      </w:pPr>
    </w:p>
    <w:p w:rsidR="00000000" w:rsidRDefault="00ED64B2">
      <w:pPr>
        <w:tabs>
          <w:tab w:val="left" w:pos="1930"/>
        </w:tabs>
        <w:rPr>
          <w:rFonts w:cs="David"/>
          <w:b/>
          <w:bCs/>
          <w:sz w:val="24"/>
          <w:u w:val="single"/>
          <w:rtl/>
        </w:rPr>
      </w:pPr>
    </w:p>
    <w:p w:rsidR="00000000" w:rsidRDefault="00ED64B2">
      <w:pPr>
        <w:tabs>
          <w:tab w:val="left" w:pos="1930"/>
        </w:tabs>
        <w:rPr>
          <w:rFonts w:cs="David"/>
          <w:b/>
          <w:bCs/>
          <w:sz w:val="24"/>
          <w:u w:val="single"/>
          <w:rtl/>
        </w:rPr>
      </w:pPr>
    </w:p>
    <w:p w:rsidR="00000000" w:rsidRDefault="00ED64B2">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ג'ודי וסרמן</w:t>
      </w:r>
    </w:p>
    <w:p w:rsidR="00000000" w:rsidRDefault="00ED64B2">
      <w:pPr>
        <w:rPr>
          <w:rFonts w:cs="David"/>
          <w:sz w:val="24"/>
          <w:rtl/>
        </w:rPr>
      </w:pPr>
    </w:p>
    <w:p w:rsidR="00000000" w:rsidRDefault="00ED64B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וילמה מאור</w:t>
      </w:r>
    </w:p>
    <w:p w:rsidR="00000000" w:rsidRDefault="00ED64B2">
      <w:pPr>
        <w:rPr>
          <w:rFonts w:cs="David"/>
          <w:sz w:val="24"/>
          <w:rtl/>
        </w:rPr>
      </w:pPr>
    </w:p>
    <w:p w:rsidR="00000000" w:rsidRDefault="00ED64B2">
      <w:pPr>
        <w:tabs>
          <w:tab w:val="left" w:pos="1930"/>
        </w:tabs>
        <w:rPr>
          <w:rFonts w:cs="David"/>
          <w:sz w:val="24"/>
          <w:rtl/>
        </w:rPr>
      </w:pPr>
      <w:r>
        <w:rPr>
          <w:rFonts w:cs="David"/>
          <w:b/>
          <w:bCs/>
          <w:sz w:val="24"/>
          <w:u w:val="single"/>
          <w:rtl/>
        </w:rPr>
        <w:t>קצ</w:t>
      </w:r>
      <w:r>
        <w:rPr>
          <w:rFonts w:cs="David"/>
          <w:b/>
          <w:bCs/>
          <w:sz w:val="24"/>
          <w:u w:val="single"/>
          <w:rtl/>
        </w:rPr>
        <w:t>רנית</w:t>
      </w:r>
      <w:r>
        <w:rPr>
          <w:rFonts w:cs="David"/>
          <w:sz w:val="24"/>
          <w:rtl/>
        </w:rPr>
        <w:t>:</w:t>
      </w:r>
      <w:r>
        <w:rPr>
          <w:rFonts w:cs="David"/>
          <w:sz w:val="24"/>
          <w:rtl/>
        </w:rPr>
        <w:tab/>
      </w:r>
      <w:r>
        <w:rPr>
          <w:rFonts w:cs="David"/>
          <w:sz w:val="24"/>
          <w:rtl/>
        </w:rPr>
        <w:tab/>
        <w:t>איה לינצ'בסקי</w:t>
      </w:r>
    </w:p>
    <w:p w:rsidR="00000000" w:rsidRDefault="00ED64B2">
      <w:pPr>
        <w:rPr>
          <w:rFonts w:cs="David"/>
          <w:b/>
          <w:bCs/>
          <w:sz w:val="24"/>
          <w:rtl/>
        </w:rPr>
      </w:pPr>
    </w:p>
    <w:p w:rsidR="00000000" w:rsidRDefault="00ED64B2">
      <w:pPr>
        <w:tabs>
          <w:tab w:val="left" w:pos="1221"/>
        </w:tabs>
        <w:jc w:val="center"/>
        <w:rPr>
          <w:rFonts w:cs="David"/>
          <w:b/>
          <w:bCs/>
          <w:sz w:val="24"/>
          <w:rtl/>
        </w:rPr>
      </w:pPr>
      <w:r>
        <w:rPr>
          <w:rFonts w:cs="David"/>
          <w:sz w:val="24"/>
          <w:rtl/>
        </w:rPr>
        <w:br w:type="page"/>
      </w:r>
      <w:r>
        <w:rPr>
          <w:rFonts w:cs="David"/>
          <w:b/>
          <w:bCs/>
          <w:sz w:val="24"/>
          <w:rtl/>
        </w:rPr>
        <w:lastRenderedPageBreak/>
        <w:t xml:space="preserve">הצעת חוק הביטוח הביטוח הלאומי (תיקון מס' 75) (מענק במקרה של פטירה) </w:t>
      </w:r>
    </w:p>
    <w:p w:rsidR="00000000" w:rsidRDefault="00ED64B2">
      <w:pPr>
        <w:tabs>
          <w:tab w:val="left" w:pos="1221"/>
        </w:tabs>
        <w:jc w:val="center"/>
        <w:rPr>
          <w:rFonts w:cs="David"/>
          <w:b/>
          <w:bCs/>
          <w:sz w:val="24"/>
          <w:rtl/>
        </w:rPr>
      </w:pPr>
      <w:r>
        <w:rPr>
          <w:rFonts w:cs="David"/>
          <w:b/>
          <w:bCs/>
          <w:sz w:val="24"/>
          <w:rtl/>
        </w:rPr>
        <w:t>התשס"ד – 2004 –ח"כ שאול יהלום</w:t>
      </w:r>
    </w:p>
    <w:p w:rsidR="00000000" w:rsidRDefault="00ED64B2">
      <w:pPr>
        <w:rPr>
          <w:rFonts w:cs="David"/>
          <w:b/>
          <w:bCs/>
          <w:sz w:val="24"/>
          <w:rtl/>
        </w:rPr>
      </w:pPr>
    </w:p>
    <w:p w:rsidR="00000000" w:rsidRDefault="00ED64B2">
      <w:pPr>
        <w:rPr>
          <w:rFonts w:cs="David"/>
          <w:sz w:val="24"/>
          <w:rtl/>
        </w:rPr>
      </w:pPr>
    </w:p>
    <w:p w:rsidR="00000000" w:rsidRDefault="00ED64B2">
      <w:pPr>
        <w:rPr>
          <w:rFonts w:cs="David"/>
          <w:sz w:val="24"/>
          <w:rtl/>
        </w:rPr>
      </w:pPr>
    </w:p>
    <w:p w:rsidR="00000000" w:rsidRDefault="00ED64B2">
      <w:pPr>
        <w:rPr>
          <w:rFonts w:cs="David"/>
          <w:sz w:val="24"/>
          <w:rtl/>
        </w:rPr>
      </w:pPr>
      <w:r>
        <w:rPr>
          <w:rFonts w:cs="David"/>
          <w:sz w:val="24"/>
          <w:u w:val="single"/>
          <w:rtl/>
        </w:rPr>
        <w:t>היו"ר שאול יהלום:</w:t>
      </w:r>
    </w:p>
    <w:p w:rsidR="00000000" w:rsidRDefault="00ED64B2">
      <w:pPr>
        <w:rPr>
          <w:rFonts w:cs="David"/>
          <w:sz w:val="24"/>
          <w:rtl/>
        </w:rPr>
      </w:pPr>
    </w:p>
    <w:p w:rsidR="00000000" w:rsidRDefault="00ED64B2">
      <w:pPr>
        <w:rPr>
          <w:rFonts w:cs="David"/>
          <w:sz w:val="24"/>
          <w:rtl/>
        </w:rPr>
      </w:pPr>
      <w:r>
        <w:rPr>
          <w:rFonts w:cs="David"/>
          <w:sz w:val="24"/>
          <w:rtl/>
        </w:rPr>
        <w:tab/>
        <w:t xml:space="preserve"> אני מתכבד לפתוח את ישיבת ועדת העבודה הרווחה והבריאות, הנושא שלנו הוא הצעת חוק הביטוח הלאומי (תיקון מס' 75) (מענ</w:t>
      </w:r>
      <w:r>
        <w:rPr>
          <w:rFonts w:cs="David"/>
          <w:sz w:val="24"/>
          <w:rtl/>
        </w:rPr>
        <w:t>ק במקרה של פטירה). זו הצעת חוק פרטית שלי שאומרת, חוק הביטוח הלאומי קובע בסעיף 310 כי מענק פטירה ישולם לבן זוגו או לילדו שטרם מלאו לו 22 שנה, של זכאי לקצבת זקנה, לקצבת שארים או לגמלאות לפי פרקים ה', ט', י"ג או י"ז לחוק, ונפטר.</w:t>
      </w:r>
    </w:p>
    <w:p w:rsidR="00000000" w:rsidRDefault="00ED64B2">
      <w:pPr>
        <w:rPr>
          <w:rFonts w:cs="David"/>
          <w:sz w:val="24"/>
          <w:rtl/>
        </w:rPr>
      </w:pPr>
    </w:p>
    <w:p w:rsidR="00000000" w:rsidRDefault="00ED64B2">
      <w:pPr>
        <w:ind w:firstLine="567"/>
        <w:rPr>
          <w:rFonts w:cs="David"/>
          <w:sz w:val="24"/>
          <w:rtl/>
        </w:rPr>
      </w:pPr>
      <w:r>
        <w:rPr>
          <w:rFonts w:cs="David"/>
          <w:sz w:val="24"/>
          <w:rtl/>
        </w:rPr>
        <w:t>קיימים מקרים בהם בן הזוג של ה</w:t>
      </w:r>
      <w:r>
        <w:rPr>
          <w:rFonts w:cs="David"/>
          <w:sz w:val="24"/>
          <w:rtl/>
        </w:rPr>
        <w:t>נפטר הזכאי למענק פטירה, נפטר בטרם הגיש תביעה או בטרם שולם לידו מענק הפטירה, שלו הוא זכאי על פי הוראות סעיף 310. במקרים אלה, על פי רוב,  המענק אינו משולם כלל, שכן ילדי הנפטר, בדרך כלל עברו את גיל 22 ועל כן אינם נכללים בהגדרת ילד על פי סעיף 238 לחוק.</w:t>
      </w:r>
    </w:p>
    <w:p w:rsidR="00000000" w:rsidRDefault="00ED64B2">
      <w:pPr>
        <w:ind w:firstLine="567"/>
        <w:rPr>
          <w:rFonts w:cs="David"/>
          <w:sz w:val="24"/>
          <w:rtl/>
        </w:rPr>
      </w:pPr>
    </w:p>
    <w:p w:rsidR="00000000" w:rsidRDefault="00ED64B2">
      <w:pPr>
        <w:ind w:firstLine="567"/>
        <w:rPr>
          <w:rFonts w:cs="David"/>
          <w:sz w:val="24"/>
          <w:rtl/>
        </w:rPr>
      </w:pPr>
      <w:r>
        <w:rPr>
          <w:rFonts w:cs="David"/>
          <w:sz w:val="24"/>
          <w:rtl/>
        </w:rPr>
        <w:t>מוצע ל</w:t>
      </w:r>
      <w:r>
        <w:rPr>
          <w:rFonts w:cs="David"/>
          <w:sz w:val="24"/>
          <w:rtl/>
        </w:rPr>
        <w:t>תקן את החוק ולקבוע כי במקרים שבהם בן זוגו של הנפטר שהיה זכאי למענק הפטירה, נפטר גם הוא, בתוך 60 ימים לאחר מועד פטירת בן זוגו, ולא שולם המענק לבן זוגו, או לילדו, ישולם המענק לידי יחיד שנשא בעיקר ההוצאות להקמת מצבה לאדם שנפטר.</w:t>
      </w:r>
    </w:p>
    <w:p w:rsidR="00000000" w:rsidRDefault="00ED64B2">
      <w:pPr>
        <w:ind w:firstLine="567"/>
        <w:rPr>
          <w:rFonts w:cs="David"/>
          <w:sz w:val="24"/>
          <w:rtl/>
        </w:rPr>
      </w:pPr>
    </w:p>
    <w:p w:rsidR="00000000" w:rsidRDefault="00ED64B2">
      <w:pPr>
        <w:ind w:firstLine="567"/>
        <w:rPr>
          <w:rFonts w:cs="David"/>
          <w:sz w:val="24"/>
          <w:rtl/>
        </w:rPr>
      </w:pPr>
      <w:r>
        <w:rPr>
          <w:rFonts w:cs="David"/>
          <w:sz w:val="24"/>
          <w:rtl/>
        </w:rPr>
        <w:t xml:space="preserve">כן מוצע לקבוע שהחוק יחול לגבי </w:t>
      </w:r>
      <w:r>
        <w:rPr>
          <w:rFonts w:cs="David"/>
          <w:sz w:val="24"/>
          <w:rtl/>
        </w:rPr>
        <w:t>אדם שנפטר החל בראשית שנת 2003 , ובתנאי שהתביעה למענק כאמור תוגש בתוך שלושה חודשים מיום תחילת החוק, וזאת כדי לפתור מקרים בודדים שזה יחול עליהם בתנאי שיש להם שלושה חודשים להגשת התביעה.</w:t>
      </w:r>
    </w:p>
    <w:p w:rsidR="00000000" w:rsidRDefault="00ED64B2">
      <w:pPr>
        <w:rPr>
          <w:rFonts w:cs="David"/>
          <w:sz w:val="24"/>
          <w:rtl/>
        </w:rPr>
      </w:pPr>
    </w:p>
    <w:p w:rsidR="00000000" w:rsidRDefault="00ED64B2">
      <w:pPr>
        <w:rPr>
          <w:rFonts w:cs="David"/>
          <w:sz w:val="24"/>
          <w:rtl/>
        </w:rPr>
      </w:pPr>
    </w:p>
    <w:p w:rsidR="00000000" w:rsidRDefault="00ED64B2">
      <w:pPr>
        <w:rPr>
          <w:rFonts w:cs="David"/>
          <w:sz w:val="24"/>
          <w:u w:val="single"/>
          <w:rtl/>
        </w:rPr>
      </w:pPr>
      <w:r>
        <w:rPr>
          <w:rFonts w:cs="David"/>
          <w:sz w:val="24"/>
          <w:u w:val="single"/>
          <w:rtl/>
        </w:rPr>
        <w:t>שי סומך:</w:t>
      </w:r>
    </w:p>
    <w:p w:rsidR="00000000" w:rsidRDefault="00ED64B2">
      <w:pPr>
        <w:rPr>
          <w:rFonts w:cs="David"/>
          <w:sz w:val="24"/>
          <w:rtl/>
        </w:rPr>
      </w:pPr>
    </w:p>
    <w:p w:rsidR="00000000" w:rsidRDefault="00ED64B2">
      <w:pPr>
        <w:rPr>
          <w:rFonts w:cs="David"/>
          <w:sz w:val="24"/>
          <w:rtl/>
        </w:rPr>
      </w:pPr>
      <w:r>
        <w:rPr>
          <w:rFonts w:cs="David"/>
          <w:sz w:val="24"/>
          <w:rtl/>
        </w:rPr>
        <w:tab/>
        <w:t>כרפרנט לענייני הביטוח לאומי במשרד המשפטים פונים אלי אנשים עם</w:t>
      </w:r>
      <w:r>
        <w:rPr>
          <w:rFonts w:cs="David"/>
          <w:sz w:val="24"/>
          <w:rtl/>
        </w:rPr>
        <w:t xml:space="preserve"> שאלות ובעיות, ורצה הגורל שפנתה אלי עובדת מסוימת בקשר לקרובת משפחה, שקרה לה בדיוק אותו מקרה. כשהוגשה הצעת החוק של אדוני פניתי לאותה עובדת ויצא שזה היה קצת יותר מ- 60 ימים. אני מציע לוועדה לשקול האם הגבול הזה של 60 ימים הוא נכון. זה נכון לגבי כל גבול שרירות</w:t>
      </w:r>
      <w:r>
        <w:rPr>
          <w:rFonts w:cs="David"/>
          <w:sz w:val="24"/>
          <w:rtl/>
        </w:rPr>
        <w:t>י, אבל יש מקרים של יותר מ- 60 ימים.</w:t>
      </w:r>
    </w:p>
    <w:p w:rsidR="00000000" w:rsidRDefault="00ED64B2">
      <w:pPr>
        <w:rPr>
          <w:rFonts w:cs="David"/>
          <w:sz w:val="24"/>
          <w:rtl/>
        </w:rPr>
      </w:pPr>
    </w:p>
    <w:p w:rsidR="00000000" w:rsidRDefault="00ED64B2">
      <w:pPr>
        <w:rPr>
          <w:rFonts w:cs="David"/>
          <w:sz w:val="24"/>
          <w:rtl/>
        </w:rPr>
      </w:pPr>
      <w:r>
        <w:rPr>
          <w:rFonts w:cs="David"/>
          <w:sz w:val="24"/>
          <w:u w:val="single"/>
          <w:rtl/>
        </w:rPr>
        <w:t>היו"ר שאול יהלום:</w:t>
      </w:r>
    </w:p>
    <w:p w:rsidR="00000000" w:rsidRDefault="00ED64B2">
      <w:pPr>
        <w:rPr>
          <w:rFonts w:cs="David"/>
          <w:sz w:val="24"/>
          <w:rtl/>
        </w:rPr>
      </w:pPr>
    </w:p>
    <w:p w:rsidR="00000000" w:rsidRDefault="00ED64B2">
      <w:pPr>
        <w:rPr>
          <w:rFonts w:cs="David"/>
          <w:sz w:val="24"/>
          <w:rtl/>
        </w:rPr>
      </w:pPr>
      <w:r>
        <w:rPr>
          <w:rFonts w:cs="David"/>
          <w:sz w:val="24"/>
          <w:rtl/>
        </w:rPr>
        <w:tab/>
        <w:t xml:space="preserve"> האם זה קרה אחרי הראשון לינואר 2003? </w:t>
      </w:r>
    </w:p>
    <w:p w:rsidR="00000000" w:rsidRDefault="00ED64B2">
      <w:pPr>
        <w:rPr>
          <w:rFonts w:cs="David"/>
          <w:sz w:val="24"/>
          <w:rtl/>
        </w:rPr>
      </w:pPr>
    </w:p>
    <w:p w:rsidR="00000000" w:rsidRDefault="00ED64B2">
      <w:pPr>
        <w:rPr>
          <w:rFonts w:cs="David"/>
          <w:sz w:val="24"/>
          <w:u w:val="single"/>
          <w:rtl/>
        </w:rPr>
      </w:pPr>
      <w:r>
        <w:rPr>
          <w:rFonts w:cs="David"/>
          <w:sz w:val="24"/>
          <w:u w:val="single"/>
          <w:rtl/>
        </w:rPr>
        <w:t>שי סומך:</w:t>
      </w:r>
    </w:p>
    <w:p w:rsidR="00000000" w:rsidRDefault="00ED64B2">
      <w:pPr>
        <w:rPr>
          <w:rFonts w:cs="David"/>
          <w:sz w:val="24"/>
          <w:rtl/>
        </w:rPr>
      </w:pPr>
    </w:p>
    <w:p w:rsidR="00000000" w:rsidRDefault="00ED64B2">
      <w:pPr>
        <w:ind w:firstLine="567"/>
        <w:rPr>
          <w:rFonts w:cs="David"/>
          <w:sz w:val="24"/>
          <w:rtl/>
        </w:rPr>
      </w:pPr>
    </w:p>
    <w:p w:rsidR="00000000" w:rsidRDefault="00ED64B2">
      <w:pPr>
        <w:ind w:firstLine="567"/>
        <w:rPr>
          <w:rFonts w:cs="David"/>
          <w:sz w:val="24"/>
          <w:rtl/>
        </w:rPr>
      </w:pPr>
      <w:r>
        <w:rPr>
          <w:rFonts w:cs="David"/>
          <w:sz w:val="24"/>
          <w:rtl/>
        </w:rPr>
        <w:t>כן.</w:t>
      </w:r>
    </w:p>
    <w:p w:rsidR="00000000" w:rsidRDefault="00ED64B2">
      <w:pPr>
        <w:ind w:firstLine="567"/>
        <w:rPr>
          <w:rFonts w:cs="David"/>
          <w:sz w:val="24"/>
          <w:rtl/>
        </w:rPr>
      </w:pPr>
    </w:p>
    <w:p w:rsidR="00000000" w:rsidRDefault="00ED64B2">
      <w:pPr>
        <w:rPr>
          <w:rFonts w:cs="David"/>
          <w:sz w:val="24"/>
          <w:rtl/>
        </w:rPr>
      </w:pPr>
      <w:r>
        <w:rPr>
          <w:rFonts w:cs="David"/>
          <w:sz w:val="24"/>
          <w:u w:val="single"/>
          <w:rtl/>
        </w:rPr>
        <w:t>היו"ר שאול יהלום:</w:t>
      </w:r>
    </w:p>
    <w:p w:rsidR="00000000" w:rsidRDefault="00ED64B2">
      <w:pPr>
        <w:rPr>
          <w:rFonts w:cs="David"/>
          <w:sz w:val="24"/>
          <w:rtl/>
        </w:rPr>
      </w:pPr>
    </w:p>
    <w:p w:rsidR="00000000" w:rsidRDefault="00ED64B2">
      <w:pPr>
        <w:ind w:firstLine="567"/>
        <w:rPr>
          <w:rFonts w:cs="David"/>
          <w:sz w:val="24"/>
          <w:rtl/>
        </w:rPr>
      </w:pPr>
      <w:r>
        <w:rPr>
          <w:rFonts w:cs="David"/>
          <w:sz w:val="24"/>
          <w:rtl/>
        </w:rPr>
        <w:tab/>
        <w:t>כמה ימים יכללו את הגברת שלך?</w:t>
      </w:r>
    </w:p>
    <w:p w:rsidR="00000000" w:rsidRDefault="00ED64B2">
      <w:pPr>
        <w:rPr>
          <w:rFonts w:cs="David"/>
          <w:sz w:val="24"/>
          <w:rtl/>
        </w:rPr>
      </w:pPr>
    </w:p>
    <w:p w:rsidR="00000000" w:rsidRDefault="00ED64B2">
      <w:pPr>
        <w:rPr>
          <w:rFonts w:cs="David"/>
          <w:sz w:val="24"/>
          <w:rtl/>
        </w:rPr>
      </w:pPr>
      <w:r>
        <w:rPr>
          <w:rFonts w:cs="David"/>
          <w:sz w:val="24"/>
          <w:u w:val="single"/>
          <w:rtl/>
        </w:rPr>
        <w:t>שי סומך</w:t>
      </w:r>
      <w:r>
        <w:rPr>
          <w:rFonts w:cs="David"/>
          <w:sz w:val="24"/>
          <w:rtl/>
        </w:rPr>
        <w:t>:</w:t>
      </w:r>
    </w:p>
    <w:p w:rsidR="00000000" w:rsidRDefault="00ED64B2">
      <w:pPr>
        <w:rPr>
          <w:rFonts w:cs="David"/>
          <w:sz w:val="24"/>
          <w:rtl/>
        </w:rPr>
      </w:pPr>
    </w:p>
    <w:p w:rsidR="00000000" w:rsidRDefault="00ED64B2">
      <w:pPr>
        <w:rPr>
          <w:rFonts w:cs="David"/>
          <w:sz w:val="24"/>
          <w:rtl/>
        </w:rPr>
      </w:pPr>
      <w:r>
        <w:rPr>
          <w:rFonts w:cs="David"/>
          <w:sz w:val="24"/>
          <w:rtl/>
        </w:rPr>
        <w:tab/>
        <w:t>זו לא הבעיה, זו בעיה כללית, אבל יכול להיות שגבול של 90 ימים.</w:t>
      </w:r>
    </w:p>
    <w:p w:rsidR="00000000" w:rsidRDefault="00ED64B2">
      <w:pPr>
        <w:rPr>
          <w:rFonts w:cs="David"/>
          <w:sz w:val="24"/>
          <w:rtl/>
        </w:rPr>
      </w:pPr>
    </w:p>
    <w:p w:rsidR="00000000" w:rsidRDefault="00ED64B2">
      <w:pPr>
        <w:rPr>
          <w:rFonts w:cs="David"/>
          <w:sz w:val="24"/>
          <w:u w:val="single"/>
          <w:rtl/>
        </w:rPr>
      </w:pPr>
    </w:p>
    <w:p w:rsidR="00000000" w:rsidRDefault="00ED64B2">
      <w:pPr>
        <w:rPr>
          <w:rFonts w:cs="David"/>
          <w:sz w:val="24"/>
          <w:u w:val="single"/>
          <w:rtl/>
        </w:rPr>
      </w:pPr>
    </w:p>
    <w:p w:rsidR="00000000" w:rsidRDefault="00ED64B2">
      <w:pPr>
        <w:rPr>
          <w:rFonts w:cs="David"/>
          <w:sz w:val="24"/>
          <w:rtl/>
        </w:rPr>
      </w:pPr>
      <w:r>
        <w:rPr>
          <w:rFonts w:cs="David"/>
          <w:sz w:val="24"/>
          <w:u w:val="single"/>
          <w:rtl/>
        </w:rPr>
        <w:t>היו"ר שאול יהלום:</w:t>
      </w:r>
    </w:p>
    <w:p w:rsidR="00000000" w:rsidRDefault="00ED64B2">
      <w:pPr>
        <w:rPr>
          <w:rFonts w:cs="David"/>
          <w:sz w:val="24"/>
          <w:rtl/>
        </w:rPr>
      </w:pPr>
    </w:p>
    <w:p w:rsidR="00000000" w:rsidRDefault="00ED64B2">
      <w:pPr>
        <w:rPr>
          <w:rFonts w:cs="David"/>
          <w:sz w:val="24"/>
          <w:rtl/>
        </w:rPr>
      </w:pPr>
      <w:r>
        <w:rPr>
          <w:rFonts w:cs="David"/>
          <w:sz w:val="24"/>
          <w:rtl/>
        </w:rPr>
        <w:tab/>
        <w:t xml:space="preserve"> נעשה את זה 100 ימים מיום הפטירה. אם אין הערות, החוק אושר לקריאה שניה ושלישית. תודה רבה לכולם.</w:t>
      </w:r>
    </w:p>
    <w:p w:rsidR="00000000" w:rsidRDefault="00ED64B2">
      <w:pPr>
        <w:rPr>
          <w:rFonts w:cs="David"/>
          <w:sz w:val="24"/>
          <w:rtl/>
        </w:rPr>
      </w:pPr>
    </w:p>
    <w:p w:rsidR="00000000" w:rsidRDefault="00ED64B2">
      <w:pPr>
        <w:pStyle w:val="8"/>
        <w:rPr>
          <w:rFonts w:cs="David"/>
          <w:sz w:val="24"/>
          <w:rtl/>
        </w:rPr>
      </w:pPr>
      <w:r>
        <w:rPr>
          <w:rFonts w:cs="David"/>
          <w:sz w:val="24"/>
          <w:rtl/>
        </w:rPr>
        <w:t>הישיבה נעלה בשעה 12:15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D64B2">
      <w:r>
        <w:separator/>
      </w:r>
    </w:p>
  </w:endnote>
  <w:endnote w:type="continuationSeparator" w:id="0">
    <w:p w:rsidR="00000000" w:rsidRDefault="00ED6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D64B2">
      <w:r>
        <w:separator/>
      </w:r>
    </w:p>
  </w:footnote>
  <w:footnote w:type="continuationSeparator" w:id="0">
    <w:p w:rsidR="00000000" w:rsidRDefault="00ED64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64B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ED64B2">
    <w:pPr>
      <w:pStyle w:val="a3"/>
      <w:ind w:right="360"/>
      <w:rPr>
        <w:rFonts w:cs="David"/>
        <w:sz w:val="24"/>
        <w:rtl/>
      </w:rPr>
    </w:pPr>
    <w:r>
      <w:rPr>
        <w:rFonts w:cs="David"/>
        <w:sz w:val="24"/>
        <w:rtl/>
      </w:rPr>
      <w:t>ועדת העבודה הרווחה והבריאות</w:t>
    </w:r>
  </w:p>
  <w:p w:rsidR="00000000" w:rsidRDefault="00ED64B2">
    <w:pPr>
      <w:pStyle w:val="a3"/>
      <w:ind w:right="360"/>
      <w:rPr>
        <w:rStyle w:val="a7"/>
        <w:rFonts w:cs="David"/>
        <w:sz w:val="24"/>
        <w:rtl/>
      </w:rPr>
    </w:pPr>
    <w:r>
      <w:rPr>
        <w:rFonts w:cs="David"/>
        <w:sz w:val="24"/>
        <w:rtl/>
      </w:rPr>
      <w:t>13/7/2004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64B2"/>
    <w:rsid w:val="00ED64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8287A6-7805-45A9-87B4-FC37DED9C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C35CCF-73EC-4C24-A65D-E9F3CC450F2C}"/>
</file>

<file path=customXml/itemProps2.xml><?xml version="1.0" encoding="utf-8"?>
<ds:datastoreItem xmlns:ds="http://schemas.openxmlformats.org/officeDocument/2006/customXml" ds:itemID="{77E8B151-EFCB-4A1B-A29B-F3B0D5A50193}"/>
</file>

<file path=customXml/itemProps3.xml><?xml version="1.0" encoding="utf-8"?>
<ds:datastoreItem xmlns:ds="http://schemas.openxmlformats.org/officeDocument/2006/customXml" ds:itemID="{7F2DAFE5-174A-4294-9FB6-A87EE258674A}"/>
</file>

<file path=docProps/app.xml><?xml version="1.0" encoding="utf-8"?>
<Properties xmlns="http://schemas.openxmlformats.org/officeDocument/2006/extended-properties" xmlns:vt="http://schemas.openxmlformats.org/officeDocument/2006/docPropsVTypes">
  <Template>Normal.dotm</Template>
  <TotalTime>0</TotalTime>
  <Pages>3</Pages>
  <Words>414</Words>
  <Characters>2072</Characters>
  <Application>Microsoft Office Word</Application>
  <DocSecurity>4</DocSecurity>
  <Lines>17</Lines>
  <Paragraphs>4</Paragraphs>
  <ScaleCrop>false</ScaleCrop>
  <Company>כנסת</Company>
  <LinksUpToDate>false</LinksUpToDate>
  <CharactersWithSpaces>2482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הביטוח הביטוח הלאומי (תיקון מס' 75) (מענק במקרה של פטירה) </dc:title>
  <dc:subject/>
  <dc:creator>תמר שפנייר</dc:creator>
  <cp:keywords/>
  <dc:description/>
  <cp:lastModifiedBy>שמואל כוכב</cp:lastModifiedBy>
  <cp:revision>2</cp:revision>
  <cp:lastPrinted>2004-07-13T14:59:00Z</cp:lastPrinted>
  <dcterms:created xsi:type="dcterms:W3CDTF">2018-06-18T15:43:00Z</dcterms:created>
  <dcterms:modified xsi:type="dcterms:W3CDTF">2018-06-18T15:43:00Z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i4>224</vt:i4>
  </property>
  <property fmtid="{D5CDD505-2E9C-101B-9397-08002B2CF9AE}" pid="5" name="Nose">
    <vt:lpwstr>':מחלקת הפרוטוקולים:עבודה'_x000d__x000d_</vt:lpwstr>
  </property>
  <property fmtid="{D5CDD505-2E9C-101B-9397-08002B2CF9AE}" pid="6" name="TaarichYeshiva">
    <vt:filetime>2004-07-11T21:00:00Z</vt:filetime>
  </property>
  <property fmtid="{D5CDD505-2E9C-101B-9397-08002B2CF9AE}" pid="7" name="סימוכין">
    <vt:i4>2521704</vt:i4>
  </property>
  <property fmtid="{D5CDD505-2E9C-101B-9397-08002B2CF9AE}" pid="8" name="שעת ישיבה">
    <vt:lpwstr>12:00</vt:lpwstr>
  </property>
  <property fmtid="{D5CDD505-2E9C-101B-9397-08002B2CF9AE}" pid="9" name="תאריך המסמך">
    <vt:filetime>2004-07-13T21:00:00Z</vt:filetime>
  </property>
  <property fmtid="{D5CDD505-2E9C-101B-9397-08002B2CF9AE}" pid="10" name="Int_ModifyDate">
    <vt:lpwstr>15/07/2004</vt:lpwstr>
  </property>
  <property fmtid="{D5CDD505-2E9C-101B-9397-08002B2CF9AE}" pid="11" name="Int_Category">
    <vt:lpwstr>העבודה, הרווחה והבריאות</vt:lpwstr>
  </property>
  <property fmtid="{D5CDD505-2E9C-101B-9397-08002B2CF9AE}" pid="12" name="ContentTypeId">
    <vt:lpwstr>0x0101008FCE1D2CB68F9D4CB5270FF169E39A74</vt:lpwstr>
  </property>
  <property fmtid="{D5CDD505-2E9C-101B-9397-08002B2CF9AE}" pid="13" name="SanhedrinItemID">
    <vt:r8>67308</vt:r8>
  </property>
  <property fmtid="{D5CDD505-2E9C-101B-9397-08002B2CF9AE}" pid="14" name="SanhedrinDocumentType">
    <vt:r8>167</vt:r8>
  </property>
</Properties>
</file>