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58B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058B8">
      <w:pPr>
        <w:rPr>
          <w:rFonts w:cs="David"/>
          <w:b/>
          <w:bCs/>
          <w:sz w:val="24"/>
          <w:rtl/>
        </w:rPr>
      </w:pPr>
      <w:r>
        <w:rPr>
          <w:rFonts w:cs="David"/>
          <w:b/>
          <w:bCs/>
          <w:sz w:val="24"/>
          <w:rtl/>
        </w:rPr>
        <w:t>מושב ש</w:t>
      </w:r>
      <w:r>
        <w:rPr>
          <w:rFonts w:cs="David"/>
          <w:b/>
          <w:bCs/>
          <w:sz w:val="24"/>
          <w:rtl/>
        </w:rPr>
        <w:t>לישי</w:t>
      </w:r>
    </w:p>
    <w:p w:rsidR="00000000" w:rsidRDefault="005058B8">
      <w:pPr>
        <w:rPr>
          <w:rFonts w:cs="David"/>
          <w:b/>
          <w:bCs/>
          <w:sz w:val="24"/>
          <w:rtl/>
        </w:rPr>
      </w:pPr>
    </w:p>
    <w:p w:rsidR="00000000" w:rsidRDefault="005058B8">
      <w:pPr>
        <w:rPr>
          <w:rFonts w:cs="David"/>
          <w:b/>
          <w:bCs/>
          <w:sz w:val="24"/>
          <w:rtl/>
        </w:rPr>
      </w:pPr>
    </w:p>
    <w:p w:rsidR="00000000" w:rsidRDefault="005058B8">
      <w:pPr>
        <w:rPr>
          <w:rFonts w:cs="David"/>
          <w:b/>
          <w:bCs/>
          <w:sz w:val="24"/>
          <w:rtl/>
        </w:rPr>
      </w:pPr>
    </w:p>
    <w:p w:rsidR="00000000" w:rsidRDefault="005058B8">
      <w:pPr>
        <w:rPr>
          <w:rFonts w:cs="David"/>
          <w:b/>
          <w:bCs/>
          <w:sz w:val="24"/>
          <w:rtl/>
        </w:rPr>
      </w:pPr>
    </w:p>
    <w:p w:rsidR="00000000" w:rsidRDefault="005058B8">
      <w:pPr>
        <w:jc w:val="center"/>
        <w:rPr>
          <w:rFonts w:cs="David"/>
          <w:b/>
          <w:bCs/>
          <w:sz w:val="24"/>
          <w:rtl/>
        </w:rPr>
      </w:pPr>
      <w:r>
        <w:rPr>
          <w:rFonts w:cs="David"/>
          <w:b/>
          <w:bCs/>
          <w:sz w:val="24"/>
          <w:rtl/>
        </w:rPr>
        <w:t>פרוטוקול מס'</w:t>
      </w:r>
    </w:p>
    <w:p w:rsidR="00000000" w:rsidRDefault="005058B8">
      <w:pPr>
        <w:jc w:val="center"/>
        <w:rPr>
          <w:rFonts w:cs="David"/>
          <w:b/>
          <w:bCs/>
          <w:sz w:val="24"/>
          <w:rtl/>
        </w:rPr>
      </w:pPr>
      <w:r>
        <w:rPr>
          <w:rFonts w:cs="David"/>
          <w:b/>
          <w:bCs/>
          <w:sz w:val="24"/>
          <w:rtl/>
        </w:rPr>
        <w:t>מישיבת ועדת הכספים</w:t>
      </w:r>
    </w:p>
    <w:p w:rsidR="00000000" w:rsidRDefault="005058B8">
      <w:pPr>
        <w:pStyle w:val="8"/>
        <w:rPr>
          <w:rFonts w:cs="David"/>
          <w:sz w:val="24"/>
          <w:rtl/>
        </w:rPr>
      </w:pPr>
      <w:r>
        <w:rPr>
          <w:rFonts w:cs="David"/>
          <w:sz w:val="24"/>
          <w:rtl/>
        </w:rPr>
        <w:t>שהתקיימה ביום שלישי, י"א באב התשס"ה - 16 באוגוסט 2005 - בשעה 12:00</w:t>
      </w:r>
    </w:p>
    <w:p w:rsidR="00000000" w:rsidRDefault="005058B8">
      <w:pPr>
        <w:jc w:val="center"/>
        <w:rPr>
          <w:rFonts w:cs="David"/>
          <w:b/>
          <w:bCs/>
          <w:sz w:val="24"/>
          <w:rtl/>
        </w:rPr>
      </w:pPr>
    </w:p>
    <w:p w:rsidR="00000000" w:rsidRDefault="005058B8">
      <w:pPr>
        <w:rPr>
          <w:rFonts w:cs="David"/>
          <w:b/>
          <w:bCs/>
          <w:sz w:val="24"/>
          <w:rtl/>
        </w:rPr>
      </w:pPr>
    </w:p>
    <w:p w:rsidR="00000000" w:rsidRDefault="005058B8">
      <w:pPr>
        <w:rPr>
          <w:rFonts w:cs="David"/>
          <w:b/>
          <w:bCs/>
          <w:sz w:val="24"/>
          <w:rtl/>
        </w:rPr>
      </w:pPr>
    </w:p>
    <w:p w:rsidR="00000000" w:rsidRDefault="005058B8">
      <w:pPr>
        <w:rPr>
          <w:rFonts w:cs="David"/>
          <w:b/>
          <w:bCs/>
          <w:sz w:val="24"/>
          <w:rtl/>
        </w:rPr>
      </w:pPr>
    </w:p>
    <w:p w:rsidR="00000000" w:rsidRDefault="005058B8">
      <w:pPr>
        <w:rPr>
          <w:rFonts w:cs="David"/>
          <w:b/>
          <w:bCs/>
          <w:sz w:val="24"/>
          <w:rtl/>
        </w:rPr>
      </w:pPr>
    </w:p>
    <w:p w:rsidR="00000000" w:rsidRDefault="005058B8">
      <w:pPr>
        <w:tabs>
          <w:tab w:val="left" w:pos="1221"/>
        </w:tabs>
        <w:rPr>
          <w:rFonts w:cs="David"/>
          <w:b/>
          <w:bCs/>
          <w:sz w:val="24"/>
          <w:u w:val="single"/>
          <w:rtl/>
        </w:rPr>
      </w:pPr>
    </w:p>
    <w:p w:rsidR="00000000" w:rsidRDefault="005058B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יישום תוכנית ההתנתקות (מטלטלין שפינתה המדינה), התשס"ה-2005</w:t>
      </w:r>
    </w:p>
    <w:p w:rsidR="00000000" w:rsidRDefault="005058B8">
      <w:pPr>
        <w:rPr>
          <w:rFonts w:cs="David"/>
          <w:b/>
          <w:bCs/>
          <w:sz w:val="24"/>
          <w:rtl/>
        </w:rPr>
      </w:pPr>
    </w:p>
    <w:p w:rsidR="00000000" w:rsidRDefault="005058B8">
      <w:pPr>
        <w:rPr>
          <w:rFonts w:cs="David"/>
          <w:sz w:val="24"/>
          <w:rtl/>
        </w:rPr>
      </w:pPr>
    </w:p>
    <w:p w:rsidR="00000000" w:rsidRDefault="005058B8">
      <w:pPr>
        <w:rPr>
          <w:rFonts w:cs="David"/>
          <w:sz w:val="24"/>
          <w:rtl/>
        </w:rPr>
      </w:pPr>
    </w:p>
    <w:p w:rsidR="00000000" w:rsidRDefault="005058B8">
      <w:pPr>
        <w:rPr>
          <w:rFonts w:cs="David"/>
          <w:b/>
          <w:bCs/>
          <w:sz w:val="24"/>
          <w:u w:val="single"/>
          <w:rtl/>
        </w:rPr>
      </w:pPr>
      <w:r>
        <w:rPr>
          <w:rFonts w:cs="David"/>
          <w:b/>
          <w:bCs/>
          <w:sz w:val="24"/>
          <w:u w:val="single"/>
          <w:rtl/>
        </w:rPr>
        <w:t>נכחו</w:t>
      </w:r>
      <w:r>
        <w:rPr>
          <w:rFonts w:cs="David"/>
          <w:sz w:val="24"/>
          <w:rtl/>
        </w:rPr>
        <w:t>:</w:t>
      </w:r>
    </w:p>
    <w:p w:rsidR="00000000" w:rsidRDefault="005058B8">
      <w:pPr>
        <w:rPr>
          <w:rFonts w:cs="David"/>
          <w:sz w:val="24"/>
          <w:rtl/>
        </w:rPr>
      </w:pPr>
    </w:p>
    <w:p w:rsidR="00000000" w:rsidRDefault="005058B8">
      <w:pPr>
        <w:rPr>
          <w:rFonts w:cs="David"/>
          <w:sz w:val="24"/>
          <w:rtl/>
        </w:rPr>
      </w:pPr>
    </w:p>
    <w:p w:rsidR="00000000" w:rsidRDefault="005058B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5058B8">
      <w:pPr>
        <w:tabs>
          <w:tab w:val="left" w:pos="1788"/>
        </w:tabs>
        <w:rPr>
          <w:rFonts w:cs="David"/>
          <w:sz w:val="24"/>
          <w:rtl/>
        </w:rPr>
      </w:pPr>
      <w:r>
        <w:rPr>
          <w:rFonts w:cs="David"/>
          <w:sz w:val="24"/>
          <w:rtl/>
        </w:rPr>
        <w:tab/>
        <w:t>אבשלום וילן</w:t>
      </w:r>
    </w:p>
    <w:p w:rsidR="00000000" w:rsidRDefault="005058B8">
      <w:pPr>
        <w:tabs>
          <w:tab w:val="left" w:pos="1788"/>
        </w:tabs>
        <w:rPr>
          <w:rFonts w:cs="David"/>
          <w:sz w:val="24"/>
          <w:rtl/>
        </w:rPr>
      </w:pPr>
      <w:r>
        <w:rPr>
          <w:rFonts w:cs="David"/>
          <w:sz w:val="24"/>
          <w:rtl/>
        </w:rPr>
        <w:tab/>
        <w:t>אליעזר כהן</w:t>
      </w:r>
    </w:p>
    <w:p w:rsidR="00000000" w:rsidRDefault="005058B8">
      <w:pPr>
        <w:tabs>
          <w:tab w:val="left" w:pos="1788"/>
        </w:tabs>
        <w:rPr>
          <w:rFonts w:cs="David"/>
          <w:sz w:val="24"/>
          <w:rtl/>
        </w:rPr>
      </w:pPr>
      <w:r>
        <w:rPr>
          <w:rFonts w:cs="David"/>
          <w:sz w:val="24"/>
          <w:rtl/>
        </w:rPr>
        <w:tab/>
        <w:t>איוב קרא</w:t>
      </w:r>
    </w:p>
    <w:p w:rsidR="00000000" w:rsidRDefault="005058B8">
      <w:pPr>
        <w:rPr>
          <w:rFonts w:cs="David"/>
          <w:sz w:val="24"/>
          <w:rtl/>
        </w:rPr>
      </w:pPr>
    </w:p>
    <w:p w:rsidR="00000000" w:rsidRDefault="005058B8">
      <w:pPr>
        <w:rPr>
          <w:rFonts w:cs="David"/>
          <w:sz w:val="24"/>
          <w:rtl/>
        </w:rPr>
      </w:pPr>
    </w:p>
    <w:p w:rsidR="00000000" w:rsidRDefault="005058B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יהושע שופמן, מרכז תחום חקיקה, משרד המשפטים</w:t>
      </w:r>
    </w:p>
    <w:p w:rsidR="00000000" w:rsidRDefault="005058B8">
      <w:pPr>
        <w:rPr>
          <w:rFonts w:cs="David"/>
          <w:sz w:val="24"/>
          <w:rtl/>
        </w:rPr>
      </w:pPr>
    </w:p>
    <w:p w:rsidR="00000000" w:rsidRDefault="005058B8">
      <w:pPr>
        <w:rPr>
          <w:rFonts w:cs="David"/>
          <w:sz w:val="24"/>
          <w:rtl/>
        </w:rPr>
      </w:pPr>
    </w:p>
    <w:p w:rsidR="00000000" w:rsidRDefault="005058B8">
      <w:pPr>
        <w:rPr>
          <w:rFonts w:cs="David"/>
          <w:sz w:val="24"/>
          <w:rtl/>
        </w:rPr>
      </w:pPr>
      <w:r>
        <w:rPr>
          <w:rFonts w:cs="David"/>
          <w:b/>
          <w:bCs/>
          <w:sz w:val="24"/>
          <w:u w:val="single"/>
          <w:rtl/>
        </w:rPr>
        <w:t>יועצת כלכלית:</w:t>
      </w:r>
      <w:r>
        <w:rPr>
          <w:rFonts w:cs="David"/>
          <w:sz w:val="24"/>
          <w:rtl/>
        </w:rPr>
        <w:tab/>
        <w:t>סמדר אלחנני</w:t>
      </w:r>
    </w:p>
    <w:p w:rsidR="00000000" w:rsidRDefault="005058B8">
      <w:pPr>
        <w:rPr>
          <w:rFonts w:cs="David"/>
          <w:sz w:val="24"/>
          <w:rtl/>
        </w:rPr>
      </w:pPr>
    </w:p>
    <w:p w:rsidR="00000000" w:rsidRDefault="005058B8">
      <w:pPr>
        <w:rPr>
          <w:rFonts w:cs="David"/>
          <w:sz w:val="24"/>
          <w:rtl/>
        </w:rPr>
      </w:pPr>
    </w:p>
    <w:p w:rsidR="00000000" w:rsidRDefault="005058B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5058B8">
      <w:pPr>
        <w:rPr>
          <w:rFonts w:cs="David"/>
          <w:sz w:val="24"/>
          <w:rtl/>
        </w:rPr>
      </w:pPr>
    </w:p>
    <w:p w:rsidR="00000000" w:rsidRDefault="005058B8">
      <w:pPr>
        <w:rPr>
          <w:rFonts w:cs="David"/>
          <w:sz w:val="24"/>
          <w:rtl/>
        </w:rPr>
      </w:pPr>
    </w:p>
    <w:p w:rsidR="00000000" w:rsidRDefault="005058B8">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5058B8">
      <w:pPr>
        <w:rPr>
          <w:rFonts w:cs="David"/>
          <w:sz w:val="24"/>
          <w:rtl/>
        </w:rPr>
      </w:pPr>
    </w:p>
    <w:p w:rsidR="00000000" w:rsidRDefault="005058B8">
      <w:pPr>
        <w:rPr>
          <w:rFonts w:cs="David"/>
          <w:sz w:val="24"/>
          <w:rtl/>
        </w:rPr>
      </w:pPr>
    </w:p>
    <w:p w:rsidR="00000000" w:rsidRDefault="005058B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5058B8">
      <w:pPr>
        <w:rPr>
          <w:rFonts w:cs="David"/>
          <w:b/>
          <w:bCs/>
          <w:sz w:val="24"/>
          <w:rtl/>
        </w:rPr>
      </w:pPr>
    </w:p>
    <w:p w:rsidR="00000000" w:rsidRDefault="005058B8">
      <w:pPr>
        <w:jc w:val="center"/>
        <w:rPr>
          <w:rFonts w:cs="David"/>
          <w:b/>
          <w:bCs/>
          <w:sz w:val="24"/>
          <w:u w:val="single"/>
          <w:rtl/>
        </w:rPr>
      </w:pPr>
      <w:r>
        <w:rPr>
          <w:rFonts w:cs="David"/>
          <w:sz w:val="24"/>
          <w:rtl/>
        </w:rPr>
        <w:br w:type="page"/>
      </w:r>
      <w:r>
        <w:rPr>
          <w:rFonts w:cs="David"/>
          <w:b/>
          <w:bCs/>
          <w:sz w:val="24"/>
          <w:u w:val="single"/>
          <w:rtl/>
        </w:rPr>
        <w:lastRenderedPageBreak/>
        <w:t>תקנות יישום תוכנית ההתנתקות (מטלטלין שפינתה המדינה), התשס"ה-2005</w:t>
      </w:r>
    </w:p>
    <w:p w:rsidR="00000000" w:rsidRDefault="005058B8">
      <w:pPr>
        <w:rPr>
          <w:rFonts w:cs="David"/>
          <w:sz w:val="24"/>
          <w:rtl/>
        </w:rPr>
      </w:pPr>
    </w:p>
    <w:p w:rsidR="00000000" w:rsidRDefault="005058B8">
      <w:pPr>
        <w:rPr>
          <w:rFonts w:cs="David"/>
          <w:sz w:val="24"/>
          <w:rtl/>
        </w:rPr>
      </w:pPr>
      <w:r>
        <w:rPr>
          <w:rFonts w:cs="David"/>
          <w:sz w:val="24"/>
          <w:u w:val="single"/>
          <w:rtl/>
        </w:rPr>
        <w:t>היו”ר יעקב ליצמן:</w:t>
      </w:r>
    </w:p>
    <w:p w:rsidR="00000000" w:rsidRDefault="005058B8">
      <w:pPr>
        <w:rPr>
          <w:rFonts w:cs="David"/>
          <w:sz w:val="24"/>
          <w:rtl/>
        </w:rPr>
      </w:pPr>
    </w:p>
    <w:p w:rsidR="00000000" w:rsidRDefault="005058B8">
      <w:pPr>
        <w:rPr>
          <w:rFonts w:cs="David"/>
          <w:sz w:val="24"/>
          <w:rtl/>
        </w:rPr>
      </w:pPr>
      <w:r>
        <w:rPr>
          <w:rFonts w:cs="David"/>
          <w:sz w:val="24"/>
          <w:rtl/>
        </w:rPr>
        <w:tab/>
        <w:t xml:space="preserve"> שלום רב, אני מתכבד לפתוח את הישיבה.</w:t>
      </w:r>
    </w:p>
    <w:p w:rsidR="00000000" w:rsidRDefault="005058B8">
      <w:pPr>
        <w:rPr>
          <w:rFonts w:cs="David"/>
          <w:sz w:val="24"/>
          <w:rtl/>
        </w:rPr>
      </w:pPr>
    </w:p>
    <w:p w:rsidR="00000000" w:rsidRDefault="005058B8">
      <w:pPr>
        <w:rPr>
          <w:rFonts w:cs="David"/>
          <w:sz w:val="24"/>
          <w:rtl/>
        </w:rPr>
      </w:pPr>
      <w:r>
        <w:rPr>
          <w:rFonts w:cs="David"/>
          <w:sz w:val="24"/>
          <w:u w:val="single"/>
          <w:rtl/>
        </w:rPr>
        <w:t>יהושע שופמן:</w:t>
      </w:r>
    </w:p>
    <w:p w:rsidR="00000000" w:rsidRDefault="005058B8">
      <w:pPr>
        <w:rPr>
          <w:rFonts w:cs="David"/>
          <w:sz w:val="24"/>
          <w:rtl/>
        </w:rPr>
      </w:pPr>
    </w:p>
    <w:p w:rsidR="00000000" w:rsidRDefault="005058B8">
      <w:pPr>
        <w:rPr>
          <w:rFonts w:cs="David"/>
          <w:sz w:val="24"/>
          <w:rtl/>
        </w:rPr>
      </w:pPr>
      <w:r>
        <w:rPr>
          <w:rFonts w:cs="David"/>
          <w:sz w:val="24"/>
          <w:rtl/>
        </w:rPr>
        <w:tab/>
        <w:t>כל אחד מקבל דמי מענק להובלה, בין 14,000 ₪ ל-21,000 ₪, כדי שיתארגנו להוציא את המטלטלין שלו. מי שלא הצליח או רצה להוציא את המטלטלין, העמידו סיוע להסדיר את הפינוי בין 15-16 בסיוע משרד הביטחון, מכניסים מכ</w:t>
      </w:r>
      <w:r>
        <w:rPr>
          <w:rFonts w:cs="David"/>
          <w:sz w:val="24"/>
          <w:rtl/>
        </w:rPr>
        <w:t>ולות, מוציאים את המטלטלין, מובילים אותם לאן שהאדם רוצה, וגם משלמים לו לפחות מחצית ממענק ההובלה, למרות שמשרד הביטחון דאג להובלה.</w:t>
      </w:r>
    </w:p>
    <w:p w:rsidR="00000000" w:rsidRDefault="005058B8">
      <w:pPr>
        <w:rPr>
          <w:rFonts w:cs="David"/>
          <w:sz w:val="24"/>
          <w:rtl/>
        </w:rPr>
      </w:pPr>
    </w:p>
    <w:p w:rsidR="00000000" w:rsidRDefault="005058B8">
      <w:pPr>
        <w:ind w:firstLine="567"/>
        <w:rPr>
          <w:rFonts w:cs="David"/>
          <w:sz w:val="24"/>
          <w:rtl/>
        </w:rPr>
      </w:pPr>
      <w:r>
        <w:rPr>
          <w:rFonts w:cs="David"/>
          <w:sz w:val="24"/>
          <w:rtl/>
        </w:rPr>
        <w:t>אנו מדברים כאן על האנשים שלא הסדירו את פינוי המטלטלין, לא באמצעות המענק ולא באמצעות משרד הביטחון לפני המועד. סעיף 30 אומר שאחרי</w:t>
      </w:r>
      <w:r>
        <w:rPr>
          <w:rFonts w:cs="David"/>
          <w:sz w:val="24"/>
          <w:rtl/>
        </w:rPr>
        <w:t xml:space="preserve"> שייצאו הישראלים מהשטח ויישארו מטלטלין במקום, המדינה אינה חייבת לפנות את המטלטלין, אבל היא רשאית לפנות מטלטלין. כתוב בחוק שהמדינה לא חייבת, היא רשאית, אם היא תעשה זאת, היא תעשה זאת תוך נקיטת אמצעי זהירות ראויים. מה שקרה בפועל, שמשרד הביטחון התקשר עם ספקים </w:t>
      </w:r>
      <w:r>
        <w:rPr>
          <w:rFonts w:cs="David"/>
          <w:sz w:val="24"/>
          <w:rtl/>
        </w:rPr>
        <w:t>כדי להגיע למקום, לארוז מטלטלין מהבתים, להכניסם למכולות, להביאם לישראל. יש נוהל מסודר של תיעוד האריזה, עריכת רשימת מלאי, הכנסת הציוד למכולה הבאה לישראל, ומה שהתקנות מסדירות זה הנוהל שבו כל אדם, כשמטלטליו נארזו והובאו לישראל, יכול לקבלם חזרה לאן שהוא רוצה. ה</w:t>
      </w:r>
      <w:r>
        <w:rPr>
          <w:rFonts w:cs="David"/>
          <w:sz w:val="24"/>
          <w:rtl/>
        </w:rPr>
        <w:t>מינהלה תפרסם הודעה בעיתונות ובאתר האינטרנט על המטלטלין שהובאו, כל אדם רשאי לפנות למינהלה, להודיע שהמטלטלין הם שלו, והוא יכול להודיע לאן הוא רוצה את המטלטלין, בין אם זה לדיור זמני, למחסן או למקום שהוא סידר לעצמו. הוא רשאי לעשות את זה לפי החוק, עד 60 יום אחר</w:t>
      </w:r>
      <w:r>
        <w:rPr>
          <w:rFonts w:cs="David"/>
          <w:sz w:val="24"/>
          <w:rtl/>
        </w:rPr>
        <w:t>י יום הפינוי, הצענו תקופה ארוכה יותר, 75 יום אחרי הפינוי, והוא רשאי להודיע לאן הוא רוצה שיעבירו את המטלטלין שלו. יביאו את המכולה לאן שהאדם רוצה, יפרקו את המכולה איפה שהוא רוצה, וכל זה באמצעות ההסדר שעשה משרד הביטחון. אם יפנו כלי הרכב מהמקום, יודיעו, אדם יכ</w:t>
      </w:r>
      <w:r>
        <w:rPr>
          <w:rFonts w:cs="David"/>
          <w:sz w:val="24"/>
          <w:rtl/>
        </w:rPr>
        <w:t>ול להוכיח בעלות, לקבל את כלי הרכב חזרה.</w:t>
      </w:r>
    </w:p>
    <w:p w:rsidR="00000000" w:rsidRDefault="005058B8">
      <w:pPr>
        <w:rPr>
          <w:rFonts w:cs="David"/>
          <w:sz w:val="24"/>
          <w:rtl/>
        </w:rPr>
      </w:pPr>
    </w:p>
    <w:p w:rsidR="00000000" w:rsidRDefault="005058B8">
      <w:pPr>
        <w:rPr>
          <w:rFonts w:cs="David"/>
          <w:sz w:val="24"/>
          <w:rtl/>
        </w:rPr>
      </w:pPr>
      <w:r>
        <w:rPr>
          <w:rFonts w:cs="David"/>
          <w:sz w:val="24"/>
          <w:rtl/>
        </w:rPr>
        <w:tab/>
        <w:t xml:space="preserve">התקנות גם קובעות שמי שלא תבע את המטלטלין שלו עד אותו מועד, יפרסמו מודעה בעיתון על המטלטלין שלא נדרשו, ויראו אותם כמטלטלין שהבעלים ויתרו עליהם, ויפרסמו הודעה, מה יעשו עם המטלטלין האלה, בין אם יאחסנו אותם במחסנים על </w:t>
      </w:r>
      <w:r>
        <w:rPr>
          <w:rFonts w:cs="David"/>
          <w:sz w:val="24"/>
          <w:rtl/>
        </w:rPr>
        <w:t>חשבון מי שתובע זכויות או יעשו משהו אחר אתם, אי אפשר להשאירם בחוץ לזמן ארוך מדי.</w:t>
      </w:r>
    </w:p>
    <w:p w:rsidR="00000000" w:rsidRDefault="005058B8">
      <w:pPr>
        <w:rPr>
          <w:rFonts w:cs="David"/>
          <w:sz w:val="24"/>
          <w:rtl/>
        </w:rPr>
      </w:pPr>
    </w:p>
    <w:p w:rsidR="00000000" w:rsidRDefault="005058B8">
      <w:pPr>
        <w:rPr>
          <w:rFonts w:cs="David"/>
          <w:sz w:val="24"/>
          <w:rtl/>
        </w:rPr>
      </w:pPr>
      <w:r>
        <w:rPr>
          <w:rFonts w:cs="David"/>
          <w:sz w:val="24"/>
          <w:rtl/>
        </w:rPr>
        <w:tab/>
        <w:t>אנו עוד קובעים שיכול להיות שיהיה מצב שבו מי שפינו את המטלטלין מביתו לא יודיע שהוא תובע את המטלטלין, אבל מישהו אחר יגיד: בתוך המכולה זו יש מטלטלין שלו. אנו לא יכולים להידיין ע</w:t>
      </w:r>
      <w:r>
        <w:rPr>
          <w:rFonts w:cs="David"/>
          <w:sz w:val="24"/>
          <w:rtl/>
        </w:rPr>
        <w:t>ל כל פריט, אך אם בית משפט יקבע שאין לראות את המטלטלין כאילו הבעלים ויתרו בגלל שיש מישהו שיש לו תביעות, ינהגו לפי פסק דין.</w:t>
      </w:r>
    </w:p>
    <w:p w:rsidR="00000000" w:rsidRDefault="005058B8">
      <w:pPr>
        <w:rPr>
          <w:rFonts w:cs="David"/>
          <w:sz w:val="24"/>
          <w:rtl/>
        </w:rPr>
      </w:pPr>
    </w:p>
    <w:p w:rsidR="00000000" w:rsidRDefault="005058B8">
      <w:pPr>
        <w:pStyle w:val="7"/>
        <w:jc w:val="both"/>
        <w:rPr>
          <w:rFonts w:cs="David"/>
          <w:sz w:val="24"/>
          <w:rtl/>
        </w:rPr>
      </w:pPr>
      <w:r>
        <w:rPr>
          <w:rFonts w:cs="David"/>
          <w:b w:val="0"/>
          <w:bCs w:val="0"/>
          <w:sz w:val="24"/>
          <w:rtl/>
        </w:rPr>
        <w:t>אליעזר כהן:</w:t>
      </w:r>
    </w:p>
    <w:p w:rsidR="00000000" w:rsidRDefault="005058B8">
      <w:pPr>
        <w:rPr>
          <w:rFonts w:cs="David"/>
          <w:sz w:val="24"/>
          <w:rtl/>
        </w:rPr>
      </w:pPr>
    </w:p>
    <w:p w:rsidR="00000000" w:rsidRDefault="005058B8">
      <w:pPr>
        <w:rPr>
          <w:rFonts w:cs="David"/>
          <w:sz w:val="24"/>
          <w:rtl/>
        </w:rPr>
      </w:pPr>
      <w:r>
        <w:rPr>
          <w:rFonts w:cs="David"/>
          <w:sz w:val="24"/>
          <w:rtl/>
        </w:rPr>
        <w:tab/>
        <w:t xml:space="preserve"> יכול להיות מצב שיפנו תושב, ורכושו יישאר. זה מסדיר את ההוצאה.</w:t>
      </w:r>
    </w:p>
    <w:p w:rsidR="00000000" w:rsidRDefault="005058B8">
      <w:pPr>
        <w:rPr>
          <w:rFonts w:cs="David"/>
          <w:sz w:val="24"/>
          <w:rtl/>
        </w:rPr>
      </w:pPr>
    </w:p>
    <w:p w:rsidR="00000000" w:rsidRDefault="005058B8">
      <w:pPr>
        <w:rPr>
          <w:rFonts w:cs="David"/>
          <w:sz w:val="24"/>
          <w:rtl/>
        </w:rPr>
      </w:pPr>
      <w:r>
        <w:rPr>
          <w:rFonts w:cs="David"/>
          <w:sz w:val="24"/>
          <w:u w:val="single"/>
          <w:rtl/>
        </w:rPr>
        <w:t>שגית אפיק:</w:t>
      </w:r>
    </w:p>
    <w:p w:rsidR="00000000" w:rsidRDefault="005058B8">
      <w:pPr>
        <w:rPr>
          <w:rFonts w:cs="David"/>
          <w:sz w:val="24"/>
          <w:rtl/>
        </w:rPr>
      </w:pPr>
    </w:p>
    <w:p w:rsidR="00000000" w:rsidRDefault="005058B8">
      <w:pPr>
        <w:rPr>
          <w:rFonts w:cs="David"/>
          <w:sz w:val="24"/>
          <w:rtl/>
        </w:rPr>
      </w:pPr>
      <w:r>
        <w:rPr>
          <w:rFonts w:cs="David"/>
          <w:sz w:val="24"/>
          <w:rtl/>
        </w:rPr>
        <w:tab/>
        <w:t xml:space="preserve"> גם ב-7 וגם ב-8ב הפרסום הוא רק באתר האינטרנ</w:t>
      </w:r>
      <w:r>
        <w:rPr>
          <w:rFonts w:cs="David"/>
          <w:sz w:val="24"/>
          <w:rtl/>
        </w:rPr>
        <w:t>ט. לא כדאי לעשות פרסום בעיתון?</w:t>
      </w:r>
    </w:p>
    <w:p w:rsidR="00000000" w:rsidRDefault="005058B8">
      <w:pPr>
        <w:rPr>
          <w:rFonts w:cs="David"/>
          <w:sz w:val="24"/>
          <w:rtl/>
        </w:rPr>
      </w:pPr>
    </w:p>
    <w:p w:rsidR="00000000" w:rsidRDefault="005058B8">
      <w:pPr>
        <w:rPr>
          <w:rFonts w:cs="David"/>
          <w:sz w:val="24"/>
          <w:rtl/>
        </w:rPr>
      </w:pPr>
      <w:r>
        <w:rPr>
          <w:rFonts w:cs="David"/>
          <w:sz w:val="24"/>
          <w:u w:val="single"/>
          <w:rtl/>
        </w:rPr>
        <w:t>יהושע שופמן:</w:t>
      </w:r>
    </w:p>
    <w:p w:rsidR="00000000" w:rsidRDefault="005058B8">
      <w:pPr>
        <w:rPr>
          <w:rFonts w:cs="David"/>
          <w:sz w:val="24"/>
          <w:rtl/>
        </w:rPr>
      </w:pPr>
    </w:p>
    <w:p w:rsidR="00000000" w:rsidRDefault="005058B8">
      <w:pPr>
        <w:rPr>
          <w:rFonts w:cs="David"/>
          <w:sz w:val="24"/>
          <w:rtl/>
        </w:rPr>
      </w:pPr>
      <w:r>
        <w:rPr>
          <w:rFonts w:cs="David"/>
          <w:sz w:val="24"/>
          <w:rtl/>
        </w:rPr>
        <w:tab/>
        <w:t xml:space="preserve">הפרסום בעיתון יהיה הפרסום הראשון שיודיע שהגיעו מטלטלין מישוב מסוים, פה אנו מדברים פה מכולה. </w:t>
      </w:r>
    </w:p>
    <w:p w:rsidR="00000000" w:rsidRDefault="005058B8">
      <w:pPr>
        <w:rPr>
          <w:rFonts w:cs="David"/>
          <w:sz w:val="24"/>
          <w:rtl/>
        </w:rPr>
      </w:pPr>
    </w:p>
    <w:p w:rsidR="00000000" w:rsidRDefault="005058B8">
      <w:pPr>
        <w:rPr>
          <w:rFonts w:cs="David"/>
          <w:sz w:val="24"/>
          <w:u w:val="single"/>
          <w:rtl/>
        </w:rPr>
      </w:pPr>
      <w:r>
        <w:rPr>
          <w:rFonts w:cs="David"/>
          <w:sz w:val="24"/>
          <w:u w:val="single"/>
          <w:rtl/>
        </w:rPr>
        <w:br w:type="page"/>
      </w:r>
      <w:r>
        <w:rPr>
          <w:rFonts w:cs="David"/>
          <w:sz w:val="24"/>
          <w:u w:val="single"/>
          <w:rtl/>
        </w:rPr>
        <w:lastRenderedPageBreak/>
        <w:t>אליעזר כהן:</w:t>
      </w:r>
    </w:p>
    <w:p w:rsidR="00000000" w:rsidRDefault="005058B8">
      <w:pPr>
        <w:rPr>
          <w:rFonts w:cs="David"/>
          <w:sz w:val="24"/>
          <w:u w:val="single"/>
          <w:rtl/>
        </w:rPr>
      </w:pPr>
    </w:p>
    <w:p w:rsidR="00000000" w:rsidRDefault="005058B8">
      <w:pPr>
        <w:rPr>
          <w:rFonts w:cs="David"/>
          <w:sz w:val="24"/>
          <w:rtl/>
        </w:rPr>
      </w:pPr>
      <w:r>
        <w:rPr>
          <w:rFonts w:cs="David"/>
          <w:sz w:val="24"/>
          <w:rtl/>
        </w:rPr>
        <w:tab/>
        <w:t>אני ממלא את מקומו של בני אלון והוא שלח אותי להצביע עם איוב קרא.</w:t>
      </w:r>
    </w:p>
    <w:p w:rsidR="00000000" w:rsidRDefault="005058B8">
      <w:pPr>
        <w:rPr>
          <w:rFonts w:cs="David"/>
          <w:sz w:val="24"/>
          <w:rtl/>
        </w:rPr>
      </w:pPr>
    </w:p>
    <w:p w:rsidR="00000000" w:rsidRDefault="005058B8">
      <w:pPr>
        <w:rPr>
          <w:rFonts w:cs="David"/>
          <w:sz w:val="24"/>
          <w:rtl/>
        </w:rPr>
      </w:pPr>
      <w:r>
        <w:rPr>
          <w:rFonts w:cs="David"/>
          <w:sz w:val="24"/>
          <w:u w:val="single"/>
          <w:rtl/>
        </w:rPr>
        <w:t>היו”ר יעקב ליצמן:</w:t>
      </w:r>
    </w:p>
    <w:p w:rsidR="00000000" w:rsidRDefault="005058B8">
      <w:pPr>
        <w:rPr>
          <w:rFonts w:cs="David"/>
          <w:sz w:val="24"/>
          <w:rtl/>
        </w:rPr>
      </w:pPr>
    </w:p>
    <w:p w:rsidR="00000000" w:rsidRDefault="005058B8">
      <w:pPr>
        <w:rPr>
          <w:rFonts w:cs="David"/>
          <w:sz w:val="24"/>
          <w:rtl/>
        </w:rPr>
      </w:pPr>
      <w:r>
        <w:rPr>
          <w:rFonts w:cs="David"/>
          <w:sz w:val="24"/>
          <w:rtl/>
        </w:rPr>
        <w:tab/>
        <w:t>אז אתה מצביע נג</w:t>
      </w:r>
      <w:r>
        <w:rPr>
          <w:rFonts w:cs="David"/>
          <w:sz w:val="24"/>
          <w:rtl/>
        </w:rPr>
        <w:t xml:space="preserve">ד? אז אני אחכה. </w:t>
      </w:r>
    </w:p>
    <w:p w:rsidR="00000000" w:rsidRDefault="005058B8">
      <w:pPr>
        <w:rPr>
          <w:rFonts w:cs="David"/>
          <w:sz w:val="24"/>
          <w:rtl/>
        </w:rPr>
      </w:pPr>
      <w:r>
        <w:rPr>
          <w:rFonts w:cs="David"/>
          <w:sz w:val="24"/>
          <w:rtl/>
        </w:rPr>
        <w:tab/>
      </w:r>
    </w:p>
    <w:p w:rsidR="00000000" w:rsidRDefault="005058B8">
      <w:pPr>
        <w:rPr>
          <w:rFonts w:cs="David"/>
          <w:sz w:val="24"/>
          <w:rtl/>
        </w:rPr>
      </w:pPr>
      <w:r>
        <w:rPr>
          <w:rFonts w:cs="David"/>
          <w:sz w:val="24"/>
          <w:u w:val="single"/>
          <w:rtl/>
        </w:rPr>
        <w:t>אבשלום וילן:</w:t>
      </w:r>
    </w:p>
    <w:p w:rsidR="00000000" w:rsidRDefault="005058B8">
      <w:pPr>
        <w:rPr>
          <w:rFonts w:cs="David"/>
          <w:sz w:val="24"/>
          <w:rtl/>
        </w:rPr>
      </w:pPr>
    </w:p>
    <w:p w:rsidR="00000000" w:rsidRDefault="005058B8">
      <w:pPr>
        <w:rPr>
          <w:rFonts w:cs="David"/>
          <w:sz w:val="24"/>
          <w:rtl/>
        </w:rPr>
      </w:pPr>
      <w:r>
        <w:rPr>
          <w:rFonts w:cs="David"/>
          <w:sz w:val="24"/>
          <w:rtl/>
        </w:rPr>
        <w:tab/>
        <w:t xml:space="preserve"> זה חוצפה. משחקים בחיים של אנשים. איוב קרא כדי להיבחר לכנסת מוכן לפגוע במתנחלים.</w:t>
      </w:r>
    </w:p>
    <w:p w:rsidR="00000000" w:rsidRDefault="005058B8">
      <w:pPr>
        <w:rPr>
          <w:rFonts w:cs="David"/>
          <w:sz w:val="24"/>
          <w:rtl/>
        </w:rPr>
      </w:pPr>
    </w:p>
    <w:p w:rsidR="00000000" w:rsidRDefault="005058B8">
      <w:pPr>
        <w:rPr>
          <w:rFonts w:cs="David"/>
          <w:sz w:val="24"/>
          <w:rtl/>
        </w:rPr>
      </w:pPr>
      <w:r>
        <w:rPr>
          <w:rFonts w:cs="David"/>
          <w:sz w:val="24"/>
          <w:u w:val="single"/>
          <w:rtl/>
        </w:rPr>
        <w:t>איוב קרא:</w:t>
      </w:r>
    </w:p>
    <w:p w:rsidR="00000000" w:rsidRDefault="005058B8">
      <w:pPr>
        <w:rPr>
          <w:rFonts w:cs="David"/>
          <w:sz w:val="24"/>
          <w:rtl/>
        </w:rPr>
      </w:pPr>
    </w:p>
    <w:p w:rsidR="00000000" w:rsidRDefault="005058B8">
      <w:pPr>
        <w:rPr>
          <w:rFonts w:cs="David"/>
          <w:sz w:val="24"/>
          <w:rtl/>
        </w:rPr>
      </w:pPr>
      <w:r>
        <w:rPr>
          <w:rFonts w:cs="David"/>
          <w:sz w:val="24"/>
          <w:rtl/>
        </w:rPr>
        <w:tab/>
        <w:t xml:space="preserve"> יש לי זכות לחשוב מה שאני רוצה.</w:t>
      </w:r>
    </w:p>
    <w:p w:rsidR="00000000" w:rsidRDefault="005058B8">
      <w:pPr>
        <w:rPr>
          <w:rFonts w:cs="David"/>
          <w:sz w:val="24"/>
          <w:rtl/>
        </w:rPr>
      </w:pPr>
    </w:p>
    <w:p w:rsidR="00000000" w:rsidRDefault="005058B8">
      <w:pPr>
        <w:rPr>
          <w:rFonts w:cs="David"/>
          <w:sz w:val="24"/>
          <w:rtl/>
        </w:rPr>
      </w:pPr>
      <w:r>
        <w:rPr>
          <w:rFonts w:cs="David"/>
          <w:sz w:val="24"/>
          <w:u w:val="single"/>
          <w:rtl/>
        </w:rPr>
        <w:t>היו”ר יעקב ליצמן:</w:t>
      </w:r>
    </w:p>
    <w:p w:rsidR="00000000" w:rsidRDefault="005058B8">
      <w:pPr>
        <w:rPr>
          <w:rFonts w:cs="David"/>
          <w:sz w:val="24"/>
          <w:rtl/>
        </w:rPr>
      </w:pPr>
    </w:p>
    <w:p w:rsidR="00000000" w:rsidRDefault="005058B8">
      <w:pPr>
        <w:rPr>
          <w:rFonts w:cs="David"/>
          <w:sz w:val="24"/>
          <w:rtl/>
        </w:rPr>
      </w:pPr>
      <w:r>
        <w:rPr>
          <w:rFonts w:cs="David"/>
          <w:sz w:val="24"/>
          <w:rtl/>
        </w:rPr>
        <w:tab/>
        <w:t xml:space="preserve"> מי בעד? מי נגד? אושר פה אחד.</w:t>
      </w:r>
    </w:p>
    <w:p w:rsidR="00000000" w:rsidRDefault="005058B8">
      <w:pPr>
        <w:rPr>
          <w:rFonts w:cs="David"/>
          <w:sz w:val="24"/>
          <w:rtl/>
        </w:rPr>
      </w:pPr>
    </w:p>
    <w:p w:rsidR="00000000" w:rsidRDefault="005058B8">
      <w:pPr>
        <w:rPr>
          <w:rFonts w:cs="David"/>
          <w:sz w:val="24"/>
          <w:rtl/>
        </w:rPr>
      </w:pPr>
      <w:r>
        <w:rPr>
          <w:rFonts w:cs="David"/>
          <w:sz w:val="24"/>
          <w:u w:val="single"/>
          <w:rtl/>
        </w:rPr>
        <w:t>איוב קרא:</w:t>
      </w:r>
    </w:p>
    <w:p w:rsidR="00000000" w:rsidRDefault="005058B8">
      <w:pPr>
        <w:rPr>
          <w:rFonts w:cs="David"/>
          <w:sz w:val="24"/>
          <w:rtl/>
        </w:rPr>
      </w:pPr>
    </w:p>
    <w:p w:rsidR="00000000" w:rsidRDefault="005058B8">
      <w:pPr>
        <w:rPr>
          <w:rFonts w:cs="David"/>
          <w:sz w:val="24"/>
          <w:rtl/>
        </w:rPr>
      </w:pPr>
      <w:r>
        <w:rPr>
          <w:rFonts w:cs="David"/>
          <w:sz w:val="24"/>
          <w:rtl/>
        </w:rPr>
        <w:tab/>
        <w:t xml:space="preserve"> רביזיה.</w:t>
      </w:r>
    </w:p>
    <w:p w:rsidR="00000000" w:rsidRDefault="005058B8">
      <w:pPr>
        <w:rPr>
          <w:rFonts w:cs="David"/>
          <w:sz w:val="24"/>
          <w:rtl/>
        </w:rPr>
      </w:pPr>
    </w:p>
    <w:p w:rsidR="00000000" w:rsidRDefault="005058B8">
      <w:pPr>
        <w:rPr>
          <w:rFonts w:cs="David"/>
          <w:sz w:val="24"/>
          <w:rtl/>
        </w:rPr>
      </w:pPr>
      <w:r>
        <w:rPr>
          <w:rFonts w:cs="David"/>
          <w:sz w:val="24"/>
          <w:u w:val="single"/>
          <w:rtl/>
        </w:rPr>
        <w:t>היו”ר יעקב ליצמן:</w:t>
      </w:r>
    </w:p>
    <w:p w:rsidR="00000000" w:rsidRDefault="005058B8">
      <w:pPr>
        <w:rPr>
          <w:rFonts w:cs="David"/>
          <w:sz w:val="24"/>
          <w:rtl/>
        </w:rPr>
      </w:pPr>
    </w:p>
    <w:p w:rsidR="00000000" w:rsidRDefault="005058B8">
      <w:pPr>
        <w:rPr>
          <w:rFonts w:cs="David"/>
          <w:sz w:val="24"/>
          <w:rtl/>
        </w:rPr>
      </w:pPr>
      <w:r>
        <w:rPr>
          <w:rFonts w:cs="David"/>
          <w:sz w:val="24"/>
          <w:rtl/>
        </w:rPr>
        <w:tab/>
        <w:t xml:space="preserve"> מ</w:t>
      </w:r>
      <w:r>
        <w:rPr>
          <w:rFonts w:cs="David"/>
          <w:sz w:val="24"/>
          <w:rtl/>
        </w:rPr>
        <w:t>י בעד הרביזיה? מי נגד? הרביזיה לא אושרה.</w:t>
      </w:r>
    </w:p>
    <w:p w:rsidR="00000000" w:rsidRDefault="005058B8">
      <w:pPr>
        <w:rPr>
          <w:rFonts w:cs="David"/>
          <w:sz w:val="24"/>
          <w:rtl/>
        </w:rPr>
      </w:pPr>
    </w:p>
    <w:p w:rsidR="00000000" w:rsidRDefault="005058B8">
      <w:pPr>
        <w:rPr>
          <w:rFonts w:cs="David"/>
          <w:sz w:val="24"/>
          <w:rtl/>
        </w:rPr>
      </w:pPr>
      <w:r>
        <w:rPr>
          <w:rFonts w:cs="David"/>
          <w:sz w:val="24"/>
          <w:rtl/>
        </w:rPr>
        <w:tab/>
        <w:t>תודה רבה, הישיבה נעולה.</w:t>
      </w:r>
    </w:p>
    <w:p w:rsidR="00000000" w:rsidRDefault="005058B8">
      <w:pPr>
        <w:rPr>
          <w:rFonts w:cs="David"/>
          <w:sz w:val="24"/>
          <w:rtl/>
        </w:rPr>
      </w:pPr>
    </w:p>
    <w:p w:rsidR="00000000" w:rsidRDefault="005058B8">
      <w:pPr>
        <w:rPr>
          <w:rFonts w:cs="David"/>
          <w:sz w:val="24"/>
          <w:rtl/>
        </w:rPr>
      </w:pPr>
    </w:p>
    <w:p w:rsidR="00000000" w:rsidRDefault="005058B8">
      <w:pPr>
        <w:rPr>
          <w:rFonts w:cs="David"/>
          <w:sz w:val="24"/>
          <w:rtl/>
        </w:rPr>
      </w:pPr>
    </w:p>
    <w:p w:rsidR="00000000" w:rsidRDefault="005058B8">
      <w:pPr>
        <w:rPr>
          <w:rFonts w:cs="David"/>
          <w:sz w:val="24"/>
          <w:u w:val="single"/>
          <w:rtl/>
        </w:rPr>
      </w:pPr>
      <w:r>
        <w:rPr>
          <w:rFonts w:cs="David"/>
          <w:sz w:val="24"/>
          <w:u w:val="single"/>
          <w:rtl/>
        </w:rPr>
        <w:t>הישיבה ננעלה.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58B8">
      <w:r>
        <w:separator/>
      </w:r>
    </w:p>
  </w:endnote>
  <w:endnote w:type="continuationSeparator" w:id="0">
    <w:p w:rsidR="00000000" w:rsidRDefault="00505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58B8">
      <w:r>
        <w:separator/>
      </w:r>
    </w:p>
  </w:footnote>
  <w:footnote w:type="continuationSeparator" w:id="0">
    <w:p w:rsidR="00000000" w:rsidRDefault="00505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8B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5058B8">
    <w:pPr>
      <w:pStyle w:val="a3"/>
      <w:ind w:right="360"/>
      <w:rPr>
        <w:rFonts w:cs="David"/>
        <w:sz w:val="24"/>
        <w:rtl/>
      </w:rPr>
    </w:pPr>
    <w:r>
      <w:rPr>
        <w:rFonts w:cs="David"/>
        <w:sz w:val="24"/>
        <w:rtl/>
      </w:rPr>
      <w:t>ועדת הכספים</w:t>
    </w:r>
  </w:p>
  <w:p w:rsidR="00000000" w:rsidRDefault="005058B8">
    <w:pPr>
      <w:pStyle w:val="a3"/>
      <w:ind w:right="360"/>
      <w:rPr>
        <w:rStyle w:val="a7"/>
        <w:rFonts w:cs="David"/>
        <w:sz w:val="24"/>
        <w:rtl/>
      </w:rPr>
    </w:pPr>
    <w:r>
      <w:rPr>
        <w:rFonts w:cs="David"/>
        <w:sz w:val="24"/>
        <w:rtl/>
      </w:rPr>
      <w:t>16.8.2005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8B8"/>
    <w:rsid w:val="00505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C43C8D-1D53-45E5-84C0-7482630D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EA5CDF-82DC-49A8-8AAE-BCF31F67E81D}"/>
</file>

<file path=customXml/itemProps2.xml><?xml version="1.0" encoding="utf-8"?>
<ds:datastoreItem xmlns:ds="http://schemas.openxmlformats.org/officeDocument/2006/customXml" ds:itemID="{FE3ECEDC-461E-4526-AE75-AC33A017C355}"/>
</file>

<file path=customXml/itemProps3.xml><?xml version="1.0" encoding="utf-8"?>
<ds:datastoreItem xmlns:ds="http://schemas.openxmlformats.org/officeDocument/2006/customXml" ds:itemID="{D5A929EB-7B62-4991-9A00-BDF9B58B8585}"/>
</file>

<file path=docProps/app.xml><?xml version="1.0" encoding="utf-8"?>
<Properties xmlns="http://schemas.openxmlformats.org/officeDocument/2006/extended-properties" xmlns:vt="http://schemas.openxmlformats.org/officeDocument/2006/docPropsVTypes">
  <Template>Normal.dotm</Template>
  <TotalTime>0</TotalTime>
  <Pages>3</Pages>
  <Words>575</Words>
  <Characters>2880</Characters>
  <Application>Microsoft Office Word</Application>
  <DocSecurity>0</DocSecurity>
  <Lines>24</Lines>
  <Paragraphs>6</Paragraphs>
  <ScaleCrop>false</ScaleCrop>
  <Company>כנסת</Company>
  <LinksUpToDate>false</LinksUpToDate>
  <CharactersWithSpaces>3449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יישום תוכנית ההתנתקות (מטלטלין שפינתה המדינה), התשס"ה-2005</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101361905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2005-08-16T08:00:00Z</vt:lpwstr>
  </property>
  <property fmtid="{D5CDD505-2E9C-101B-9397-08002B2CF9AE}" pid="10" name="שעת ישיבה">
    <vt:lpwstr>12:00</vt:lpwstr>
  </property>
  <property fmtid="{D5CDD505-2E9C-101B-9397-08002B2CF9AE}" pid="11" name="GetLastModified">
    <vt:lpwstr>8/28/2005 12:28:32 PM</vt:lpwstr>
  </property>
  <property fmtid="{D5CDD505-2E9C-101B-9397-08002B2CF9AE}" pid="12" name="ContentTypeId">
    <vt:lpwstr>0x0101008FCE1D2CB68F9D4CB5270FF169E39A74</vt:lpwstr>
  </property>
  <property fmtid="{D5CDD505-2E9C-101B-9397-08002B2CF9AE}" pid="13" name="SanhedrinItemID">
    <vt:r8>117592</vt:r8>
  </property>
  <property fmtid="{D5CDD505-2E9C-101B-9397-08002B2CF9AE}" pid="14" name="SanhedrinDocumentType">
    <vt:r8>167</vt:r8>
  </property>
</Properties>
</file>