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AE7D2F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B0FF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E7D2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E7D2F" w:rsidP="00865F3C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865F3C">
        <w:rPr>
          <w:rFonts w:hint="cs"/>
          <w:b/>
          <w:bCs/>
          <w:rtl/>
        </w:rPr>
        <w:t>1</w:t>
      </w:r>
    </w:p>
    <w:p w:rsidR="00E64116" w:rsidRDefault="00AE7D2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865F3C">
        <w:rPr>
          <w:rFonts w:hint="cs"/>
          <w:b/>
          <w:bCs/>
          <w:rtl/>
        </w:rPr>
        <w:t xml:space="preserve"> ועדת המשנה ליחסי חוץ והסברה</w:t>
      </w:r>
    </w:p>
    <w:p w:rsidR="00865F3C" w:rsidRPr="008713A4" w:rsidRDefault="00865F3C" w:rsidP="008320F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של ועדת החוץ והביטחון</w:t>
      </w:r>
    </w:p>
    <w:p w:rsidR="00E64116" w:rsidRPr="008713A4" w:rsidRDefault="00AE7D2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ט"ו באב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(05 באוגוסט 2020),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Default="00AE7D2F" w:rsidP="00865F3C">
      <w:pPr>
        <w:spacing w:before="60"/>
        <w:ind w:firstLine="0"/>
        <w:rPr>
          <w:rtl/>
        </w:rPr>
      </w:pPr>
      <w:bookmarkStart w:id="1" w:name="ET_subject_619728_1"/>
      <w:r w:rsidRPr="00AE7D2F">
        <w:rPr>
          <w:rStyle w:val="TagStyle"/>
          <w:rtl/>
        </w:rPr>
        <w:t xml:space="preserve"> &lt;&lt; נושא &gt;&gt; </w:t>
      </w:r>
      <w:r w:rsidR="00865F3C">
        <w:rPr>
          <w:rtl/>
        </w:rPr>
        <w:t>היערכות להחלטת בי</w:t>
      </w:r>
      <w:r w:rsidR="00865F3C">
        <w:rPr>
          <w:rFonts w:hint="cs"/>
          <w:rtl/>
        </w:rPr>
        <w:t>ת הדין</w:t>
      </w:r>
      <w:r w:rsidRPr="00AE7D2F">
        <w:rPr>
          <w:rtl/>
        </w:rPr>
        <w:t xml:space="preserve"> ה</w:t>
      </w:r>
      <w:r w:rsidR="00865F3C">
        <w:rPr>
          <w:rFonts w:hint="cs"/>
          <w:rtl/>
        </w:rPr>
        <w:t>פליל</w:t>
      </w:r>
      <w:r w:rsidR="00C102FE">
        <w:rPr>
          <w:rtl/>
        </w:rPr>
        <w:t>י הבי</w:t>
      </w:r>
      <w:r w:rsidR="00C102FE">
        <w:rPr>
          <w:rFonts w:hint="cs"/>
          <w:rtl/>
        </w:rPr>
        <w:t>ן-לאומי</w:t>
      </w:r>
      <w:r w:rsidRPr="00AE7D2F">
        <w:rPr>
          <w:rtl/>
        </w:rPr>
        <w:t xml:space="preserve"> בהאג</w:t>
      </w:r>
      <w:r w:rsidRPr="00AE7D2F">
        <w:rPr>
          <w:rStyle w:val="TagStyle"/>
          <w:rtl/>
        </w:rPr>
        <w:t xml:space="preserve"> &lt;&lt; נושא &gt;&gt;</w:t>
      </w:r>
      <w:r w:rsidRPr="00AE7D2F">
        <w:rPr>
          <w:rtl/>
        </w:rPr>
        <w:t xml:space="preserve">   </w:t>
      </w:r>
      <w:bookmarkEnd w:id="1"/>
    </w:p>
    <w:p w:rsidR="00AE7D2F" w:rsidRDefault="00AE7D2F" w:rsidP="007C693F">
      <w:pPr>
        <w:spacing w:before="60"/>
        <w:ind w:firstLine="0"/>
        <w:rPr>
          <w:rtl/>
        </w:rPr>
      </w:pPr>
    </w:p>
    <w:p w:rsidR="004B0FFB" w:rsidRPr="008713A4" w:rsidRDefault="004B0FFB" w:rsidP="007C693F">
      <w:pPr>
        <w:spacing w:before="60"/>
        <w:ind w:firstLine="0"/>
        <w:rPr>
          <w:rtl/>
        </w:rPr>
      </w:pPr>
    </w:p>
    <w:p w:rsidR="00E64116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AE7D2F" w:rsidRDefault="00AE7D2F" w:rsidP="00EC1FB3">
      <w:pPr>
        <w:ind w:firstLine="0"/>
        <w:rPr>
          <w:rtl/>
        </w:rPr>
      </w:pPr>
      <w:r w:rsidRPr="00AE7D2F">
        <w:rPr>
          <w:rtl/>
        </w:rPr>
        <w:t>שרן מרים השכל – היו"ר</w:t>
      </w:r>
    </w:p>
    <w:p w:rsidR="00AE7D2F" w:rsidRPr="00AE7D2F" w:rsidRDefault="00AE7D2F" w:rsidP="00EC1FB3">
      <w:pPr>
        <w:ind w:firstLine="0"/>
        <w:rPr>
          <w:rtl/>
        </w:rPr>
      </w:pPr>
      <w:r w:rsidRPr="00AE7D2F">
        <w:rPr>
          <w:rtl/>
        </w:rPr>
        <w:t>צבי האוזר</w:t>
      </w:r>
    </w:p>
    <w:p w:rsidR="000C47F5" w:rsidRPr="0082136D" w:rsidRDefault="00AE7D2F" w:rsidP="00865F3C">
      <w:pPr>
        <w:ind w:firstLine="0"/>
        <w:rPr>
          <w:rtl/>
        </w:rPr>
      </w:pPr>
      <w:r w:rsidRPr="00AE7D2F">
        <w:rPr>
          <w:rtl/>
        </w:rPr>
        <w:t>אילת שקד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4B0FFB" w:rsidRPr="000C47F5" w:rsidRDefault="004B0FFB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37"/>
        <w:gridCol w:w="482"/>
        <w:gridCol w:w="7279"/>
      </w:tblGrid>
      <w:tr w:rsidR="00865F3C" w:rsidTr="00865F3C">
        <w:tc>
          <w:tcPr>
            <w:tcW w:w="1537" w:type="dxa"/>
          </w:tcPr>
          <w:p w:rsidR="00865F3C" w:rsidRDefault="00865F3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טל בקר</w:t>
            </w:r>
          </w:p>
        </w:tc>
        <w:tc>
          <w:tcPr>
            <w:tcW w:w="482" w:type="dxa"/>
          </w:tcPr>
          <w:p w:rsidR="00865F3C" w:rsidRDefault="00865F3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279" w:type="dxa"/>
          </w:tcPr>
          <w:p w:rsidR="00865F3C" w:rsidRDefault="00865F3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היועץ המשפטי של משרד החוץ</w:t>
            </w:r>
          </w:p>
        </w:tc>
      </w:tr>
      <w:tr w:rsidR="00865F3C" w:rsidTr="00865F3C">
        <w:tc>
          <w:tcPr>
            <w:tcW w:w="1537" w:type="dxa"/>
          </w:tcPr>
          <w:p w:rsidR="00865F3C" w:rsidRDefault="00865F3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 שי הר-צבי</w:t>
            </w:r>
          </w:p>
        </w:tc>
        <w:tc>
          <w:tcPr>
            <w:tcW w:w="482" w:type="dxa"/>
          </w:tcPr>
          <w:p w:rsidR="00865F3C" w:rsidRDefault="00865F3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279" w:type="dxa"/>
          </w:tcPr>
          <w:p w:rsidR="00865F3C" w:rsidRDefault="00865F3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אגף מודיעין וקשרי חוץ, המשרד לעניינים אסטרטגיים</w:t>
            </w:r>
          </w:p>
        </w:tc>
      </w:tr>
      <w:tr w:rsidR="00865F3C" w:rsidTr="00865F3C">
        <w:tc>
          <w:tcPr>
            <w:tcW w:w="1537" w:type="dxa"/>
          </w:tcPr>
          <w:p w:rsidR="00865F3C" w:rsidRDefault="00865F3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רועי </w:t>
            </w:r>
            <w:proofErr w:type="spellStart"/>
            <w:r>
              <w:rPr>
                <w:rFonts w:hint="cs"/>
                <w:rtl/>
              </w:rPr>
              <w:t>שיינדורף</w:t>
            </w:r>
            <w:proofErr w:type="spellEnd"/>
          </w:p>
        </w:tc>
        <w:tc>
          <w:tcPr>
            <w:tcW w:w="482" w:type="dxa"/>
          </w:tcPr>
          <w:p w:rsidR="00865F3C" w:rsidRDefault="00865F3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279" w:type="dxa"/>
          </w:tcPr>
          <w:p w:rsidR="00865F3C" w:rsidRDefault="00865F3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משנה ליועץ המשפטי לממשלה (משפט בין-לאומי), משרד המשפטים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865F3C" w:rsidP="00D40A29">
      <w:pPr>
        <w:ind w:firstLine="0"/>
        <w:rPr>
          <w:rtl/>
        </w:rPr>
      </w:pPr>
      <w:r>
        <w:rPr>
          <w:rFonts w:hint="cs"/>
          <w:rtl/>
        </w:rPr>
        <w:t xml:space="preserve">מירי פרנקל-שור </w:t>
      </w:r>
      <w:r>
        <w:rPr>
          <w:rtl/>
        </w:rPr>
        <w:t>–</w:t>
      </w:r>
      <w:r>
        <w:rPr>
          <w:rFonts w:hint="cs"/>
          <w:rtl/>
        </w:rPr>
        <w:t xml:space="preserve"> היועצת המשפטית של הוועדה</w:t>
      </w:r>
    </w:p>
    <w:p w:rsidR="00865F3C" w:rsidRPr="008713A4" w:rsidRDefault="00865F3C" w:rsidP="00D40A29">
      <w:pPr>
        <w:ind w:firstLine="0"/>
      </w:pPr>
      <w:r>
        <w:rPr>
          <w:rFonts w:hint="cs"/>
          <w:rtl/>
        </w:rPr>
        <w:t>איילת נחום-לוי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E7D2F" w:rsidP="00D40A29">
      <w:pPr>
        <w:ind w:firstLine="0"/>
        <w:rPr>
          <w:u w:val="single"/>
        </w:rPr>
      </w:pPr>
      <w:r>
        <w:rPr>
          <w:rtl/>
        </w:rPr>
        <w:t>שמואל לטקו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AE7D2F" w:rsidP="008320F6">
      <w:pPr>
        <w:ind w:firstLine="0"/>
        <w:rPr>
          <w:rtl/>
        </w:rPr>
      </w:pPr>
      <w:r>
        <w:rPr>
          <w:rtl/>
        </w:rPr>
        <w:t>אור שושני</w:t>
      </w:r>
    </w:p>
    <w:p w:rsidR="00AE7D2F" w:rsidRDefault="00AE7D2F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AE7D2F" w:rsidRDefault="00AE7D2F" w:rsidP="00865F3C">
      <w:pPr>
        <w:pStyle w:val="a6"/>
        <w:keepNext/>
        <w:rPr>
          <w:rtl/>
        </w:rPr>
      </w:pPr>
      <w:bookmarkStart w:id="2" w:name="ET_subject_619728_2"/>
      <w:r w:rsidRPr="00AE7D2F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היערכות להחלטת </w:t>
      </w:r>
      <w:r w:rsidR="00865F3C">
        <w:rPr>
          <w:rFonts w:hint="cs"/>
          <w:rtl/>
        </w:rPr>
        <w:t>בית הדין הפלילי הבין-לאומי</w:t>
      </w:r>
      <w:r>
        <w:rPr>
          <w:rtl/>
        </w:rPr>
        <w:t xml:space="preserve"> בהאג</w:t>
      </w:r>
      <w:r w:rsidRPr="00AE7D2F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AE7D2F" w:rsidRDefault="00AE7D2F" w:rsidP="00AE7D2F">
      <w:pPr>
        <w:pStyle w:val="KeepWithNext"/>
        <w:rPr>
          <w:rtl/>
        </w:rPr>
      </w:pPr>
    </w:p>
    <w:p w:rsidR="004B0FFB" w:rsidRPr="004B0FFB" w:rsidRDefault="004B0FFB" w:rsidP="004B0FFB">
      <w:pPr>
        <w:rPr>
          <w:rtl/>
        </w:rPr>
      </w:pPr>
    </w:p>
    <w:p w:rsidR="00AE7D2F" w:rsidRDefault="00AE7D2F" w:rsidP="00AE7D2F">
      <w:pPr>
        <w:pStyle w:val="af6"/>
        <w:keepNext/>
      </w:pPr>
      <w:bookmarkStart w:id="3" w:name="ET_yor_5519_5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"/>
    </w:p>
    <w:p w:rsidR="00AE7D2F" w:rsidRDefault="00AE7D2F" w:rsidP="00AE7D2F">
      <w:pPr>
        <w:pStyle w:val="KeepWithNext"/>
        <w:rPr>
          <w:rtl/>
          <w:lang w:eastAsia="he-IL"/>
        </w:rPr>
      </w:pPr>
    </w:p>
    <w:p w:rsidR="00AE7D2F" w:rsidRDefault="00AE7D2F" w:rsidP="00AE7D2F">
      <w:pPr>
        <w:rPr>
          <w:rtl/>
          <w:lang w:eastAsia="he-IL"/>
        </w:rPr>
      </w:pPr>
      <w:bookmarkStart w:id="4" w:name="_ETM_Q1_7493"/>
      <w:bookmarkEnd w:id="4"/>
      <w:r>
        <w:rPr>
          <w:rtl/>
          <w:lang w:eastAsia="he-IL"/>
        </w:rPr>
        <w:t xml:space="preserve">אני מכריזה כי הדיון </w:t>
      </w:r>
      <w:bookmarkStart w:id="5" w:name="_ETM_Q1_31188"/>
      <w:bookmarkEnd w:id="5"/>
      <w:r>
        <w:rPr>
          <w:rtl/>
          <w:lang w:eastAsia="he-IL"/>
        </w:rPr>
        <w:t xml:space="preserve">הזה הוא פתוח לפי סעיף 120(ב), והוא ייסגר לאחר ההצהרות שלנו. שלום לכולם, אני רוצה לברך </w:t>
      </w:r>
      <w:bookmarkStart w:id="6" w:name="_ETM_Q1_71941"/>
      <w:bookmarkEnd w:id="6"/>
      <w:r w:rsidR="00C102FE">
        <w:rPr>
          <w:rtl/>
          <w:lang w:eastAsia="he-IL"/>
        </w:rPr>
        <w:t>את כל הנוכחים על כינוס ועדת ה</w:t>
      </w:r>
      <w:r>
        <w:rPr>
          <w:rtl/>
          <w:lang w:eastAsia="he-IL"/>
        </w:rPr>
        <w:t>מ</w:t>
      </w:r>
      <w:r w:rsidR="00C102FE">
        <w:rPr>
          <w:rFonts w:hint="cs"/>
          <w:rtl/>
          <w:lang w:eastAsia="he-IL"/>
        </w:rPr>
        <w:t>ש</w:t>
      </w:r>
      <w:r>
        <w:rPr>
          <w:rtl/>
          <w:lang w:eastAsia="he-IL"/>
        </w:rPr>
        <w:t xml:space="preserve">נה ליחסי חוץ והסברה </w:t>
      </w:r>
      <w:bookmarkStart w:id="7" w:name="_ETM_Q1_103007"/>
      <w:bookmarkEnd w:id="7"/>
      <w:r>
        <w:rPr>
          <w:rtl/>
          <w:lang w:eastAsia="he-IL"/>
        </w:rPr>
        <w:t xml:space="preserve">לדיון ראשון בכנסת ה-23. הוועדה הזו מהווה חלק משמעותי מהכלים </w:t>
      </w:r>
      <w:bookmarkStart w:id="8" w:name="_ETM_Q1_108404"/>
      <w:bookmarkEnd w:id="8"/>
      <w:r>
        <w:rPr>
          <w:rtl/>
          <w:lang w:eastAsia="he-IL"/>
        </w:rPr>
        <w:t xml:space="preserve">של מדינת ישראל במאבקה והתנהלותה בזירה הבין-לאומית; כלי לשיתוף </w:t>
      </w:r>
      <w:bookmarkStart w:id="9" w:name="_ETM_Q1_112431"/>
      <w:bookmarkEnd w:id="9"/>
      <w:r>
        <w:rPr>
          <w:rtl/>
          <w:lang w:eastAsia="he-IL"/>
        </w:rPr>
        <w:t xml:space="preserve">פעולה עם פרלמנטים של מדינות שישראל רואה בהן בעלות ברית </w:t>
      </w:r>
      <w:bookmarkStart w:id="10" w:name="_ETM_Q1_119155"/>
      <w:bookmarkEnd w:id="10"/>
      <w:r>
        <w:rPr>
          <w:rtl/>
          <w:lang w:eastAsia="he-IL"/>
        </w:rPr>
        <w:t xml:space="preserve">וחברות, וכלי למאבק כנגד מי שמבקש לתקוף ולהשחיר את תדמיתה של ישראל בעולם. </w:t>
      </w:r>
      <w:bookmarkStart w:id="11" w:name="_ETM_Q1_122542"/>
      <w:bookmarkEnd w:id="11"/>
    </w:p>
    <w:p w:rsidR="00AE7D2F" w:rsidRDefault="00AE7D2F" w:rsidP="00AE7D2F">
      <w:pPr>
        <w:rPr>
          <w:rtl/>
          <w:lang w:eastAsia="he-IL"/>
        </w:rPr>
      </w:pPr>
      <w:bookmarkStart w:id="12" w:name="_ETM_Q1_122721"/>
      <w:bookmarkEnd w:id="12"/>
    </w:p>
    <w:p w:rsidR="00AE7D2F" w:rsidRDefault="00AE7D2F" w:rsidP="00AE7D2F">
      <w:pPr>
        <w:rPr>
          <w:rtl/>
          <w:lang w:eastAsia="he-IL"/>
        </w:rPr>
      </w:pPr>
      <w:bookmarkStart w:id="13" w:name="_ETM_Q1_122781"/>
      <w:bookmarkEnd w:id="13"/>
      <w:r>
        <w:rPr>
          <w:rtl/>
          <w:lang w:eastAsia="he-IL"/>
        </w:rPr>
        <w:t>א</w:t>
      </w:r>
      <w:bookmarkStart w:id="14" w:name="_ETM_Q1_122892"/>
      <w:bookmarkEnd w:id="14"/>
      <w:r>
        <w:rPr>
          <w:rtl/>
          <w:lang w:eastAsia="he-IL"/>
        </w:rPr>
        <w:t xml:space="preserve">ני פורטת את הדבר לשתי </w:t>
      </w:r>
      <w:bookmarkStart w:id="15" w:name="_ETM_Q1_126094"/>
      <w:bookmarkEnd w:id="15"/>
      <w:r>
        <w:rPr>
          <w:rtl/>
          <w:lang w:eastAsia="he-IL"/>
        </w:rPr>
        <w:t xml:space="preserve">משימות מרכזיות. הראשונה, פיקוח. הוועדה הזו היא אמצעי פיקוח </w:t>
      </w:r>
      <w:bookmarkStart w:id="16" w:name="_ETM_Q1_131693"/>
      <w:bookmarkEnd w:id="16"/>
      <w:r>
        <w:rPr>
          <w:rtl/>
          <w:lang w:eastAsia="he-IL"/>
        </w:rPr>
        <w:t xml:space="preserve">של הכנסת על עבודת הממשלה, ולכן כלפי פנים עלינו </w:t>
      </w:r>
      <w:bookmarkStart w:id="17" w:name="_ETM_Q1_136662"/>
      <w:bookmarkEnd w:id="17"/>
      <w:r>
        <w:rPr>
          <w:rtl/>
          <w:lang w:eastAsia="he-IL"/>
        </w:rPr>
        <w:t xml:space="preserve">לוודא קודם כול כי המסרים שמדינת ישראל מבקשת להשמיע למדינות </w:t>
      </w:r>
      <w:bookmarkStart w:id="18" w:name="_ETM_Q1_139734"/>
      <w:bookmarkEnd w:id="18"/>
      <w:r>
        <w:rPr>
          <w:rtl/>
          <w:lang w:eastAsia="he-IL"/>
        </w:rPr>
        <w:t xml:space="preserve">העולם הם אחידים, ברורים וחדים, וכי למשרד החוץ יש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</w:t>
      </w:r>
      <w:bookmarkStart w:id="19" w:name="_ETM_Q1_144738"/>
      <w:bookmarkEnd w:id="19"/>
      <w:r>
        <w:rPr>
          <w:rtl/>
          <w:lang w:eastAsia="he-IL"/>
        </w:rPr>
        <w:t xml:space="preserve">עבודה אסטרטגית מוגדרת המבוצעת כראוי. רק כך נוכל לוודא כי </w:t>
      </w:r>
      <w:bookmarkStart w:id="20" w:name="_ETM_Q1_149340"/>
      <w:bookmarkEnd w:id="20"/>
      <w:r>
        <w:rPr>
          <w:rtl/>
          <w:lang w:eastAsia="he-IL"/>
        </w:rPr>
        <w:t xml:space="preserve">שירות החוץ של ישראל מדבר בקול אחד ובמסר אחד. </w:t>
      </w:r>
    </w:p>
    <w:p w:rsidR="00AE7D2F" w:rsidRDefault="00AE7D2F" w:rsidP="00AE7D2F">
      <w:pPr>
        <w:rPr>
          <w:rtl/>
          <w:lang w:eastAsia="he-IL"/>
        </w:rPr>
      </w:pPr>
    </w:p>
    <w:p w:rsidR="00AE7D2F" w:rsidRDefault="00AE7D2F" w:rsidP="00AE7D2F">
      <w:pPr>
        <w:rPr>
          <w:rtl/>
          <w:lang w:eastAsia="he-IL"/>
        </w:rPr>
      </w:pPr>
      <w:r>
        <w:rPr>
          <w:rtl/>
          <w:lang w:eastAsia="he-IL"/>
        </w:rPr>
        <w:t>המשי</w:t>
      </w:r>
      <w:bookmarkStart w:id="21" w:name="_ETM_Q1_151940"/>
      <w:bookmarkEnd w:id="21"/>
      <w:r>
        <w:rPr>
          <w:rtl/>
          <w:lang w:eastAsia="he-IL"/>
        </w:rPr>
        <w:t xml:space="preserve">מה השנייה שלנו היא שיתופי פעולה. עלינו להכיר </w:t>
      </w:r>
      <w:bookmarkStart w:id="22" w:name="_ETM_Q1_158954"/>
      <w:bookmarkEnd w:id="22"/>
      <w:r>
        <w:rPr>
          <w:rtl/>
          <w:lang w:eastAsia="he-IL"/>
        </w:rPr>
        <w:t xml:space="preserve">את מקבילינו בוועדות החוץ בפרלמנטים שונים בעולם, לחזק מערכות יחסים </w:t>
      </w:r>
      <w:bookmarkStart w:id="23" w:name="_ETM_Q1_163308"/>
      <w:bookmarkEnd w:id="23"/>
      <w:r>
        <w:rPr>
          <w:rtl/>
          <w:lang w:eastAsia="he-IL"/>
        </w:rPr>
        <w:t xml:space="preserve">קיימות ולבנות מערכות יחסים חדשות. כך ניקח חלק פעיל בביסוס </w:t>
      </w:r>
      <w:bookmarkStart w:id="24" w:name="_ETM_Q1_166453"/>
      <w:bookmarkEnd w:id="24"/>
      <w:r>
        <w:rPr>
          <w:rtl/>
          <w:lang w:eastAsia="he-IL"/>
        </w:rPr>
        <w:t xml:space="preserve">והרחבת התמיכה בישראל בקרב המדינות המסייעות לנו בעת </w:t>
      </w:r>
      <w:bookmarkStart w:id="25" w:name="_ETM_Q1_173638"/>
      <w:bookmarkEnd w:id="25"/>
      <w:r>
        <w:rPr>
          <w:rtl/>
          <w:lang w:eastAsia="he-IL"/>
        </w:rPr>
        <w:t xml:space="preserve">הצורך. במקביל, עלינו להציב מראה מול מדינות המתנהלות במוסר כפול </w:t>
      </w:r>
      <w:bookmarkStart w:id="26" w:name="_ETM_Q1_176284"/>
      <w:bookmarkEnd w:id="26"/>
      <w:r>
        <w:rPr>
          <w:rtl/>
          <w:lang w:eastAsia="he-IL"/>
        </w:rPr>
        <w:t xml:space="preserve">אל מול מדינת ישראל; מדינות אשר מאשימות את </w:t>
      </w:r>
      <w:bookmarkStart w:id="27" w:name="_ETM_Q1_181843"/>
      <w:bookmarkEnd w:id="27"/>
      <w:r>
        <w:rPr>
          <w:rtl/>
          <w:lang w:eastAsia="he-IL"/>
        </w:rPr>
        <w:t xml:space="preserve">ישראל בפשעים מדומיינים, בעוד הן מעלימות עין מפשעים נגד האנושות של מדינות אחרות, כי זה נוח וקל להן. </w:t>
      </w:r>
    </w:p>
    <w:p w:rsidR="00AE7D2F" w:rsidRDefault="00AE7D2F" w:rsidP="00AE7D2F">
      <w:pPr>
        <w:rPr>
          <w:rtl/>
          <w:lang w:eastAsia="he-IL"/>
        </w:rPr>
      </w:pPr>
      <w:bookmarkStart w:id="28" w:name="_ETM_Q1_186994"/>
      <w:bookmarkEnd w:id="28"/>
    </w:p>
    <w:p w:rsidR="00AE7D2F" w:rsidRDefault="00AE7D2F" w:rsidP="00AE7D2F">
      <w:pPr>
        <w:rPr>
          <w:rtl/>
          <w:lang w:eastAsia="he-IL"/>
        </w:rPr>
      </w:pPr>
      <w:bookmarkStart w:id="29" w:name="_ETM_Q1_187195"/>
      <w:bookmarkStart w:id="30" w:name="_ETM_Q1_187229"/>
      <w:bookmarkEnd w:id="29"/>
      <w:bookmarkEnd w:id="30"/>
      <w:r>
        <w:rPr>
          <w:rtl/>
          <w:lang w:eastAsia="he-IL"/>
        </w:rPr>
        <w:t>ה</w:t>
      </w:r>
      <w:bookmarkStart w:id="31" w:name="_ETM_Q1_187329"/>
      <w:bookmarkEnd w:id="31"/>
      <w:r>
        <w:rPr>
          <w:rtl/>
          <w:lang w:eastAsia="he-IL"/>
        </w:rPr>
        <w:t xml:space="preserve">דיון הראשון שאותו נערוך נוגע בדיוק לכך. החלטת התובעת </w:t>
      </w:r>
      <w:bookmarkStart w:id="32" w:name="_ETM_Q1_194780"/>
      <w:bookmarkEnd w:id="32"/>
      <w:r>
        <w:rPr>
          <w:rtl/>
          <w:lang w:eastAsia="he-IL"/>
        </w:rPr>
        <w:t xml:space="preserve">בבית הדין הפלילי הבין-לאומי בהאג לפתוח בחקירה בעניין המצב ביהודה </w:t>
      </w:r>
      <w:bookmarkStart w:id="33" w:name="_ETM_Q1_197489"/>
      <w:bookmarkEnd w:id="33"/>
      <w:r>
        <w:rPr>
          <w:rtl/>
          <w:lang w:eastAsia="he-IL"/>
        </w:rPr>
        <w:t xml:space="preserve">ושומרון, עזה וירושלים היא החלטה ללא כל סמכות – לא משפטית ולא אתית. אין לבית הדין בהאג סמכות </w:t>
      </w:r>
      <w:bookmarkStart w:id="34" w:name="_ETM_Q1_205319"/>
      <w:bookmarkEnd w:id="34"/>
      <w:r>
        <w:rPr>
          <w:rtl/>
          <w:lang w:eastAsia="he-IL"/>
        </w:rPr>
        <w:t xml:space="preserve">לדון בחלקי ארץ ישראל ואין לו בוודאי כל זכות </w:t>
      </w:r>
      <w:bookmarkStart w:id="35" w:name="_ETM_Q1_210105"/>
      <w:bookmarkEnd w:id="35"/>
      <w:r>
        <w:rPr>
          <w:rtl/>
          <w:lang w:eastAsia="he-IL"/>
        </w:rPr>
        <w:t xml:space="preserve">לבחון ולבקר את פעילות כוחות צה"ל וההגנה על אזרחיה של מדינת ישראל. </w:t>
      </w:r>
    </w:p>
    <w:p w:rsidR="00AE7D2F" w:rsidRDefault="00AE7D2F" w:rsidP="00AE7D2F">
      <w:pPr>
        <w:rPr>
          <w:rtl/>
          <w:lang w:eastAsia="he-IL"/>
        </w:rPr>
      </w:pPr>
    </w:p>
    <w:p w:rsidR="00AE7D2F" w:rsidRDefault="00AE7D2F" w:rsidP="00AE7D2F">
      <w:pPr>
        <w:rPr>
          <w:rtl/>
          <w:lang w:eastAsia="he-IL"/>
        </w:rPr>
      </w:pPr>
      <w:r>
        <w:rPr>
          <w:rtl/>
          <w:lang w:eastAsia="he-IL"/>
        </w:rPr>
        <w:t xml:space="preserve">אין כאן דבר חדש, פעם אחר פעם מבקשת </w:t>
      </w:r>
      <w:bookmarkStart w:id="36" w:name="_ETM_Q1_218059"/>
      <w:bookmarkEnd w:id="36"/>
      <w:r>
        <w:rPr>
          <w:rtl/>
          <w:lang w:eastAsia="he-IL"/>
        </w:rPr>
        <w:t>הקהילה הבין</w:t>
      </w:r>
      <w:r w:rsidR="00C102FE">
        <w:rPr>
          <w:rtl/>
          <w:lang w:eastAsia="he-IL"/>
        </w:rPr>
        <w:t>-לאומית ל</w:t>
      </w:r>
      <w:r>
        <w:rPr>
          <w:rtl/>
          <w:lang w:eastAsia="he-IL"/>
        </w:rPr>
        <w:t>כ</w:t>
      </w:r>
      <w:r w:rsidR="00C102FE">
        <w:rPr>
          <w:rFonts w:hint="cs"/>
          <w:rtl/>
          <w:lang w:eastAsia="he-IL"/>
        </w:rPr>
        <w:t>פ</w:t>
      </w:r>
      <w:r>
        <w:rPr>
          <w:rtl/>
          <w:lang w:eastAsia="he-IL"/>
        </w:rPr>
        <w:t xml:space="preserve">ות על ישראל בדרכים שונות את פתרון שתי </w:t>
      </w:r>
      <w:bookmarkStart w:id="37" w:name="_ETM_Q1_226395"/>
      <w:bookmarkEnd w:id="37"/>
      <w:r>
        <w:rPr>
          <w:rtl/>
          <w:lang w:eastAsia="he-IL"/>
        </w:rPr>
        <w:t>המדינות ההרסני. זוהי מסורת בת מאות שנים, ב</w:t>
      </w:r>
      <w:bookmarkStart w:id="38" w:name="_ETM_Q1_229428"/>
      <w:bookmarkEnd w:id="38"/>
      <w:r>
        <w:rPr>
          <w:rtl/>
          <w:lang w:eastAsia="he-IL"/>
        </w:rPr>
        <w:t xml:space="preserve">ה מבקשת הקהילה הבין-לאומית להכתיב ליהודים את גורלם. אני </w:t>
      </w:r>
      <w:bookmarkStart w:id="39" w:name="_ETM_Q1_231497"/>
      <w:bookmarkEnd w:id="39"/>
      <w:r>
        <w:rPr>
          <w:rtl/>
          <w:lang w:eastAsia="he-IL"/>
        </w:rPr>
        <w:t xml:space="preserve">כאן כדי להגיד "לא עוד". אנו עם </w:t>
      </w:r>
      <w:bookmarkStart w:id="40" w:name="_ETM_Q1_235777"/>
      <w:bookmarkEnd w:id="40"/>
      <w:r>
        <w:rPr>
          <w:rtl/>
          <w:lang w:eastAsia="he-IL"/>
        </w:rPr>
        <w:t xml:space="preserve">חזק, ורק אנחנו נקבע את גורלנו ועתידנו, לא אף </w:t>
      </w:r>
      <w:bookmarkStart w:id="41" w:name="_ETM_Q1_240822"/>
      <w:bookmarkEnd w:id="41"/>
      <w:r>
        <w:rPr>
          <w:rtl/>
          <w:lang w:eastAsia="he-IL"/>
        </w:rPr>
        <w:t xml:space="preserve">מדינה אחרת, ובוודאי לא בית הדין הבין-לאומי בהאג. </w:t>
      </w:r>
      <w:bookmarkStart w:id="42" w:name="_ETM_Q1_246939"/>
      <w:bookmarkEnd w:id="42"/>
    </w:p>
    <w:p w:rsidR="00AE7D2F" w:rsidRDefault="00AE7D2F" w:rsidP="00AE7D2F">
      <w:pPr>
        <w:rPr>
          <w:rtl/>
          <w:lang w:eastAsia="he-IL"/>
        </w:rPr>
      </w:pPr>
      <w:bookmarkStart w:id="43" w:name="_ETM_Q1_247067"/>
      <w:bookmarkEnd w:id="43"/>
    </w:p>
    <w:p w:rsidR="00AE7D2F" w:rsidRDefault="00AE7D2F" w:rsidP="00AE7D2F">
      <w:pPr>
        <w:rPr>
          <w:rtl/>
          <w:lang w:eastAsia="he-IL"/>
        </w:rPr>
      </w:pPr>
      <w:bookmarkStart w:id="44" w:name="_ETM_Q1_247099"/>
      <w:bookmarkEnd w:id="44"/>
      <w:r>
        <w:rPr>
          <w:rtl/>
          <w:lang w:eastAsia="he-IL"/>
        </w:rPr>
        <w:t>א</w:t>
      </w:r>
      <w:bookmarkStart w:id="45" w:name="_ETM_Q1_247243"/>
      <w:bookmarkEnd w:id="45"/>
      <w:r>
        <w:rPr>
          <w:rtl/>
          <w:lang w:eastAsia="he-IL"/>
        </w:rPr>
        <w:t xml:space="preserve">ני אתן עכשיו את זכות הדיבור ליושב-ראש ועדת החוץ והביטחון, </w:t>
      </w:r>
      <w:bookmarkStart w:id="46" w:name="_ETM_Q1_246704"/>
      <w:bookmarkEnd w:id="46"/>
      <w:r>
        <w:rPr>
          <w:rtl/>
          <w:lang w:eastAsia="he-IL"/>
        </w:rPr>
        <w:t xml:space="preserve">חבר הכנסת צבי האוזר. </w:t>
      </w:r>
    </w:p>
    <w:p w:rsidR="00AE7D2F" w:rsidRDefault="00AE7D2F" w:rsidP="00AE7D2F">
      <w:pPr>
        <w:rPr>
          <w:rtl/>
          <w:lang w:eastAsia="he-IL"/>
        </w:rPr>
      </w:pPr>
      <w:bookmarkStart w:id="47" w:name="_ETM_Q1_250032"/>
      <w:bookmarkStart w:id="48" w:name="_ETM_Q1_250143"/>
      <w:bookmarkEnd w:id="47"/>
      <w:bookmarkEnd w:id="48"/>
    </w:p>
    <w:p w:rsidR="00AE7D2F" w:rsidRDefault="00AE7D2F" w:rsidP="00AE7D2F">
      <w:pPr>
        <w:pStyle w:val="a4"/>
        <w:keepNext/>
        <w:rPr>
          <w:rtl/>
        </w:rPr>
      </w:pPr>
      <w:bookmarkStart w:id="49" w:name="ET_speaker_צבי_האוזר_יור_ועדת_החוץ_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צבי האוזר (יו"ר ועדת החוץ והביטחון):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9"/>
    </w:p>
    <w:p w:rsidR="00AE7D2F" w:rsidRDefault="00AE7D2F" w:rsidP="00AE7D2F">
      <w:pPr>
        <w:pStyle w:val="KeepWithNext"/>
        <w:rPr>
          <w:rtl/>
        </w:rPr>
      </w:pPr>
    </w:p>
    <w:p w:rsidR="00AE7D2F" w:rsidRDefault="00AE7D2F" w:rsidP="00AE7D2F">
      <w:pPr>
        <w:rPr>
          <w:rtl/>
        </w:rPr>
      </w:pPr>
      <w:r>
        <w:rPr>
          <w:rtl/>
        </w:rPr>
        <w:t xml:space="preserve">תודה רבה לחברת הכנסת השכל. ראשית, </w:t>
      </w:r>
      <w:bookmarkStart w:id="50" w:name="_ETM_Q1_251991"/>
      <w:bookmarkEnd w:id="50"/>
      <w:r>
        <w:rPr>
          <w:rtl/>
        </w:rPr>
        <w:t xml:space="preserve">אני רוצה לברך את חברת הכנסת שרן השכל שזאת </w:t>
      </w:r>
      <w:bookmarkStart w:id="51" w:name="_ETM_Q1_261335"/>
      <w:bookmarkEnd w:id="51"/>
      <w:r>
        <w:rPr>
          <w:rtl/>
        </w:rPr>
        <w:t>הישיבה הראשונה ש</w:t>
      </w:r>
      <w:r w:rsidR="00C102FE">
        <w:rPr>
          <w:rtl/>
        </w:rPr>
        <w:t>ל</w:t>
      </w:r>
      <w:r w:rsidR="00C102FE">
        <w:rPr>
          <w:rFonts w:hint="cs"/>
          <w:rtl/>
        </w:rPr>
        <w:t>ה</w:t>
      </w:r>
      <w:r>
        <w:rPr>
          <w:rtl/>
        </w:rPr>
        <w:t xml:space="preserve"> כיושבת-ראש ועדת המשנה. כפי שאתם יודעים, ועדת </w:t>
      </w:r>
      <w:bookmarkStart w:id="52" w:name="_ETM_Q1_266100"/>
      <w:bookmarkEnd w:id="52"/>
      <w:r>
        <w:rPr>
          <w:rtl/>
        </w:rPr>
        <w:t xml:space="preserve">החוץ והביטחון עובדת במתכונת גם של מליאה אבל </w:t>
      </w:r>
      <w:bookmarkStart w:id="53" w:name="_ETM_Q1_271027"/>
      <w:bookmarkEnd w:id="53"/>
      <w:r>
        <w:rPr>
          <w:rtl/>
        </w:rPr>
        <w:t xml:space="preserve">גם של ועדות משנה ייעודיות. אנחנו הקמנו שש ועדות עד עכשיו, נדמה לי, </w:t>
      </w:r>
      <w:bookmarkStart w:id="54" w:name="_ETM_Q1_288302"/>
      <w:bookmarkEnd w:id="54"/>
      <w:r>
        <w:rPr>
          <w:rtl/>
        </w:rPr>
        <w:t xml:space="preserve">ואני שמחתי שחברת הכנסת השכל נענתה לבקשתי לעמוד בראשות </w:t>
      </w:r>
      <w:bookmarkStart w:id="55" w:name="_ETM_Q1_292388"/>
      <w:bookmarkEnd w:id="55"/>
      <w:r>
        <w:rPr>
          <w:rtl/>
        </w:rPr>
        <w:t xml:space="preserve">הוועדה החשובה הזאת. אני חושב שחשוב, שרן, שבחרת לקיים </w:t>
      </w:r>
      <w:bookmarkStart w:id="56" w:name="_ETM_Q1_296752"/>
      <w:bookmarkEnd w:id="56"/>
      <w:r>
        <w:rPr>
          <w:rtl/>
        </w:rPr>
        <w:t xml:space="preserve">את הדיון הראשון בנושא החשוב הזה, שבעיניי הוא נושא אסטרטגי, גם מנקודת מבט אופרטיבית, גם מנקודת מבט </w:t>
      </w:r>
      <w:bookmarkStart w:id="57" w:name="_ETM_Q1_307237"/>
      <w:bookmarkEnd w:id="57"/>
      <w:r>
        <w:rPr>
          <w:rtl/>
        </w:rPr>
        <w:t xml:space="preserve">פילוסופית, מוסרית ומהותית באשר לכל מה שמתרחש מסביבנו. </w:t>
      </w:r>
      <w:bookmarkStart w:id="58" w:name="_ETM_Q1_314858"/>
      <w:bookmarkEnd w:id="58"/>
    </w:p>
    <w:p w:rsidR="00AE7D2F" w:rsidRDefault="00AE7D2F" w:rsidP="00AE7D2F">
      <w:pPr>
        <w:rPr>
          <w:rtl/>
        </w:rPr>
      </w:pPr>
    </w:p>
    <w:p w:rsidR="00AE7D2F" w:rsidRDefault="00AE7D2F" w:rsidP="00AE7D2F">
      <w:pPr>
        <w:rPr>
          <w:rtl/>
        </w:rPr>
      </w:pPr>
      <w:bookmarkStart w:id="59" w:name="_ETM_Q1_315069"/>
      <w:bookmarkStart w:id="60" w:name="_ETM_Q1_315105"/>
      <w:bookmarkEnd w:id="59"/>
      <w:bookmarkEnd w:id="60"/>
      <w:r>
        <w:rPr>
          <w:rtl/>
        </w:rPr>
        <w:t>א</w:t>
      </w:r>
      <w:bookmarkStart w:id="61" w:name="_ETM_Q1_315231"/>
      <w:bookmarkEnd w:id="61"/>
      <w:r>
        <w:rPr>
          <w:rtl/>
        </w:rPr>
        <w:t xml:space="preserve">ני רוצה </w:t>
      </w:r>
      <w:bookmarkStart w:id="62" w:name="_ETM_Q1_315932"/>
      <w:bookmarkEnd w:id="62"/>
      <w:r>
        <w:rPr>
          <w:rtl/>
        </w:rPr>
        <w:t xml:space="preserve">לחזק את הדברים שנאמרו כאן. לבית הדין הבין-לאומי אין סמכות </w:t>
      </w:r>
      <w:bookmarkStart w:id="63" w:name="_ETM_Q1_322049"/>
      <w:bookmarkEnd w:id="63"/>
      <w:r>
        <w:rPr>
          <w:rtl/>
        </w:rPr>
        <w:t>לדון בנושא כפי שנבחן עכשיו בפניו. ז</w:t>
      </w:r>
      <w:bookmarkStart w:id="64" w:name="_ETM_Q1_332737"/>
      <w:bookmarkEnd w:id="64"/>
      <w:r>
        <w:rPr>
          <w:rtl/>
        </w:rPr>
        <w:t>והי העמדה הישראלית המנומקת והברורה. ונדמה לי שההחלטה</w:t>
      </w:r>
      <w:bookmarkStart w:id="65" w:name="_ETM_Q1_341108"/>
      <w:bookmarkEnd w:id="65"/>
      <w:r>
        <w:rPr>
          <w:rtl/>
        </w:rPr>
        <w:t>, אם תתקבל, כן לקחת סמכות לדון בדברים תפגע היסטורית</w:t>
      </w:r>
      <w:bookmarkStart w:id="66" w:name="_ETM_Q1_347418"/>
      <w:bookmarkEnd w:id="66"/>
      <w:r>
        <w:rPr>
          <w:rtl/>
        </w:rPr>
        <w:t xml:space="preserve"> במעמדו של בית הדין, בייעודו, ובעצם תעיד </w:t>
      </w:r>
      <w:bookmarkStart w:id="67" w:name="_ETM_Q1_361402"/>
      <w:bookmarkEnd w:id="67"/>
      <w:r>
        <w:rPr>
          <w:rtl/>
        </w:rPr>
        <w:t xml:space="preserve">בצורה שיש לה השלכות חמורות </w:t>
      </w:r>
      <w:bookmarkStart w:id="68" w:name="_ETM_Q1_360275"/>
      <w:bookmarkEnd w:id="68"/>
      <w:r>
        <w:rPr>
          <w:rtl/>
        </w:rPr>
        <w:t xml:space="preserve">לעתיד על פוליטיזציה של הדיון המשפטי הבין-לאומי. נדמה לי </w:t>
      </w:r>
      <w:bookmarkStart w:id="69" w:name="_ETM_Q1_368071"/>
      <w:bookmarkEnd w:id="69"/>
      <w:r>
        <w:rPr>
          <w:rtl/>
        </w:rPr>
        <w:t xml:space="preserve">שכל אדם הגון חושב שדיונים כאלה צריכים להיות דיונים הגונים, </w:t>
      </w:r>
      <w:bookmarkStart w:id="70" w:name="_ETM_Q1_372553"/>
      <w:bookmarkEnd w:id="70"/>
      <w:r>
        <w:rPr>
          <w:rtl/>
        </w:rPr>
        <w:t xml:space="preserve">דיונים ראויים ודיונים ענייניים, ולא דיונים פוליטיים. </w:t>
      </w:r>
    </w:p>
    <w:p w:rsidR="00AE7D2F" w:rsidRDefault="00AE7D2F" w:rsidP="00AE7D2F">
      <w:pPr>
        <w:rPr>
          <w:rtl/>
        </w:rPr>
      </w:pPr>
      <w:bookmarkStart w:id="71" w:name="_ETM_Q1_376276"/>
      <w:bookmarkEnd w:id="71"/>
    </w:p>
    <w:p w:rsidR="00AE7D2F" w:rsidRDefault="00AE7D2F" w:rsidP="00AE7D2F">
      <w:pPr>
        <w:rPr>
          <w:rtl/>
        </w:rPr>
      </w:pPr>
      <w:bookmarkStart w:id="72" w:name="_ETM_Q1_376436"/>
      <w:bookmarkStart w:id="73" w:name="_ETM_Q1_376522"/>
      <w:bookmarkStart w:id="74" w:name="_ETM_Q1_376617"/>
      <w:bookmarkEnd w:id="72"/>
      <w:bookmarkEnd w:id="73"/>
      <w:bookmarkEnd w:id="74"/>
      <w:r>
        <w:rPr>
          <w:rtl/>
        </w:rPr>
        <w:t xml:space="preserve">אם </w:t>
      </w:r>
      <w:bookmarkStart w:id="75" w:name="_ETM_Q1_376823"/>
      <w:bookmarkEnd w:id="75"/>
      <w:r>
        <w:rPr>
          <w:rtl/>
        </w:rPr>
        <w:t xml:space="preserve">אנחנו נכנסים למקטע של השיח המשפטי, חשוב לציין דבר מקדמי </w:t>
      </w:r>
      <w:bookmarkStart w:id="76" w:name="_ETM_Q1_384261"/>
      <w:bookmarkEnd w:id="76"/>
      <w:r>
        <w:rPr>
          <w:rtl/>
        </w:rPr>
        <w:t xml:space="preserve">מהותי: עצם הפנייה, הייתי אומר המניפולטיבית, של הפלסטינים לקבלת המעמד </w:t>
      </w:r>
      <w:bookmarkStart w:id="77" w:name="_ETM_Q1_393847"/>
      <w:bookmarkEnd w:id="77"/>
      <w:r>
        <w:rPr>
          <w:rtl/>
        </w:rPr>
        <w:t xml:space="preserve">בבית הדין היא הפרה בוטה של ההסכמים בינינו לבין הפלסטינים. </w:t>
      </w:r>
      <w:bookmarkStart w:id="78" w:name="_ETM_Q1_398064"/>
      <w:bookmarkEnd w:id="78"/>
      <w:r>
        <w:rPr>
          <w:rtl/>
        </w:rPr>
        <w:t xml:space="preserve">זאת הפרה נמשכת מ-31 בינואר 2014 נדמה לי, ואלה </w:t>
      </w:r>
      <w:bookmarkStart w:id="79" w:name="_ETM_Q1_407407"/>
      <w:bookmarkEnd w:id="79"/>
      <w:r>
        <w:rPr>
          <w:rtl/>
        </w:rPr>
        <w:t xml:space="preserve">סוג של הפרות שאי אפשר לשבת במשיכת כתפיים ולהשלים איתן. </w:t>
      </w:r>
      <w:bookmarkStart w:id="80" w:name="_ETM_Q1_413747"/>
      <w:bookmarkEnd w:id="80"/>
      <w:r>
        <w:rPr>
          <w:rtl/>
        </w:rPr>
        <w:t>לדברים האלה ישנם מחירים</w:t>
      </w:r>
      <w:bookmarkStart w:id="81" w:name="_ETM_Q1_427379"/>
      <w:bookmarkEnd w:id="81"/>
      <w:r>
        <w:rPr>
          <w:rtl/>
        </w:rPr>
        <w:t xml:space="preserve">. </w:t>
      </w:r>
    </w:p>
    <w:p w:rsidR="00AE7D2F" w:rsidRDefault="00AE7D2F" w:rsidP="00AE7D2F">
      <w:pPr>
        <w:rPr>
          <w:rtl/>
        </w:rPr>
      </w:pPr>
      <w:bookmarkStart w:id="82" w:name="_ETM_Q1_427798"/>
      <w:bookmarkEnd w:id="82"/>
    </w:p>
    <w:p w:rsidR="00AE7D2F" w:rsidRDefault="00AE7D2F" w:rsidP="00AE7D2F">
      <w:pPr>
        <w:rPr>
          <w:rtl/>
        </w:rPr>
      </w:pPr>
      <w:bookmarkStart w:id="83" w:name="_ETM_Q1_428005"/>
      <w:bookmarkEnd w:id="83"/>
      <w:r>
        <w:rPr>
          <w:rtl/>
        </w:rPr>
        <w:t>א</w:t>
      </w:r>
      <w:bookmarkStart w:id="84" w:name="_ETM_Q1_428057"/>
      <w:bookmarkStart w:id="85" w:name="_ETM_Q1_428129"/>
      <w:bookmarkEnd w:id="84"/>
      <w:bookmarkEnd w:id="85"/>
      <w:r>
        <w:rPr>
          <w:rtl/>
        </w:rPr>
        <w:t xml:space="preserve">ם אנחנו בכל זאת ניגשים לשיח המוסרי – </w:t>
      </w:r>
      <w:bookmarkStart w:id="86" w:name="_ETM_Q1_437502"/>
      <w:bookmarkEnd w:id="86"/>
      <w:r>
        <w:rPr>
          <w:rtl/>
        </w:rPr>
        <w:t>אך לא רק מוסרי אלא גם משפטי וגם מעשי –</w:t>
      </w:r>
      <w:bookmarkStart w:id="87" w:name="_ETM_Q1_439934"/>
      <w:bookmarkEnd w:id="87"/>
      <w:r>
        <w:rPr>
          <w:rtl/>
        </w:rPr>
        <w:t xml:space="preserve"> צריך להבין שיש בסיטואציה שבפניה אנחנו עומדים מעין היפוך יוצרות אבסורדי ומניפולטיבי די מדהים. ישראל חשופה מ-2006 לירי נמשך של </w:t>
      </w:r>
      <w:bookmarkStart w:id="88" w:name="_ETM_Q1_461841"/>
      <w:bookmarkEnd w:id="88"/>
      <w:r>
        <w:rPr>
          <w:rtl/>
        </w:rPr>
        <w:t>רקטות כנגד אוכלוסייה אזרחית. אנחנו נמצאים במצב ייחודי על הפלנט</w:t>
      </w:r>
      <w:bookmarkStart w:id="89" w:name="_ETM_Q1_472081"/>
      <w:bookmarkEnd w:id="89"/>
      <w:r>
        <w:rPr>
          <w:rtl/>
        </w:rPr>
        <w:t xml:space="preserve">ה, </w:t>
      </w:r>
      <w:r>
        <w:rPr>
          <w:rtl/>
        </w:rPr>
        <w:lastRenderedPageBreak/>
        <w:t xml:space="preserve">ייחודי בעולם, שבו אזרחי ישראל, בעיקר האוכלוסייה היושבת בעוטף עזה, הם האוכלוסייה האזרחית היחידה בעולם העומדת תחת מתקפת רקטות </w:t>
      </w:r>
      <w:bookmarkStart w:id="90" w:name="_ETM_Q1_489603"/>
      <w:bookmarkEnd w:id="90"/>
      <w:r>
        <w:rPr>
          <w:rtl/>
        </w:rPr>
        <w:t xml:space="preserve">ברמה תמידית – לעיתים שבועית, לעיתים חודשית. אין אף </w:t>
      </w:r>
      <w:bookmarkStart w:id="91" w:name="_ETM_Q1_495841"/>
      <w:bookmarkEnd w:id="91"/>
      <w:r>
        <w:rPr>
          <w:rtl/>
        </w:rPr>
        <w:t xml:space="preserve">אוכלוסייה אזרחית בעולם שמתמודדת עם האתגר הזה, עם המתקפה הזאת. </w:t>
      </w:r>
      <w:bookmarkStart w:id="92" w:name="_ETM_Q1_503063"/>
      <w:bookmarkEnd w:id="92"/>
    </w:p>
    <w:p w:rsidR="00AE7D2F" w:rsidRDefault="00AE7D2F" w:rsidP="00AE7D2F">
      <w:pPr>
        <w:rPr>
          <w:rtl/>
        </w:rPr>
      </w:pPr>
    </w:p>
    <w:p w:rsidR="00AE7D2F" w:rsidRDefault="00AE7D2F" w:rsidP="00AE7D2F">
      <w:pPr>
        <w:rPr>
          <w:rtl/>
        </w:rPr>
      </w:pPr>
      <w:r>
        <w:rPr>
          <w:rtl/>
        </w:rPr>
        <w:t>אני מנצל את הדיון הזה כדי לשים את הדברים בסדר</w:t>
      </w:r>
      <w:bookmarkStart w:id="93" w:name="_ETM_Q1_509159"/>
      <w:bookmarkEnd w:id="93"/>
      <w:r>
        <w:rPr>
          <w:rtl/>
        </w:rPr>
        <w:t xml:space="preserve"> הנכון שלהם, בפרופורציות הראויות, ואני קורא הן למערכת הישראלית </w:t>
      </w:r>
      <w:bookmarkStart w:id="94" w:name="_ETM_Q1_514969"/>
      <w:bookmarkEnd w:id="94"/>
      <w:r>
        <w:rPr>
          <w:rtl/>
        </w:rPr>
        <w:t xml:space="preserve">והן לקהילה הבין-לאומית לעמוד על עקרון יסוד במה שמתרחש </w:t>
      </w:r>
      <w:bookmarkStart w:id="95" w:name="_ETM_Q1_522823"/>
      <w:bookmarkEnd w:id="95"/>
      <w:r>
        <w:rPr>
          <w:rtl/>
        </w:rPr>
        <w:t xml:space="preserve">בינינו לבין הפלסטינים ברצועת עזה: לעמוד על הרעיון של </w:t>
      </w:r>
      <w:bookmarkStart w:id="96" w:name="_ETM_Q1_528663"/>
      <w:bookmarkEnd w:id="96"/>
      <w:r>
        <w:rPr>
          <w:rtl/>
        </w:rPr>
        <w:t xml:space="preserve">פירוזה של עזה מרקטות. זה לא רק עניין צבאי, </w:t>
      </w:r>
      <w:bookmarkStart w:id="97" w:name="_ETM_Q1_530485"/>
      <w:bookmarkEnd w:id="97"/>
      <w:r>
        <w:rPr>
          <w:rtl/>
        </w:rPr>
        <w:t xml:space="preserve">זה עניין עקרוני, מוסרי, פוליטי, רעיוני, עם השלכות אסטרטגיות באשר </w:t>
      </w:r>
      <w:bookmarkStart w:id="98" w:name="_ETM_Q1_541267"/>
      <w:bookmarkEnd w:id="98"/>
      <w:r>
        <w:rPr>
          <w:rtl/>
        </w:rPr>
        <w:t xml:space="preserve">לעתידו של העולם החופשי בכל מקום אחר בעתיד. אנחנו נמצאים </w:t>
      </w:r>
      <w:bookmarkStart w:id="99" w:name="_ETM_Q1_546662"/>
      <w:bookmarkEnd w:id="99"/>
      <w:r>
        <w:rPr>
          <w:rtl/>
        </w:rPr>
        <w:t xml:space="preserve">בסיטואציה שבה אנשים מסביבנו, ולא מעטים במערכת </w:t>
      </w:r>
      <w:bookmarkStart w:id="100" w:name="_ETM_Q1_554875"/>
      <w:bookmarkEnd w:id="100"/>
      <w:r>
        <w:rPr>
          <w:rtl/>
        </w:rPr>
        <w:t xml:space="preserve">הפלסטינית, מאמצים רעיונות של המאה ה-11 בזמן שיש להם נגישות </w:t>
      </w:r>
      <w:bookmarkStart w:id="101" w:name="_ETM_Q1_558726"/>
      <w:bookmarkEnd w:id="101"/>
      <w:r>
        <w:rPr>
          <w:rtl/>
        </w:rPr>
        <w:t xml:space="preserve">לטכנולוגיה של המאה ה-21. הסיטואציה הזאת יוצרת מצבים בלתי </w:t>
      </w:r>
      <w:bookmarkStart w:id="102" w:name="_ETM_Q1_568041"/>
      <w:bookmarkEnd w:id="102"/>
      <w:r>
        <w:rPr>
          <w:rtl/>
        </w:rPr>
        <w:t>אפשריים של איום תמידי בנשק שכל כולו מופנה, כ</w:t>
      </w:r>
      <w:bookmarkStart w:id="103" w:name="_ETM_Q1_578695"/>
      <w:bookmarkEnd w:id="103"/>
      <w:r>
        <w:rPr>
          <w:rtl/>
        </w:rPr>
        <w:t xml:space="preserve">ל היכולת הצבאית בעזה, כנגד אוכלוסייה אזרחית ישראלית. כמו שאמרתי, זה מצב חסר תקדים ברמה </w:t>
      </w:r>
      <w:bookmarkStart w:id="104" w:name="_ETM_Q1_588619"/>
      <w:bookmarkEnd w:id="104"/>
      <w:r>
        <w:rPr>
          <w:rtl/>
        </w:rPr>
        <w:t xml:space="preserve">העולמית וצריך לשים לדברים האלה סוף בכל הקשריהם </w:t>
      </w:r>
      <w:bookmarkStart w:id="105" w:name="_ETM_Q1_593688"/>
      <w:bookmarkEnd w:id="105"/>
      <w:r>
        <w:rPr>
          <w:rtl/>
        </w:rPr>
        <w:t xml:space="preserve">– המעשיים, המשפטיים והמוסריים. </w:t>
      </w:r>
    </w:p>
    <w:p w:rsidR="00AE7D2F" w:rsidRDefault="00AE7D2F" w:rsidP="00AE7D2F">
      <w:pPr>
        <w:rPr>
          <w:rtl/>
        </w:rPr>
      </w:pPr>
      <w:bookmarkStart w:id="106" w:name="_ETM_Q1_599304"/>
      <w:bookmarkEnd w:id="106"/>
    </w:p>
    <w:p w:rsidR="00AE7D2F" w:rsidRDefault="00AE7D2F" w:rsidP="00AE7D2F">
      <w:pPr>
        <w:rPr>
          <w:rtl/>
        </w:rPr>
      </w:pPr>
      <w:bookmarkStart w:id="107" w:name="_ETM_Q1_599482"/>
      <w:bookmarkStart w:id="108" w:name="_ETM_Q1_599556"/>
      <w:bookmarkStart w:id="109" w:name="_ETM_Q1_599648"/>
      <w:bookmarkEnd w:id="107"/>
      <w:bookmarkEnd w:id="108"/>
      <w:bookmarkEnd w:id="109"/>
      <w:r>
        <w:rPr>
          <w:rtl/>
        </w:rPr>
        <w:t xml:space="preserve">אני מציין פה בהקשר זה </w:t>
      </w:r>
      <w:bookmarkStart w:id="110" w:name="_ETM_Q1_605528"/>
      <w:bookmarkEnd w:id="110"/>
      <w:r>
        <w:rPr>
          <w:rtl/>
        </w:rPr>
        <w:t xml:space="preserve">את היוזמה של הנשיא </w:t>
      </w:r>
      <w:proofErr w:type="spellStart"/>
      <w:r>
        <w:rPr>
          <w:rtl/>
        </w:rPr>
        <w:t>טראמפ</w:t>
      </w:r>
      <w:proofErr w:type="spellEnd"/>
      <w:r>
        <w:rPr>
          <w:rtl/>
        </w:rPr>
        <w:t xml:space="preserve">, שנדמה לי שהיא היוזמה הבין-לאומית </w:t>
      </w:r>
      <w:bookmarkStart w:id="111" w:name="_ETM_Q1_611947"/>
      <w:bookmarkEnd w:id="111"/>
      <w:r>
        <w:rPr>
          <w:rtl/>
        </w:rPr>
        <w:t>הראשונה שלקחה את הנושא הזה ספציפית, ומעבר לאמירות</w:t>
      </w:r>
      <w:bookmarkStart w:id="112" w:name="_ETM_Q1_621369"/>
      <w:bookmarkEnd w:id="112"/>
      <w:r>
        <w:rPr>
          <w:rtl/>
        </w:rPr>
        <w:t xml:space="preserve"> כלליות שתואמות את מה שמופיע בהסכם בינינו לבין הפלסטינים גם </w:t>
      </w:r>
      <w:bookmarkStart w:id="113" w:name="_ETM_Q1_621685"/>
      <w:bookmarkEnd w:id="113"/>
      <w:r>
        <w:rPr>
          <w:rtl/>
        </w:rPr>
        <w:t xml:space="preserve">קבעה את רעיון הפירוז של עזה כרעיון יסודי, הייתי אומר </w:t>
      </w:r>
      <w:bookmarkStart w:id="114" w:name="_ETM_Q1_629216"/>
      <w:bookmarkEnd w:id="114"/>
      <w:r>
        <w:rPr>
          <w:rtl/>
        </w:rPr>
        <w:t xml:space="preserve">אולי תנאי אולטימטיבי לכל התקדמות במה שיתרחש כאן באזור שלנו. </w:t>
      </w:r>
      <w:bookmarkStart w:id="115" w:name="_ETM_Q1_636988"/>
      <w:bookmarkEnd w:id="115"/>
    </w:p>
    <w:p w:rsidR="00AE7D2F" w:rsidRDefault="00AE7D2F" w:rsidP="00AE7D2F">
      <w:pPr>
        <w:rPr>
          <w:rtl/>
        </w:rPr>
      </w:pPr>
      <w:bookmarkStart w:id="116" w:name="_ETM_Q1_637292"/>
      <w:bookmarkStart w:id="117" w:name="_ETM_Q1_637445"/>
      <w:bookmarkEnd w:id="116"/>
      <w:bookmarkEnd w:id="117"/>
    </w:p>
    <w:p w:rsidR="00AE7D2F" w:rsidRDefault="00AE7D2F" w:rsidP="00AE7D2F">
      <w:pPr>
        <w:rPr>
          <w:rtl/>
        </w:rPr>
      </w:pPr>
      <w:bookmarkStart w:id="118" w:name="_ETM_Q1_637484"/>
      <w:bookmarkStart w:id="119" w:name="_ETM_Q1_637592"/>
      <w:bookmarkEnd w:id="118"/>
      <w:bookmarkEnd w:id="119"/>
      <w:r>
        <w:rPr>
          <w:rtl/>
        </w:rPr>
        <w:t>עד כאן הדברים הראשוניים שלי</w:t>
      </w:r>
      <w:bookmarkStart w:id="120" w:name="_ETM_Q1_646780"/>
      <w:bookmarkEnd w:id="120"/>
      <w:r>
        <w:rPr>
          <w:rtl/>
        </w:rPr>
        <w:t xml:space="preserve">. </w:t>
      </w:r>
    </w:p>
    <w:p w:rsidR="00AE7D2F" w:rsidRDefault="00AE7D2F" w:rsidP="00AE7D2F">
      <w:pPr>
        <w:rPr>
          <w:rtl/>
        </w:rPr>
      </w:pPr>
    </w:p>
    <w:p w:rsidR="00AE7D2F" w:rsidRDefault="00AE7D2F" w:rsidP="00AE7D2F">
      <w:pPr>
        <w:pStyle w:val="af6"/>
        <w:keepNext/>
        <w:rPr>
          <w:rtl/>
        </w:rPr>
      </w:pPr>
      <w:bookmarkStart w:id="121" w:name="ET_yor_5519_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21"/>
    </w:p>
    <w:p w:rsidR="00AE7D2F" w:rsidRDefault="00AE7D2F" w:rsidP="00AE7D2F">
      <w:pPr>
        <w:pStyle w:val="KeepWithNext"/>
        <w:rPr>
          <w:rtl/>
        </w:rPr>
      </w:pPr>
    </w:p>
    <w:p w:rsidR="00AE7D2F" w:rsidRDefault="00AE7D2F" w:rsidP="00AE7D2F">
      <w:pPr>
        <w:rPr>
          <w:rtl/>
        </w:rPr>
      </w:pPr>
      <w:r>
        <w:rPr>
          <w:rtl/>
        </w:rPr>
        <w:t xml:space="preserve">תודה רבה לך, חבר הכנסת צבי האוזר, </w:t>
      </w:r>
      <w:bookmarkStart w:id="122" w:name="_ETM_Q1_649559"/>
      <w:bookmarkEnd w:id="122"/>
      <w:r>
        <w:rPr>
          <w:rtl/>
        </w:rPr>
        <w:t xml:space="preserve">יושב-ראש ועדת החוץ והביטחון. אני רוצה בהזדמנות הזו להודות לך </w:t>
      </w:r>
      <w:bookmarkStart w:id="123" w:name="_ETM_Q1_651926"/>
      <w:bookmarkEnd w:id="123"/>
      <w:r>
        <w:rPr>
          <w:rtl/>
        </w:rPr>
        <w:t xml:space="preserve">על האמון שנתת בי כדי לעמוד בראש הוועדה החשובה </w:t>
      </w:r>
      <w:bookmarkStart w:id="124" w:name="_ETM_Q1_659572"/>
      <w:bookmarkEnd w:id="124"/>
      <w:r>
        <w:rPr>
          <w:rtl/>
        </w:rPr>
        <w:t xml:space="preserve">הזו. אנחנו נסגור עכשיו את הדיון לתקשורת ונעבור לדיון החסוי. </w:t>
      </w:r>
    </w:p>
    <w:p w:rsidR="00865F3C" w:rsidRDefault="00865F3C" w:rsidP="00AE7D2F">
      <w:pPr>
        <w:rPr>
          <w:rtl/>
        </w:rPr>
      </w:pPr>
    </w:p>
    <w:p w:rsidR="004B0FFB" w:rsidRDefault="004B0FFB" w:rsidP="00AE7D2F">
      <w:pPr>
        <w:rPr>
          <w:rtl/>
        </w:rPr>
      </w:pPr>
    </w:p>
    <w:p w:rsidR="00865F3C" w:rsidRDefault="00C102FE" w:rsidP="00C102FE">
      <w:pPr>
        <w:pStyle w:val="afc"/>
        <w:keepNext/>
        <w:rPr>
          <w:rtl/>
        </w:rPr>
      </w:pPr>
      <w:bookmarkStart w:id="125" w:name="ET_meetingend_6"/>
      <w:r w:rsidRPr="00C102FE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09:30.</w:t>
      </w:r>
      <w:r w:rsidRPr="00C102FE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125"/>
    </w:p>
    <w:p w:rsidR="00C102FE" w:rsidRDefault="00C102FE" w:rsidP="00C102FE">
      <w:pPr>
        <w:pStyle w:val="KeepWithNext"/>
        <w:rPr>
          <w:rtl/>
        </w:rPr>
      </w:pPr>
    </w:p>
    <w:p w:rsidR="00C102FE" w:rsidRPr="00C102FE" w:rsidRDefault="00C102FE" w:rsidP="00C102FE">
      <w:pPr>
        <w:rPr>
          <w:rtl/>
        </w:rPr>
      </w:pPr>
    </w:p>
    <w:p w:rsidR="007872B4" w:rsidRPr="008713A4" w:rsidRDefault="007872B4" w:rsidP="00AB3F3A">
      <w:pPr>
        <w:ind w:firstLine="0"/>
      </w:pPr>
    </w:p>
    <w:sectPr w:rsidR="007872B4" w:rsidRPr="008713A4" w:rsidSect="004B0FF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B0FFB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Default="00AE7D2F" w:rsidP="008E5E3F">
    <w:pPr>
      <w:pStyle w:val="a3"/>
      <w:ind w:firstLine="0"/>
      <w:rPr>
        <w:rtl/>
      </w:rPr>
    </w:pPr>
    <w:proofErr w:type="spellStart"/>
    <w:r>
      <w:rPr>
        <w:rFonts w:hint="cs"/>
        <w:rtl/>
      </w:rPr>
      <w:t>ועמ"ש</w:t>
    </w:r>
    <w:proofErr w:type="spellEnd"/>
    <w:r>
      <w:rPr>
        <w:rFonts w:hint="cs"/>
        <w:rtl/>
      </w:rPr>
      <w:t xml:space="preserve"> לענייני חוץ והסברה</w:t>
    </w:r>
  </w:p>
  <w:p w:rsidR="00AE7D2F" w:rsidRPr="00CC5815" w:rsidRDefault="00AE7D2F" w:rsidP="008E5E3F">
    <w:pPr>
      <w:pStyle w:val="a3"/>
      <w:ind w:firstLine="0"/>
    </w:pPr>
    <w:r>
      <w:rPr>
        <w:rFonts w:hint="cs"/>
        <w:rtl/>
      </w:rPr>
      <w:t>של ועדת החוץ והביטחון</w:t>
    </w:r>
  </w:p>
  <w:p w:rsidR="00D86E57" w:rsidRPr="00CC5815" w:rsidRDefault="00AE7D2F" w:rsidP="008E5E3F">
    <w:pPr>
      <w:pStyle w:val="a3"/>
      <w:ind w:firstLine="0"/>
      <w:rPr>
        <w:rtl/>
      </w:rPr>
    </w:pPr>
    <w:r>
      <w:rPr>
        <w:rtl/>
      </w:rPr>
      <w:t>05/08/2020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C4454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0FFB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65F3C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E7D2F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02FE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4:docId w14:val="36567B12"/>
  <w15:docId w15:val="{06688ACA-074E-4CB2-8ED2-C14718C931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E7D2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65F3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3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D8C85F-2798-4CFD-8664-B92DF33C58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981</Words>
  <Characters>4908</Characters>
  <Application>Microsoft Office Word</Application>
  <DocSecurity>0</DocSecurity>
  <Lines>40</Lines>
  <Paragraphs>11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</cp:revision>
  <cp:lastPrinted>2015-07-20T08:20:00Z</cp:lastPrinted>
  <dcterms:created xsi:type="dcterms:W3CDTF">2018-05-03T11:21:00Z</dcterms:created>
  <dcterms:modified xsi:type="dcterms:W3CDTF">2020-09-08T09:54:00Z</dcterms:modified>
</cp:coreProperties>
</file>