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A92166">
      <w:pPr>
        <w:ind w:firstLine="0"/>
        <w:outlineLvl w:val="0"/>
        <w:rPr>
          <w:rFonts w:cs="David"/>
          <w:b/>
          <w:bCs/>
          <w:rtl/>
        </w:rPr>
      </w:pPr>
      <w:bookmarkStart w:id="0" w:name="_GoBack"/>
      <w:bookmarkEnd w:id="0"/>
      <w:r>
        <w:rPr>
          <w:rFonts w:cs="David"/>
          <w:b/>
          <w:bCs/>
          <w:rtl/>
        </w:rPr>
        <w:t xml:space="preserve">הכנסת השמונה-עשרה </w:t>
      </w:r>
    </w:p>
    <w:p w:rsidR="00000000" w:rsidRDefault="00A92166">
      <w:pPr>
        <w:ind w:firstLine="0"/>
        <w:jc w:val="right"/>
        <w:outlineLvl w:val="0"/>
        <w:rPr>
          <w:rFonts w:cs="David"/>
          <w:b/>
          <w:bCs/>
          <w:rtl/>
        </w:rPr>
        <w:sectPr w:rsidR="00000000">
          <w:headerReference w:type="default" r:id="rId7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>
        <w:rPr>
          <w:rFonts w:cs="David"/>
          <w:b/>
          <w:bCs/>
          <w:rtl/>
        </w:rPr>
        <w:t>נוסח לא מתוקן</w:t>
      </w:r>
    </w:p>
    <w:p w:rsidR="00000000" w:rsidRDefault="00A92166">
      <w:pPr>
        <w:ind w:firstLine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מושב</w:t>
      </w:r>
      <w:r>
        <w:rPr>
          <w:rFonts w:cs="David"/>
          <w:b/>
          <w:bCs/>
          <w:rtl/>
        </w:rPr>
        <w:t xml:space="preserve"> רביעי</w:t>
      </w:r>
    </w:p>
    <w:p w:rsidR="00000000" w:rsidRDefault="00A92166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A92166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A92166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A92166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vanish/>
          <w:highlight w:val="yellow"/>
          <w:rtl/>
        </w:rPr>
        <w:t>&lt;</w:t>
      </w:r>
      <w:r>
        <w:rPr>
          <w:rFonts w:cs="David"/>
          <w:b/>
          <w:bCs/>
          <w:rtl/>
        </w:rPr>
        <w:t>פרוטוקול מס' 747</w:t>
      </w:r>
      <w:r>
        <w:rPr>
          <w:rFonts w:cs="David"/>
          <w:b/>
          <w:bCs/>
          <w:vanish/>
          <w:highlight w:val="yellow"/>
          <w:rtl/>
        </w:rPr>
        <w:t>&gt;</w:t>
      </w:r>
    </w:p>
    <w:p w:rsidR="00000000" w:rsidRDefault="00A92166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מישיבת ועדת העבודה, הרווחה והבריאות </w:t>
      </w:r>
    </w:p>
    <w:p w:rsidR="00000000" w:rsidRDefault="00A92166">
      <w:pPr>
        <w:ind w:firstLine="0"/>
        <w:jc w:val="center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 xml:space="preserve"> יום שני, כ"ו בתמוז התשע"ב (16 ביולי 2012), שעה 10:00</w:t>
      </w:r>
    </w:p>
    <w:p w:rsidR="00000000" w:rsidRDefault="00A92166">
      <w:pPr>
        <w:ind w:firstLine="0"/>
        <w:rPr>
          <w:rFonts w:cs="David"/>
          <w:rtl/>
        </w:rPr>
      </w:pPr>
    </w:p>
    <w:p w:rsidR="00000000" w:rsidRDefault="00A92166">
      <w:pPr>
        <w:ind w:firstLine="0"/>
        <w:rPr>
          <w:rFonts w:cs="David"/>
          <w:rtl/>
        </w:rPr>
      </w:pPr>
    </w:p>
    <w:p w:rsidR="00000000" w:rsidRDefault="00A92166">
      <w:pPr>
        <w:ind w:firstLine="0"/>
        <w:rPr>
          <w:rFonts w:cs="David"/>
          <w:rtl/>
        </w:rPr>
      </w:pPr>
    </w:p>
    <w:p w:rsidR="00000000" w:rsidRDefault="00A92166">
      <w:pPr>
        <w:ind w:firstLine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סדר היום: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A92166">
      <w:pPr>
        <w:ind w:firstLine="0"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הצעת חוק שכר שווה לעובדת ולעובד (תיקון מס' 2) (הארכת תקופת ההתיישנות בתובענה לקבלת הפרשי שכר או גמול אחר), התשע"ב-2012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ind w:firstLine="0"/>
        <w:rPr>
          <w:rFonts w:cs="David"/>
          <w:rtl/>
        </w:rPr>
      </w:pPr>
    </w:p>
    <w:p w:rsidR="00000000" w:rsidRDefault="00A92166">
      <w:pPr>
        <w:ind w:firstLine="0"/>
        <w:rPr>
          <w:rFonts w:cs="David"/>
          <w:rtl/>
        </w:rPr>
      </w:pPr>
    </w:p>
    <w:p w:rsidR="00000000" w:rsidRDefault="00A92166">
      <w:pPr>
        <w:ind w:firstLine="0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A92166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חברי הוועדה: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p w:rsidR="00000000" w:rsidRDefault="00A92166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חיים כץ – היו"ר</w:t>
      </w:r>
    </w:p>
    <w:p w:rsidR="00000000" w:rsidRDefault="00A92166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רחל אדטו</w:t>
      </w:r>
    </w:p>
    <w:p w:rsidR="00000000" w:rsidRDefault="00A92166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דליה איציק</w:t>
      </w:r>
    </w:p>
    <w:p w:rsidR="00000000" w:rsidRDefault="00A92166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אריה אלדד</w:t>
      </w:r>
    </w:p>
    <w:p w:rsidR="00000000" w:rsidRDefault="00A92166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אורלי לוי אבקסיס</w:t>
      </w:r>
    </w:p>
    <w:p w:rsidR="00000000" w:rsidRDefault="00A92166">
      <w:pPr>
        <w:ind w:firstLine="0"/>
        <w:outlineLvl w:val="0"/>
        <w:rPr>
          <w:rFonts w:cs="David"/>
          <w:u w:val="single"/>
        </w:rPr>
      </w:pPr>
    </w:p>
    <w:p w:rsidR="00000000" w:rsidRDefault="00A92166">
      <w:pPr>
        <w:ind w:firstLine="0"/>
        <w:outlineLvl w:val="0"/>
        <w:rPr>
          <w:rFonts w:cs="David"/>
          <w:rtl/>
        </w:rPr>
      </w:pPr>
    </w:p>
    <w:p w:rsidR="00000000" w:rsidRDefault="00A92166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מוזמנים: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tbl>
      <w:tblPr>
        <w:bidiVisual/>
        <w:tblW w:w="0" w:type="auto"/>
        <w:jc w:val="right"/>
        <w:tblLook w:val="0000" w:firstRow="0" w:lastRow="0" w:firstColumn="0" w:lastColumn="0" w:noHBand="0" w:noVBand="0"/>
      </w:tblPr>
      <w:tblGrid>
        <w:gridCol w:w="2109"/>
        <w:gridCol w:w="336"/>
        <w:gridCol w:w="5017"/>
      </w:tblGrid>
      <w:tr w:rsidR="00A92166" w:rsidTr="00A92166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דן אורן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משרד המשפטים</w:t>
            </w:r>
          </w:p>
        </w:tc>
      </w:tr>
      <w:tr w:rsidR="00A92166" w:rsidTr="00A92166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מוחמד מסאלחה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הרשות לקידום מעמד האישה, משרד ראש הממשלה</w:t>
            </w:r>
          </w:p>
        </w:tc>
      </w:tr>
      <w:tr w:rsidR="00A92166" w:rsidTr="00A92166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דוד ימין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הלשכה המשפטית, משרד התעשייה, המסחר והתעסוקה</w:t>
            </w:r>
          </w:p>
        </w:tc>
      </w:tr>
      <w:tr w:rsidR="00A92166" w:rsidTr="00A92166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ד"ר אלי יריב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ההסתדרות החדשה</w:t>
            </w:r>
          </w:p>
        </w:tc>
      </w:tr>
      <w:tr w:rsidR="00A92166" w:rsidTr="00A92166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ורד וייץ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ההסתדרות החדשה</w:t>
            </w:r>
          </w:p>
        </w:tc>
      </w:tr>
      <w:tr w:rsidR="00A92166" w:rsidTr="00A92166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דנה נאור מנדאל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המחלקה המשפטית, שדולת הנשים בישראל</w:t>
            </w:r>
          </w:p>
        </w:tc>
      </w:tr>
      <w:tr w:rsidR="00A92166" w:rsidTr="00A92166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מאירה בסוק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נעמ"ת</w:t>
            </w:r>
          </w:p>
        </w:tc>
      </w:tr>
      <w:tr w:rsidR="00A92166" w:rsidTr="00A92166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חזקיה ישראל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92166" w:rsidRDefault="00A92166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התאחדות התעשיינים</w:t>
            </w:r>
          </w:p>
        </w:tc>
      </w:tr>
    </w:tbl>
    <w:p w:rsidR="00000000" w:rsidRDefault="00A92166">
      <w:pPr>
        <w:ind w:firstLine="0"/>
        <w:outlineLvl w:val="0"/>
        <w:rPr>
          <w:rFonts w:cs="David"/>
          <w:rtl/>
        </w:rPr>
      </w:pPr>
    </w:p>
    <w:p w:rsidR="00000000" w:rsidRDefault="00A92166">
      <w:pPr>
        <w:ind w:firstLine="0"/>
        <w:outlineLvl w:val="0"/>
        <w:rPr>
          <w:rFonts w:cs="David"/>
          <w:rtl/>
        </w:rPr>
      </w:pPr>
    </w:p>
    <w:p w:rsidR="00000000" w:rsidRDefault="00A92166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ייעוץ משפטי:</w:t>
      </w:r>
      <w:r>
        <w:rPr>
          <w:rFonts w:cs="David"/>
          <w:rtl/>
        </w:rPr>
        <w:t xml:space="preserve"> 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ind w:firstLine="0"/>
        <w:outlineLvl w:val="0"/>
        <w:rPr>
          <w:rFonts w:cs="David"/>
        </w:rPr>
      </w:pPr>
      <w:r>
        <w:rPr>
          <w:rFonts w:cs="David"/>
          <w:rtl/>
        </w:rPr>
        <w:t>נועה בן שבת</w:t>
      </w:r>
    </w:p>
    <w:p w:rsidR="00000000" w:rsidRDefault="00A92166">
      <w:pPr>
        <w:ind w:firstLine="0"/>
        <w:outlineLvl w:val="0"/>
        <w:rPr>
          <w:rFonts w:cs="David"/>
          <w:rtl/>
        </w:rPr>
      </w:pPr>
    </w:p>
    <w:p w:rsidR="00000000" w:rsidRDefault="00A92166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מנהלת הוועדה: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A92166">
      <w:pPr>
        <w:ind w:firstLine="0"/>
        <w:outlineLvl w:val="0"/>
        <w:rPr>
          <w:rFonts w:cs="David"/>
          <w:u w:val="single"/>
        </w:rPr>
      </w:pPr>
      <w:r>
        <w:rPr>
          <w:rFonts w:cs="David"/>
          <w:rtl/>
        </w:rPr>
        <w:t>וילמה מאור</w:t>
      </w:r>
    </w:p>
    <w:p w:rsidR="00000000" w:rsidRDefault="00A92166">
      <w:pPr>
        <w:ind w:firstLine="0"/>
        <w:outlineLvl w:val="0"/>
        <w:rPr>
          <w:rFonts w:cs="David"/>
          <w:rtl/>
        </w:rPr>
      </w:pPr>
    </w:p>
    <w:p w:rsidR="00000000" w:rsidRDefault="00A92166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קצרנית פרלמנטרית: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A92166">
      <w:pPr>
        <w:ind w:firstLine="0"/>
        <w:rPr>
          <w:rFonts w:cs="David"/>
          <w:rtl/>
        </w:rPr>
      </w:pPr>
      <w:r>
        <w:rPr>
          <w:rFonts w:cs="David"/>
          <w:rtl/>
        </w:rPr>
        <w:t>חבר המתרגמים – אהובה שרון</w:t>
      </w:r>
    </w:p>
    <w:p w:rsidR="00000000" w:rsidRDefault="00A92166">
      <w:pPr>
        <w:pStyle w:val="a7"/>
        <w:keepNext/>
        <w:rPr>
          <w:rFonts w:cs="David"/>
        </w:rPr>
      </w:pPr>
      <w:r>
        <w:rPr>
          <w:rFonts w:cs="David"/>
          <w:rtl/>
        </w:rPr>
        <w:br w:type="page"/>
      </w:r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הצעת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שווה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לעובדת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ולעובד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תיקון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מס</w:t>
      </w:r>
      <w:r>
        <w:rPr>
          <w:rFonts w:cs="David"/>
          <w:rtl/>
        </w:rPr>
        <w:t>' 2) (</w:t>
      </w:r>
      <w:r>
        <w:rPr>
          <w:rFonts w:cs="David" w:hint="eastAsia"/>
          <w:rtl/>
        </w:rPr>
        <w:t>הארכת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תקופת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ההתיישנות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בתובענה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לקבלת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הפרשי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שכר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גמול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אחר</w:t>
      </w:r>
      <w:r>
        <w:rPr>
          <w:rFonts w:cs="David"/>
          <w:rtl/>
        </w:rPr>
        <w:t xml:space="preserve">), </w:t>
      </w:r>
      <w:r>
        <w:rPr>
          <w:rFonts w:cs="David" w:hint="eastAsia"/>
          <w:rtl/>
        </w:rPr>
        <w:t>התשע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ב</w:t>
      </w:r>
      <w:r>
        <w:rPr>
          <w:rFonts w:cs="David"/>
          <w:rtl/>
        </w:rPr>
        <w:t>-2012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</w:p>
    <w:p w:rsidR="00000000" w:rsidRDefault="00A92166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בוקר טוב. אנחנו פותחים שבוע חדש. יום שני, כ"ו בתמוז, </w:t>
      </w:r>
      <w:bookmarkStart w:id="1" w:name="_ETM_Q1_8654"/>
      <w:bookmarkEnd w:id="1"/>
      <w:r>
        <w:rPr>
          <w:rFonts w:cs="David"/>
          <w:rtl/>
        </w:rPr>
        <w:t>ה-16 ביולי</w:t>
      </w:r>
      <w:r>
        <w:rPr>
          <w:rFonts w:cs="David"/>
          <w:rtl/>
        </w:rPr>
        <w:t xml:space="preserve"> 2012. אני מתכבד לפתוח את ישיבת ועדת העבודה, </w:t>
      </w:r>
      <w:bookmarkStart w:id="2" w:name="_ETM_Q1_15798"/>
      <w:bookmarkEnd w:id="2"/>
      <w:r>
        <w:rPr>
          <w:rFonts w:cs="David"/>
          <w:rtl/>
        </w:rPr>
        <w:t xml:space="preserve">הרווחה והבריאות. על סדר היום הצעת חוק שכר שווה לעובדת ולעובד (תיקון מס' 2) (הארכת תקופת ההתיישנות בתובענה לקבלת הפרשי שכר או גמול אחר), התשע"ב-2012, של חברת הכנסת </w:t>
      </w:r>
      <w:bookmarkStart w:id="3" w:name="_ETM_Q1_29811"/>
      <w:bookmarkEnd w:id="3"/>
      <w:r>
        <w:rPr>
          <w:rFonts w:cs="David"/>
          <w:rtl/>
        </w:rPr>
        <w:t>דליה איציק וחבר הכנסת חיים כץ.</w:t>
      </w:r>
    </w:p>
    <w:p w:rsidR="00000000" w:rsidRDefault="00A92166">
      <w:pPr>
        <w:rPr>
          <w:rFonts w:cs="David"/>
          <w:rtl/>
        </w:rPr>
      </w:pPr>
      <w:bookmarkStart w:id="4" w:name="_ETM_Q1_30847"/>
      <w:bookmarkEnd w:id="4"/>
    </w:p>
    <w:p w:rsidR="00000000" w:rsidRDefault="00A92166">
      <w:pPr>
        <w:rPr>
          <w:rFonts w:cs="David"/>
          <w:rtl/>
        </w:rPr>
      </w:pPr>
      <w:bookmarkStart w:id="5" w:name="_ETM_Q1_31529"/>
      <w:bookmarkEnd w:id="5"/>
      <w:r>
        <w:rPr>
          <w:rFonts w:cs="David"/>
          <w:rtl/>
        </w:rPr>
        <w:t>לפני שבוע העברנו את הצעת החוק בקריאה ראשונה</w:t>
      </w:r>
      <w:bookmarkStart w:id="6" w:name="_ETM_Q1_42094"/>
      <w:bookmarkEnd w:id="6"/>
      <w:r>
        <w:rPr>
          <w:rFonts w:cs="David"/>
          <w:rtl/>
        </w:rPr>
        <w:t xml:space="preserve">. אנחנו מדברים על תשלומי הפרשים בגין פגיעה בשכר לתקופה </w:t>
      </w:r>
      <w:bookmarkStart w:id="7" w:name="_ETM_Q1_44771"/>
      <w:bookmarkEnd w:id="7"/>
      <w:r>
        <w:rPr>
          <w:rFonts w:cs="David"/>
          <w:rtl/>
        </w:rPr>
        <w:t>של שבע שנים. דיברנ</w:t>
      </w:r>
      <w:r>
        <w:rPr>
          <w:rFonts w:cs="David"/>
          <w:rtl/>
        </w:rPr>
        <w:t>ו עם משרד המשפטים ונשמע את תשובתו.</w:t>
      </w:r>
    </w:p>
    <w:p w:rsidR="00000000" w:rsidRDefault="00A92166">
      <w:pPr>
        <w:rPr>
          <w:rFonts w:cs="David"/>
          <w:rtl/>
        </w:rPr>
      </w:pPr>
      <w:bookmarkStart w:id="8" w:name="_ETM_Q1_59177"/>
      <w:bookmarkEnd w:id="8"/>
    </w:p>
    <w:p w:rsidR="00000000" w:rsidRDefault="00A92166">
      <w:pPr>
        <w:pStyle w:val="afb"/>
        <w:keepNext/>
        <w:rPr>
          <w:rFonts w:cs="David"/>
          <w:rtl/>
        </w:rPr>
      </w:pPr>
      <w:bookmarkStart w:id="9" w:name="_ETM_Q1_59610"/>
      <w:bookmarkStart w:id="10" w:name="_ETM_Q1_60195"/>
      <w:bookmarkEnd w:id="9"/>
      <w:bookmarkEnd w:id="1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אורן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העמדה </w:t>
      </w:r>
      <w:bookmarkStart w:id="11" w:name="_ETM_Q1_72884"/>
      <w:bookmarkEnd w:id="11"/>
      <w:r>
        <w:rPr>
          <w:rFonts w:cs="David"/>
          <w:rtl/>
        </w:rPr>
        <w:t xml:space="preserve">שלנו היא שאם רוצים כעת – ואני מבין </w:t>
      </w:r>
      <w:bookmarkStart w:id="12" w:name="_ETM_Q1_79639"/>
      <w:bookmarkEnd w:id="12"/>
      <w:r>
        <w:rPr>
          <w:rFonts w:cs="David"/>
          <w:rtl/>
        </w:rPr>
        <w:t>שיש רצון – לקדם את ההליכה בצורה מזורז</w:t>
      </w:r>
      <w:r>
        <w:rPr>
          <w:rFonts w:cs="David"/>
          <w:rtl/>
        </w:rPr>
        <w:t xml:space="preserve">ת ולאשר את </w:t>
      </w:r>
      <w:bookmarkStart w:id="13" w:name="_ETM_Q1_85015"/>
      <w:bookmarkEnd w:id="13"/>
      <w:r>
        <w:rPr>
          <w:rFonts w:cs="David"/>
          <w:rtl/>
        </w:rPr>
        <w:t xml:space="preserve">הצעת החוק לקריאה שנייה ושלישית, מבחינתנו, אם זה המהלך </w:t>
      </w:r>
      <w:bookmarkStart w:id="14" w:name="_ETM_Q1_93131"/>
      <w:bookmarkEnd w:id="14"/>
      <w:r>
        <w:rPr>
          <w:rFonts w:cs="David"/>
          <w:rtl/>
        </w:rPr>
        <w:t xml:space="preserve">אליו הולכים, יש מקום להאריך את תקופת ההתיישנות לשלוש שנים </w:t>
      </w:r>
      <w:bookmarkStart w:id="15" w:name="_ETM_Q1_100074"/>
      <w:bookmarkEnd w:id="15"/>
      <w:r>
        <w:rPr>
          <w:rFonts w:cs="David"/>
          <w:rtl/>
        </w:rPr>
        <w:t>ולא יותר.</w:t>
      </w:r>
    </w:p>
    <w:p w:rsidR="00000000" w:rsidRDefault="00A92166">
      <w:pPr>
        <w:rPr>
          <w:rFonts w:cs="David"/>
          <w:rtl/>
        </w:rPr>
      </w:pPr>
      <w:bookmarkStart w:id="16" w:name="_ETM_Q1_102258"/>
      <w:bookmarkEnd w:id="16"/>
    </w:p>
    <w:p w:rsidR="00000000" w:rsidRDefault="00A92166">
      <w:pPr>
        <w:pStyle w:val="af8"/>
        <w:keepNext/>
        <w:rPr>
          <w:rFonts w:cs="David"/>
          <w:rtl/>
        </w:rPr>
      </w:pPr>
      <w:bookmarkStart w:id="17" w:name="_ETM_Q1_103381"/>
      <w:bookmarkEnd w:id="1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>דיברת עם גלעד?</w:t>
      </w:r>
    </w:p>
    <w:p w:rsidR="00000000" w:rsidRDefault="00A92166">
      <w:pPr>
        <w:rPr>
          <w:rFonts w:cs="David"/>
          <w:rtl/>
        </w:rPr>
      </w:pPr>
      <w:bookmarkStart w:id="18" w:name="_ETM_Q1_102073"/>
      <w:bookmarkEnd w:id="18"/>
    </w:p>
    <w:p w:rsidR="00000000" w:rsidRDefault="00A92166">
      <w:pPr>
        <w:pStyle w:val="afb"/>
        <w:keepNext/>
        <w:rPr>
          <w:rFonts w:cs="David"/>
          <w:rtl/>
        </w:rPr>
      </w:pPr>
      <w:bookmarkStart w:id="19" w:name="_ETM_Q1_102465"/>
      <w:bookmarkStart w:id="20" w:name="_ETM_Q1_103219"/>
      <w:bookmarkEnd w:id="19"/>
      <w:bookmarkEnd w:id="2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אורן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>כן. לפני חצי שעה.</w:t>
      </w:r>
    </w:p>
    <w:p w:rsidR="00000000" w:rsidRDefault="00A92166">
      <w:pPr>
        <w:rPr>
          <w:rFonts w:cs="David"/>
          <w:rtl/>
        </w:rPr>
      </w:pPr>
      <w:bookmarkStart w:id="21" w:name="_ETM_Q1_108108"/>
      <w:bookmarkEnd w:id="21"/>
    </w:p>
    <w:p w:rsidR="00000000" w:rsidRDefault="00A92166">
      <w:pPr>
        <w:pStyle w:val="af8"/>
        <w:keepNext/>
        <w:rPr>
          <w:rFonts w:cs="David"/>
          <w:rtl/>
        </w:rPr>
      </w:pPr>
      <w:bookmarkStart w:id="22" w:name="_ETM_Q1_108469"/>
      <w:bookmarkEnd w:id="2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למה הוא לא בא </w:t>
      </w:r>
      <w:bookmarkStart w:id="23" w:name="_ETM_Q1_106804"/>
      <w:bookmarkEnd w:id="23"/>
      <w:r>
        <w:rPr>
          <w:rFonts w:cs="David"/>
          <w:rtl/>
        </w:rPr>
        <w:t>לכאן?</w:t>
      </w:r>
    </w:p>
    <w:p w:rsidR="00000000" w:rsidRDefault="00A92166">
      <w:pPr>
        <w:rPr>
          <w:rFonts w:cs="David"/>
          <w:rtl/>
        </w:rPr>
      </w:pPr>
      <w:bookmarkStart w:id="24" w:name="_ETM_Q1_107618"/>
      <w:bookmarkEnd w:id="24"/>
    </w:p>
    <w:p w:rsidR="00000000" w:rsidRDefault="00A92166">
      <w:pPr>
        <w:pStyle w:val="afb"/>
        <w:keepNext/>
        <w:rPr>
          <w:rFonts w:cs="David"/>
          <w:rtl/>
        </w:rPr>
      </w:pPr>
      <w:bookmarkStart w:id="25" w:name="_ETM_Q1_107974"/>
      <w:bookmarkEnd w:id="2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אורן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אינני יודע. </w:t>
      </w:r>
    </w:p>
    <w:p w:rsidR="00000000" w:rsidRDefault="00A92166">
      <w:pPr>
        <w:rPr>
          <w:rFonts w:cs="David"/>
          <w:rtl/>
        </w:rPr>
      </w:pPr>
      <w:bookmarkStart w:id="26" w:name="_ETM_Q1_113911"/>
      <w:bookmarkEnd w:id="26"/>
    </w:p>
    <w:p w:rsidR="00000000" w:rsidRDefault="00A92166">
      <w:pPr>
        <w:pStyle w:val="af8"/>
        <w:keepNext/>
        <w:rPr>
          <w:rFonts w:cs="David"/>
          <w:rtl/>
        </w:rPr>
      </w:pPr>
      <w:bookmarkStart w:id="27" w:name="_ETM_Q1_114407"/>
      <w:bookmarkEnd w:id="2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הוא התחייב כאן לפחות לחמש </w:t>
      </w:r>
      <w:bookmarkStart w:id="28" w:name="_ETM_Q1_115902"/>
      <w:bookmarkEnd w:id="28"/>
      <w:r>
        <w:rPr>
          <w:rFonts w:cs="David"/>
          <w:rtl/>
        </w:rPr>
        <w:t>שנים.</w:t>
      </w:r>
    </w:p>
    <w:p w:rsidR="00000000" w:rsidRDefault="00A92166">
      <w:pPr>
        <w:rPr>
          <w:rFonts w:cs="David"/>
          <w:rtl/>
        </w:rPr>
      </w:pPr>
      <w:bookmarkStart w:id="29" w:name="_ETM_Q1_117210"/>
      <w:bookmarkEnd w:id="29"/>
    </w:p>
    <w:p w:rsidR="00000000" w:rsidRDefault="00A92166">
      <w:pPr>
        <w:pStyle w:val="afb"/>
        <w:keepNext/>
        <w:rPr>
          <w:rFonts w:cs="David"/>
          <w:rtl/>
        </w:rPr>
      </w:pPr>
      <w:bookmarkStart w:id="30" w:name="_ETM_Q1_117589"/>
      <w:bookmarkStart w:id="31" w:name="_ETM_Q1_118460"/>
      <w:bookmarkEnd w:id="30"/>
      <w:bookmarkEnd w:id="3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אורן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>התמיכה של הממשלה.</w:t>
      </w:r>
    </w:p>
    <w:p w:rsidR="00000000" w:rsidRDefault="00A92166">
      <w:pPr>
        <w:rPr>
          <w:rFonts w:cs="David"/>
          <w:rtl/>
        </w:rPr>
      </w:pPr>
      <w:bookmarkStart w:id="32" w:name="_ETM_Q1_121552"/>
      <w:bookmarkEnd w:id="32"/>
    </w:p>
    <w:p w:rsidR="00000000" w:rsidRDefault="00A92166">
      <w:pPr>
        <w:pStyle w:val="af8"/>
        <w:keepNext/>
        <w:rPr>
          <w:rFonts w:cs="David"/>
          <w:rtl/>
        </w:rPr>
      </w:pPr>
      <w:bookmarkStart w:id="33" w:name="_ETM_Q1_121986"/>
      <w:bookmarkStart w:id="34" w:name="_ETM_Q1_122736"/>
      <w:bookmarkEnd w:id="33"/>
      <w:bookmarkEnd w:id="3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גלעד אמר לנו בשם הממשלה חמש שנים </w:t>
      </w:r>
      <w:bookmarkStart w:id="35" w:name="_ETM_Q1_124186"/>
      <w:bookmarkEnd w:id="35"/>
      <w:r>
        <w:rPr>
          <w:rFonts w:cs="David"/>
          <w:rtl/>
        </w:rPr>
        <w:t>לפחות. אתה רוצה לעשות הפסקה ולדבר אתו?</w:t>
      </w:r>
    </w:p>
    <w:p w:rsidR="00000000" w:rsidRDefault="00A92166">
      <w:pPr>
        <w:rPr>
          <w:rFonts w:cs="David"/>
          <w:rtl/>
        </w:rPr>
      </w:pPr>
      <w:bookmarkStart w:id="36" w:name="_ETM_Q1_131024"/>
      <w:bookmarkEnd w:id="36"/>
    </w:p>
    <w:p w:rsidR="00000000" w:rsidRDefault="00A92166">
      <w:pPr>
        <w:pStyle w:val="afb"/>
        <w:keepNext/>
        <w:rPr>
          <w:rFonts w:cs="David"/>
          <w:rtl/>
        </w:rPr>
      </w:pPr>
      <w:bookmarkStart w:id="37" w:name="_ETM_Q1_131943"/>
      <w:bookmarkEnd w:id="3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אורן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אפשר אבל אם </w:t>
      </w:r>
      <w:bookmarkStart w:id="38" w:name="_ETM_Q1_136254"/>
      <w:bookmarkEnd w:id="38"/>
      <w:r>
        <w:rPr>
          <w:rFonts w:cs="David"/>
          <w:rtl/>
        </w:rPr>
        <w:t xml:space="preserve">הייתה הסכמה לכך, אני מצטער על כך </w:t>
      </w:r>
      <w:bookmarkStart w:id="39" w:name="_ETM_Q1_141863"/>
      <w:bookmarkEnd w:id="39"/>
      <w:r>
        <w:rPr>
          <w:rFonts w:cs="David"/>
          <w:rtl/>
        </w:rPr>
        <w:t>כי התמיכה של הממשלה היית</w:t>
      </w:r>
      <w:r>
        <w:rPr>
          <w:rFonts w:cs="David"/>
          <w:rtl/>
        </w:rPr>
        <w:t>ה לשלוש שנים.</w:t>
      </w:r>
    </w:p>
    <w:p w:rsidR="00000000" w:rsidRDefault="00A92166">
      <w:pPr>
        <w:rPr>
          <w:rFonts w:cs="David"/>
          <w:rtl/>
        </w:rPr>
      </w:pPr>
      <w:bookmarkStart w:id="40" w:name="_ETM_Q1_138660"/>
      <w:bookmarkEnd w:id="40"/>
    </w:p>
    <w:p w:rsidR="00000000" w:rsidRDefault="00A92166">
      <w:pPr>
        <w:pStyle w:val="af8"/>
        <w:keepNext/>
        <w:rPr>
          <w:rFonts w:cs="David"/>
          <w:rtl/>
        </w:rPr>
      </w:pPr>
      <w:bookmarkStart w:id="41" w:name="_ETM_Q1_139094"/>
      <w:bookmarkStart w:id="42" w:name="_ETM_Q1_140003"/>
      <w:bookmarkEnd w:id="41"/>
      <w:bookmarkEnd w:id="4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אתה מצטער על כך </w:t>
      </w:r>
      <w:bookmarkStart w:id="43" w:name="_ETM_Q1_144178"/>
      <w:bookmarkEnd w:id="43"/>
      <w:r>
        <w:rPr>
          <w:rFonts w:cs="David"/>
          <w:rtl/>
        </w:rPr>
        <w:t>שהייתה הסכמה.</w:t>
      </w:r>
    </w:p>
    <w:p w:rsidR="00000000" w:rsidRDefault="00A92166">
      <w:pPr>
        <w:rPr>
          <w:rFonts w:cs="David"/>
          <w:rtl/>
        </w:rPr>
      </w:pPr>
      <w:bookmarkStart w:id="44" w:name="_ETM_Q1_145677"/>
      <w:bookmarkEnd w:id="44"/>
    </w:p>
    <w:p w:rsidR="00000000" w:rsidRDefault="00A92166">
      <w:pPr>
        <w:pStyle w:val="afb"/>
        <w:keepNext/>
        <w:rPr>
          <w:rFonts w:cs="David"/>
          <w:rtl/>
        </w:rPr>
      </w:pPr>
      <w:bookmarkStart w:id="45" w:name="_ETM_Q1_146014"/>
      <w:bookmarkStart w:id="46" w:name="_ETM_Q1_146581"/>
      <w:bookmarkEnd w:id="45"/>
      <w:bookmarkEnd w:id="46"/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דן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אורן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בשלב הזה. אני אנמק את עמדתנו בכמה משפטים קצרים. </w:t>
      </w:r>
      <w:bookmarkStart w:id="47" w:name="_ETM_Q1_156022"/>
      <w:bookmarkEnd w:id="47"/>
      <w:r>
        <w:rPr>
          <w:rFonts w:cs="David"/>
          <w:rtl/>
        </w:rPr>
        <w:t xml:space="preserve">אנחנו כידוע תומכים בחוקים מחוקים שונים שמקדמים את הזכות </w:t>
      </w:r>
      <w:bookmarkStart w:id="48" w:name="_ETM_Q1_164586"/>
      <w:bookmarkEnd w:id="48"/>
      <w:r>
        <w:rPr>
          <w:rFonts w:cs="David"/>
          <w:rtl/>
        </w:rPr>
        <w:t xml:space="preserve">לשוויון, כולל את הזכות לשוויון בעבודה ברמה של הנורמות וגם </w:t>
      </w:r>
      <w:bookmarkStart w:id="49" w:name="_ETM_Q1_170956"/>
      <w:bookmarkEnd w:id="49"/>
      <w:r>
        <w:rPr>
          <w:rFonts w:cs="David"/>
          <w:rtl/>
        </w:rPr>
        <w:t xml:space="preserve">ברמה של כל מיני הוראות שבאות לקבוע מנגנוני יישום, </w:t>
      </w:r>
      <w:bookmarkStart w:id="50" w:name="_ETM_Q1_177412"/>
      <w:bookmarkEnd w:id="50"/>
      <w:r>
        <w:rPr>
          <w:rFonts w:cs="David"/>
          <w:rtl/>
        </w:rPr>
        <w:t xml:space="preserve">כולל הקמת נציבות שוויון הזדמנויות בעבודה, כולל החוקים עצמם. יחד </w:t>
      </w:r>
      <w:bookmarkStart w:id="51" w:name="_ETM_Q1_182403"/>
      <w:bookmarkEnd w:id="51"/>
      <w:r>
        <w:rPr>
          <w:rFonts w:cs="David"/>
          <w:rtl/>
        </w:rPr>
        <w:t>עם זאת, אנחנו רואים את התמונה הכוללת.</w:t>
      </w:r>
    </w:p>
    <w:p w:rsidR="00000000" w:rsidRDefault="00A92166">
      <w:pPr>
        <w:rPr>
          <w:rFonts w:cs="David"/>
          <w:rtl/>
        </w:rPr>
      </w:pPr>
      <w:bookmarkStart w:id="52" w:name="_ETM_Q1_187080"/>
      <w:bookmarkEnd w:id="52"/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>כפ</w:t>
      </w:r>
      <w:bookmarkStart w:id="53" w:name="_ETM_Q1_187731"/>
      <w:bookmarkEnd w:id="53"/>
      <w:r>
        <w:rPr>
          <w:rFonts w:cs="David"/>
          <w:rtl/>
        </w:rPr>
        <w:t xml:space="preserve">י שאמרתי קודם, תמיכת הממשלה </w:t>
      </w:r>
      <w:bookmarkStart w:id="54" w:name="_ETM_Q1_187503"/>
      <w:bookmarkEnd w:id="54"/>
      <w:r>
        <w:rPr>
          <w:rFonts w:cs="David"/>
          <w:rtl/>
        </w:rPr>
        <w:t xml:space="preserve">מותנית בהסכמה של המשרדים הנוגעים בדבר, כולל משרד המשפטים. המגמה הכללית של משרד </w:t>
      </w:r>
      <w:bookmarkStart w:id="55" w:name="_ETM_Q1_197473"/>
      <w:bookmarkEnd w:id="55"/>
      <w:r>
        <w:rPr>
          <w:rFonts w:cs="David"/>
          <w:rtl/>
        </w:rPr>
        <w:t xml:space="preserve">המשפטים לגבי תקופות התיישנות היא לקצר </w:t>
      </w:r>
      <w:bookmarkStart w:id="56" w:name="_ETM_Q1_203349"/>
      <w:bookmarkEnd w:id="56"/>
      <w:r>
        <w:rPr>
          <w:rFonts w:cs="David"/>
          <w:rtl/>
        </w:rPr>
        <w:t xml:space="preserve">תקופות התיישנות. שנית, בקשר לחוקי שוויון בעבודה, חוק שכר </w:t>
      </w:r>
      <w:bookmarkStart w:id="57" w:name="_ETM_Q1_211151"/>
      <w:bookmarkEnd w:id="57"/>
      <w:r>
        <w:rPr>
          <w:rFonts w:cs="David"/>
          <w:rtl/>
        </w:rPr>
        <w:t xml:space="preserve">שווה וחוק שוויון הזדמנויות בעבודה, התפיסה של המחוקק עד עכשיו </w:t>
      </w:r>
      <w:bookmarkStart w:id="58" w:name="_ETM_Q1_216790"/>
      <w:bookmarkEnd w:id="58"/>
      <w:r>
        <w:rPr>
          <w:rFonts w:cs="David"/>
          <w:rtl/>
        </w:rPr>
        <w:t xml:space="preserve">הייתה שתקופת ההתיישנות צריכה להיות קצרה, וכך נקבע, בין השאר </w:t>
      </w:r>
      <w:bookmarkStart w:id="59" w:name="_ETM_Q1_220570"/>
      <w:bookmarkEnd w:id="59"/>
      <w:r>
        <w:rPr>
          <w:rFonts w:cs="David"/>
          <w:rtl/>
        </w:rPr>
        <w:t xml:space="preserve">בגלל שיש היפוך של נטל ההוכחה. בדרך כלל </w:t>
      </w:r>
      <w:bookmarkStart w:id="60" w:name="_ETM_Q1_228944"/>
      <w:bookmarkEnd w:id="60"/>
      <w:r>
        <w:rPr>
          <w:rFonts w:cs="David"/>
          <w:rtl/>
        </w:rPr>
        <w:t xml:space="preserve">כידוע נטל ההוכחה הוא על התובע ובחוקי השוויון בעבודה יש </w:t>
      </w:r>
      <w:bookmarkStart w:id="61" w:name="_ETM_Q1_252860"/>
      <w:bookmarkEnd w:id="61"/>
      <w:r>
        <w:rPr>
          <w:rFonts w:cs="David"/>
          <w:rtl/>
        </w:rPr>
        <w:t xml:space="preserve">היפוך נטל, מסיבות טובות כמובן, אבל דיני ההתיישנות נועדו </w:t>
      </w:r>
      <w:bookmarkStart w:id="62" w:name="_ETM_Q1_259133"/>
      <w:bookmarkEnd w:id="62"/>
      <w:r>
        <w:rPr>
          <w:rFonts w:cs="David"/>
          <w:rtl/>
        </w:rPr>
        <w:t>בראש ובראשונה לה</w:t>
      </w:r>
      <w:r>
        <w:rPr>
          <w:rFonts w:cs="David"/>
          <w:rtl/>
        </w:rPr>
        <w:t xml:space="preserve">תחשב בנתבע ובקשיים שלו. כיוון שכל הנטל של </w:t>
      </w:r>
      <w:bookmarkStart w:id="63" w:name="_ETM_Q1_265548"/>
      <w:bookmarkEnd w:id="63"/>
      <w:r>
        <w:rPr>
          <w:rFonts w:cs="David"/>
          <w:rtl/>
        </w:rPr>
        <w:t xml:space="preserve">ההוכחה בהרבה משפטים הוא על הנתבע, התפיסה של המחוקק </w:t>
      </w:r>
      <w:bookmarkStart w:id="64" w:name="_ETM_Q1_273146"/>
      <w:bookmarkEnd w:id="64"/>
      <w:r>
        <w:rPr>
          <w:rFonts w:cs="David"/>
          <w:rtl/>
        </w:rPr>
        <w:t>עד עכשיו הייתה שצריכה להיות תקופת התיישנות קצרה.</w:t>
      </w:r>
    </w:p>
    <w:p w:rsidR="00000000" w:rsidRDefault="00A92166">
      <w:pPr>
        <w:rPr>
          <w:rFonts w:cs="David"/>
          <w:rtl/>
        </w:rPr>
      </w:pPr>
      <w:bookmarkStart w:id="65" w:name="_ETM_Q1_280901"/>
      <w:bookmarkEnd w:id="65"/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>האם להארי</w:t>
      </w:r>
      <w:bookmarkStart w:id="66" w:name="_ETM_Q1_282104"/>
      <w:bookmarkEnd w:id="66"/>
      <w:r>
        <w:rPr>
          <w:rFonts w:cs="David"/>
          <w:rtl/>
        </w:rPr>
        <w:t xml:space="preserve">ך את זה לשבע שנים? זה מצריך בדיקה שלא נוכל לקיים בלוח זמנים </w:t>
      </w:r>
      <w:bookmarkStart w:id="67" w:name="_ETM_Q1_287543"/>
      <w:bookmarkEnd w:id="67"/>
      <w:r>
        <w:rPr>
          <w:rFonts w:cs="David"/>
          <w:rtl/>
        </w:rPr>
        <w:t>כזה.</w:t>
      </w:r>
    </w:p>
    <w:p w:rsidR="00000000" w:rsidRDefault="00A92166">
      <w:pPr>
        <w:rPr>
          <w:rFonts w:cs="David"/>
          <w:rtl/>
        </w:rPr>
      </w:pPr>
      <w:bookmarkStart w:id="68" w:name="_ETM_Q1_288417"/>
      <w:bookmarkEnd w:id="68"/>
    </w:p>
    <w:p w:rsidR="00000000" w:rsidRDefault="00A92166">
      <w:pPr>
        <w:pStyle w:val="a5"/>
        <w:keepNext/>
        <w:rPr>
          <w:rFonts w:cs="David"/>
          <w:rtl/>
        </w:rPr>
      </w:pPr>
      <w:bookmarkStart w:id="69" w:name="_ETM_Q1_288791"/>
      <w:bookmarkEnd w:id="6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דליה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איציק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>מי זה המחוקק? אתה רואה שהם שינו את דעתם.</w:t>
      </w:r>
    </w:p>
    <w:p w:rsidR="00000000" w:rsidRDefault="00A92166">
      <w:pPr>
        <w:rPr>
          <w:rFonts w:cs="David"/>
          <w:rtl/>
        </w:rPr>
      </w:pPr>
      <w:bookmarkStart w:id="70" w:name="_ETM_Q1_288264"/>
      <w:bookmarkEnd w:id="70"/>
    </w:p>
    <w:p w:rsidR="00000000" w:rsidRDefault="00A92166">
      <w:pPr>
        <w:pStyle w:val="afb"/>
        <w:keepNext/>
        <w:rPr>
          <w:rFonts w:cs="David"/>
          <w:rtl/>
        </w:rPr>
      </w:pPr>
      <w:bookmarkStart w:id="71" w:name="_ETM_Q1_288626"/>
      <w:bookmarkStart w:id="72" w:name="_ETM_Q1_290244"/>
      <w:bookmarkEnd w:id="71"/>
      <w:bookmarkEnd w:id="7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אורן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בסדר, אבל </w:t>
      </w:r>
      <w:bookmarkStart w:id="73" w:name="_ETM_Q1_294960"/>
      <w:bookmarkEnd w:id="73"/>
      <w:r>
        <w:rPr>
          <w:rFonts w:cs="David"/>
          <w:rtl/>
        </w:rPr>
        <w:t>תמיכת הממשלה מותנית בהסכמת משרדי הממשלה.</w:t>
      </w:r>
    </w:p>
    <w:p w:rsidR="00000000" w:rsidRDefault="00A92166">
      <w:pPr>
        <w:rPr>
          <w:rFonts w:cs="David"/>
          <w:rtl/>
        </w:rPr>
      </w:pPr>
      <w:bookmarkStart w:id="74" w:name="_ETM_Q1_301268"/>
      <w:bookmarkEnd w:id="74"/>
    </w:p>
    <w:p w:rsidR="00000000" w:rsidRDefault="00A92166">
      <w:pPr>
        <w:pStyle w:val="a5"/>
        <w:keepNext/>
        <w:rPr>
          <w:rFonts w:cs="David"/>
          <w:rtl/>
        </w:rPr>
      </w:pPr>
      <w:bookmarkStart w:id="75" w:name="_ETM_Q1_301643"/>
      <w:bookmarkEnd w:id="7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דליה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איציק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>הממשלה היא חלק מהמחוקק.</w:t>
      </w:r>
    </w:p>
    <w:p w:rsidR="00000000" w:rsidRDefault="00A92166">
      <w:pPr>
        <w:rPr>
          <w:rFonts w:cs="David"/>
          <w:rtl/>
        </w:rPr>
      </w:pPr>
      <w:bookmarkStart w:id="76" w:name="_ETM_Q1_303855"/>
      <w:bookmarkEnd w:id="76"/>
    </w:p>
    <w:p w:rsidR="00000000" w:rsidRDefault="00A92166">
      <w:pPr>
        <w:pStyle w:val="afb"/>
        <w:keepNext/>
        <w:rPr>
          <w:rFonts w:cs="David"/>
          <w:rtl/>
        </w:rPr>
      </w:pPr>
      <w:bookmarkStart w:id="77" w:name="_ETM_Q1_304320"/>
      <w:bookmarkStart w:id="78" w:name="_ETM_Q1_304713"/>
      <w:bookmarkEnd w:id="77"/>
      <w:bookmarkEnd w:id="7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אורן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בסדר, </w:t>
      </w:r>
      <w:bookmarkStart w:id="79" w:name="_ETM_Q1_306414"/>
      <w:bookmarkEnd w:id="79"/>
      <w:r>
        <w:rPr>
          <w:rFonts w:cs="David"/>
          <w:rtl/>
        </w:rPr>
        <w:t xml:space="preserve">אבל כידוע אם יתקבל כאן נוסח שהוא </w:t>
      </w:r>
      <w:bookmarkStart w:id="80" w:name="_ETM_Q1_314481"/>
      <w:bookmarkEnd w:id="80"/>
      <w:r>
        <w:rPr>
          <w:rFonts w:cs="David"/>
          <w:rtl/>
        </w:rPr>
        <w:t>בניגוד לעמדת הממשלה, הממשלה תהיה רשאית להפעיל את הכלים שלה.</w:t>
      </w:r>
    </w:p>
    <w:p w:rsidR="00000000" w:rsidRDefault="00A92166">
      <w:pPr>
        <w:rPr>
          <w:rFonts w:cs="David"/>
          <w:rtl/>
        </w:rPr>
      </w:pPr>
      <w:bookmarkStart w:id="81" w:name="_ETM_Q1_335960"/>
      <w:bookmarkEnd w:id="81"/>
    </w:p>
    <w:p w:rsidR="00000000" w:rsidRDefault="00A92166">
      <w:pPr>
        <w:rPr>
          <w:rFonts w:cs="David"/>
          <w:rtl/>
        </w:rPr>
      </w:pPr>
      <w:bookmarkStart w:id="82" w:name="_ETM_Q1_336393"/>
      <w:bookmarkEnd w:id="82"/>
      <w:r>
        <w:rPr>
          <w:rFonts w:cs="David"/>
          <w:rtl/>
        </w:rPr>
        <w:t xml:space="preserve">אני </w:t>
      </w:r>
      <w:bookmarkStart w:id="83" w:name="_ETM_Q1_337771"/>
      <w:bookmarkEnd w:id="83"/>
      <w:r>
        <w:rPr>
          <w:rFonts w:cs="David"/>
          <w:rtl/>
        </w:rPr>
        <w:t xml:space="preserve">אומר דברים אחרי שהדברים נדונו במשרד. אמרתי שמכמה וכמה סיבות </w:t>
      </w:r>
      <w:bookmarkStart w:id="84" w:name="_ETM_Q1_346607"/>
      <w:bookmarkEnd w:id="84"/>
      <w:r>
        <w:rPr>
          <w:rFonts w:cs="David"/>
          <w:rtl/>
        </w:rPr>
        <w:t xml:space="preserve">להאריך בשבע שנים, זה מצריך בדיקה שלא נוכל לקיים בלוחות </w:t>
      </w:r>
      <w:bookmarkStart w:id="85" w:name="_ETM_Q1_352292"/>
      <w:bookmarkEnd w:id="85"/>
      <w:r>
        <w:rPr>
          <w:rFonts w:cs="David"/>
          <w:rtl/>
        </w:rPr>
        <w:t>הזמנים האלה. אנחנו כן נוכל</w:t>
      </w:r>
      <w:r>
        <w:rPr>
          <w:rFonts w:cs="David"/>
          <w:rtl/>
        </w:rPr>
        <w:t xml:space="preserve"> להסכים להאריך לשלוש שנים כיוון </w:t>
      </w:r>
      <w:bookmarkStart w:id="86" w:name="_ETM_Q1_355667"/>
      <w:bookmarkEnd w:id="86"/>
      <w:r>
        <w:rPr>
          <w:rFonts w:cs="David"/>
          <w:rtl/>
        </w:rPr>
        <w:t xml:space="preserve">שזאת התקופה שנקבעה בחוק שהוא מאוד דומה לחוק שרוצים לתקן </w:t>
      </w:r>
      <w:bookmarkStart w:id="87" w:name="_ETM_Q1_363183"/>
      <w:bookmarkEnd w:id="87"/>
      <w:r>
        <w:rPr>
          <w:rFonts w:cs="David"/>
          <w:rtl/>
        </w:rPr>
        <w:t xml:space="preserve">כאן שזה חוק שוויון הזדמנויות בעבודה. בחוק שוויון הזדמנויות בעבודה </w:t>
      </w:r>
      <w:bookmarkStart w:id="88" w:name="_ETM_Q1_366025"/>
      <w:bookmarkEnd w:id="88"/>
      <w:r>
        <w:rPr>
          <w:rFonts w:cs="David"/>
          <w:rtl/>
        </w:rPr>
        <w:t xml:space="preserve">יש תקופת התיישנות </w:t>
      </w:r>
      <w:r>
        <w:rPr>
          <w:rFonts w:cs="David"/>
          <w:rtl/>
        </w:rPr>
        <w:t xml:space="preserve">של שלוש שנים. להסכים להאריך משנתיים לשלוש, </w:t>
      </w:r>
      <w:bookmarkStart w:id="89" w:name="_ETM_Q1_371297"/>
      <w:bookmarkEnd w:id="89"/>
      <w:r>
        <w:rPr>
          <w:rFonts w:cs="David"/>
          <w:rtl/>
        </w:rPr>
        <w:t xml:space="preserve">נראה לנו מהלך שלא מצריך בדיקה מיוחדת ומהלך שאפשר לעשות אתו הליכי חקיקה מזורזים. לא אחת אנחנו עומדים </w:t>
      </w:r>
      <w:bookmarkStart w:id="90" w:name="_ETM_Q1_382734"/>
      <w:bookmarkEnd w:id="90"/>
      <w:r>
        <w:rPr>
          <w:rFonts w:cs="David"/>
          <w:rtl/>
        </w:rPr>
        <w:t xml:space="preserve">על כך שלהליכי חקיקה מזורזים יש מחיר מסוים. באותה מידה </w:t>
      </w:r>
      <w:bookmarkStart w:id="91" w:name="_ETM_Q1_390858"/>
      <w:bookmarkEnd w:id="91"/>
      <w:r>
        <w:rPr>
          <w:rFonts w:cs="David"/>
          <w:rtl/>
        </w:rPr>
        <w:t>אפשר להחליט שזה אושר בקריאה ראשונה, שנותנים למשרדי הממשלה לבדוק</w:t>
      </w:r>
      <w:bookmarkStart w:id="92" w:name="_ETM_Q1_398557"/>
      <w:bookmarkEnd w:id="92"/>
      <w:r>
        <w:rPr>
          <w:rFonts w:cs="David"/>
          <w:rtl/>
        </w:rPr>
        <w:t xml:space="preserve"> באופן רציני את האפשרות להאריך לשבע שנים מבלי כמובן להתחייב </w:t>
      </w:r>
      <w:bookmarkStart w:id="93" w:name="_ETM_Q1_404166"/>
      <w:bookmarkEnd w:id="93"/>
      <w:r>
        <w:rPr>
          <w:rFonts w:cs="David"/>
          <w:rtl/>
        </w:rPr>
        <w:t>ולא מאשרים את הצעת החוק בקריאה שנייה ושלישית.</w:t>
      </w:r>
    </w:p>
    <w:p w:rsidR="00000000" w:rsidRDefault="00A92166">
      <w:pPr>
        <w:rPr>
          <w:rFonts w:cs="David"/>
          <w:rtl/>
        </w:rPr>
      </w:pPr>
      <w:bookmarkStart w:id="94" w:name="_ETM_Q1_332285"/>
      <w:bookmarkEnd w:id="94"/>
    </w:p>
    <w:p w:rsidR="00000000" w:rsidRDefault="00A92166">
      <w:pPr>
        <w:pStyle w:val="af8"/>
        <w:keepNext/>
        <w:rPr>
          <w:rFonts w:cs="David"/>
          <w:rtl/>
        </w:rPr>
      </w:pPr>
      <w:bookmarkStart w:id="95" w:name="_ETM_Q1_332721"/>
      <w:bookmarkStart w:id="96" w:name="_ETM_Q1_333401"/>
      <w:bookmarkEnd w:id="95"/>
      <w:bookmarkEnd w:id="9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bookmarkStart w:id="97" w:name="_ETM_Q1_407520"/>
      <w:bookmarkEnd w:id="97"/>
      <w:r>
        <w:rPr>
          <w:rFonts w:cs="David"/>
          <w:rtl/>
        </w:rPr>
        <w:t xml:space="preserve">תודה רבה. יש </w:t>
      </w:r>
      <w:bookmarkStart w:id="98" w:name="_ETM_Q1_410395"/>
      <w:bookmarkEnd w:id="98"/>
      <w:r>
        <w:rPr>
          <w:rFonts w:cs="David"/>
          <w:rtl/>
        </w:rPr>
        <w:t>עוד מישהו שרוצה לומר משהו?</w:t>
      </w:r>
    </w:p>
    <w:p w:rsidR="00000000" w:rsidRDefault="00A92166">
      <w:pPr>
        <w:rPr>
          <w:rFonts w:cs="David"/>
          <w:rtl/>
        </w:rPr>
      </w:pPr>
      <w:bookmarkStart w:id="99" w:name="_ETM_Q1_412092"/>
      <w:bookmarkEnd w:id="99"/>
    </w:p>
    <w:p w:rsidR="00000000" w:rsidRDefault="00A92166">
      <w:pPr>
        <w:pStyle w:val="afb"/>
        <w:keepNext/>
        <w:rPr>
          <w:rFonts w:cs="David"/>
          <w:rtl/>
        </w:rPr>
      </w:pPr>
      <w:bookmarkStart w:id="100" w:name="_ETM_Q1_412443"/>
      <w:bookmarkStart w:id="101" w:name="_ETM_Q1_416687"/>
      <w:bookmarkEnd w:id="100"/>
      <w:bookmarkEnd w:id="10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מאירה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בסוק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bookmarkStart w:id="102" w:name="_ETM_Q1_417881"/>
      <w:bookmarkEnd w:id="102"/>
      <w:r>
        <w:rPr>
          <w:rFonts w:cs="David"/>
          <w:rtl/>
        </w:rPr>
        <w:t xml:space="preserve">עורכת הדין מאירה בסוק מנעמ"ת. </w:t>
      </w:r>
      <w:bookmarkStart w:id="103" w:name="_ETM_Q1_418812"/>
      <w:bookmarkEnd w:id="103"/>
      <w:r>
        <w:rPr>
          <w:rFonts w:cs="David"/>
          <w:rtl/>
        </w:rPr>
        <w:t>אני רוצה לציין שמשרד המשפטים בשבוע שעבר דיבר אחרת.</w:t>
      </w:r>
    </w:p>
    <w:p w:rsidR="00000000" w:rsidRDefault="00A92166">
      <w:pPr>
        <w:rPr>
          <w:rFonts w:cs="David"/>
          <w:rtl/>
        </w:rPr>
      </w:pPr>
      <w:bookmarkStart w:id="104" w:name="_ETM_Q1_426589"/>
      <w:bookmarkEnd w:id="104"/>
    </w:p>
    <w:p w:rsidR="00000000" w:rsidRDefault="00A92166">
      <w:pPr>
        <w:pStyle w:val="af8"/>
        <w:keepNext/>
        <w:rPr>
          <w:rFonts w:cs="David"/>
          <w:rtl/>
        </w:rPr>
      </w:pPr>
      <w:bookmarkStart w:id="105" w:name="_ETM_Q1_426963"/>
      <w:bookmarkEnd w:id="10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>ה</w:t>
      </w:r>
      <w:r>
        <w:rPr>
          <w:rFonts w:cs="David"/>
          <w:rtl/>
        </w:rPr>
        <w:t xml:space="preserve">יה מישהו </w:t>
      </w:r>
      <w:bookmarkStart w:id="106" w:name="_ETM_Q1_425025"/>
      <w:bookmarkEnd w:id="106"/>
      <w:r>
        <w:rPr>
          <w:rFonts w:cs="David"/>
          <w:rtl/>
        </w:rPr>
        <w:t>אחר ממשרד המשפטים.</w:t>
      </w:r>
    </w:p>
    <w:p w:rsidR="00000000" w:rsidRDefault="00A92166">
      <w:pPr>
        <w:rPr>
          <w:rFonts w:cs="David"/>
          <w:rtl/>
        </w:rPr>
      </w:pPr>
      <w:bookmarkStart w:id="107" w:name="_ETM_Q1_426030"/>
      <w:bookmarkEnd w:id="107"/>
    </w:p>
    <w:p w:rsidR="00000000" w:rsidRDefault="00A92166">
      <w:pPr>
        <w:pStyle w:val="afb"/>
        <w:keepNext/>
        <w:rPr>
          <w:rFonts w:cs="David"/>
          <w:rtl/>
        </w:rPr>
      </w:pPr>
      <w:bookmarkStart w:id="108" w:name="_ETM_Q1_426403"/>
      <w:bookmarkStart w:id="109" w:name="_ETM_Q1_427373"/>
      <w:bookmarkEnd w:id="108"/>
      <w:bookmarkEnd w:id="109"/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מאירה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בסוק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כנראה. אני רוצה לציין בצורה כוללת שהמדיניות של </w:t>
      </w:r>
      <w:bookmarkStart w:id="110" w:name="_ETM_Q1_430058"/>
      <w:bookmarkEnd w:id="110"/>
      <w:r>
        <w:rPr>
          <w:rFonts w:cs="David"/>
          <w:rtl/>
        </w:rPr>
        <w:t xml:space="preserve">משרד המשפטים במשך שנים – </w:t>
      </w:r>
      <w:r>
        <w:rPr>
          <w:rFonts w:cs="David"/>
          <w:rtl/>
        </w:rPr>
        <w:t xml:space="preserve">וזה אמור לגבי כל חוק -  היא לקצר את תקופת ההתיישנות. הם ניסו לעשות </w:t>
      </w:r>
      <w:bookmarkStart w:id="111" w:name="_ETM_Q1_440216"/>
      <w:bookmarkEnd w:id="111"/>
      <w:r>
        <w:rPr>
          <w:rFonts w:cs="David"/>
          <w:rtl/>
        </w:rPr>
        <w:t xml:space="preserve">את זה, לא הצליחו, ואז כל חוק שהכנסת מנסה להרחיב </w:t>
      </w:r>
      <w:bookmarkStart w:id="112" w:name="_ETM_Q1_443261"/>
      <w:bookmarkEnd w:id="112"/>
      <w:r>
        <w:rPr>
          <w:rFonts w:cs="David"/>
          <w:rtl/>
        </w:rPr>
        <w:t>את היריעה, הם מתנגדים.</w:t>
      </w:r>
    </w:p>
    <w:p w:rsidR="00000000" w:rsidRDefault="00A92166">
      <w:pPr>
        <w:rPr>
          <w:rFonts w:cs="David"/>
          <w:rtl/>
        </w:rPr>
      </w:pPr>
      <w:bookmarkStart w:id="113" w:name="_ETM_Q1_446323"/>
      <w:bookmarkEnd w:id="113"/>
    </w:p>
    <w:p w:rsidR="00000000" w:rsidRDefault="00A92166">
      <w:pPr>
        <w:pStyle w:val="afb"/>
        <w:keepNext/>
        <w:rPr>
          <w:rFonts w:cs="David"/>
          <w:rtl/>
        </w:rPr>
      </w:pPr>
      <w:bookmarkStart w:id="114" w:name="_ETM_Q1_446885"/>
      <w:bookmarkStart w:id="115" w:name="_ETM_Q1_450763"/>
      <w:bookmarkEnd w:id="114"/>
      <w:bookmarkEnd w:id="11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ימין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>עורך דין ימין דוד, משרד התמ"ת. הסיבה ש</w:t>
      </w:r>
      <w:bookmarkStart w:id="116" w:name="_ETM_Q1_495296"/>
      <w:bookmarkEnd w:id="116"/>
      <w:r>
        <w:rPr>
          <w:rFonts w:cs="David"/>
          <w:rtl/>
        </w:rPr>
        <w:t xml:space="preserve">כאן משרד המשפטים – ואנחנו מסכימים אתו </w:t>
      </w:r>
      <w:bookmarkStart w:id="117" w:name="_ETM_Q1_500387"/>
      <w:bookmarkEnd w:id="117"/>
      <w:r>
        <w:rPr>
          <w:rFonts w:cs="David"/>
          <w:rtl/>
        </w:rPr>
        <w:t xml:space="preserve">– אומר שצריך לקבוע התיישנות לשלוש שנים,  התיישנות </w:t>
      </w:r>
      <w:bookmarkStart w:id="118" w:name="_ETM_Q1_502041"/>
      <w:bookmarkEnd w:id="118"/>
      <w:r>
        <w:rPr>
          <w:rFonts w:cs="David"/>
          <w:rtl/>
        </w:rPr>
        <w:t>דיונית לשל</w:t>
      </w:r>
      <w:r>
        <w:rPr>
          <w:rFonts w:cs="David"/>
          <w:rtl/>
        </w:rPr>
        <w:t xml:space="preserve">וש שנים ולא התיישנות מהותית לשלוש שנים – היא </w:t>
      </w:r>
      <w:bookmarkStart w:id="119" w:name="_ETM_Q1_506000"/>
      <w:bookmarkEnd w:id="119"/>
      <w:r>
        <w:rPr>
          <w:rFonts w:cs="David"/>
          <w:rtl/>
        </w:rPr>
        <w:t xml:space="preserve">סעיף 6 לחוק שכר שווה לעובדת ולעובד. הסעיף קובע שמרגע </w:t>
      </w:r>
      <w:bookmarkStart w:id="120" w:name="_ETM_Q1_511222"/>
      <w:bookmarkEnd w:id="120"/>
      <w:r>
        <w:rPr>
          <w:rFonts w:cs="David"/>
          <w:rtl/>
        </w:rPr>
        <w:t xml:space="preserve">שהעובד הוכיח שמדובר בעבודות שוות ערך, המעסיק צריך ללכת אחורה </w:t>
      </w:r>
      <w:bookmarkStart w:id="121" w:name="_ETM_Q1_518213"/>
      <w:bookmarkEnd w:id="121"/>
      <w:r>
        <w:rPr>
          <w:rFonts w:cs="David"/>
          <w:rtl/>
        </w:rPr>
        <w:t>ולבדוק מדוע ה</w:t>
      </w:r>
      <w:r>
        <w:rPr>
          <w:rFonts w:cs="David"/>
          <w:rtl/>
        </w:rPr>
        <w:t xml:space="preserve">וא שילם שכר שונה לעובד. אם אנחנו מאריכים </w:t>
      </w:r>
      <w:bookmarkStart w:id="122" w:name="_ETM_Q1_523888"/>
      <w:bookmarkEnd w:id="122"/>
      <w:r>
        <w:rPr>
          <w:rFonts w:cs="David"/>
          <w:rtl/>
        </w:rPr>
        <w:t xml:space="preserve">את התקופה לשבע שנים, זה אומר שהמעסיק יצטרך לחזור שבע </w:t>
      </w:r>
      <w:bookmarkStart w:id="123" w:name="_ETM_Q1_526997"/>
      <w:bookmarkEnd w:id="123"/>
      <w:r>
        <w:rPr>
          <w:rFonts w:cs="David"/>
          <w:rtl/>
        </w:rPr>
        <w:t>שנים אחורה.</w:t>
      </w:r>
    </w:p>
    <w:p w:rsidR="00000000" w:rsidRDefault="00A92166">
      <w:pPr>
        <w:rPr>
          <w:rFonts w:cs="David"/>
          <w:rtl/>
        </w:rPr>
      </w:pPr>
      <w:bookmarkStart w:id="124" w:name="_ETM_Q1_525302"/>
      <w:bookmarkEnd w:id="124"/>
    </w:p>
    <w:p w:rsidR="00000000" w:rsidRDefault="00A92166">
      <w:pPr>
        <w:pStyle w:val="af8"/>
        <w:keepNext/>
        <w:rPr>
          <w:rFonts w:cs="David"/>
          <w:rtl/>
        </w:rPr>
      </w:pPr>
      <w:bookmarkStart w:id="125" w:name="_ETM_Q1_525614"/>
      <w:bookmarkStart w:id="126" w:name="_ETM_Q1_527056"/>
      <w:bookmarkEnd w:id="125"/>
      <w:bookmarkEnd w:id="12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</w:t>
      </w:r>
      <w:r>
        <w:rPr>
          <w:rFonts w:cs="David" w:hint="eastAsia"/>
          <w:rtl/>
        </w:rPr>
        <w:t>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>או שיחשוב מראש לא לשלם שכר שונה. יש את ה</w:t>
      </w:r>
      <w:bookmarkStart w:id="127" w:name="_ETM_Q1_531862"/>
      <w:bookmarkEnd w:id="127"/>
      <w:r>
        <w:rPr>
          <w:rFonts w:cs="David"/>
          <w:rtl/>
        </w:rPr>
        <w:t xml:space="preserve">אופציה השנייה. תמיד יש שתי אופציות. יש שכר </w:t>
      </w:r>
      <w:bookmarkStart w:id="128" w:name="_ETM_Q1_536629"/>
      <w:bookmarkEnd w:id="128"/>
      <w:r>
        <w:rPr>
          <w:rFonts w:cs="David"/>
          <w:rtl/>
        </w:rPr>
        <w:t xml:space="preserve">ועונש. אם הוא ישלם אותו שכר, הוא לא יצטרך ללכת </w:t>
      </w:r>
      <w:bookmarkStart w:id="129" w:name="_ETM_Q1_538282"/>
      <w:bookmarkEnd w:id="129"/>
      <w:r>
        <w:rPr>
          <w:rFonts w:cs="David"/>
          <w:rtl/>
        </w:rPr>
        <w:t>שבע שנים אחורה.</w:t>
      </w:r>
    </w:p>
    <w:p w:rsidR="00000000" w:rsidRDefault="00A92166">
      <w:pPr>
        <w:rPr>
          <w:rFonts w:cs="David"/>
          <w:rtl/>
        </w:rPr>
      </w:pPr>
      <w:bookmarkStart w:id="130" w:name="_ETM_Q1_539968"/>
      <w:bookmarkEnd w:id="130"/>
    </w:p>
    <w:p w:rsidR="00000000" w:rsidRDefault="00A92166">
      <w:pPr>
        <w:pStyle w:val="afb"/>
        <w:keepNext/>
        <w:rPr>
          <w:rFonts w:cs="David"/>
          <w:rtl/>
        </w:rPr>
      </w:pPr>
      <w:bookmarkStart w:id="131" w:name="_ETM_Q1_540466"/>
      <w:bookmarkStart w:id="132" w:name="_ETM_Q1_542121"/>
      <w:bookmarkEnd w:id="131"/>
      <w:bookmarkEnd w:id="13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ימין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נכון. אבל אם הוא נמצא במצב שהוא חושב </w:t>
      </w:r>
      <w:bookmarkStart w:id="133" w:name="_ETM_Q1_543648"/>
      <w:bookmarkEnd w:id="133"/>
      <w:r>
        <w:rPr>
          <w:rFonts w:cs="David"/>
          <w:rtl/>
        </w:rPr>
        <w:t>שיש סיבות לתת לאותו עובד שכר?</w:t>
      </w:r>
    </w:p>
    <w:p w:rsidR="00000000" w:rsidRDefault="00A92166">
      <w:pPr>
        <w:rPr>
          <w:rFonts w:cs="David"/>
          <w:rtl/>
        </w:rPr>
      </w:pPr>
      <w:bookmarkStart w:id="134" w:name="_ETM_Q1_544420"/>
      <w:bookmarkEnd w:id="134"/>
    </w:p>
    <w:p w:rsidR="00000000" w:rsidRDefault="00A92166">
      <w:pPr>
        <w:pStyle w:val="af8"/>
        <w:keepNext/>
        <w:rPr>
          <w:rFonts w:cs="David"/>
          <w:rtl/>
        </w:rPr>
      </w:pPr>
      <w:bookmarkStart w:id="135" w:name="_ETM_Q1_544789"/>
      <w:bookmarkStart w:id="136" w:name="_ETM_Q1_545351"/>
      <w:bookmarkEnd w:id="135"/>
      <w:bookmarkEnd w:id="13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הוא בהתחלה יקרא לעובד </w:t>
      </w:r>
      <w:bookmarkStart w:id="137" w:name="_ETM_Q1_546317"/>
      <w:bookmarkEnd w:id="137"/>
      <w:r>
        <w:rPr>
          <w:rFonts w:cs="David"/>
          <w:rtl/>
        </w:rPr>
        <w:t xml:space="preserve">ויסביר לו.  הוא יאמר לו שזה </w:t>
      </w:r>
      <w:bookmarkStart w:id="138" w:name="_ETM_Q1_550685"/>
      <w:bookmarkEnd w:id="138"/>
      <w:r>
        <w:rPr>
          <w:rFonts w:cs="David"/>
          <w:rtl/>
        </w:rPr>
        <w:t xml:space="preserve">נכון שיעקב מרוויח יותר ממירה אבל זה בגלל סיבות אלה </w:t>
      </w:r>
      <w:bookmarkStart w:id="139" w:name="_ETM_Q1_554254"/>
      <w:bookmarkEnd w:id="139"/>
      <w:r>
        <w:rPr>
          <w:rFonts w:cs="David"/>
          <w:rtl/>
        </w:rPr>
        <w:t>ואלה ואלה. אז היא תוכל לומר לי אם זה נכ</w:t>
      </w:r>
      <w:bookmarkStart w:id="140" w:name="_ETM_Q1_557674"/>
      <w:bookmarkEnd w:id="140"/>
      <w:r>
        <w:rPr>
          <w:rFonts w:cs="David"/>
          <w:rtl/>
        </w:rPr>
        <w:t xml:space="preserve">ון או לא נכון ואחר כך, כשתהיה תביעה לבית </w:t>
      </w:r>
      <w:bookmarkStart w:id="141" w:name="_ETM_Q1_562332"/>
      <w:bookmarkEnd w:id="141"/>
      <w:r>
        <w:rPr>
          <w:rFonts w:cs="David"/>
          <w:rtl/>
        </w:rPr>
        <w:t xml:space="preserve">הדין, הוא יאמר שהוא בהתחלה קרא לה ואמר לה </w:t>
      </w:r>
      <w:bookmarkStart w:id="142" w:name="_ETM_Q1_563607"/>
      <w:bookmarkEnd w:id="142"/>
      <w:r>
        <w:rPr>
          <w:rFonts w:cs="David"/>
          <w:rtl/>
        </w:rPr>
        <w:t>שזה לא בגלל שהיא אישה אלא מהסיבות האלה והאלה והאלה.</w:t>
      </w:r>
    </w:p>
    <w:p w:rsidR="00000000" w:rsidRDefault="00A92166">
      <w:pPr>
        <w:rPr>
          <w:rFonts w:cs="David"/>
          <w:rtl/>
        </w:rPr>
      </w:pPr>
    </w:p>
    <w:p w:rsidR="00000000" w:rsidRDefault="00A92166">
      <w:pPr>
        <w:pStyle w:val="afb"/>
        <w:keepNext/>
        <w:rPr>
          <w:rFonts w:cs="David"/>
          <w:rtl/>
        </w:rPr>
      </w:pPr>
      <w:bookmarkStart w:id="143" w:name="_ETM_Q1_566010"/>
      <w:bookmarkEnd w:id="14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ימי</w:t>
      </w:r>
      <w:r>
        <w:rPr>
          <w:rFonts w:cs="David" w:hint="eastAsia"/>
          <w:rtl/>
        </w:rPr>
        <w:t>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אם </w:t>
      </w:r>
      <w:bookmarkStart w:id="144" w:name="_ETM_Q1_567336"/>
      <w:bookmarkEnd w:id="144"/>
      <w:r>
        <w:rPr>
          <w:rFonts w:cs="David"/>
          <w:rtl/>
        </w:rPr>
        <w:t>זה הכיוון עליו הולכים, צריך לקבוע הוראת מעבר כי אנחנ</w:t>
      </w:r>
      <w:bookmarkStart w:id="145" w:name="_ETM_Q1_573039"/>
      <w:bookmarkEnd w:id="145"/>
      <w:r>
        <w:rPr>
          <w:rFonts w:cs="David"/>
          <w:rtl/>
        </w:rPr>
        <w:t xml:space="preserve">ו קובעים נורמה חדשה. אם זו הנורמה שאנחנו מבקשים להחיל, </w:t>
      </w:r>
      <w:bookmarkStart w:id="146" w:name="_ETM_Q1_579460"/>
      <w:bookmarkEnd w:id="146"/>
      <w:r>
        <w:rPr>
          <w:rFonts w:cs="David"/>
          <w:rtl/>
        </w:rPr>
        <w:t>צריך לקבוע נורמה חדשה כאשר אנחנו באים ואומרים למעסיק שמעכ</w:t>
      </w:r>
      <w:r>
        <w:rPr>
          <w:rFonts w:cs="David"/>
          <w:rtl/>
        </w:rPr>
        <w:t>שיו</w:t>
      </w:r>
      <w:bookmarkStart w:id="147" w:name="_ETM_Q1_583245"/>
      <w:bookmarkEnd w:id="147"/>
      <w:r>
        <w:rPr>
          <w:rFonts w:cs="David"/>
          <w:rtl/>
        </w:rPr>
        <w:t xml:space="preserve"> הוא יוכל להיתבע שבע שנים אחורה וכי מעכשיו כל פעם</w:t>
      </w:r>
      <w:bookmarkStart w:id="148" w:name="_ETM_Q1_587116"/>
      <w:bookmarkEnd w:id="148"/>
      <w:r>
        <w:rPr>
          <w:rFonts w:cs="David"/>
          <w:rtl/>
        </w:rPr>
        <w:t xml:space="preserve"> שהוא משלם שכר שונה לעובד ולעובד, שינהל את הרישום שלו </w:t>
      </w:r>
      <w:bookmarkStart w:id="149" w:name="_ETM_Q1_592494"/>
      <w:bookmarkEnd w:id="149"/>
      <w:r>
        <w:rPr>
          <w:rFonts w:cs="David"/>
          <w:rtl/>
        </w:rPr>
        <w:t xml:space="preserve">כי מה שהוא חשב שהוא צריך תיעוד שלוש שנים אחורה, </w:t>
      </w:r>
      <w:bookmarkStart w:id="150" w:name="_ETM_Q1_595947"/>
      <w:bookmarkEnd w:id="150"/>
      <w:r>
        <w:rPr>
          <w:rFonts w:cs="David"/>
          <w:rtl/>
        </w:rPr>
        <w:t>הוא יצטרך שבע שנים אחורה.</w:t>
      </w:r>
    </w:p>
    <w:p w:rsidR="00000000" w:rsidRDefault="00A92166">
      <w:pPr>
        <w:rPr>
          <w:rFonts w:cs="David"/>
          <w:rtl/>
        </w:rPr>
      </w:pPr>
      <w:bookmarkStart w:id="151" w:name="_ETM_Q1_597527"/>
      <w:bookmarkEnd w:id="151"/>
    </w:p>
    <w:p w:rsidR="00000000" w:rsidRDefault="00A92166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>קודם כל</w:t>
      </w:r>
      <w:bookmarkStart w:id="152" w:name="_ETM_Q1_598767"/>
      <w:bookmarkEnd w:id="152"/>
      <w:r>
        <w:rPr>
          <w:rFonts w:cs="David"/>
          <w:rtl/>
        </w:rPr>
        <w:t xml:space="preserve"> הוא חשב שהוא צריך שנתיים.</w:t>
      </w:r>
    </w:p>
    <w:p w:rsidR="00000000" w:rsidRDefault="00A92166">
      <w:pPr>
        <w:rPr>
          <w:rFonts w:cs="David"/>
          <w:rtl/>
        </w:rPr>
      </w:pPr>
      <w:bookmarkStart w:id="153" w:name="_ETM_Q1_599708"/>
      <w:bookmarkEnd w:id="153"/>
    </w:p>
    <w:p w:rsidR="00000000" w:rsidRDefault="00A92166">
      <w:pPr>
        <w:pStyle w:val="afb"/>
        <w:keepNext/>
        <w:rPr>
          <w:rFonts w:cs="David"/>
          <w:rtl/>
        </w:rPr>
      </w:pPr>
      <w:bookmarkStart w:id="154" w:name="_ETM_Q1_600142"/>
      <w:bookmarkStart w:id="155" w:name="_ETM_Q1_600960"/>
      <w:bookmarkEnd w:id="154"/>
      <w:bookmarkEnd w:id="15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ימין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>נכון.</w:t>
      </w:r>
    </w:p>
    <w:p w:rsidR="00000000" w:rsidRDefault="00A92166">
      <w:pPr>
        <w:rPr>
          <w:rFonts w:cs="David"/>
          <w:rtl/>
        </w:rPr>
      </w:pPr>
      <w:bookmarkStart w:id="156" w:name="_ETM_Q1_602642"/>
      <w:bookmarkEnd w:id="156"/>
    </w:p>
    <w:p w:rsidR="00000000" w:rsidRDefault="00A92166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מה שאתה אומר עכשיו, זה דבר יפה. </w:t>
      </w:r>
    </w:p>
    <w:p w:rsidR="00000000" w:rsidRDefault="00A92166">
      <w:pPr>
        <w:rPr>
          <w:rFonts w:cs="David"/>
          <w:rtl/>
        </w:rPr>
      </w:pPr>
      <w:bookmarkStart w:id="157" w:name="_ETM_Q1_609529"/>
      <w:bookmarkEnd w:id="157"/>
    </w:p>
    <w:p w:rsidR="00000000" w:rsidRDefault="00A92166">
      <w:pPr>
        <w:pStyle w:val="a5"/>
        <w:keepNext/>
        <w:rPr>
          <w:rFonts w:cs="David"/>
          <w:rtl/>
        </w:rPr>
      </w:pPr>
      <w:bookmarkStart w:id="158" w:name="_ETM_Q1_609901"/>
      <w:bookmarkEnd w:id="15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דליה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איציק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מה </w:t>
      </w:r>
      <w:bookmarkStart w:id="159" w:name="_ETM_Q1_607228"/>
      <w:bookmarkEnd w:id="159"/>
      <w:r>
        <w:rPr>
          <w:rFonts w:cs="David"/>
          <w:rtl/>
        </w:rPr>
        <w:t xml:space="preserve">הבעיה? בכל יתר הדברים ממילא הוא צריך לשמור שבע </w:t>
      </w:r>
      <w:bookmarkStart w:id="160" w:name="_ETM_Q1_610538"/>
      <w:bookmarkEnd w:id="160"/>
      <w:r>
        <w:rPr>
          <w:rFonts w:cs="David"/>
          <w:rtl/>
        </w:rPr>
        <w:t>שנים</w:t>
      </w:r>
      <w:r>
        <w:rPr>
          <w:rFonts w:cs="David"/>
          <w:rtl/>
        </w:rPr>
        <w:t>. אתה הרי יודע את זה.</w:t>
      </w:r>
    </w:p>
    <w:p w:rsidR="00000000" w:rsidRDefault="00A92166">
      <w:pPr>
        <w:rPr>
          <w:rFonts w:cs="David"/>
          <w:rtl/>
        </w:rPr>
      </w:pPr>
      <w:bookmarkStart w:id="161" w:name="_ETM_Q1_613971"/>
      <w:bookmarkEnd w:id="161"/>
    </w:p>
    <w:p w:rsidR="00000000" w:rsidRDefault="00A92166">
      <w:pPr>
        <w:pStyle w:val="afb"/>
        <w:keepNext/>
        <w:rPr>
          <w:rFonts w:cs="David"/>
          <w:rtl/>
        </w:rPr>
      </w:pPr>
      <w:bookmarkStart w:id="162" w:name="_ETM_Q1_614329"/>
      <w:bookmarkStart w:id="163" w:name="_ETM_Q1_615693"/>
      <w:bookmarkEnd w:id="162"/>
      <w:bookmarkEnd w:id="16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דוד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ימין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>מדובר בנטל ההוכחה.</w:t>
      </w:r>
    </w:p>
    <w:p w:rsidR="00000000" w:rsidRDefault="00A92166">
      <w:pPr>
        <w:rPr>
          <w:rFonts w:cs="David"/>
          <w:rtl/>
        </w:rPr>
      </w:pPr>
      <w:bookmarkStart w:id="164" w:name="_ETM_Q1_620630"/>
      <w:bookmarkEnd w:id="164"/>
    </w:p>
    <w:p w:rsidR="00000000" w:rsidRDefault="00A92166">
      <w:pPr>
        <w:pStyle w:val="a5"/>
        <w:keepNext/>
        <w:rPr>
          <w:rFonts w:cs="David"/>
          <w:rtl/>
        </w:rPr>
      </w:pPr>
      <w:bookmarkStart w:id="165" w:name="_ETM_Q1_620967"/>
      <w:bookmarkEnd w:id="165"/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דליה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איציק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תמיד הוא </w:t>
      </w:r>
      <w:bookmarkStart w:id="166" w:name="_ETM_Q1_623348"/>
      <w:bookmarkEnd w:id="166"/>
      <w:r>
        <w:rPr>
          <w:rFonts w:cs="David"/>
          <w:rtl/>
        </w:rPr>
        <w:t>צריך לשמ</w:t>
      </w:r>
      <w:r>
        <w:rPr>
          <w:rFonts w:cs="David"/>
          <w:rtl/>
        </w:rPr>
        <w:t xml:space="preserve">ור שבע שנים ואתה יודע את זה. הנימוק </w:t>
      </w:r>
      <w:bookmarkStart w:id="167" w:name="_ETM_Q1_624048"/>
      <w:bookmarkEnd w:id="167"/>
      <w:r>
        <w:rPr>
          <w:rFonts w:cs="David"/>
          <w:rtl/>
        </w:rPr>
        <w:t xml:space="preserve">שהוא יצטרך לשמור שבע שנים, הוא טיפשי כי בשביל דבר </w:t>
      </w:r>
      <w:bookmarkStart w:id="168" w:name="_ETM_Q1_629856"/>
      <w:bookmarkEnd w:id="168"/>
      <w:r>
        <w:rPr>
          <w:rFonts w:cs="David"/>
          <w:rtl/>
        </w:rPr>
        <w:t>אחד הוא צריך לשמור.</w:t>
      </w:r>
    </w:p>
    <w:p w:rsidR="00000000" w:rsidRDefault="00A92166">
      <w:pPr>
        <w:rPr>
          <w:rFonts w:cs="David"/>
          <w:rtl/>
        </w:rPr>
      </w:pPr>
      <w:bookmarkStart w:id="169" w:name="_ETM_Q1_606671"/>
      <w:bookmarkEnd w:id="169"/>
    </w:p>
    <w:p w:rsidR="00000000" w:rsidRDefault="00A92166">
      <w:pPr>
        <w:pStyle w:val="af8"/>
        <w:keepNext/>
        <w:rPr>
          <w:rFonts w:cs="David"/>
          <w:rtl/>
        </w:rPr>
      </w:pPr>
      <w:bookmarkStart w:id="170" w:name="_ETM_Q1_630193"/>
      <w:bookmarkStart w:id="171" w:name="_ETM_Q1_631125"/>
      <w:bookmarkEnd w:id="170"/>
      <w:bookmarkEnd w:id="17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</w:t>
      </w:r>
      <w:r>
        <w:rPr>
          <w:rFonts w:cs="David" w:hint="eastAsia"/>
          <w:rtl/>
        </w:rPr>
        <w:t>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לא, הוא לא טיפשי. הוא ייתן </w:t>
      </w:r>
      <w:bookmarkStart w:id="172" w:name="_ETM_Q1_632338"/>
      <w:bookmarkEnd w:id="172"/>
      <w:r>
        <w:rPr>
          <w:rFonts w:cs="David"/>
          <w:rtl/>
        </w:rPr>
        <w:t xml:space="preserve">לנו אפשרות עכשיו ללכת לקראת משרד המשפטים ולעשות את </w:t>
      </w:r>
      <w:bookmarkStart w:id="173" w:name="_ETM_Q1_634904"/>
      <w:bookmarkEnd w:id="173"/>
      <w:r>
        <w:rPr>
          <w:rFonts w:cs="David"/>
          <w:rtl/>
        </w:rPr>
        <w:t xml:space="preserve">זה חמש שנים ולהגיש הצעת חוק מתקנת מחמש לשבע שנים </w:t>
      </w:r>
      <w:bookmarkStart w:id="174" w:name="_ETM_Q1_639807"/>
      <w:bookmarkEnd w:id="174"/>
      <w:r>
        <w:rPr>
          <w:rFonts w:cs="David"/>
          <w:rtl/>
        </w:rPr>
        <w:t>כדי לתת למעסיק את הזמן לארגן את העני</w:t>
      </w:r>
      <w:r>
        <w:rPr>
          <w:rFonts w:cs="David"/>
          <w:rtl/>
        </w:rPr>
        <w:t xml:space="preserve">ינים. רעיון </w:t>
      </w:r>
      <w:bookmarkStart w:id="175" w:name="_ETM_Q1_640918"/>
      <w:bookmarkEnd w:id="175"/>
      <w:r>
        <w:rPr>
          <w:rFonts w:cs="David"/>
          <w:rtl/>
        </w:rPr>
        <w:t xml:space="preserve">מאוד יפה של משרד התעשייה. משרד התעשייה העלה כאן </w:t>
      </w:r>
      <w:bookmarkStart w:id="176" w:name="_ETM_Q1_652965"/>
      <w:bookmarkEnd w:id="176"/>
      <w:r>
        <w:rPr>
          <w:rFonts w:cs="David"/>
          <w:rtl/>
        </w:rPr>
        <w:t xml:space="preserve">רעיון מאוד יפה. אתה צודק. אנחנו חשבנו ללכת </w:t>
      </w:r>
      <w:bookmarkStart w:id="177" w:name="_ETM_Q1_653308"/>
      <w:bookmarkEnd w:id="177"/>
      <w:r>
        <w:rPr>
          <w:rFonts w:cs="David"/>
          <w:rtl/>
        </w:rPr>
        <w:t>על שבע שנים ולראות מה יקרה, אבל אני חושב שאנחנ</w:t>
      </w:r>
      <w:bookmarkStart w:id="178" w:name="_ETM_Q1_655116"/>
      <w:bookmarkEnd w:id="178"/>
      <w:r>
        <w:rPr>
          <w:rFonts w:cs="David"/>
          <w:rtl/>
        </w:rPr>
        <w:t xml:space="preserve">ו צריכים לחשוב על מה שהוא אמר, ללכת על חמש </w:t>
      </w:r>
      <w:bookmarkStart w:id="179" w:name="_ETM_Q1_658129"/>
      <w:bookmarkEnd w:id="179"/>
      <w:r>
        <w:rPr>
          <w:rFonts w:cs="David"/>
          <w:rtl/>
        </w:rPr>
        <w:t xml:space="preserve">שנים ולהגיש הצעה מתקנת שתעמוד על </w:t>
      </w:r>
      <w:bookmarkStart w:id="180" w:name="_ETM_Q1_662699"/>
      <w:bookmarkEnd w:id="180"/>
      <w:r>
        <w:rPr>
          <w:rFonts w:cs="David"/>
          <w:rtl/>
        </w:rPr>
        <w:t xml:space="preserve">שבע שנים. </w:t>
      </w:r>
    </w:p>
    <w:p w:rsidR="00000000" w:rsidRDefault="00A92166">
      <w:pPr>
        <w:rPr>
          <w:rFonts w:cs="David"/>
          <w:rtl/>
        </w:rPr>
      </w:pPr>
      <w:bookmarkStart w:id="181" w:name="_ETM_Q1_670642"/>
      <w:bookmarkEnd w:id="181"/>
    </w:p>
    <w:p w:rsidR="00000000" w:rsidRDefault="00A92166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נאור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מנדאל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bookmarkStart w:id="182" w:name="_ETM_Q1_671106"/>
      <w:bookmarkEnd w:id="182"/>
      <w:r>
        <w:rPr>
          <w:rFonts w:cs="David"/>
          <w:rtl/>
        </w:rPr>
        <w:t>עורכת הדין דנה נאור משדולת הנשים</w:t>
      </w:r>
      <w:r>
        <w:rPr>
          <w:rFonts w:cs="David"/>
          <w:rtl/>
        </w:rPr>
        <w:t xml:space="preserve">. רציתי רק </w:t>
      </w:r>
      <w:bookmarkStart w:id="183" w:name="_ETM_Q1_675600"/>
      <w:bookmarkEnd w:id="183"/>
      <w:r>
        <w:rPr>
          <w:rFonts w:cs="David"/>
          <w:rtl/>
        </w:rPr>
        <w:t xml:space="preserve">לציין שאנחנו ייצגנו את אורית גורן בבג"ץ שנמשך 14 </w:t>
      </w:r>
      <w:bookmarkStart w:id="184" w:name="_ETM_Q1_678014"/>
      <w:bookmarkEnd w:id="184"/>
      <w:r>
        <w:rPr>
          <w:rFonts w:cs="David"/>
          <w:rtl/>
        </w:rPr>
        <w:t>שנים.</w:t>
      </w:r>
    </w:p>
    <w:p w:rsidR="00000000" w:rsidRDefault="00A92166">
      <w:pPr>
        <w:rPr>
          <w:rFonts w:cs="David"/>
          <w:rtl/>
        </w:rPr>
      </w:pPr>
      <w:bookmarkStart w:id="185" w:name="_ETM_Q1_678093"/>
      <w:bookmarkEnd w:id="185"/>
    </w:p>
    <w:p w:rsidR="00000000" w:rsidRDefault="00A92166">
      <w:pPr>
        <w:pStyle w:val="a5"/>
        <w:keepNext/>
        <w:rPr>
          <w:rFonts w:cs="David"/>
          <w:rtl/>
        </w:rPr>
      </w:pPr>
      <w:bookmarkStart w:id="186" w:name="_ETM_Q1_678526"/>
      <w:bookmarkStart w:id="187" w:name="_ETM_Q1_679247"/>
      <w:bookmarkEnd w:id="186"/>
      <w:bookmarkEnd w:id="18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דליה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איציק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>אמרנו את זה כאן בשבוע שעבר ונתנו ל</w:t>
      </w:r>
      <w:r>
        <w:rPr>
          <w:rFonts w:cs="David"/>
          <w:rtl/>
        </w:rPr>
        <w:t xml:space="preserve">כם </w:t>
      </w:r>
      <w:bookmarkStart w:id="188" w:name="_ETM_Q1_680821"/>
      <w:bookmarkEnd w:id="188"/>
      <w:r>
        <w:rPr>
          <w:rFonts w:cs="David"/>
          <w:rtl/>
        </w:rPr>
        <w:t>את כל הקרדיט שבעולם.  בעקבות זה הוגשה הצעת החוק.</w:t>
      </w:r>
    </w:p>
    <w:p w:rsidR="00000000" w:rsidRDefault="00A92166">
      <w:pPr>
        <w:rPr>
          <w:rFonts w:cs="David"/>
          <w:rtl/>
        </w:rPr>
      </w:pPr>
      <w:bookmarkStart w:id="189" w:name="_ETM_Q1_685852"/>
      <w:bookmarkEnd w:id="189"/>
    </w:p>
    <w:p w:rsidR="00000000" w:rsidRDefault="00A92166">
      <w:pPr>
        <w:pStyle w:val="afb"/>
        <w:keepNext/>
        <w:rPr>
          <w:rFonts w:cs="David"/>
          <w:rtl/>
        </w:rPr>
      </w:pPr>
      <w:bookmarkStart w:id="190" w:name="_ETM_Q1_686283"/>
      <w:bookmarkEnd w:id="19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נאור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מנדאל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תודה </w:t>
      </w:r>
      <w:bookmarkStart w:id="191" w:name="_ETM_Q1_683950"/>
      <w:bookmarkEnd w:id="191"/>
      <w:r>
        <w:rPr>
          <w:rFonts w:cs="David"/>
          <w:rtl/>
        </w:rPr>
        <w:t xml:space="preserve">רבה. אנחנו מאוד מעריכים את זה. אורית הייתה אמורה להגיע </w:t>
      </w:r>
      <w:bookmarkStart w:id="192" w:name="_ETM_Q1_698850"/>
      <w:bookmarkEnd w:id="192"/>
      <w:r>
        <w:rPr>
          <w:rFonts w:cs="David"/>
          <w:rtl/>
        </w:rPr>
        <w:t>לדיון שעבר אבל בנה חלה ולכן היא לא יכלה להגיע.</w:t>
      </w:r>
    </w:p>
    <w:p w:rsidR="00000000" w:rsidRDefault="00A92166">
      <w:pPr>
        <w:rPr>
          <w:rFonts w:cs="David"/>
          <w:rtl/>
        </w:rPr>
      </w:pPr>
      <w:bookmarkStart w:id="193" w:name="_ETM_Q1_692150"/>
      <w:bookmarkEnd w:id="193"/>
    </w:p>
    <w:p w:rsidR="00000000" w:rsidRDefault="00A92166">
      <w:pPr>
        <w:pStyle w:val="af8"/>
        <w:keepNext/>
        <w:rPr>
          <w:rFonts w:cs="David"/>
          <w:rtl/>
        </w:rPr>
      </w:pPr>
      <w:bookmarkStart w:id="194" w:name="_ETM_Q1_692522"/>
      <w:bookmarkStart w:id="195" w:name="_ETM_Q1_693825"/>
      <w:bookmarkStart w:id="196" w:name="_ETM_Q1_701449"/>
      <w:bookmarkEnd w:id="194"/>
      <w:bookmarkEnd w:id="195"/>
      <w:bookmarkEnd w:id="19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מוועדת </w:t>
      </w:r>
      <w:bookmarkStart w:id="197" w:name="_ETM_Q1_703260"/>
      <w:bookmarkEnd w:id="197"/>
      <w:r>
        <w:rPr>
          <w:rFonts w:cs="David"/>
          <w:rtl/>
        </w:rPr>
        <w:t>הבריאות אנחנו מ</w:t>
      </w:r>
      <w:r>
        <w:rPr>
          <w:rFonts w:cs="David"/>
          <w:rtl/>
        </w:rPr>
        <w:t>אחלים לו החלמה מהירה והרבה בריאות.</w:t>
      </w:r>
      <w:bookmarkStart w:id="198" w:name="_ETM_Q1_708889"/>
      <w:bookmarkEnd w:id="198"/>
    </w:p>
    <w:p w:rsidR="00000000" w:rsidRDefault="00A92166">
      <w:pPr>
        <w:rPr>
          <w:rFonts w:cs="David"/>
          <w:rtl/>
        </w:rPr>
      </w:pPr>
      <w:bookmarkStart w:id="199" w:name="_ETM_Q1_708195"/>
      <w:bookmarkEnd w:id="199"/>
    </w:p>
    <w:p w:rsidR="00000000" w:rsidRDefault="00A92166">
      <w:pPr>
        <w:pStyle w:val="afb"/>
        <w:keepNext/>
        <w:rPr>
          <w:rFonts w:cs="David"/>
          <w:rtl/>
        </w:rPr>
      </w:pPr>
      <w:bookmarkStart w:id="200" w:name="_ETM_Q1_708544"/>
      <w:bookmarkStart w:id="201" w:name="_ETM_Q1_709583"/>
      <w:bookmarkEnd w:id="200"/>
      <w:bookmarkEnd w:id="20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נאור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מנדאל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זה לקח 14 </w:t>
      </w:r>
      <w:bookmarkStart w:id="202" w:name="_ETM_Q1_711893"/>
      <w:bookmarkEnd w:id="202"/>
      <w:r>
        <w:rPr>
          <w:rFonts w:cs="David"/>
          <w:rtl/>
        </w:rPr>
        <w:t xml:space="preserve">שנים אבל בסוף היא לא קיבלה אפילו </w:t>
      </w:r>
      <w:bookmarkStart w:id="203" w:name="_ETM_Q1_713869"/>
      <w:bookmarkEnd w:id="203"/>
      <w:r>
        <w:rPr>
          <w:rFonts w:cs="David"/>
          <w:rtl/>
        </w:rPr>
        <w:t xml:space="preserve">שקל. כשחושבים על הצפת התביעות או על המעסיקים המסכנים שעכשיו </w:t>
      </w:r>
      <w:bookmarkStart w:id="204" w:name="_ETM_Q1_716871"/>
      <w:bookmarkEnd w:id="204"/>
      <w:r>
        <w:rPr>
          <w:rFonts w:cs="David"/>
          <w:rtl/>
        </w:rPr>
        <w:t xml:space="preserve">יצטרכו לשמור את התיקים  שבע שנים, בסך הכול אן כמעט </w:t>
      </w:r>
      <w:bookmarkStart w:id="205" w:name="_ETM_Q1_721322"/>
      <w:bookmarkEnd w:id="205"/>
      <w:r>
        <w:rPr>
          <w:rFonts w:cs="David"/>
          <w:rtl/>
        </w:rPr>
        <w:t>תביעות בגין זה.</w:t>
      </w:r>
    </w:p>
    <w:p w:rsidR="00000000" w:rsidRDefault="00A92166">
      <w:pPr>
        <w:rPr>
          <w:rFonts w:cs="David"/>
          <w:rtl/>
        </w:rPr>
      </w:pPr>
      <w:bookmarkStart w:id="206" w:name="_ETM_Q1_724618"/>
      <w:bookmarkEnd w:id="206"/>
    </w:p>
    <w:p w:rsidR="00000000" w:rsidRDefault="00A92166">
      <w:pPr>
        <w:pStyle w:val="af8"/>
        <w:keepNext/>
        <w:rPr>
          <w:rFonts w:cs="David"/>
          <w:rtl/>
        </w:rPr>
      </w:pPr>
      <w:bookmarkStart w:id="207" w:name="_ETM_Q1_725594"/>
      <w:bookmarkEnd w:id="20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משרד המשפטים צריך להבין שגם אם היה קיפוח </w:t>
      </w:r>
      <w:bookmarkStart w:id="208" w:name="_ETM_Q1_730534"/>
      <w:bookmarkEnd w:id="208"/>
      <w:r>
        <w:rPr>
          <w:rFonts w:cs="David"/>
          <w:rtl/>
        </w:rPr>
        <w:t xml:space="preserve">שבע שנים, המספרים הם מזעריים. אנחנו מדברים רק על הדלתות. </w:t>
      </w:r>
      <w:bookmarkStart w:id="209" w:name="_ETM_Q1_737920"/>
      <w:bookmarkEnd w:id="209"/>
      <w:r>
        <w:rPr>
          <w:rFonts w:cs="David"/>
          <w:rtl/>
        </w:rPr>
        <w:t xml:space="preserve">זה לא נגמר בעשרות אלפי שקלים אלא זה נגמר </w:t>
      </w:r>
      <w:bookmarkStart w:id="210" w:name="_ETM_Q1_740552"/>
      <w:bookmarkEnd w:id="210"/>
      <w:r>
        <w:rPr>
          <w:rFonts w:cs="David"/>
          <w:rtl/>
        </w:rPr>
        <w:t>באלפי שקלים בודדים.</w:t>
      </w:r>
    </w:p>
    <w:p w:rsidR="00000000" w:rsidRDefault="00A92166">
      <w:pPr>
        <w:rPr>
          <w:rFonts w:cs="David"/>
          <w:rtl/>
        </w:rPr>
      </w:pPr>
      <w:bookmarkStart w:id="211" w:name="_ETM_Q1_742556"/>
      <w:bookmarkEnd w:id="211"/>
    </w:p>
    <w:p w:rsidR="00000000" w:rsidRDefault="00A92166">
      <w:pPr>
        <w:pStyle w:val="afb"/>
        <w:keepNext/>
        <w:rPr>
          <w:rFonts w:cs="David"/>
          <w:rtl/>
        </w:rPr>
      </w:pPr>
      <w:bookmarkStart w:id="212" w:name="_ETM_Q1_743052"/>
      <w:bookmarkStart w:id="213" w:name="_ETM_Q1_748323"/>
      <w:bookmarkEnd w:id="212"/>
      <w:bookmarkEnd w:id="21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נאור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מנדאל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המצב כיום הוא כל כך לא </w:t>
      </w:r>
      <w:bookmarkStart w:id="214" w:name="_ETM_Q1_750928"/>
      <w:bookmarkEnd w:id="214"/>
      <w:r>
        <w:rPr>
          <w:rFonts w:cs="David"/>
          <w:rtl/>
        </w:rPr>
        <w:t xml:space="preserve">מאוזן לרעת העובדות, שזה גם לא נורא אם יהיה עכשיו </w:t>
      </w:r>
      <w:bookmarkStart w:id="215" w:name="_ETM_Q1_754301"/>
      <w:bookmarkEnd w:id="215"/>
      <w:r>
        <w:rPr>
          <w:rFonts w:cs="David"/>
          <w:rtl/>
        </w:rPr>
        <w:t>תיקון שיהיה לא מאוזן לרעת</w:t>
      </w:r>
      <w:r>
        <w:rPr>
          <w:rFonts w:cs="David"/>
          <w:rtl/>
        </w:rPr>
        <w:t xml:space="preserve"> המעסיקים.</w:t>
      </w:r>
    </w:p>
    <w:p w:rsidR="00000000" w:rsidRDefault="00A92166">
      <w:pPr>
        <w:rPr>
          <w:rFonts w:cs="David"/>
          <w:rtl/>
        </w:rPr>
      </w:pPr>
      <w:bookmarkStart w:id="216" w:name="_ETM_Q1_755821"/>
      <w:bookmarkEnd w:id="216"/>
    </w:p>
    <w:p w:rsidR="00000000" w:rsidRDefault="00A92166">
      <w:pPr>
        <w:pStyle w:val="af8"/>
        <w:keepNext/>
        <w:rPr>
          <w:rFonts w:cs="David"/>
          <w:rtl/>
        </w:rPr>
      </w:pPr>
      <w:bookmarkStart w:id="217" w:name="_ETM_Q1_759029"/>
      <w:bookmarkEnd w:id="21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לא, כאן אני לא מסכים </w:t>
      </w:r>
      <w:bookmarkStart w:id="218" w:name="_ETM_Q1_758695"/>
      <w:bookmarkEnd w:id="218"/>
      <w:r>
        <w:rPr>
          <w:rFonts w:cs="David"/>
          <w:rtl/>
        </w:rPr>
        <w:t>אתך. יש נושאים רבים שיש אפליה גדולה במאות</w:t>
      </w:r>
      <w:bookmarkStart w:id="219" w:name="_ETM_Q1_766783"/>
      <w:bookmarkEnd w:id="219"/>
      <w:r>
        <w:rPr>
          <w:rFonts w:cs="David"/>
          <w:rtl/>
        </w:rPr>
        <w:t xml:space="preserve"> אלפי שקלים למען עובדות. ראה נושא הפנסיה. מאות אלפי </w:t>
      </w:r>
      <w:r>
        <w:rPr>
          <w:rFonts w:cs="David"/>
          <w:rtl/>
        </w:rPr>
        <w:t>שקלי</w:t>
      </w:r>
      <w:bookmarkStart w:id="220" w:name="_ETM_Q1_774048"/>
      <w:bookmarkEnd w:id="220"/>
      <w:r>
        <w:rPr>
          <w:rFonts w:cs="David"/>
          <w:rtl/>
        </w:rPr>
        <w:t>ם.</w:t>
      </w:r>
    </w:p>
    <w:p w:rsidR="00000000" w:rsidRDefault="00A92166">
      <w:pPr>
        <w:rPr>
          <w:rFonts w:cs="David"/>
          <w:rtl/>
        </w:rPr>
      </w:pPr>
      <w:bookmarkStart w:id="221" w:name="_ETM_Q1_777990"/>
      <w:bookmarkEnd w:id="221"/>
    </w:p>
    <w:p w:rsidR="00000000" w:rsidRDefault="00A92166">
      <w:pPr>
        <w:pStyle w:val="afb"/>
        <w:keepNext/>
        <w:rPr>
          <w:rFonts w:cs="David"/>
          <w:rtl/>
        </w:rPr>
      </w:pPr>
      <w:bookmarkStart w:id="222" w:name="_ETM_Q1_778426"/>
      <w:bookmarkStart w:id="223" w:name="_ETM_Q1_779174"/>
      <w:bookmarkEnd w:id="222"/>
      <w:bookmarkEnd w:id="22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נאור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מנדאל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>פערי שכר פוגעים גם בפנסיה של נשים.</w:t>
      </w:r>
    </w:p>
    <w:p w:rsidR="00000000" w:rsidRDefault="00A92166">
      <w:pPr>
        <w:rPr>
          <w:rFonts w:cs="David"/>
          <w:rtl/>
        </w:rPr>
      </w:pPr>
      <w:bookmarkStart w:id="224" w:name="_ETM_Q1_781974"/>
      <w:bookmarkEnd w:id="224"/>
    </w:p>
    <w:p w:rsidR="00000000" w:rsidRDefault="00A92166">
      <w:pPr>
        <w:pStyle w:val="af8"/>
        <w:keepNext/>
        <w:rPr>
          <w:rFonts w:cs="David"/>
          <w:rtl/>
        </w:rPr>
      </w:pPr>
      <w:bookmarkStart w:id="225" w:name="_ETM_Q1_782357"/>
      <w:bookmarkStart w:id="226" w:name="_ETM_Q1_782879"/>
      <w:bookmarkEnd w:id="225"/>
      <w:bookmarkEnd w:id="226"/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את מקבלת חמש שנים </w:t>
      </w:r>
      <w:bookmarkStart w:id="227" w:name="_ETM_Q1_784837"/>
      <w:bookmarkEnd w:id="227"/>
      <w:r>
        <w:rPr>
          <w:rFonts w:cs="David"/>
          <w:rtl/>
        </w:rPr>
        <w:t xml:space="preserve">מראש וזה חסכון של עשרים שנות עבודה של עובד. </w:t>
      </w:r>
      <w:bookmarkStart w:id="228" w:name="_ETM_Q1_787600"/>
      <w:bookmarkEnd w:id="228"/>
    </w:p>
    <w:p w:rsidR="00000000" w:rsidRDefault="00A92166">
      <w:pPr>
        <w:rPr>
          <w:rFonts w:cs="David"/>
          <w:rtl/>
        </w:rPr>
      </w:pPr>
      <w:bookmarkStart w:id="229" w:name="_ETM_Q1_791292"/>
      <w:bookmarkEnd w:id="229"/>
    </w:p>
    <w:p w:rsidR="00000000" w:rsidRDefault="00A92166">
      <w:pPr>
        <w:pStyle w:val="afb"/>
        <w:keepNext/>
        <w:rPr>
          <w:rFonts w:cs="David"/>
          <w:rtl/>
        </w:rPr>
      </w:pPr>
      <w:bookmarkStart w:id="230" w:name="_ETM_Q1_791723"/>
      <w:bookmarkEnd w:id="23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נאור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מנדאל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>לא נפתח את הדיון על הפנסיה.</w:t>
      </w:r>
    </w:p>
    <w:p w:rsidR="00000000" w:rsidRDefault="00A92166">
      <w:pPr>
        <w:rPr>
          <w:rFonts w:cs="David"/>
          <w:rtl/>
        </w:rPr>
      </w:pPr>
      <w:bookmarkStart w:id="231" w:name="_ETM_Q1_792650"/>
      <w:bookmarkEnd w:id="231"/>
    </w:p>
    <w:p w:rsidR="00000000" w:rsidRDefault="00A92166">
      <w:pPr>
        <w:pStyle w:val="af8"/>
        <w:keepNext/>
        <w:rPr>
          <w:rFonts w:cs="David"/>
          <w:rtl/>
        </w:rPr>
      </w:pPr>
      <w:bookmarkStart w:id="232" w:name="_ETM_Q1_793087"/>
      <w:bookmarkEnd w:id="23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>נכון, כי היכן שיש לך</w:t>
      </w:r>
      <w:bookmarkStart w:id="233" w:name="_ETM_Q1_792160"/>
      <w:bookmarkEnd w:id="233"/>
      <w:r>
        <w:rPr>
          <w:rFonts w:cs="David"/>
          <w:rtl/>
        </w:rPr>
        <w:t xml:space="preserve"> העדפה – את לא רוצה לשמוע. את מקבלת הגנה ותגידי </w:t>
      </w:r>
      <w:bookmarkStart w:id="234" w:name="_ETM_Q1_800422"/>
      <w:bookmarkEnd w:id="234"/>
      <w:r>
        <w:rPr>
          <w:rFonts w:cs="David"/>
          <w:rtl/>
        </w:rPr>
        <w:t>תודה רבה.</w:t>
      </w:r>
    </w:p>
    <w:p w:rsidR="00000000" w:rsidRDefault="00A92166">
      <w:pPr>
        <w:rPr>
          <w:rFonts w:cs="David"/>
          <w:rtl/>
        </w:rPr>
      </w:pPr>
      <w:bookmarkStart w:id="235" w:name="_ETM_Q1_798394"/>
      <w:bookmarkEnd w:id="235"/>
    </w:p>
    <w:p w:rsidR="00000000" w:rsidRDefault="00A92166">
      <w:pPr>
        <w:pStyle w:val="afb"/>
        <w:keepNext/>
        <w:rPr>
          <w:rFonts w:cs="David"/>
          <w:rtl/>
        </w:rPr>
      </w:pPr>
      <w:bookmarkStart w:id="236" w:name="_ETM_Q1_799396"/>
      <w:bookmarkEnd w:id="23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דנה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נאור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מנדאל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אני אומרת תודה אבל אני רוצה </w:t>
      </w:r>
      <w:bookmarkStart w:id="237" w:name="_ETM_Q1_804307"/>
      <w:bookmarkEnd w:id="237"/>
      <w:r>
        <w:rPr>
          <w:rFonts w:cs="David"/>
          <w:rtl/>
        </w:rPr>
        <w:t>שההגנה תהיה מלאה.</w:t>
      </w:r>
    </w:p>
    <w:p w:rsidR="00000000" w:rsidRDefault="00A92166">
      <w:pPr>
        <w:rPr>
          <w:rFonts w:cs="David"/>
          <w:rtl/>
        </w:rPr>
      </w:pPr>
      <w:bookmarkStart w:id="238" w:name="_ETM_Q1_806206"/>
      <w:bookmarkEnd w:id="238"/>
    </w:p>
    <w:p w:rsidR="00000000" w:rsidRDefault="00A92166">
      <w:pPr>
        <w:pStyle w:val="a5"/>
        <w:keepNext/>
        <w:rPr>
          <w:rFonts w:cs="David"/>
          <w:rtl/>
        </w:rPr>
      </w:pPr>
      <w:bookmarkStart w:id="239" w:name="_ETM_Q1_806642"/>
      <w:bookmarkStart w:id="240" w:name="_ETM_Q1_709447"/>
      <w:bookmarkStart w:id="241" w:name="_ETM_Q1_642355"/>
      <w:bookmarkStart w:id="242" w:name="_ETM_Q1_642823"/>
      <w:bookmarkStart w:id="243" w:name="_ETM_Q1_607042"/>
      <w:bookmarkEnd w:id="239"/>
      <w:bookmarkEnd w:id="240"/>
      <w:bookmarkEnd w:id="241"/>
      <w:bookmarkEnd w:id="242"/>
      <w:bookmarkEnd w:id="24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שבת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רציתי לבקש להעיר. כמו שצוין כאן יש שיקולים לקיצור התקופה, המעביד צריך </w:t>
      </w:r>
      <w:bookmarkStart w:id="244" w:name="_ETM_Q1_816716"/>
      <w:bookmarkEnd w:id="244"/>
      <w:r>
        <w:rPr>
          <w:rFonts w:cs="David"/>
          <w:rtl/>
        </w:rPr>
        <w:t xml:space="preserve">לשמור את המסמכים והתובע גם לא צריך לישון על זכויותיו, </w:t>
      </w:r>
      <w:bookmarkStart w:id="245" w:name="_ETM_Q1_827446"/>
      <w:bookmarkEnd w:id="245"/>
      <w:r>
        <w:rPr>
          <w:rFonts w:cs="David"/>
          <w:rtl/>
        </w:rPr>
        <w:t xml:space="preserve">אבל מצד שני אנחנו צריכים לזכור שאנחנו מדברים </w:t>
      </w:r>
      <w:bookmarkStart w:id="246" w:name="_ETM_Q1_826817"/>
      <w:bookmarkEnd w:id="246"/>
      <w:r>
        <w:rPr>
          <w:rFonts w:cs="David"/>
          <w:rtl/>
        </w:rPr>
        <w:t xml:space="preserve">על הפרשי שכר. אמנם שכר שנובע מאפליה, צריך להוכיח </w:t>
      </w:r>
      <w:bookmarkStart w:id="247" w:name="_ETM_Q1_832994"/>
      <w:bookmarkEnd w:id="247"/>
      <w:r>
        <w:rPr>
          <w:rFonts w:cs="David"/>
          <w:rtl/>
        </w:rPr>
        <w:t xml:space="preserve">עילת אפליה. אנחנו מדברים על הפרשי שכר ולצמצם מאוד את </w:t>
      </w:r>
      <w:bookmarkStart w:id="248" w:name="_ETM_Q1_838627"/>
      <w:bookmarkEnd w:id="248"/>
      <w:r>
        <w:rPr>
          <w:rFonts w:cs="David"/>
          <w:rtl/>
        </w:rPr>
        <w:t xml:space="preserve">המועד, יש כאן גם שיקול להעלות את תקופת </w:t>
      </w:r>
      <w:bookmarkStart w:id="249" w:name="_ETM_Q1_842542"/>
      <w:bookmarkEnd w:id="249"/>
      <w:r>
        <w:rPr>
          <w:rFonts w:cs="David"/>
          <w:rtl/>
        </w:rPr>
        <w:t>ההת</w:t>
      </w:r>
      <w:r>
        <w:rPr>
          <w:rFonts w:cs="David"/>
          <w:rtl/>
        </w:rPr>
        <w:t xml:space="preserve">יישנות ואפילו מעבר לתקופה שקבועה לפי </w:t>
      </w:r>
      <w:bookmarkStart w:id="250" w:name="_ETM_Q1_846565"/>
      <w:bookmarkEnd w:id="250"/>
      <w:r>
        <w:rPr>
          <w:rFonts w:cs="David"/>
          <w:rtl/>
        </w:rPr>
        <w:t>חוק שוויון הזדמנויות בעבודה. זאת אומרת, יש כאן שיקולים לכאן ולכאן.</w:t>
      </w:r>
    </w:p>
    <w:p w:rsidR="00000000" w:rsidRDefault="00A92166">
      <w:pPr>
        <w:rPr>
          <w:rFonts w:cs="David"/>
          <w:rtl/>
        </w:rPr>
      </w:pPr>
      <w:bookmarkStart w:id="251" w:name="_ETM_Q1_850310"/>
      <w:bookmarkEnd w:id="251"/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>אני ר</w:t>
      </w:r>
      <w:bookmarkStart w:id="252" w:name="_ETM_Q1_851149"/>
      <w:bookmarkEnd w:id="252"/>
      <w:r>
        <w:rPr>
          <w:rFonts w:cs="David"/>
          <w:rtl/>
        </w:rPr>
        <w:t xml:space="preserve">וצה להעיר לגבי הנוסח </w:t>
      </w:r>
      <w:bookmarkStart w:id="253" w:name="_ETM_Q1_853218"/>
      <w:bookmarkEnd w:id="253"/>
      <w:r>
        <w:rPr>
          <w:rFonts w:cs="David"/>
          <w:rtl/>
        </w:rPr>
        <w:t>שמוצע כאן. הח</w:t>
      </w:r>
      <w:r>
        <w:rPr>
          <w:rFonts w:cs="David"/>
          <w:rtl/>
        </w:rPr>
        <w:t xml:space="preserve">וק דיבר על כך שהעובד לא </w:t>
      </w:r>
      <w:bookmarkStart w:id="254" w:name="_ETM_Q1_858991"/>
      <w:bookmarkEnd w:id="254"/>
      <w:r>
        <w:rPr>
          <w:rFonts w:cs="David"/>
          <w:rtl/>
        </w:rPr>
        <w:t xml:space="preserve">יוכל לתבוע יותר משנתיים אחורה. זאת אומרת, הזכות שלו נעלמת. </w:t>
      </w:r>
      <w:bookmarkStart w:id="255" w:name="_ETM_Q1_863643"/>
      <w:bookmarkEnd w:id="255"/>
      <w:r>
        <w:rPr>
          <w:rFonts w:cs="David"/>
          <w:rtl/>
        </w:rPr>
        <w:t xml:space="preserve">זאת התיישנות מהותית. אנחנו מציעים להפוך אותה להתיישנות דיונית. </w:t>
      </w:r>
      <w:bookmarkStart w:id="256" w:name="_ETM_Q1_867679"/>
      <w:bookmarkEnd w:id="256"/>
      <w:r>
        <w:rPr>
          <w:rFonts w:cs="David"/>
          <w:rtl/>
        </w:rPr>
        <w:t>זאת אומרת, אם לא מעלים טענ</w:t>
      </w:r>
      <w:r>
        <w:rPr>
          <w:rFonts w:cs="David"/>
          <w:rtl/>
        </w:rPr>
        <w:t xml:space="preserve">ת התיישנות במועד, אם אנחנו </w:t>
      </w:r>
      <w:bookmarkStart w:id="257" w:name="_ETM_Q1_869672"/>
      <w:bookmarkEnd w:id="257"/>
      <w:r>
        <w:rPr>
          <w:rFonts w:cs="David"/>
          <w:rtl/>
        </w:rPr>
        <w:t xml:space="preserve">לא מדברים על מצב של תביעה אלא כטענה של קיזוז </w:t>
      </w:r>
      <w:bookmarkStart w:id="258" w:name="_ETM_Q1_874793"/>
      <w:bookmarkEnd w:id="258"/>
      <w:r>
        <w:rPr>
          <w:rFonts w:cs="David"/>
          <w:rtl/>
        </w:rPr>
        <w:t xml:space="preserve">או תביעה שכנגד, אז בעצם אין התיישנות של הזכות המהותית. </w:t>
      </w:r>
      <w:bookmarkStart w:id="259" w:name="_ETM_Q1_878711"/>
      <w:bookmarkEnd w:id="259"/>
      <w:r>
        <w:rPr>
          <w:rFonts w:cs="David"/>
          <w:rtl/>
        </w:rPr>
        <w:t>לכן אנחנו מציעים להפוך את זה להתיישנות דיונית</w:t>
      </w:r>
      <w:r>
        <w:rPr>
          <w:rFonts w:cs="David"/>
          <w:rtl/>
        </w:rPr>
        <w:t xml:space="preserve"> </w:t>
      </w:r>
      <w:bookmarkStart w:id="260" w:name="_ETM_Q1_879672"/>
      <w:bookmarkEnd w:id="260"/>
      <w:r>
        <w:rPr>
          <w:rFonts w:cs="David"/>
          <w:rtl/>
        </w:rPr>
        <w:t>לפי הנוסח שמוצע כאן לתקופה כפי שתחליט עליה הוועדה.</w:t>
      </w:r>
    </w:p>
    <w:p w:rsidR="00000000" w:rsidRDefault="00A92166">
      <w:pPr>
        <w:rPr>
          <w:rFonts w:cs="David"/>
          <w:rtl/>
        </w:rPr>
      </w:pPr>
      <w:bookmarkStart w:id="261" w:name="_ETM_Q1_883481"/>
      <w:bookmarkEnd w:id="261"/>
    </w:p>
    <w:p w:rsidR="00000000" w:rsidRDefault="00A92166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לזה גם </w:t>
      </w:r>
      <w:bookmarkStart w:id="262" w:name="_ETM_Q1_881540"/>
      <w:bookmarkEnd w:id="262"/>
      <w:r>
        <w:rPr>
          <w:rFonts w:cs="David"/>
          <w:rtl/>
        </w:rPr>
        <w:t>משרד המשפטים הסכים.</w:t>
      </w:r>
    </w:p>
    <w:p w:rsidR="00000000" w:rsidRDefault="00A92166">
      <w:pPr>
        <w:rPr>
          <w:rFonts w:cs="David"/>
          <w:rtl/>
        </w:rPr>
      </w:pPr>
      <w:bookmarkStart w:id="263" w:name="_ETM_Q1_886351"/>
      <w:bookmarkEnd w:id="263"/>
    </w:p>
    <w:p w:rsidR="00000000" w:rsidRDefault="00A92166">
      <w:pPr>
        <w:rPr>
          <w:rFonts w:cs="David"/>
          <w:rtl/>
        </w:rPr>
      </w:pPr>
      <w:bookmarkStart w:id="264" w:name="_ETM_Q1_886678"/>
      <w:bookmarkEnd w:id="264"/>
      <w:r>
        <w:rPr>
          <w:rFonts w:cs="David"/>
          <w:rtl/>
        </w:rPr>
        <w:t>אנחנו רוצים להעלו</w:t>
      </w:r>
      <w:r>
        <w:rPr>
          <w:rFonts w:cs="David"/>
          <w:rtl/>
        </w:rPr>
        <w:t xml:space="preserve">ת את התקופה לחמש שנים. תקריאי את </w:t>
      </w:r>
      <w:bookmarkStart w:id="265" w:name="_ETM_Q1_888450"/>
      <w:bookmarkEnd w:id="265"/>
      <w:r>
        <w:rPr>
          <w:rFonts w:cs="David"/>
          <w:rtl/>
        </w:rPr>
        <w:t xml:space="preserve">הצעת החוק עם חמש שנים. משרד המשפטים יוכל להתנגד ולהגיש </w:t>
      </w:r>
      <w:bookmarkStart w:id="266" w:name="_ETM_Q1_894034"/>
      <w:bookmarkEnd w:id="266"/>
      <w:r>
        <w:rPr>
          <w:rFonts w:cs="David"/>
          <w:rtl/>
        </w:rPr>
        <w:t>הסתייגויות.</w:t>
      </w:r>
    </w:p>
    <w:p w:rsidR="00000000" w:rsidRDefault="00A92166">
      <w:pPr>
        <w:ind w:firstLine="0"/>
        <w:rPr>
          <w:rFonts w:cs="David"/>
          <w:rtl/>
        </w:rPr>
      </w:pPr>
    </w:p>
    <w:p w:rsidR="00000000" w:rsidRDefault="00A92166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נועה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שבת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ind w:firstLine="0"/>
        <w:rPr>
          <w:rFonts w:cs="David"/>
          <w:rtl/>
        </w:rPr>
      </w:pPr>
    </w:p>
    <w:p w:rsidR="00000000" w:rsidRDefault="00A92166">
      <w:pPr>
        <w:pStyle w:val="a7"/>
        <w:keepNext/>
        <w:rPr>
          <w:rFonts w:cs="David"/>
          <w:u w:val="none"/>
        </w:rPr>
      </w:pPr>
      <w:r>
        <w:rPr>
          <w:rFonts w:cs="David" w:hint="eastAsia"/>
          <w:u w:val="none"/>
          <w:rtl/>
        </w:rPr>
        <w:t>הצעת</w:t>
      </w:r>
      <w:r>
        <w:rPr>
          <w:rFonts w:cs="David"/>
          <w:u w:val="none"/>
          <w:rtl/>
        </w:rPr>
        <w:t xml:space="preserve"> </w:t>
      </w:r>
      <w:r>
        <w:rPr>
          <w:rFonts w:cs="David" w:hint="eastAsia"/>
          <w:u w:val="none"/>
          <w:rtl/>
        </w:rPr>
        <w:t>חוק</w:t>
      </w:r>
      <w:r>
        <w:rPr>
          <w:rFonts w:cs="David"/>
          <w:u w:val="none"/>
          <w:rtl/>
        </w:rPr>
        <w:t xml:space="preserve"> </w:t>
      </w:r>
      <w:r>
        <w:rPr>
          <w:rFonts w:cs="David" w:hint="eastAsia"/>
          <w:u w:val="none"/>
          <w:rtl/>
        </w:rPr>
        <w:t>שכר</w:t>
      </w:r>
      <w:r>
        <w:rPr>
          <w:rFonts w:cs="David"/>
          <w:u w:val="none"/>
          <w:rtl/>
        </w:rPr>
        <w:t xml:space="preserve"> </w:t>
      </w:r>
      <w:r>
        <w:rPr>
          <w:rFonts w:cs="David" w:hint="eastAsia"/>
          <w:u w:val="none"/>
          <w:rtl/>
        </w:rPr>
        <w:t>שווה</w:t>
      </w:r>
      <w:r>
        <w:rPr>
          <w:rFonts w:cs="David"/>
          <w:u w:val="none"/>
          <w:rtl/>
        </w:rPr>
        <w:t xml:space="preserve"> </w:t>
      </w:r>
      <w:r>
        <w:rPr>
          <w:rFonts w:cs="David" w:hint="eastAsia"/>
          <w:u w:val="none"/>
          <w:rtl/>
        </w:rPr>
        <w:t>לעובדת</w:t>
      </w:r>
      <w:r>
        <w:rPr>
          <w:rFonts w:cs="David"/>
          <w:u w:val="none"/>
          <w:rtl/>
        </w:rPr>
        <w:t xml:space="preserve"> </w:t>
      </w:r>
      <w:r>
        <w:rPr>
          <w:rFonts w:cs="David" w:hint="eastAsia"/>
          <w:u w:val="none"/>
          <w:rtl/>
        </w:rPr>
        <w:t>ולעובד</w:t>
      </w:r>
      <w:r>
        <w:rPr>
          <w:rFonts w:cs="David"/>
          <w:u w:val="none"/>
          <w:rtl/>
        </w:rPr>
        <w:t xml:space="preserve"> (</w:t>
      </w:r>
      <w:r>
        <w:rPr>
          <w:rFonts w:cs="David" w:hint="eastAsia"/>
          <w:u w:val="none"/>
          <w:rtl/>
        </w:rPr>
        <w:t>תיקון</w:t>
      </w:r>
      <w:r>
        <w:rPr>
          <w:rFonts w:cs="David"/>
          <w:u w:val="none"/>
          <w:rtl/>
        </w:rPr>
        <w:t xml:space="preserve"> </w:t>
      </w:r>
      <w:r>
        <w:rPr>
          <w:rFonts w:cs="David" w:hint="eastAsia"/>
          <w:u w:val="none"/>
          <w:rtl/>
        </w:rPr>
        <w:t>מס</w:t>
      </w:r>
      <w:r>
        <w:rPr>
          <w:rFonts w:cs="David"/>
          <w:u w:val="none"/>
          <w:rtl/>
        </w:rPr>
        <w:t xml:space="preserve">' 2), </w:t>
      </w:r>
      <w:r>
        <w:rPr>
          <w:rFonts w:cs="David" w:hint="eastAsia"/>
          <w:u w:val="none"/>
          <w:rtl/>
        </w:rPr>
        <w:t>התשע</w:t>
      </w:r>
      <w:r>
        <w:rPr>
          <w:rFonts w:cs="David"/>
          <w:u w:val="none"/>
          <w:rtl/>
        </w:rPr>
        <w:t>"</w:t>
      </w:r>
      <w:r>
        <w:rPr>
          <w:rFonts w:cs="David" w:hint="eastAsia"/>
          <w:u w:val="none"/>
          <w:rtl/>
        </w:rPr>
        <w:t>ב</w:t>
      </w:r>
      <w:r>
        <w:rPr>
          <w:rFonts w:cs="David"/>
          <w:u w:val="none"/>
          <w:rtl/>
        </w:rPr>
        <w:t>-2012</w:t>
      </w:r>
    </w:p>
    <w:p w:rsidR="00000000" w:rsidRDefault="00A92166">
      <w:pPr>
        <w:ind w:firstLine="0"/>
        <w:rPr>
          <w:rFonts w:cs="David"/>
          <w:rtl/>
        </w:rPr>
      </w:pPr>
    </w:p>
    <w:p w:rsidR="00000000" w:rsidRDefault="00A92166">
      <w:pPr>
        <w:ind w:firstLine="0"/>
        <w:rPr>
          <w:rFonts w:cs="David"/>
          <w:rtl/>
        </w:rPr>
      </w:pPr>
      <w:bookmarkStart w:id="267" w:name="_ETM_Q1_527923"/>
      <w:bookmarkEnd w:id="267"/>
      <w:r>
        <w:rPr>
          <w:rFonts w:cs="David"/>
          <w:rtl/>
        </w:rPr>
        <w:t>1.</w:t>
      </w:r>
      <w:r>
        <w:rPr>
          <w:rFonts w:cs="David"/>
          <w:rtl/>
        </w:rPr>
        <w:tab/>
        <w:t>תיקון סעיף 8</w:t>
      </w:r>
    </w:p>
    <w:p w:rsidR="00000000" w:rsidRDefault="00A92166">
      <w:pPr>
        <w:rPr>
          <w:rFonts w:cs="David"/>
          <w:rtl/>
        </w:rPr>
      </w:pPr>
      <w:bookmarkStart w:id="268" w:name="_ETM_Q1_528299"/>
      <w:bookmarkEnd w:id="268"/>
    </w:p>
    <w:p w:rsidR="00000000" w:rsidRDefault="00A92166">
      <w:pPr>
        <w:rPr>
          <w:rFonts w:cs="David"/>
          <w:rtl/>
        </w:rPr>
      </w:pPr>
      <w:bookmarkStart w:id="269" w:name="_ETM_Q1_899987"/>
      <w:bookmarkEnd w:id="269"/>
      <w:r>
        <w:rPr>
          <w:rFonts w:cs="David"/>
          <w:rtl/>
        </w:rPr>
        <w:t xml:space="preserve">בחוק שכר שווה לעובדת ולעובד התשנ"ו-1996, בסעיף </w:t>
      </w:r>
      <w:bookmarkStart w:id="270" w:name="_ETM_Q1_905867"/>
      <w:bookmarkEnd w:id="270"/>
      <w:r>
        <w:rPr>
          <w:rFonts w:cs="David"/>
          <w:rtl/>
        </w:rPr>
        <w:t>8, במקום סעיף קטן (א) יבוא:</w:t>
      </w:r>
    </w:p>
    <w:p w:rsidR="00000000" w:rsidRDefault="00A92166">
      <w:pPr>
        <w:rPr>
          <w:rFonts w:cs="David"/>
          <w:rtl/>
        </w:rPr>
      </w:pPr>
      <w:bookmarkStart w:id="271" w:name="_ETM_Q1_903498"/>
      <w:bookmarkEnd w:id="271"/>
    </w:p>
    <w:p w:rsidR="00000000" w:rsidRDefault="00A92166">
      <w:pPr>
        <w:rPr>
          <w:rFonts w:cs="David"/>
          <w:rtl/>
        </w:rPr>
      </w:pPr>
      <w:bookmarkStart w:id="272" w:name="_ETM_Q1_903871"/>
      <w:bookmarkEnd w:id="272"/>
      <w:r>
        <w:rPr>
          <w:rFonts w:cs="David"/>
          <w:rtl/>
        </w:rPr>
        <w:t>"(א)</w:t>
      </w:r>
      <w:r>
        <w:rPr>
          <w:rFonts w:cs="David"/>
          <w:rtl/>
        </w:rPr>
        <w:tab/>
        <w:t>תקופ</w:t>
      </w:r>
      <w:r>
        <w:rPr>
          <w:rFonts w:cs="David"/>
          <w:rtl/>
        </w:rPr>
        <w:t>ת ההתיישנות לתובענה לפי חוק זה היא חמש שנים".</w:t>
      </w:r>
    </w:p>
    <w:p w:rsidR="00000000" w:rsidRDefault="00A92166">
      <w:pPr>
        <w:rPr>
          <w:rFonts w:cs="David"/>
          <w:rtl/>
        </w:rPr>
      </w:pPr>
    </w:p>
    <w:p w:rsidR="00000000" w:rsidRDefault="00A92166">
      <w:pPr>
        <w:pStyle w:val="af8"/>
        <w:keepNext/>
        <w:rPr>
          <w:rFonts w:cs="David"/>
          <w:rtl/>
        </w:rPr>
      </w:pPr>
      <w:bookmarkStart w:id="273" w:name="_ETM_Q1_912120"/>
      <w:bookmarkStart w:id="274" w:name="_ETM_Q1_914498"/>
      <w:bookmarkEnd w:id="273"/>
      <w:bookmarkEnd w:id="27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>אנחנו מצביעים.</w:t>
      </w:r>
    </w:p>
    <w:p w:rsidR="00000000" w:rsidRDefault="00A92166">
      <w:pPr>
        <w:rPr>
          <w:rFonts w:cs="David"/>
          <w:rtl/>
        </w:rPr>
      </w:pPr>
      <w:bookmarkStart w:id="275" w:name="_ETM_Q1_911705"/>
      <w:bookmarkEnd w:id="275"/>
    </w:p>
    <w:p w:rsidR="00000000" w:rsidRDefault="00A92166">
      <w:pPr>
        <w:pStyle w:val="af3"/>
        <w:keepNext/>
        <w:rPr>
          <w:rFonts w:cs="David"/>
          <w:rtl/>
        </w:rPr>
      </w:pPr>
      <w:bookmarkStart w:id="276" w:name="_ETM_Q1_912125"/>
      <w:bookmarkEnd w:id="276"/>
      <w:r>
        <w:rPr>
          <w:rFonts w:cs="David" w:hint="eastAsia"/>
          <w:rtl/>
        </w:rPr>
        <w:t>הצבעה</w:t>
      </w:r>
    </w:p>
    <w:p w:rsidR="00000000" w:rsidRDefault="00A92166">
      <w:pPr>
        <w:jc w:val="center"/>
        <w:rPr>
          <w:rFonts w:cs="David"/>
          <w:rtl/>
        </w:rPr>
      </w:pPr>
      <w:r>
        <w:rPr>
          <w:rFonts w:cs="David"/>
          <w:rtl/>
        </w:rPr>
        <w:t xml:space="preserve">בעד אישור הצעת החוק – פה </w:t>
      </w:r>
      <w:bookmarkStart w:id="277" w:name="_ETM_Q1_913132"/>
      <w:bookmarkEnd w:id="277"/>
      <w:r>
        <w:rPr>
          <w:rFonts w:cs="David"/>
          <w:rtl/>
        </w:rPr>
        <w:t>אחד</w:t>
      </w:r>
    </w:p>
    <w:p w:rsidR="00000000" w:rsidRDefault="00A92166">
      <w:pPr>
        <w:jc w:val="center"/>
        <w:rPr>
          <w:rFonts w:cs="David"/>
          <w:rtl/>
        </w:rPr>
      </w:pPr>
      <w:bookmarkStart w:id="278" w:name="_ETM_Q1_913510"/>
      <w:bookmarkEnd w:id="278"/>
      <w:r>
        <w:rPr>
          <w:rFonts w:cs="David"/>
          <w:rtl/>
        </w:rPr>
        <w:t>הצעת החוק אושרה</w:t>
      </w:r>
    </w:p>
    <w:p w:rsidR="00000000" w:rsidRDefault="00A92166">
      <w:pPr>
        <w:rPr>
          <w:rFonts w:cs="David"/>
          <w:rtl/>
        </w:rPr>
      </w:pPr>
      <w:bookmarkStart w:id="279" w:name="_ETM_Q1_916699"/>
      <w:bookmarkEnd w:id="279"/>
    </w:p>
    <w:p w:rsidR="00000000" w:rsidRDefault="00A92166">
      <w:pPr>
        <w:pStyle w:val="af8"/>
        <w:keepNext/>
        <w:rPr>
          <w:rFonts w:cs="David"/>
          <w:rtl/>
        </w:rPr>
      </w:pPr>
      <w:bookmarkStart w:id="280" w:name="_ETM_Q1_917029"/>
      <w:bookmarkStart w:id="281" w:name="_ETM_Q1_916869"/>
      <w:bookmarkEnd w:id="280"/>
      <w:bookmarkEnd w:id="28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A92166">
      <w:pPr>
        <w:pStyle w:val="KeepWithNext"/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 xml:space="preserve">כל חברי הכנסת שנמצאים כאן ויש להם </w:t>
      </w:r>
      <w:bookmarkStart w:id="282" w:name="_ETM_Q1_919214"/>
      <w:bookmarkEnd w:id="282"/>
      <w:r>
        <w:rPr>
          <w:rFonts w:cs="David"/>
          <w:rtl/>
        </w:rPr>
        <w:t>זכות הצבעה – דליה איציק מצביעה במקום רחל אדטו –</w:t>
      </w:r>
      <w:r>
        <w:rPr>
          <w:rFonts w:cs="David"/>
          <w:rtl/>
        </w:rPr>
        <w:t xml:space="preserve"> </w:t>
      </w:r>
      <w:bookmarkStart w:id="283" w:name="_ETM_Q1_924019"/>
      <w:bookmarkEnd w:id="283"/>
      <w:r>
        <w:rPr>
          <w:rFonts w:cs="David"/>
          <w:rtl/>
        </w:rPr>
        <w:t>אישרו את הצעת החוק.</w:t>
      </w:r>
    </w:p>
    <w:p w:rsidR="00000000" w:rsidRDefault="00A92166">
      <w:pPr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  <w:bookmarkStart w:id="284" w:name="_ETM_Q1_934956"/>
      <w:bookmarkEnd w:id="284"/>
      <w:r>
        <w:rPr>
          <w:rFonts w:cs="David"/>
          <w:rtl/>
        </w:rPr>
        <w:t>אני שמח להודיע שוועדת העבודה והרווחה אישרה</w:t>
      </w:r>
      <w:bookmarkStart w:id="285" w:name="_ETM_Q1_936063"/>
      <w:bookmarkEnd w:id="285"/>
      <w:r>
        <w:rPr>
          <w:rFonts w:cs="David"/>
          <w:rtl/>
        </w:rPr>
        <w:t xml:space="preserve"> את הצעת החוק כהכנה לקריאה שנייה ושלישית. הצעת החוק, בלי </w:t>
      </w:r>
      <w:bookmarkStart w:id="286" w:name="_ETM_Q1_941937"/>
      <w:bookmarkEnd w:id="286"/>
      <w:r>
        <w:rPr>
          <w:rFonts w:cs="David"/>
          <w:rtl/>
        </w:rPr>
        <w:t>נדר, תעלה בשבוע הבא לקר</w:t>
      </w:r>
      <w:r>
        <w:rPr>
          <w:rFonts w:cs="David"/>
          <w:rtl/>
        </w:rPr>
        <w:t xml:space="preserve">יאה שנייה ושלישית ואני מקווה שגם </w:t>
      </w:r>
      <w:bookmarkStart w:id="287" w:name="_ETM_Q1_950525"/>
      <w:bookmarkEnd w:id="287"/>
      <w:r>
        <w:rPr>
          <w:rFonts w:cs="David"/>
          <w:rtl/>
        </w:rPr>
        <w:t xml:space="preserve">בתיקון העוולה הקטנה הזאת עשינו עוד צעד לקידום מעמד האישה </w:t>
      </w:r>
      <w:bookmarkStart w:id="288" w:name="_ETM_Q1_952431"/>
      <w:bookmarkEnd w:id="288"/>
      <w:r>
        <w:rPr>
          <w:rFonts w:cs="David"/>
          <w:rtl/>
        </w:rPr>
        <w:t>ונעמ"ת במדינת ישראל.</w:t>
      </w:r>
    </w:p>
    <w:p w:rsidR="00000000" w:rsidRDefault="00A92166">
      <w:pPr>
        <w:rPr>
          <w:rFonts w:cs="David"/>
          <w:rtl/>
        </w:rPr>
      </w:pPr>
      <w:bookmarkStart w:id="289" w:name="_ETM_Q1_953727"/>
      <w:bookmarkEnd w:id="289"/>
    </w:p>
    <w:p w:rsidR="00000000" w:rsidRDefault="00A92166">
      <w:pPr>
        <w:rPr>
          <w:rFonts w:cs="David"/>
          <w:rtl/>
        </w:rPr>
      </w:pPr>
      <w:r>
        <w:rPr>
          <w:rFonts w:cs="David"/>
          <w:rtl/>
        </w:rPr>
        <w:t>ת</w:t>
      </w:r>
      <w:bookmarkStart w:id="290" w:name="_ETM_Q1_954279"/>
      <w:bookmarkEnd w:id="290"/>
      <w:r>
        <w:rPr>
          <w:rFonts w:cs="David"/>
          <w:rtl/>
        </w:rPr>
        <w:t>ודה רבה. הישיבה נעולה.</w:t>
      </w:r>
    </w:p>
    <w:p w:rsidR="00000000" w:rsidRDefault="00A92166">
      <w:pPr>
        <w:rPr>
          <w:rFonts w:cs="David"/>
          <w:rtl/>
        </w:rPr>
      </w:pPr>
      <w:bookmarkStart w:id="291" w:name="_ETM_Q1_956338"/>
      <w:bookmarkEnd w:id="291"/>
    </w:p>
    <w:p w:rsidR="00000000" w:rsidRDefault="00A92166">
      <w:pPr>
        <w:rPr>
          <w:rFonts w:cs="David"/>
          <w:rtl/>
        </w:rPr>
      </w:pPr>
      <w:bookmarkStart w:id="292" w:name="_ETM_Q1_956709"/>
      <w:bookmarkEnd w:id="292"/>
    </w:p>
    <w:p w:rsidR="00000000" w:rsidRDefault="00A92166">
      <w:pPr>
        <w:rPr>
          <w:rFonts w:cs="David"/>
          <w:rtl/>
        </w:rPr>
      </w:pPr>
    </w:p>
    <w:p w:rsidR="00000000" w:rsidRDefault="00A92166">
      <w:pPr>
        <w:rPr>
          <w:rFonts w:cs="David"/>
          <w:rtl/>
        </w:rPr>
      </w:pPr>
    </w:p>
    <w:p w:rsidR="00000000" w:rsidRDefault="00A92166">
      <w:pPr>
        <w:pStyle w:val="afe"/>
        <w:keepNext/>
        <w:rPr>
          <w:rFonts w:cs="David"/>
        </w:rPr>
      </w:pPr>
      <w:bookmarkStart w:id="293" w:name="_ETM_Q1_957585"/>
      <w:bookmarkStart w:id="294" w:name="_ETM_Q1_0"/>
      <w:bookmarkEnd w:id="293"/>
      <w:bookmarkEnd w:id="294"/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הישיבה ננעלה בשעה 10:15.</w:t>
      </w:r>
      <w:r>
        <w:rPr>
          <w:rFonts w:cs="David"/>
          <w:vanish/>
          <w:highlight w:val="yellow"/>
          <w:rtl/>
        </w:rPr>
        <w:t>&gt;</w:t>
      </w:r>
    </w:p>
    <w:sectPr w:rsidR="000000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92166">
      <w:pPr>
        <w:rPr>
          <w:rFonts w:cs="David"/>
        </w:rPr>
      </w:pPr>
      <w:r>
        <w:rPr>
          <w:rFonts w:cs="David"/>
        </w:rPr>
        <w:separator/>
      </w:r>
    </w:p>
  </w:endnote>
  <w:endnote w:type="continuationSeparator" w:id="0">
    <w:p w:rsidR="00000000" w:rsidRDefault="00A92166">
      <w:pPr>
        <w:rPr>
          <w:rFonts w:cs="David"/>
        </w:rPr>
      </w:pPr>
      <w:r>
        <w:rPr>
          <w:rFonts w:cs="David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92166">
      <w:pPr>
        <w:rPr>
          <w:rFonts w:cs="David"/>
        </w:rPr>
      </w:pPr>
      <w:r>
        <w:rPr>
          <w:rFonts w:cs="David"/>
        </w:rPr>
        <w:separator/>
      </w:r>
    </w:p>
  </w:footnote>
  <w:footnote w:type="continuationSeparator" w:id="0">
    <w:p w:rsidR="00000000" w:rsidRDefault="00A92166">
      <w:pPr>
        <w:rPr>
          <w:rFonts w:cs="David"/>
        </w:rPr>
      </w:pPr>
      <w:r>
        <w:rPr>
          <w:rFonts w:cs="David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92166">
    <w:pPr>
      <w:pStyle w:val="a3"/>
      <w:framePr w:wrap="auto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000000" w:rsidRDefault="00A92166">
    <w:pPr>
      <w:pStyle w:val="a3"/>
      <w:ind w:firstLine="0"/>
      <w:rPr>
        <w:rFonts w:cs="David"/>
      </w:rPr>
    </w:pPr>
    <w:r>
      <w:rPr>
        <w:rFonts w:cs="David"/>
        <w:rtl/>
      </w:rPr>
      <w:t xml:space="preserve">ועדת העבודה, הרווחה והבריאות </w:t>
    </w:r>
  </w:p>
  <w:p w:rsidR="00000000" w:rsidRDefault="00A92166">
    <w:pPr>
      <w:pStyle w:val="a3"/>
      <w:ind w:firstLine="0"/>
      <w:rPr>
        <w:rFonts w:cs="David"/>
        <w:rtl/>
      </w:rPr>
    </w:pPr>
    <w:r>
      <w:rPr>
        <w:rFonts w:cs="David"/>
        <w:rtl/>
      </w:rPr>
      <w:t xml:space="preserve"> 16/07/2012 </w:t>
    </w:r>
  </w:p>
  <w:p w:rsidR="00000000" w:rsidRDefault="00A92166">
    <w:pPr>
      <w:pStyle w:val="a3"/>
      <w:ind w:firstLine="0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92166"/>
    <w:rsid w:val="00A92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D41C8C4-8E52-48CC-9D27-246678092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דובר"/>
    <w:basedOn w:val="a"/>
    <w:next w:val="a"/>
    <w:uiPriority w:val="99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99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uiPriority w:val="99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מנהל"/>
    <w:basedOn w:val="a"/>
    <w:next w:val="a"/>
    <w:uiPriority w:val="99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uiPriority w:val="99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d">
    <w:name w:val="שער_כותרת_מספר_ישיבה"/>
    <w:basedOn w:val="a"/>
    <w:next w:val="a"/>
    <w:uiPriority w:val="99"/>
    <w:pPr>
      <w:spacing w:line="360" w:lineRule="auto"/>
      <w:jc w:val="center"/>
    </w:pPr>
    <w:rPr>
      <w:rFonts w:ascii="Arial" w:hAnsi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">
    <w:name w:val="שער_ירושלים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0">
    <w:name w:val="שער_דברי_הכנס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uiPriority w:val="99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uiPriority w:val="99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uiPriority w:val="99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7">
    <w:name w:val="קריאות"/>
    <w:basedOn w:val="a5"/>
    <w:next w:val="a"/>
    <w:uiPriority w:val="99"/>
  </w:style>
  <w:style w:type="paragraph" w:customStyle="1" w:styleId="af8">
    <w:name w:val="יור"/>
    <w:basedOn w:val="a5"/>
    <w:next w:val="a"/>
    <w:uiPriority w:val="99"/>
  </w:style>
  <w:style w:type="paragraph" w:customStyle="1" w:styleId="-">
    <w:name w:val="דובר-המשך"/>
    <w:basedOn w:val="a5"/>
    <w:next w:val="a"/>
    <w:uiPriority w:val="99"/>
  </w:style>
  <w:style w:type="paragraph" w:customStyle="1" w:styleId="-0">
    <w:name w:val="נושא-תת"/>
    <w:basedOn w:val="a7"/>
    <w:next w:val="a"/>
    <w:uiPriority w:val="99"/>
  </w:style>
  <w:style w:type="character" w:styleId="af9">
    <w:name w:val="page number"/>
    <w:basedOn w:val="a0"/>
    <w:uiPriority w:val="99"/>
    <w:rPr>
      <w:rFonts w:cs="Times New Roman"/>
    </w:rPr>
  </w:style>
  <w:style w:type="paragraph" w:customStyle="1" w:styleId="afa">
    <w:name w:val="תשובה"/>
    <w:basedOn w:val="ab"/>
    <w:next w:val="a"/>
    <w:uiPriority w:val="99"/>
  </w:style>
  <w:style w:type="paragraph" w:customStyle="1" w:styleId="afb">
    <w:name w:val="אורח"/>
    <w:basedOn w:val="a"/>
    <w:next w:val="a"/>
    <w:uiPriority w:val="99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uiPriority w:val="99"/>
    <w:rPr>
      <w:b/>
      <w:bCs/>
    </w:rPr>
  </w:style>
  <w:style w:type="paragraph" w:customStyle="1" w:styleId="afd">
    <w:name w:val="אחרי_כן"/>
    <w:basedOn w:val="a"/>
    <w:next w:val="a"/>
    <w:uiPriority w:val="99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uiPriority w:val="99"/>
    <w:rPr>
      <w:b/>
      <w:bCs/>
    </w:rPr>
  </w:style>
  <w:style w:type="paragraph" w:customStyle="1" w:styleId="KeepWithNext">
    <w:name w:val="KeepWithNext"/>
    <w:basedOn w:val="a"/>
    <w:next w:val="a"/>
    <w:uiPriority w:val="99"/>
    <w:pPr>
      <w:keepNext/>
      <w:ind w:firstLine="0"/>
    </w:pPr>
  </w:style>
  <w:style w:type="paragraph" w:styleId="aff">
    <w:name w:val="Balloon Text"/>
    <w:basedOn w:val="a"/>
    <w:link w:val="aff0"/>
    <w:uiPriority w:val="99"/>
    <w:rPr>
      <w:rFonts w:ascii="Tahoma" w:hAnsi="Tahoma"/>
      <w:sz w:val="16"/>
      <w:szCs w:val="16"/>
    </w:rPr>
  </w:style>
  <w:style w:type="character" w:customStyle="1" w:styleId="aff0">
    <w:name w:val="טקסט בלונים תו"/>
    <w:basedOn w:val="a0"/>
    <w:link w:val="aff"/>
    <w:uiPriority w:val="99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55F290-99EF-4935-BC3E-5779FC8FB753}"/>
</file>

<file path=customXml/itemProps2.xml><?xml version="1.0" encoding="utf-8"?>
<ds:datastoreItem xmlns:ds="http://schemas.openxmlformats.org/officeDocument/2006/customXml" ds:itemID="{4198F3A3-C3F6-4F59-9CD3-8D1DF357C6D2}"/>
</file>

<file path=customXml/itemProps3.xml><?xml version="1.0" encoding="utf-8"?>
<ds:datastoreItem xmlns:ds="http://schemas.openxmlformats.org/officeDocument/2006/customXml" ds:itemID="{F780399D-D678-4755-9C8A-D92E2F7D20F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1637</Words>
  <Characters>8186</Characters>
  <Application>Microsoft Office Word</Application>
  <DocSecurity>4</DocSecurity>
  <Lines>68</Lines>
  <Paragraphs>19</Paragraphs>
  <ScaleCrop>false</ScaleCrop>
  <Company>OMNITECH</Company>
  <LinksUpToDate>false</LinksUpToDate>
  <CharactersWithSpaces>9804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שכר שווה לעובדת ולעובד (תיקון מס' 2) (הארכת תקופת ההתיישנות בתובענה לקבלת הפרשי שכר או גמול אחר), התשע"ב-2012</dc:title>
  <dc:subject/>
  <dc:creator>אומניטק</dc:creator>
  <cp:keywords/>
  <dc:description/>
  <cp:lastModifiedBy>שמואל כוכב</cp:lastModifiedBy>
  <cp:revision>2</cp:revision>
  <cp:lastPrinted>2012-07-26T12:48:00Z</cp:lastPrinted>
  <dcterms:created xsi:type="dcterms:W3CDTF">2018-06-18T17:44:00Z</dcterms:created>
  <dcterms:modified xsi:type="dcterms:W3CDTF">2018-06-18T17:44:00Z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03800412</vt:lpwstr>
  </property>
  <property fmtid="{D5CDD505-2E9C-101B-9397-08002B2CF9AE}" pid="3" name="ContentTypeId">
    <vt:lpwstr>0x0101008FCE1D2CB68F9D4CB5270FF169E39A74</vt:lpwstr>
  </property>
  <property fmtid="{D5CDD505-2E9C-101B-9397-08002B2CF9AE}" pid="4" name="ContentType">
    <vt:lpwstr>פרוטוקולי וועדות - ProtokolVaada</vt:lpwstr>
  </property>
  <property fmtid="{D5CDD505-2E9C-101B-9397-08002B2CF9AE}" pid="5" name="SDCategoryID">
    <vt:lpwstr>be61fa673e08;#</vt:lpwstr>
  </property>
  <property fmtid="{D5CDD505-2E9C-101B-9397-08002B2CF9AE}" pid="6" name="SDCategories">
    <vt:lpwstr>:פרוטוקולי ועדות הכנסת:ועדות קבועות:ועדת העבודה, הרווחה והבריאות;#</vt:lpwstr>
  </property>
  <property fmtid="{D5CDD505-2E9C-101B-9397-08002B2CF9AE}" pid="7" name="SDDocDate">
    <vt:lpwstr>2012-07-26T00:00:00Z</vt:lpwstr>
  </property>
  <property fmtid="{D5CDD505-2E9C-101B-9397-08002B2CF9AE}" pid="8" name="SDHebDate">
    <vt:lpwstr>ז' באב, התשע"ב</vt:lpwstr>
  </property>
  <property fmtid="{D5CDD505-2E9C-101B-9397-08002B2CF9AE}" pid="9" name="MisYeshiva">
    <vt:lpwstr>747.000000000000</vt:lpwstr>
  </property>
  <property fmtid="{D5CDD505-2E9C-101B-9397-08002B2CF9AE}" pid="10" name="MisKnesset">
    <vt:lpwstr>18.0000000000000</vt:lpwstr>
  </property>
  <property fmtid="{D5CDD505-2E9C-101B-9397-08002B2CF9AE}" pid="11" name="SDAuthor">
    <vt:lpwstr>0</vt:lpwstr>
  </property>
  <property fmtid="{D5CDD505-2E9C-101B-9397-08002B2CF9AE}" pid="12" name="שעת ישיבה">
    <vt:lpwstr>10:00 AM</vt:lpwstr>
  </property>
  <property fmtid="{D5CDD505-2E9C-101B-9397-08002B2CF9AE}" pid="13" name="TaarichYeshiva">
    <vt:lpwstr>2012-07-16T10:00:00Z</vt:lpwstr>
  </property>
  <property fmtid="{D5CDD505-2E9C-101B-9397-08002B2CF9AE}" pid="14" name="MisVaada">
    <vt:lpwstr>660.000000000000</vt:lpwstr>
  </property>
  <property fmtid="{D5CDD505-2E9C-101B-9397-08002B2CF9AE}" pid="15" name="GetLastModified">
    <vt:lpwstr>7/26/2012 7:43:41 PM</vt:lpwstr>
  </property>
  <property fmtid="{D5CDD505-2E9C-101B-9397-08002B2CF9AE}" pid="16" name="SanhedrinItemID">
    <vt:r8>473369</vt:r8>
  </property>
  <property fmtid="{D5CDD505-2E9C-101B-9397-08002B2CF9AE}" pid="17" name="SanhedrinDocumentType">
    <vt:r8>167</vt:r8>
  </property>
</Properties>
</file>