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F2A6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F2A65">
      <w:pPr>
        <w:rPr>
          <w:rFonts w:cs="David"/>
          <w:b/>
          <w:bCs/>
          <w:sz w:val="24"/>
          <w:rtl/>
        </w:rPr>
      </w:pPr>
      <w:r>
        <w:rPr>
          <w:rFonts w:cs="David"/>
          <w:b/>
          <w:bCs/>
          <w:sz w:val="24"/>
          <w:rtl/>
        </w:rPr>
        <w:t>מושב שלישי</w:t>
      </w:r>
    </w:p>
    <w:p w:rsidR="00000000" w:rsidRDefault="00AF2A65">
      <w:pPr>
        <w:rPr>
          <w:rFonts w:cs="David"/>
          <w:b/>
          <w:bCs/>
          <w:sz w:val="24"/>
          <w:rtl/>
        </w:rPr>
      </w:pPr>
    </w:p>
    <w:p w:rsidR="00000000" w:rsidRDefault="00AF2A65">
      <w:pPr>
        <w:rPr>
          <w:rFonts w:cs="David"/>
          <w:b/>
          <w:bCs/>
          <w:sz w:val="24"/>
          <w:rtl/>
        </w:rPr>
      </w:pPr>
    </w:p>
    <w:p w:rsidR="00000000" w:rsidRDefault="00AF2A65">
      <w:pPr>
        <w:rPr>
          <w:rFonts w:cs="David"/>
          <w:b/>
          <w:bCs/>
          <w:sz w:val="24"/>
          <w:rtl/>
        </w:rPr>
      </w:pPr>
    </w:p>
    <w:p w:rsidR="00000000" w:rsidRDefault="00AF2A65">
      <w:pPr>
        <w:rPr>
          <w:rFonts w:cs="David"/>
          <w:b/>
          <w:bCs/>
          <w:sz w:val="24"/>
          <w:rtl/>
        </w:rPr>
      </w:pPr>
    </w:p>
    <w:p w:rsidR="00000000" w:rsidRDefault="00AF2A65">
      <w:pPr>
        <w:pStyle w:val="1"/>
        <w:rPr>
          <w:rFonts w:cs="David"/>
          <w:sz w:val="24"/>
          <w:rtl/>
        </w:rPr>
      </w:pPr>
      <w:r>
        <w:rPr>
          <w:rFonts w:cs="David"/>
          <w:sz w:val="24"/>
          <w:rtl/>
        </w:rPr>
        <w:t xml:space="preserve">פרוטוקול מס'  </w:t>
      </w:r>
    </w:p>
    <w:p w:rsidR="00000000" w:rsidRDefault="00AF2A65">
      <w:pPr>
        <w:pStyle w:val="7"/>
        <w:rPr>
          <w:rFonts w:cs="David"/>
          <w:sz w:val="24"/>
          <w:rtl/>
        </w:rPr>
      </w:pPr>
      <w:r>
        <w:rPr>
          <w:rFonts w:cs="David"/>
          <w:sz w:val="24"/>
          <w:rtl/>
        </w:rPr>
        <w:t>מישיבת ועדת ועדת הכספים</w:t>
      </w:r>
    </w:p>
    <w:p w:rsidR="00000000" w:rsidRDefault="00AF2A65">
      <w:pPr>
        <w:pStyle w:val="8"/>
        <w:rPr>
          <w:rFonts w:cs="David"/>
          <w:sz w:val="24"/>
          <w:u w:val="single"/>
          <w:rtl/>
        </w:rPr>
      </w:pPr>
      <w:r>
        <w:rPr>
          <w:rFonts w:cs="David"/>
          <w:sz w:val="24"/>
          <w:u w:val="single"/>
          <w:rtl/>
        </w:rPr>
        <w:t>מיום שני, ט"ז בכסלו, התשס"ה (29 בנובמבר, 2004)  ב</w:t>
      </w:r>
      <w:r>
        <w:rPr>
          <w:rFonts w:cs="David"/>
          <w:sz w:val="24"/>
          <w:u w:val="single"/>
          <w:rtl/>
        </w:rPr>
        <w:t>שעה 13:35</w:t>
      </w:r>
    </w:p>
    <w:p w:rsidR="00000000" w:rsidRDefault="00AF2A65">
      <w:pPr>
        <w:rPr>
          <w:rFonts w:cs="David"/>
          <w:b/>
          <w:bCs/>
          <w:sz w:val="24"/>
          <w:rtl/>
        </w:rPr>
      </w:pPr>
    </w:p>
    <w:p w:rsidR="00000000" w:rsidRDefault="00AF2A65">
      <w:pPr>
        <w:tabs>
          <w:tab w:val="left" w:pos="1221"/>
        </w:tabs>
        <w:rPr>
          <w:rFonts w:cs="David"/>
          <w:b/>
          <w:bCs/>
          <w:sz w:val="24"/>
          <w:u w:val="single"/>
          <w:rtl/>
        </w:rPr>
      </w:pPr>
    </w:p>
    <w:p w:rsidR="00000000" w:rsidRDefault="00AF2A65">
      <w:pPr>
        <w:tabs>
          <w:tab w:val="left" w:pos="1221"/>
        </w:tabs>
        <w:rPr>
          <w:rFonts w:cs="David"/>
          <w:b/>
          <w:bCs/>
          <w:sz w:val="24"/>
          <w:rtl/>
        </w:rPr>
      </w:pPr>
      <w:r>
        <w:rPr>
          <w:rFonts w:cs="David"/>
          <w:b/>
          <w:bCs/>
          <w:sz w:val="24"/>
          <w:u w:val="single"/>
          <w:rtl/>
        </w:rPr>
        <w:t>סדר היום</w:t>
      </w:r>
      <w:r>
        <w:rPr>
          <w:rFonts w:cs="David"/>
          <w:sz w:val="24"/>
          <w:rtl/>
        </w:rPr>
        <w:t>:</w:t>
      </w:r>
    </w:p>
    <w:p w:rsidR="00000000" w:rsidRDefault="00AF2A65">
      <w:pPr>
        <w:rPr>
          <w:rFonts w:cs="David"/>
          <w:b/>
          <w:bCs/>
          <w:sz w:val="24"/>
          <w:rtl/>
        </w:rPr>
      </w:pPr>
    </w:p>
    <w:p w:rsidR="00000000" w:rsidRDefault="00AF2A65">
      <w:pPr>
        <w:tabs>
          <w:tab w:val="left" w:pos="1930"/>
        </w:tabs>
        <w:jc w:val="center"/>
        <w:rPr>
          <w:rFonts w:cs="David"/>
          <w:b/>
          <w:bCs/>
          <w:sz w:val="24"/>
          <w:rtl/>
        </w:rPr>
      </w:pPr>
      <w:r>
        <w:rPr>
          <w:rFonts w:cs="David"/>
          <w:b/>
          <w:bCs/>
          <w:sz w:val="24"/>
          <w:rtl/>
        </w:rPr>
        <w:t xml:space="preserve">צו המכס (איסור יבוא), התשס"ד-2004 </w:t>
      </w:r>
    </w:p>
    <w:p w:rsidR="00000000" w:rsidRDefault="00AF2A65">
      <w:pPr>
        <w:rPr>
          <w:rFonts w:cs="David"/>
          <w:sz w:val="24"/>
          <w:rtl/>
        </w:rPr>
      </w:pPr>
    </w:p>
    <w:p w:rsidR="00000000" w:rsidRDefault="00AF2A65">
      <w:pPr>
        <w:rPr>
          <w:rFonts w:cs="David"/>
          <w:sz w:val="24"/>
          <w:rtl/>
        </w:rPr>
      </w:pPr>
    </w:p>
    <w:p w:rsidR="00000000" w:rsidRDefault="00AF2A65">
      <w:pPr>
        <w:rPr>
          <w:rFonts w:cs="David"/>
          <w:b/>
          <w:bCs/>
          <w:sz w:val="24"/>
          <w:u w:val="single"/>
          <w:rtl/>
        </w:rPr>
      </w:pPr>
      <w:r>
        <w:rPr>
          <w:rFonts w:cs="David"/>
          <w:b/>
          <w:bCs/>
          <w:sz w:val="24"/>
          <w:u w:val="single"/>
          <w:rtl/>
        </w:rPr>
        <w:t>נכחו</w:t>
      </w:r>
      <w:r>
        <w:rPr>
          <w:rFonts w:cs="David"/>
          <w:sz w:val="24"/>
          <w:rtl/>
        </w:rPr>
        <w:t>:</w:t>
      </w:r>
    </w:p>
    <w:p w:rsidR="00000000" w:rsidRDefault="00AF2A65">
      <w:pPr>
        <w:rPr>
          <w:rFonts w:cs="David"/>
          <w:sz w:val="24"/>
          <w:rtl/>
        </w:rPr>
      </w:pPr>
    </w:p>
    <w:p w:rsidR="00000000" w:rsidRDefault="00AF2A65">
      <w:pPr>
        <w:tabs>
          <w:tab w:val="left" w:pos="1788"/>
        </w:tabs>
        <w:rPr>
          <w:rFonts w:cs="David"/>
          <w:sz w:val="24"/>
          <w:rtl/>
        </w:rPr>
      </w:pPr>
      <w:r>
        <w:rPr>
          <w:rFonts w:cs="David"/>
          <w:b/>
          <w:bCs/>
          <w:sz w:val="24"/>
          <w:u w:val="single"/>
          <w:rtl/>
        </w:rPr>
        <w:t>חברי הוועדה</w:t>
      </w:r>
      <w:r>
        <w:rPr>
          <w:rFonts w:cs="David"/>
          <w:sz w:val="24"/>
          <w:rtl/>
        </w:rPr>
        <w:t>:</w:t>
      </w:r>
    </w:p>
    <w:p w:rsidR="00000000" w:rsidRDefault="00AF2A65">
      <w:pPr>
        <w:rPr>
          <w:rFonts w:cs="David"/>
          <w:sz w:val="24"/>
          <w:rtl/>
        </w:rPr>
      </w:pPr>
      <w:r>
        <w:rPr>
          <w:rFonts w:cs="David"/>
          <w:sz w:val="24"/>
          <w:rtl/>
        </w:rPr>
        <w:t xml:space="preserve">אברהם הירשזון – היו"ר </w:t>
      </w:r>
    </w:p>
    <w:p w:rsidR="00000000" w:rsidRDefault="00AF2A65">
      <w:pPr>
        <w:rPr>
          <w:rFonts w:cs="David"/>
          <w:sz w:val="24"/>
          <w:rtl/>
        </w:rPr>
      </w:pPr>
    </w:p>
    <w:p w:rsidR="00000000" w:rsidRDefault="00AF2A65">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F2A65">
      <w:pPr>
        <w:tabs>
          <w:tab w:val="left" w:pos="1788"/>
          <w:tab w:val="left" w:pos="3631"/>
        </w:tabs>
        <w:rPr>
          <w:rFonts w:cs="David"/>
          <w:sz w:val="24"/>
          <w:rtl/>
        </w:rPr>
      </w:pPr>
      <w:r>
        <w:rPr>
          <w:rFonts w:cs="David"/>
          <w:sz w:val="24"/>
          <w:rtl/>
        </w:rPr>
        <w:t>משרד האוצר:</w:t>
      </w:r>
    </w:p>
    <w:p w:rsidR="00000000" w:rsidRDefault="00AF2A65">
      <w:pPr>
        <w:tabs>
          <w:tab w:val="left" w:pos="1788"/>
          <w:tab w:val="left" w:pos="3631"/>
        </w:tabs>
        <w:rPr>
          <w:rFonts w:cs="David"/>
          <w:sz w:val="24"/>
          <w:rtl/>
        </w:rPr>
      </w:pPr>
      <w:r>
        <w:rPr>
          <w:rFonts w:cs="David"/>
          <w:sz w:val="24"/>
          <w:rtl/>
        </w:rPr>
        <w:t>בועז סופר</w:t>
      </w:r>
    </w:p>
    <w:p w:rsidR="00000000" w:rsidRDefault="00AF2A65">
      <w:pPr>
        <w:tabs>
          <w:tab w:val="left" w:pos="1788"/>
          <w:tab w:val="left" w:pos="3631"/>
        </w:tabs>
        <w:rPr>
          <w:rFonts w:cs="David"/>
          <w:sz w:val="24"/>
          <w:rtl/>
        </w:rPr>
      </w:pPr>
      <w:r>
        <w:rPr>
          <w:rFonts w:cs="David"/>
          <w:sz w:val="24"/>
          <w:rtl/>
        </w:rPr>
        <w:t>רוית נעים</w:t>
      </w:r>
    </w:p>
    <w:p w:rsidR="00000000" w:rsidRDefault="00AF2A65">
      <w:pPr>
        <w:tabs>
          <w:tab w:val="left" w:pos="1788"/>
          <w:tab w:val="left" w:pos="3631"/>
        </w:tabs>
        <w:rPr>
          <w:rFonts w:cs="David"/>
          <w:sz w:val="24"/>
          <w:rtl/>
        </w:rPr>
      </w:pPr>
      <w:r>
        <w:rPr>
          <w:rFonts w:cs="David"/>
          <w:sz w:val="24"/>
          <w:rtl/>
        </w:rPr>
        <w:t>נסי מראד</w:t>
      </w:r>
    </w:p>
    <w:p w:rsidR="00000000" w:rsidRDefault="00AF2A65">
      <w:pPr>
        <w:tabs>
          <w:tab w:val="left" w:pos="1788"/>
          <w:tab w:val="left" w:pos="3631"/>
        </w:tabs>
        <w:rPr>
          <w:rFonts w:cs="David"/>
          <w:sz w:val="24"/>
          <w:rtl/>
        </w:rPr>
      </w:pPr>
      <w:r>
        <w:rPr>
          <w:rFonts w:cs="David"/>
          <w:sz w:val="24"/>
          <w:rtl/>
        </w:rPr>
        <w:t>גולן אמסלם</w:t>
      </w:r>
    </w:p>
    <w:p w:rsidR="00000000" w:rsidRDefault="00AF2A65">
      <w:pPr>
        <w:tabs>
          <w:tab w:val="left" w:pos="1788"/>
          <w:tab w:val="left" w:pos="3631"/>
        </w:tabs>
        <w:rPr>
          <w:rFonts w:cs="David"/>
          <w:sz w:val="24"/>
          <w:rtl/>
        </w:rPr>
      </w:pPr>
      <w:r>
        <w:rPr>
          <w:rFonts w:cs="David"/>
          <w:sz w:val="24"/>
          <w:rtl/>
        </w:rPr>
        <w:t>אדולף קניטל</w:t>
      </w:r>
    </w:p>
    <w:p w:rsidR="00000000" w:rsidRDefault="00AF2A65">
      <w:pPr>
        <w:tabs>
          <w:tab w:val="left" w:pos="1788"/>
          <w:tab w:val="left" w:pos="3631"/>
        </w:tabs>
        <w:rPr>
          <w:rFonts w:cs="David"/>
          <w:sz w:val="24"/>
          <w:rtl/>
        </w:rPr>
      </w:pPr>
      <w:r>
        <w:rPr>
          <w:rFonts w:cs="David"/>
          <w:sz w:val="24"/>
          <w:rtl/>
        </w:rPr>
        <w:t>איריס סעדון</w:t>
      </w:r>
    </w:p>
    <w:p w:rsidR="00000000" w:rsidRDefault="00AF2A65">
      <w:pPr>
        <w:tabs>
          <w:tab w:val="left" w:pos="1788"/>
          <w:tab w:val="left" w:pos="3631"/>
        </w:tabs>
        <w:rPr>
          <w:rFonts w:cs="David"/>
          <w:sz w:val="24"/>
          <w:rtl/>
        </w:rPr>
      </w:pPr>
      <w:r>
        <w:rPr>
          <w:rFonts w:cs="David"/>
          <w:sz w:val="24"/>
          <w:rtl/>
        </w:rPr>
        <w:t>איריס ויינברגר</w:t>
      </w:r>
    </w:p>
    <w:p w:rsidR="00000000" w:rsidRDefault="00AF2A65">
      <w:pPr>
        <w:tabs>
          <w:tab w:val="left" w:pos="1788"/>
          <w:tab w:val="left" w:pos="3631"/>
        </w:tabs>
        <w:rPr>
          <w:rFonts w:cs="David"/>
          <w:sz w:val="24"/>
          <w:rtl/>
        </w:rPr>
      </w:pPr>
    </w:p>
    <w:p w:rsidR="00000000" w:rsidRDefault="00AF2A65">
      <w:pPr>
        <w:tabs>
          <w:tab w:val="left" w:pos="1788"/>
          <w:tab w:val="left" w:pos="3631"/>
        </w:tabs>
        <w:rPr>
          <w:rFonts w:cs="David"/>
          <w:sz w:val="24"/>
          <w:rtl/>
        </w:rPr>
      </w:pPr>
      <w:r>
        <w:rPr>
          <w:rFonts w:cs="David"/>
          <w:sz w:val="24"/>
          <w:rtl/>
        </w:rPr>
        <w:t>רפ"ק דני עזריה – המשרד לביטחון פנים</w:t>
      </w:r>
    </w:p>
    <w:p w:rsidR="00000000" w:rsidRDefault="00AF2A65">
      <w:pPr>
        <w:tabs>
          <w:tab w:val="left" w:pos="1788"/>
          <w:tab w:val="left" w:pos="3631"/>
        </w:tabs>
        <w:rPr>
          <w:rFonts w:cs="David"/>
          <w:sz w:val="24"/>
          <w:rtl/>
        </w:rPr>
      </w:pPr>
    </w:p>
    <w:p w:rsidR="00000000" w:rsidRDefault="00AF2A65">
      <w:pPr>
        <w:tabs>
          <w:tab w:val="left" w:pos="1788"/>
          <w:tab w:val="left" w:pos="3631"/>
        </w:tabs>
        <w:rPr>
          <w:rFonts w:cs="David"/>
          <w:sz w:val="24"/>
          <w:rtl/>
        </w:rPr>
      </w:pPr>
      <w:r>
        <w:rPr>
          <w:rFonts w:cs="David"/>
          <w:sz w:val="24"/>
          <w:rtl/>
        </w:rPr>
        <w:t xml:space="preserve">הרשות הלאומית </w:t>
      </w:r>
      <w:r>
        <w:rPr>
          <w:rFonts w:cs="David"/>
          <w:sz w:val="24"/>
          <w:rtl/>
        </w:rPr>
        <w:t>למלחמה בסמים:</w:t>
      </w:r>
    </w:p>
    <w:p w:rsidR="00000000" w:rsidRDefault="00AF2A65">
      <w:pPr>
        <w:tabs>
          <w:tab w:val="left" w:pos="1788"/>
          <w:tab w:val="left" w:pos="3631"/>
        </w:tabs>
        <w:rPr>
          <w:rFonts w:cs="David"/>
          <w:sz w:val="24"/>
          <w:rtl/>
        </w:rPr>
      </w:pPr>
      <w:r>
        <w:rPr>
          <w:rFonts w:cs="David"/>
          <w:sz w:val="24"/>
          <w:rtl/>
        </w:rPr>
        <w:t>חיים מסינג</w:t>
      </w:r>
    </w:p>
    <w:p w:rsidR="00000000" w:rsidRDefault="00AF2A65">
      <w:pPr>
        <w:tabs>
          <w:tab w:val="left" w:pos="1788"/>
          <w:tab w:val="left" w:pos="3631"/>
        </w:tabs>
        <w:rPr>
          <w:rFonts w:cs="David"/>
          <w:sz w:val="24"/>
          <w:rtl/>
        </w:rPr>
      </w:pPr>
      <w:r>
        <w:rPr>
          <w:rFonts w:cs="David"/>
          <w:sz w:val="24"/>
          <w:rtl/>
        </w:rPr>
        <w:t>אריה פרבר</w:t>
      </w:r>
    </w:p>
    <w:p w:rsidR="00000000" w:rsidRDefault="00AF2A65">
      <w:pPr>
        <w:tabs>
          <w:tab w:val="left" w:pos="1788"/>
          <w:tab w:val="left" w:pos="3631"/>
        </w:tabs>
        <w:rPr>
          <w:rFonts w:cs="David"/>
          <w:sz w:val="24"/>
          <w:rtl/>
        </w:rPr>
      </w:pPr>
    </w:p>
    <w:p w:rsidR="00000000" w:rsidRDefault="00AF2A65">
      <w:pPr>
        <w:tabs>
          <w:tab w:val="left" w:pos="1788"/>
          <w:tab w:val="left" w:pos="3631"/>
        </w:tabs>
        <w:rPr>
          <w:rFonts w:cs="David"/>
          <w:sz w:val="24"/>
          <w:rtl/>
        </w:rPr>
      </w:pPr>
      <w:r>
        <w:rPr>
          <w:rFonts w:cs="David"/>
          <w:sz w:val="24"/>
          <w:rtl/>
        </w:rPr>
        <w:t>יוסף טמלר – איגוד לשכות המסחר</w:t>
      </w:r>
    </w:p>
    <w:p w:rsidR="00000000" w:rsidRDefault="00AF2A65">
      <w:pPr>
        <w:tabs>
          <w:tab w:val="left" w:pos="1788"/>
          <w:tab w:val="left" w:pos="3631"/>
        </w:tabs>
        <w:rPr>
          <w:rFonts w:cs="David"/>
          <w:sz w:val="24"/>
          <w:rtl/>
        </w:rPr>
      </w:pPr>
      <w:r>
        <w:rPr>
          <w:rFonts w:cs="David"/>
          <w:sz w:val="24"/>
          <w:rtl/>
        </w:rPr>
        <w:t>דוד סלמן</w:t>
      </w:r>
    </w:p>
    <w:p w:rsidR="00000000" w:rsidRDefault="00AF2A65">
      <w:pPr>
        <w:tabs>
          <w:tab w:val="left" w:pos="1788"/>
          <w:tab w:val="left" w:pos="3631"/>
        </w:tabs>
        <w:rPr>
          <w:rFonts w:cs="David"/>
          <w:sz w:val="24"/>
          <w:rtl/>
        </w:rPr>
      </w:pPr>
    </w:p>
    <w:p w:rsidR="00000000" w:rsidRDefault="00AF2A65">
      <w:pPr>
        <w:tabs>
          <w:tab w:val="left" w:pos="1930"/>
        </w:tabs>
        <w:rPr>
          <w:rFonts w:cs="David"/>
          <w:sz w:val="24"/>
          <w:rtl/>
        </w:rPr>
      </w:pPr>
      <w:r>
        <w:rPr>
          <w:rFonts w:cs="David"/>
          <w:b/>
          <w:bCs/>
          <w:sz w:val="24"/>
          <w:u w:val="single"/>
          <w:rtl/>
        </w:rPr>
        <w:t>יועצת משפטית:</w:t>
      </w:r>
      <w:r>
        <w:rPr>
          <w:rFonts w:cs="David"/>
          <w:sz w:val="24"/>
          <w:rtl/>
        </w:rPr>
        <w:t>שגית אפיק</w:t>
      </w:r>
    </w:p>
    <w:p w:rsidR="00000000" w:rsidRDefault="00AF2A65">
      <w:pPr>
        <w:tabs>
          <w:tab w:val="left" w:pos="1930"/>
        </w:tabs>
        <w:rPr>
          <w:rFonts w:cs="David"/>
          <w:b/>
          <w:bCs/>
          <w:sz w:val="24"/>
          <w:rtl/>
        </w:rPr>
      </w:pPr>
      <w:r>
        <w:rPr>
          <w:rFonts w:cs="David"/>
          <w:b/>
          <w:bCs/>
          <w:sz w:val="24"/>
          <w:u w:val="single"/>
          <w:rtl/>
        </w:rPr>
        <w:t>מנהל/ת הוועדה</w:t>
      </w:r>
      <w:r>
        <w:rPr>
          <w:rFonts w:cs="David"/>
          <w:sz w:val="24"/>
          <w:rtl/>
        </w:rPr>
        <w:t>: טמיר כהן</w:t>
      </w:r>
    </w:p>
    <w:p w:rsidR="00000000" w:rsidRDefault="00AF2A65">
      <w:pPr>
        <w:rPr>
          <w:rFonts w:cs="David"/>
          <w:sz w:val="24"/>
          <w:rtl/>
        </w:rPr>
      </w:pPr>
    </w:p>
    <w:p w:rsidR="00000000" w:rsidRDefault="00AF2A65">
      <w:pPr>
        <w:tabs>
          <w:tab w:val="left" w:pos="1930"/>
        </w:tabs>
        <w:rPr>
          <w:rFonts w:cs="David"/>
          <w:sz w:val="24"/>
          <w:rtl/>
        </w:rPr>
      </w:pPr>
    </w:p>
    <w:p w:rsidR="00000000" w:rsidRDefault="00AF2A65">
      <w:pPr>
        <w:tabs>
          <w:tab w:val="left" w:pos="1930"/>
        </w:tabs>
        <w:rPr>
          <w:rFonts w:cs="David"/>
          <w:sz w:val="24"/>
          <w:rtl/>
        </w:rPr>
      </w:pPr>
    </w:p>
    <w:p w:rsidR="00000000" w:rsidRDefault="00AF2A65">
      <w:pPr>
        <w:tabs>
          <w:tab w:val="left" w:pos="1930"/>
        </w:tabs>
        <w:rPr>
          <w:rFonts w:cs="David"/>
          <w:sz w:val="24"/>
          <w:rtl/>
        </w:rPr>
      </w:pPr>
    </w:p>
    <w:p w:rsidR="00000000" w:rsidRDefault="00AF2A65">
      <w:pPr>
        <w:tabs>
          <w:tab w:val="left" w:pos="1930"/>
        </w:tabs>
        <w:rPr>
          <w:rFonts w:cs="David"/>
          <w:sz w:val="24"/>
          <w:rtl/>
        </w:rPr>
      </w:pPr>
    </w:p>
    <w:p w:rsidR="00000000" w:rsidRDefault="00AF2A65">
      <w:pPr>
        <w:tabs>
          <w:tab w:val="left" w:pos="1930"/>
        </w:tabs>
        <w:rPr>
          <w:rFonts w:cs="David"/>
          <w:sz w:val="24"/>
          <w:rtl/>
        </w:rPr>
      </w:pPr>
    </w:p>
    <w:p w:rsidR="00000000" w:rsidRDefault="00AF2A65">
      <w:pPr>
        <w:tabs>
          <w:tab w:val="left" w:pos="1930"/>
        </w:tabs>
        <w:rPr>
          <w:rFonts w:cs="David"/>
          <w:sz w:val="24"/>
          <w:rtl/>
        </w:rPr>
      </w:pPr>
    </w:p>
    <w:p w:rsidR="00000000" w:rsidRDefault="00AF2A65">
      <w:pPr>
        <w:tabs>
          <w:tab w:val="left" w:pos="1930"/>
        </w:tabs>
        <w:rPr>
          <w:rFonts w:cs="David"/>
          <w:sz w:val="24"/>
          <w:rtl/>
        </w:rPr>
      </w:pPr>
    </w:p>
    <w:p w:rsidR="00000000" w:rsidRDefault="00AF2A65">
      <w:pPr>
        <w:tabs>
          <w:tab w:val="left" w:pos="1930"/>
        </w:tabs>
        <w:rPr>
          <w:rFonts w:cs="David"/>
          <w:sz w:val="24"/>
          <w:rtl/>
        </w:rPr>
      </w:pPr>
    </w:p>
    <w:p w:rsidR="00000000" w:rsidRDefault="00AF2A65">
      <w:pPr>
        <w:tabs>
          <w:tab w:val="left" w:pos="1930"/>
        </w:tabs>
        <w:rPr>
          <w:rFonts w:cs="David"/>
          <w:sz w:val="24"/>
          <w:rtl/>
        </w:rPr>
      </w:pPr>
    </w:p>
    <w:p w:rsidR="00000000" w:rsidRDefault="00AF2A65">
      <w:pPr>
        <w:tabs>
          <w:tab w:val="left" w:pos="1930"/>
        </w:tabs>
        <w:rPr>
          <w:rFonts w:cs="David"/>
          <w:sz w:val="24"/>
          <w:rtl/>
        </w:rPr>
      </w:pPr>
    </w:p>
    <w:p w:rsidR="00000000" w:rsidRDefault="00AF2A65">
      <w:pPr>
        <w:tabs>
          <w:tab w:val="left" w:pos="1930"/>
        </w:tabs>
        <w:rPr>
          <w:rFonts w:cs="David"/>
          <w:sz w:val="24"/>
          <w:rtl/>
        </w:rPr>
      </w:pPr>
    </w:p>
    <w:p w:rsidR="00000000" w:rsidRDefault="00AF2A65">
      <w:pPr>
        <w:pStyle w:val="9"/>
        <w:rPr>
          <w:rFonts w:cs="David"/>
          <w:sz w:val="24"/>
          <w:rtl/>
        </w:rPr>
      </w:pPr>
      <w:r>
        <w:rPr>
          <w:rFonts w:cs="David"/>
          <w:sz w:val="24"/>
          <w:rtl/>
        </w:rPr>
        <w:t xml:space="preserve">צו המכס (איסור יבוא), התשס"ד-2004 </w:t>
      </w:r>
    </w:p>
    <w:p w:rsidR="00000000" w:rsidRDefault="00AF2A65">
      <w:pPr>
        <w:tabs>
          <w:tab w:val="left" w:pos="1930"/>
        </w:tabs>
        <w:rPr>
          <w:rFonts w:cs="David"/>
          <w:sz w:val="24"/>
          <w:rtl/>
        </w:rPr>
      </w:pPr>
    </w:p>
    <w:p w:rsidR="00000000" w:rsidRDefault="00AF2A65">
      <w:pPr>
        <w:tabs>
          <w:tab w:val="left" w:pos="1930"/>
        </w:tabs>
        <w:rPr>
          <w:rFonts w:cs="David"/>
          <w:sz w:val="24"/>
          <w:rtl/>
        </w:rPr>
      </w:pPr>
    </w:p>
    <w:p w:rsidR="00000000" w:rsidRDefault="00AF2A65">
      <w:pPr>
        <w:rPr>
          <w:rFonts w:cs="David"/>
          <w:sz w:val="24"/>
          <w:rtl/>
        </w:rPr>
      </w:pPr>
      <w:r>
        <w:rPr>
          <w:rFonts w:cs="David"/>
          <w:sz w:val="24"/>
          <w:u w:val="single"/>
          <w:rtl/>
        </w:rPr>
        <w:t>היו"ר אברהם הירשזון:</w:t>
      </w:r>
    </w:p>
    <w:p w:rsidR="00000000" w:rsidRDefault="00AF2A65">
      <w:pPr>
        <w:rPr>
          <w:rFonts w:cs="David"/>
          <w:sz w:val="24"/>
          <w:rtl/>
        </w:rPr>
      </w:pPr>
    </w:p>
    <w:p w:rsidR="00000000" w:rsidRDefault="00AF2A65">
      <w:pPr>
        <w:tabs>
          <w:tab w:val="left" w:pos="-480"/>
        </w:tabs>
        <w:rPr>
          <w:rFonts w:cs="David"/>
          <w:sz w:val="24"/>
          <w:rtl/>
        </w:rPr>
      </w:pPr>
      <w:r>
        <w:rPr>
          <w:rFonts w:cs="David"/>
          <w:sz w:val="24"/>
          <w:rtl/>
        </w:rPr>
        <w:tab/>
        <w:t xml:space="preserve">אנו עוברים לנושא הבא – צו המכס (איסור יבוא), התשס"ד-2004. </w:t>
      </w:r>
    </w:p>
    <w:p w:rsidR="00000000" w:rsidRDefault="00AF2A65">
      <w:pPr>
        <w:tabs>
          <w:tab w:val="left" w:pos="-480"/>
        </w:tabs>
        <w:rPr>
          <w:rFonts w:cs="David"/>
          <w:sz w:val="24"/>
          <w:rtl/>
        </w:rPr>
      </w:pPr>
    </w:p>
    <w:p w:rsidR="00000000" w:rsidRDefault="00AF2A65">
      <w:pPr>
        <w:tabs>
          <w:tab w:val="left" w:pos="-480"/>
        </w:tabs>
        <w:rPr>
          <w:rFonts w:cs="David"/>
          <w:sz w:val="24"/>
          <w:u w:val="single"/>
          <w:rtl/>
        </w:rPr>
      </w:pPr>
      <w:r>
        <w:rPr>
          <w:rFonts w:cs="David"/>
          <w:sz w:val="24"/>
          <w:u w:val="single"/>
          <w:rtl/>
        </w:rPr>
        <w:t>א</w:t>
      </w:r>
      <w:r>
        <w:rPr>
          <w:rFonts w:cs="David"/>
          <w:sz w:val="24"/>
          <w:u w:val="single"/>
          <w:rtl/>
        </w:rPr>
        <w:t>יריס ויינברגר:</w:t>
      </w:r>
    </w:p>
    <w:p w:rsidR="00000000" w:rsidRDefault="00AF2A65">
      <w:pPr>
        <w:tabs>
          <w:tab w:val="left" w:pos="-480"/>
        </w:tabs>
        <w:rPr>
          <w:rFonts w:cs="David"/>
          <w:sz w:val="24"/>
          <w:rtl/>
        </w:rPr>
      </w:pPr>
    </w:p>
    <w:p w:rsidR="00000000" w:rsidRDefault="00AF2A65">
      <w:pPr>
        <w:tabs>
          <w:tab w:val="left" w:pos="-480"/>
        </w:tabs>
        <w:rPr>
          <w:rFonts w:cs="David"/>
          <w:sz w:val="24"/>
          <w:rtl/>
        </w:rPr>
      </w:pPr>
      <w:r>
        <w:rPr>
          <w:rFonts w:cs="David"/>
          <w:sz w:val="24"/>
          <w:rtl/>
        </w:rPr>
        <w:tab/>
        <w:t xml:space="preserve">צו המכס (איסור יבוא) בא להחליף את צו המכס (הסדרת יבוא), לעשות ריאורגניזציה וסדר בכל הנושא של היבוא, מבחינת חוקים המופעלים על ידי המכס. עד היום, בצו המכס (הסדרת יבוא) או מכוח פקודת המכס היו 3 תוספות. שתיים מתוכן מקבילות לתוספות שקיימות בצו </w:t>
      </w:r>
      <w:r>
        <w:rPr>
          <w:rFonts w:cs="David"/>
          <w:sz w:val="24"/>
          <w:rtl/>
        </w:rPr>
        <w:t xml:space="preserve">יבוא חופשי, שנמצא באחריות משרד התמ"ת. אנחנו עשינו עבודה מאד רצינית בשיתוף כל המשרדים הרלבנטיים כדי לאחד את הצווים האלה בהיבט הזה ששתי התוספות האלה באות לידי ביטוי בצו יבוא חופשי כבר היום, ומה שנשאר זה רק התוספת שהיתה, התוספת השניה, שבה נקבעו טובין שאסורים </w:t>
      </w:r>
      <w:r>
        <w:rPr>
          <w:rFonts w:cs="David"/>
          <w:sz w:val="24"/>
          <w:rtl/>
        </w:rPr>
        <w:t>ביבוא. את התוספת הזו אנחנו משאירים בצו הנוכחי, שהוא באחריות שר האוצר, צו המכס (איסור יבוא). אנחנו עשינו גם בתוספת הזו, שקובעת איסורי יבוא מספר שינויים. הורדנו טובין שהתברר שאין צורך לאסור את היבוא שלהם. היו פה כל מיני איסורים היסטוריים כמו איסור יבוא של חו</w:t>
      </w:r>
      <w:r>
        <w:rPr>
          <w:rFonts w:cs="David"/>
          <w:sz w:val="24"/>
          <w:rtl/>
        </w:rPr>
        <w:t>ל, או דברים דומים, והוספנו דברים שבחלוף השנים גילינו שיש צורך לקבוע את איסור היבוא שלהם בצו, כמו למשל – טובין שיש בהם כדי להסית לגזענות, כלים המשמשים לסמים מסוכנים, טובין של גילוי הזדהות עם ארגון טרוריסטי - - -</w:t>
      </w:r>
    </w:p>
    <w:p w:rsidR="00000000" w:rsidRDefault="00AF2A65">
      <w:pPr>
        <w:tabs>
          <w:tab w:val="left" w:pos="-480"/>
        </w:tabs>
        <w:rPr>
          <w:rFonts w:cs="David"/>
          <w:sz w:val="24"/>
          <w:rtl/>
        </w:rPr>
      </w:pPr>
    </w:p>
    <w:p w:rsidR="00000000" w:rsidRDefault="00AF2A65">
      <w:pPr>
        <w:rPr>
          <w:rFonts w:cs="David"/>
          <w:sz w:val="24"/>
          <w:rtl/>
        </w:rPr>
      </w:pPr>
      <w:r>
        <w:rPr>
          <w:rFonts w:cs="David"/>
          <w:sz w:val="24"/>
          <w:u w:val="single"/>
          <w:rtl/>
        </w:rPr>
        <w:t>היו"ר אברהם הירשזון:</w:t>
      </w:r>
    </w:p>
    <w:p w:rsidR="00000000" w:rsidRDefault="00AF2A65">
      <w:pPr>
        <w:rPr>
          <w:rFonts w:cs="David"/>
          <w:sz w:val="24"/>
          <w:rtl/>
        </w:rPr>
      </w:pPr>
    </w:p>
    <w:p w:rsidR="00000000" w:rsidRDefault="00AF2A65">
      <w:pPr>
        <w:tabs>
          <w:tab w:val="left" w:pos="-480"/>
        </w:tabs>
        <w:rPr>
          <w:rFonts w:cs="David"/>
          <w:sz w:val="24"/>
          <w:rtl/>
        </w:rPr>
      </w:pPr>
      <w:r>
        <w:rPr>
          <w:rFonts w:cs="David"/>
          <w:sz w:val="24"/>
          <w:rtl/>
        </w:rPr>
        <w:tab/>
        <w:t xml:space="preserve"> מה זה "לבקשת אגף התנ</w:t>
      </w:r>
      <w:r>
        <w:rPr>
          <w:rFonts w:cs="David"/>
          <w:sz w:val="24"/>
          <w:rtl/>
        </w:rPr>
        <w:t xml:space="preserve">ועה ומשטרת ישראל..." ? </w:t>
      </w:r>
    </w:p>
    <w:p w:rsidR="00000000" w:rsidRDefault="00AF2A65">
      <w:pPr>
        <w:tabs>
          <w:tab w:val="left" w:pos="-480"/>
        </w:tabs>
        <w:rPr>
          <w:rFonts w:cs="David"/>
          <w:sz w:val="24"/>
          <w:rtl/>
        </w:rPr>
      </w:pPr>
    </w:p>
    <w:p w:rsidR="00000000" w:rsidRDefault="00AF2A65">
      <w:pPr>
        <w:tabs>
          <w:tab w:val="left" w:pos="-480"/>
        </w:tabs>
        <w:rPr>
          <w:rFonts w:cs="David"/>
          <w:sz w:val="24"/>
          <w:u w:val="single"/>
          <w:rtl/>
        </w:rPr>
      </w:pPr>
      <w:r>
        <w:rPr>
          <w:rFonts w:cs="David"/>
          <w:sz w:val="24"/>
          <w:u w:val="single"/>
          <w:rtl/>
        </w:rPr>
        <w:t>איריס ויינברגר:</w:t>
      </w:r>
    </w:p>
    <w:p w:rsidR="00000000" w:rsidRDefault="00AF2A65">
      <w:pPr>
        <w:tabs>
          <w:tab w:val="left" w:pos="-480"/>
        </w:tabs>
        <w:rPr>
          <w:rFonts w:cs="David"/>
          <w:sz w:val="24"/>
          <w:rtl/>
        </w:rPr>
      </w:pPr>
    </w:p>
    <w:p w:rsidR="00000000" w:rsidRDefault="00AF2A65">
      <w:pPr>
        <w:tabs>
          <w:tab w:val="left" w:pos="-480"/>
        </w:tabs>
        <w:rPr>
          <w:rFonts w:cs="David"/>
          <w:sz w:val="24"/>
          <w:rtl/>
        </w:rPr>
      </w:pPr>
      <w:r>
        <w:rPr>
          <w:rFonts w:cs="David"/>
          <w:sz w:val="24"/>
          <w:rtl/>
        </w:rPr>
        <w:tab/>
        <w:t xml:space="preserve">הם נמצאים פה. הוספנו גם את משבש הלייזר כדי לאסור את היבוא שלו, לפי הבקשה של המשטרה. הצו הזה נעשה בשיתוף עם המשטרה, עם משרד המשפטים, עם משרד החקלאות – עם כל המשרדים הרלבנטיים בהתאם לסוג הטובין. </w:t>
      </w:r>
    </w:p>
    <w:p w:rsidR="00000000" w:rsidRDefault="00AF2A65">
      <w:pPr>
        <w:tabs>
          <w:tab w:val="left" w:pos="-480"/>
        </w:tabs>
        <w:rPr>
          <w:rFonts w:cs="David"/>
          <w:sz w:val="24"/>
          <w:rtl/>
        </w:rPr>
      </w:pPr>
    </w:p>
    <w:p w:rsidR="00000000" w:rsidRDefault="00AF2A65">
      <w:pPr>
        <w:tabs>
          <w:tab w:val="left" w:pos="-480"/>
        </w:tabs>
        <w:rPr>
          <w:rFonts w:cs="David"/>
          <w:sz w:val="24"/>
          <w:rtl/>
        </w:rPr>
      </w:pPr>
      <w:r>
        <w:rPr>
          <w:rFonts w:cs="David"/>
          <w:sz w:val="24"/>
          <w:rtl/>
        </w:rPr>
        <w:tab/>
        <w:t>בצו שמונח בפני הו</w:t>
      </w:r>
      <w:r>
        <w:rPr>
          <w:rFonts w:cs="David"/>
          <w:sz w:val="24"/>
          <w:rtl/>
        </w:rPr>
        <w:t>ועדה קבענו שבמשחקים אסורים – תהיה אפשרות לייבא משחק אסור בשתי אופציות: אחת, לצורך הגרלות ומפעל פיס, הגרלות לכל גוף שמקבל היתר משר האוצר לערוך הגרלות. פנו אלינו יבואנים בבקשה שנאשר להם לייבא משחקי מזל, על מנת להוסיף להם רכיבים אלקטרוניים ולבצע פה פעולות ייצ</w:t>
      </w:r>
      <w:r>
        <w:rPr>
          <w:rFonts w:cs="David"/>
          <w:sz w:val="24"/>
          <w:rtl/>
        </w:rPr>
        <w:t>ור שמשביחות אותם, ואז הם מייצאים את זה חזרה לחו"ל. מאחר ובחו"ל משחקי מזל מותרים, לא מצאנו לנכון לאסור על הייבוא כשזה לצורך שימוש שהוא מותר, אחרת יש כאן פגיעה בחוק יסד: חופש העיסוק, כאשר זה מותנה באישור מראש של גובה המכס, ובתנאים שיאפשרו פיקוח הדוק על משחקי</w:t>
      </w:r>
      <w:r>
        <w:rPr>
          <w:rFonts w:cs="David"/>
          <w:sz w:val="24"/>
          <w:rtl/>
        </w:rPr>
        <w:t xml:space="preserve"> המזל האלה, כדי שבאמת ישמשו אך ורק לצרכים האלה. </w:t>
      </w:r>
    </w:p>
    <w:p w:rsidR="00000000" w:rsidRDefault="00AF2A65">
      <w:pPr>
        <w:tabs>
          <w:tab w:val="left" w:pos="-480"/>
        </w:tabs>
        <w:rPr>
          <w:rFonts w:cs="David"/>
          <w:sz w:val="24"/>
          <w:rtl/>
        </w:rPr>
      </w:pPr>
    </w:p>
    <w:p w:rsidR="00000000" w:rsidRDefault="00AF2A65">
      <w:pPr>
        <w:tabs>
          <w:tab w:val="left" w:pos="-480"/>
        </w:tabs>
        <w:rPr>
          <w:rFonts w:cs="David"/>
          <w:sz w:val="24"/>
          <w:rtl/>
        </w:rPr>
      </w:pPr>
      <w:r>
        <w:rPr>
          <w:rFonts w:cs="David"/>
          <w:sz w:val="24"/>
          <w:rtl/>
        </w:rPr>
        <w:tab/>
        <w:t>אנחנו מבקשים להוסיף, כי נשמטו לנו, כמה מילים בפרט 6 בתוספת. זה עניין ניסוחי בלבד. אנחנו מבקשים להוסיף, בסיפא. הרעיון הוא טופס לחשבון מכר, או מסמך העדפה, שיש יבוא של טפסים כאלה כדי למלא אותם פה, בארץ, ובעצם</w:t>
      </w:r>
      <w:r>
        <w:rPr>
          <w:rFonts w:cs="David"/>
          <w:sz w:val="24"/>
          <w:rtl/>
        </w:rPr>
        <w:t xml:space="preserve"> על ידי זה ליצור טפסים מזויפים. אנחנו פשוט רוצים להוסיף פה גם את מסמך ההעדפה ותעודת מקור. השאלה אם אתם רוצים לעבור על כל הפרטים של מה שיהיה אסור, מהיום ואילך, ביבוא. </w:t>
      </w:r>
    </w:p>
    <w:p w:rsidR="00000000" w:rsidRDefault="00AF2A65">
      <w:pPr>
        <w:tabs>
          <w:tab w:val="left" w:pos="-480"/>
        </w:tabs>
        <w:rPr>
          <w:rFonts w:cs="David"/>
          <w:sz w:val="24"/>
          <w:rtl/>
        </w:rPr>
      </w:pPr>
    </w:p>
    <w:p w:rsidR="00000000" w:rsidRDefault="00AF2A65">
      <w:pPr>
        <w:rPr>
          <w:rFonts w:cs="David"/>
          <w:sz w:val="24"/>
          <w:rtl/>
        </w:rPr>
      </w:pPr>
      <w:r>
        <w:rPr>
          <w:rFonts w:cs="David"/>
          <w:sz w:val="24"/>
          <w:u w:val="single"/>
          <w:rtl/>
        </w:rPr>
        <w:t>היו"ר אברהם הירשזון:</w:t>
      </w:r>
    </w:p>
    <w:p w:rsidR="00000000" w:rsidRDefault="00AF2A65">
      <w:pPr>
        <w:rPr>
          <w:rFonts w:cs="David"/>
          <w:sz w:val="24"/>
          <w:rtl/>
        </w:rPr>
      </w:pPr>
    </w:p>
    <w:p w:rsidR="00000000" w:rsidRDefault="00AF2A65">
      <w:pPr>
        <w:tabs>
          <w:tab w:val="left" w:pos="-480"/>
        </w:tabs>
        <w:rPr>
          <w:rFonts w:cs="David"/>
          <w:sz w:val="24"/>
          <w:rtl/>
        </w:rPr>
      </w:pPr>
      <w:r>
        <w:rPr>
          <w:rFonts w:cs="David"/>
          <w:sz w:val="24"/>
          <w:rtl/>
        </w:rPr>
        <w:tab/>
        <w:t xml:space="preserve">האם יש למישהו הערות? </w:t>
      </w:r>
    </w:p>
    <w:p w:rsidR="00000000" w:rsidRDefault="00AF2A65">
      <w:pPr>
        <w:tabs>
          <w:tab w:val="left" w:pos="-480"/>
        </w:tabs>
        <w:rPr>
          <w:rFonts w:cs="David"/>
          <w:sz w:val="24"/>
          <w:rtl/>
        </w:rPr>
      </w:pPr>
    </w:p>
    <w:p w:rsidR="00000000" w:rsidRDefault="00AF2A65">
      <w:pPr>
        <w:tabs>
          <w:tab w:val="left" w:pos="-480"/>
        </w:tabs>
        <w:rPr>
          <w:rFonts w:cs="David"/>
          <w:sz w:val="24"/>
          <w:u w:val="single"/>
          <w:rtl/>
        </w:rPr>
      </w:pPr>
      <w:r>
        <w:rPr>
          <w:rFonts w:cs="David"/>
          <w:sz w:val="24"/>
          <w:u w:val="single"/>
          <w:rtl/>
        </w:rPr>
        <w:t>דנית עזריה:</w:t>
      </w:r>
    </w:p>
    <w:p w:rsidR="00000000" w:rsidRDefault="00AF2A65">
      <w:pPr>
        <w:tabs>
          <w:tab w:val="left" w:pos="-480"/>
        </w:tabs>
        <w:rPr>
          <w:rFonts w:cs="David"/>
          <w:sz w:val="24"/>
          <w:rtl/>
        </w:rPr>
      </w:pPr>
    </w:p>
    <w:p w:rsidR="00000000" w:rsidRDefault="00AF2A65">
      <w:pPr>
        <w:tabs>
          <w:tab w:val="left" w:pos="-480"/>
        </w:tabs>
        <w:rPr>
          <w:rFonts w:cs="David"/>
          <w:sz w:val="24"/>
          <w:rtl/>
        </w:rPr>
      </w:pPr>
      <w:r>
        <w:rPr>
          <w:rFonts w:cs="David"/>
          <w:sz w:val="24"/>
          <w:rtl/>
        </w:rPr>
        <w:tab/>
        <w:t xml:space="preserve">רק את העובדה שביקשנו להוסיף </w:t>
      </w:r>
      <w:r>
        <w:rPr>
          <w:rFonts w:cs="David"/>
          <w:sz w:val="24"/>
          <w:rtl/>
        </w:rPr>
        <w:t xml:space="preserve">את מד המהירות. </w:t>
      </w:r>
    </w:p>
    <w:p w:rsidR="00000000" w:rsidRDefault="00AF2A65">
      <w:pPr>
        <w:tabs>
          <w:tab w:val="left" w:pos="-480"/>
        </w:tabs>
        <w:rPr>
          <w:rFonts w:cs="David"/>
          <w:sz w:val="24"/>
          <w:rtl/>
        </w:rPr>
      </w:pPr>
    </w:p>
    <w:p w:rsidR="00000000" w:rsidRDefault="00AF2A65">
      <w:pPr>
        <w:rPr>
          <w:rFonts w:cs="David"/>
          <w:sz w:val="24"/>
          <w:rtl/>
        </w:rPr>
      </w:pPr>
      <w:r>
        <w:rPr>
          <w:rFonts w:cs="David"/>
          <w:sz w:val="24"/>
          <w:u w:val="single"/>
          <w:rtl/>
        </w:rPr>
        <w:t>היו"ר אברהם הירשזון:</w:t>
      </w:r>
    </w:p>
    <w:p w:rsidR="00000000" w:rsidRDefault="00AF2A65">
      <w:pPr>
        <w:rPr>
          <w:rFonts w:cs="David"/>
          <w:sz w:val="24"/>
          <w:rtl/>
        </w:rPr>
      </w:pPr>
    </w:p>
    <w:p w:rsidR="00000000" w:rsidRDefault="00AF2A65">
      <w:pPr>
        <w:tabs>
          <w:tab w:val="left" w:pos="-480"/>
        </w:tabs>
        <w:rPr>
          <w:rFonts w:cs="David"/>
          <w:sz w:val="24"/>
          <w:rtl/>
        </w:rPr>
      </w:pPr>
      <w:r>
        <w:rPr>
          <w:rFonts w:cs="David"/>
          <w:sz w:val="24"/>
          <w:rtl/>
        </w:rPr>
        <w:tab/>
        <w:t xml:space="preserve"> כן, זה נאמר. </w:t>
      </w:r>
    </w:p>
    <w:p w:rsidR="00000000" w:rsidRDefault="00AF2A65">
      <w:pPr>
        <w:tabs>
          <w:tab w:val="left" w:pos="-480"/>
        </w:tabs>
        <w:rPr>
          <w:rFonts w:cs="David"/>
          <w:sz w:val="24"/>
          <w:rtl/>
        </w:rPr>
      </w:pPr>
    </w:p>
    <w:p w:rsidR="00000000" w:rsidRDefault="00AF2A65">
      <w:pPr>
        <w:tabs>
          <w:tab w:val="left" w:pos="-480"/>
        </w:tabs>
        <w:rPr>
          <w:rFonts w:cs="David"/>
          <w:sz w:val="24"/>
          <w:rtl/>
        </w:rPr>
      </w:pPr>
      <w:r>
        <w:rPr>
          <w:rFonts w:cs="David"/>
          <w:sz w:val="24"/>
          <w:rtl/>
        </w:rPr>
        <w:tab/>
        <w:t xml:space="preserve">מי בעד? מי נגד? תודה, הנושא אושר. </w:t>
      </w:r>
    </w:p>
    <w:p w:rsidR="00000000" w:rsidRDefault="00AF2A65">
      <w:pPr>
        <w:tabs>
          <w:tab w:val="left" w:pos="-480"/>
        </w:tabs>
        <w:rPr>
          <w:rFonts w:cs="David"/>
          <w:sz w:val="24"/>
          <w:rtl/>
        </w:rPr>
      </w:pPr>
    </w:p>
    <w:p w:rsidR="00000000" w:rsidRDefault="00AF2A65">
      <w:pPr>
        <w:tabs>
          <w:tab w:val="left" w:pos="-480"/>
        </w:tabs>
        <w:rPr>
          <w:rFonts w:cs="David"/>
          <w:sz w:val="24"/>
          <w:rtl/>
        </w:rPr>
      </w:pPr>
      <w:r>
        <w:rPr>
          <w:rFonts w:cs="David"/>
          <w:sz w:val="24"/>
          <w:rtl/>
        </w:rPr>
        <w:t xml:space="preserve">אני מודה לכם, הישיבה נעולה. </w:t>
      </w:r>
    </w:p>
    <w:p w:rsidR="00000000" w:rsidRDefault="00AF2A65">
      <w:pPr>
        <w:tabs>
          <w:tab w:val="left" w:pos="-480"/>
        </w:tabs>
        <w:rPr>
          <w:rFonts w:cs="David"/>
          <w:sz w:val="24"/>
          <w:rtl/>
        </w:rPr>
      </w:pPr>
    </w:p>
    <w:p w:rsidR="00000000" w:rsidRDefault="00AF2A65">
      <w:pPr>
        <w:tabs>
          <w:tab w:val="left" w:pos="-480"/>
        </w:tabs>
        <w:rPr>
          <w:rFonts w:cs="David"/>
          <w:sz w:val="24"/>
          <w:rtl/>
        </w:rPr>
      </w:pPr>
    </w:p>
    <w:p w:rsidR="00000000" w:rsidRDefault="00AF2A65">
      <w:pPr>
        <w:tabs>
          <w:tab w:val="left" w:pos="-480"/>
        </w:tabs>
        <w:rPr>
          <w:rFonts w:cs="David"/>
          <w:sz w:val="24"/>
          <w:rtl/>
        </w:rPr>
      </w:pPr>
      <w:r>
        <w:rPr>
          <w:rFonts w:cs="David"/>
          <w:sz w:val="24"/>
          <w:rtl/>
        </w:rPr>
        <w:t>הישיבה ננעלה בשעה 13:45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F2A65">
      <w:r>
        <w:separator/>
      </w:r>
    </w:p>
  </w:endnote>
  <w:endnote w:type="continuationSeparator" w:id="0">
    <w:p w:rsidR="00000000" w:rsidRDefault="00AF2A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F2A65">
      <w:r>
        <w:separator/>
      </w:r>
    </w:p>
  </w:footnote>
  <w:footnote w:type="continuationSeparator" w:id="0">
    <w:p w:rsidR="00000000" w:rsidRDefault="00AF2A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2A6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3</w:t>
    </w:r>
    <w:r>
      <w:rPr>
        <w:rStyle w:val="a7"/>
        <w:rFonts w:cs="David"/>
      </w:rPr>
      <w:fldChar w:fldCharType="end"/>
    </w:r>
  </w:p>
  <w:p w:rsidR="00000000" w:rsidRDefault="00AF2A65">
    <w:pPr>
      <w:pStyle w:val="a3"/>
      <w:ind w:right="360"/>
      <w:rPr>
        <w:rStyle w:val="a7"/>
        <w:rFonts w:cs="David"/>
        <w:sz w:val="24"/>
        <w:rtl/>
      </w:rPr>
    </w:pPr>
    <w:r>
      <w:rPr>
        <w:rStyle w:val="a7"/>
        <w:rFonts w:cs="David"/>
        <w:sz w:val="24"/>
        <w:rtl/>
      </w:rPr>
      <w:t>ועדת הכספים</w:t>
    </w:r>
  </w:p>
  <w:p w:rsidR="00000000" w:rsidRDefault="00AF2A65">
    <w:pPr>
      <w:pStyle w:val="a3"/>
      <w:ind w:right="360"/>
      <w:rPr>
        <w:rStyle w:val="a7"/>
        <w:rFonts w:cs="David"/>
        <w:sz w:val="24"/>
        <w:rtl/>
      </w:rPr>
    </w:pPr>
    <w:r>
      <w:rPr>
        <w:rStyle w:val="a7"/>
        <w:rFonts w:cs="David"/>
        <w:sz w:val="24"/>
        <w:rtl/>
      </w:rPr>
      <w:t>29.11.04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266DEA"/>
    <w:multiLevelType w:val="hybridMultilevel"/>
    <w:tmpl w:val="BA56FB6E"/>
    <w:lvl w:ilvl="0" w:tplc="AD620636">
      <w:start w:val="10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37D077D3"/>
    <w:multiLevelType w:val="hybridMultilevel"/>
    <w:tmpl w:val="17162C72"/>
    <w:lvl w:ilvl="0" w:tplc="ED5C98A2">
      <w:start w:val="15"/>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2A65"/>
    <w:rsid w:val="00AF2A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D334C60-AE3F-4951-8AD1-3872FC0A0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tabs>
        <w:tab w:val="left" w:pos="1930"/>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1116FA-2A39-4DF1-8391-209421C5C52B}"/>
</file>

<file path=customXml/itemProps2.xml><?xml version="1.0" encoding="utf-8"?>
<ds:datastoreItem xmlns:ds="http://schemas.openxmlformats.org/officeDocument/2006/customXml" ds:itemID="{904EC29F-9F7E-4D7D-BE6F-E2AE74717B4C}"/>
</file>

<file path=customXml/itemProps3.xml><?xml version="1.0" encoding="utf-8"?>
<ds:datastoreItem xmlns:ds="http://schemas.openxmlformats.org/officeDocument/2006/customXml" ds:itemID="{060FD933-B0C2-4E94-AE2A-F5B87F1B9106}"/>
</file>

<file path=docProps/app.xml><?xml version="1.0" encoding="utf-8"?>
<Properties xmlns="http://schemas.openxmlformats.org/officeDocument/2006/extended-properties" xmlns:vt="http://schemas.openxmlformats.org/officeDocument/2006/docPropsVTypes">
  <Template>Normal.dotm</Template>
  <TotalTime>0</TotalTime>
  <Pages>3</Pages>
  <Words>517</Words>
  <Characters>2587</Characters>
  <Application>Microsoft Office Word</Application>
  <DocSecurity>0</DocSecurity>
  <Lines>21</Lines>
  <Paragraphs>6</Paragraphs>
  <ScaleCrop>false</ScaleCrop>
  <Company>כנסת</Company>
  <LinksUpToDate>false</LinksUpToDate>
  <CharactersWithSpaces>3098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 - צו המכס (איסור יבוא), התשס"ד-2004 </dc:title>
  <dc:subject/>
  <dc:creator>תמר שפנייר</dc:creator>
  <cp:keywords/>
  <dc:description/>
  <cp:lastModifiedBy>אינדה נובומינסקי</cp:lastModifiedBy>
  <cp:revision>2</cp:revision>
  <cp:lastPrinted>1999-07-13T09:50:00Z</cp:lastPrinted>
  <dcterms:created xsi:type="dcterms:W3CDTF">2018-10-03T06:15:00Z</dcterms:created>
  <dcterms:modified xsi:type="dcterms:W3CDTF">2018-10-03T06:15:00Z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2004-11-27T21:00:00Z</vt:filetime>
  </property>
  <property fmtid="{D5CDD505-2E9C-101B-9397-08002B2CF9AE}" pid="7" name="סימוכין">
    <vt:i4>3984204</vt:i4>
  </property>
  <property fmtid="{D5CDD505-2E9C-101B-9397-08002B2CF9AE}" pid="8" name="שעת ישיבה">
    <vt:lpwstr>13:35</vt:lpwstr>
  </property>
  <property fmtid="{D5CDD505-2E9C-101B-9397-08002B2CF9AE}" pid="9" name="תאריך המסמך">
    <vt:filetime>2004-12-11T21:00:00Z</vt:filetime>
  </property>
  <property fmtid="{D5CDD505-2E9C-101B-9397-08002B2CF9AE}" pid="10" name="Int_ModifyDate">
    <vt:lpwstr>13/12/2004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80561</vt:r8>
  </property>
  <property fmtid="{D5CDD505-2E9C-101B-9397-08002B2CF9AE}" pid="14" name="SanhedrinDocumentType">
    <vt:r8>167</vt:r8>
  </property>
</Properties>
</file>