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7283">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B7283">
      <w:pPr>
        <w:autoSpaceDE w:val="0"/>
        <w:autoSpaceDN w:val="0"/>
        <w:jc w:val="both"/>
        <w:rPr>
          <w:rFonts w:cs="David"/>
          <w:b/>
          <w:bCs/>
          <w:rtl/>
        </w:rPr>
      </w:pPr>
      <w:r>
        <w:rPr>
          <w:rFonts w:cs="David"/>
          <w:b/>
          <w:bCs/>
          <w:rtl/>
        </w:rPr>
        <w:t>מושב שני</w:t>
      </w:r>
    </w:p>
    <w:p w:rsidR="00000000" w:rsidRDefault="003B7283">
      <w:pPr>
        <w:autoSpaceDE w:val="0"/>
        <w:autoSpaceDN w:val="0"/>
        <w:jc w:val="both"/>
        <w:rPr>
          <w:rFonts w:cs="David"/>
          <w:b/>
          <w:bCs/>
          <w:rtl/>
        </w:rPr>
      </w:pPr>
    </w:p>
    <w:p w:rsidR="00000000" w:rsidRDefault="003B7283">
      <w:pPr>
        <w:autoSpaceDE w:val="0"/>
        <w:autoSpaceDN w:val="0"/>
        <w:jc w:val="center"/>
        <w:rPr>
          <w:rFonts w:cs="David"/>
          <w:b/>
          <w:bCs/>
          <w:rtl/>
        </w:rPr>
      </w:pPr>
    </w:p>
    <w:p w:rsidR="00000000" w:rsidRDefault="003B7283">
      <w:pPr>
        <w:autoSpaceDE w:val="0"/>
        <w:autoSpaceDN w:val="0"/>
        <w:jc w:val="center"/>
        <w:rPr>
          <w:rFonts w:cs="David"/>
          <w:b/>
          <w:bCs/>
          <w:rtl/>
        </w:rPr>
      </w:pPr>
      <w:r>
        <w:rPr>
          <w:rFonts w:cs="David"/>
          <w:b/>
          <w:bCs/>
          <w:rtl/>
        </w:rPr>
        <w:t>פרוטוקול מס'  285</w:t>
      </w:r>
    </w:p>
    <w:p w:rsidR="00000000" w:rsidRDefault="003B7283">
      <w:pPr>
        <w:autoSpaceDE w:val="0"/>
        <w:autoSpaceDN w:val="0"/>
        <w:jc w:val="center"/>
        <w:rPr>
          <w:rFonts w:cs="David"/>
          <w:b/>
          <w:bCs/>
          <w:rtl/>
        </w:rPr>
      </w:pPr>
      <w:r>
        <w:rPr>
          <w:rFonts w:cs="David"/>
          <w:b/>
          <w:bCs/>
          <w:rtl/>
        </w:rPr>
        <w:t>מישיבת ועדת החוק</w:t>
      </w:r>
      <w:r>
        <w:rPr>
          <w:rFonts w:cs="David"/>
          <w:b/>
          <w:bCs/>
          <w:rtl/>
        </w:rPr>
        <w:t>ה, חוק ומשפט</w:t>
      </w:r>
    </w:p>
    <w:p w:rsidR="00000000" w:rsidRDefault="003B7283">
      <w:pPr>
        <w:pStyle w:val="3"/>
        <w:rPr>
          <w:rFonts w:cs="David"/>
          <w:rtl/>
        </w:rPr>
      </w:pPr>
      <w:r>
        <w:rPr>
          <w:rFonts w:cs="David"/>
          <w:rtl/>
        </w:rPr>
        <w:t>יום חמישי,   כ"ה באב   התשס"ד (12 באוגוסט 2004), שעה  9:00</w:t>
      </w:r>
    </w:p>
    <w:p w:rsidR="00000000" w:rsidRDefault="003B7283">
      <w:pPr>
        <w:autoSpaceDE w:val="0"/>
        <w:autoSpaceDN w:val="0"/>
        <w:rPr>
          <w:rFonts w:cs="David"/>
          <w:b/>
          <w:bCs/>
          <w:rtl/>
        </w:rPr>
      </w:pPr>
    </w:p>
    <w:p w:rsidR="00000000" w:rsidRDefault="003B7283">
      <w:pPr>
        <w:pStyle w:val="2"/>
        <w:ind w:left="2160" w:hanging="2160"/>
        <w:jc w:val="left"/>
        <w:rPr>
          <w:rFonts w:cs="David"/>
          <w:u w:val="single"/>
          <w:rtl/>
        </w:rPr>
      </w:pPr>
    </w:p>
    <w:p w:rsidR="00000000" w:rsidRDefault="003B7283">
      <w:pPr>
        <w:pStyle w:val="2"/>
        <w:ind w:left="2250" w:hanging="2250"/>
        <w:jc w:val="left"/>
        <w:rPr>
          <w:rFonts w:cs="David"/>
          <w:rtl/>
        </w:rPr>
      </w:pPr>
      <w:r>
        <w:rPr>
          <w:rFonts w:cs="David"/>
          <w:u w:val="single"/>
          <w:rtl/>
        </w:rPr>
        <w:t>סדר היום:</w:t>
      </w:r>
      <w:r>
        <w:rPr>
          <w:rFonts w:cs="David"/>
          <w:rtl/>
        </w:rPr>
        <w:tab/>
        <w:t>1.  הצעת חוק החברות (תיקון – כשירות דירקטור חיצוני בחברה ציבורית),התשס"ד – 2003– אישור לקריאה ראשונה – דיון והצבעה</w:t>
      </w:r>
    </w:p>
    <w:p w:rsidR="00000000" w:rsidRDefault="003B7283">
      <w:pPr>
        <w:rPr>
          <w:rFonts w:eastAsia="Arial Unicode MS" w:cs="Arial Unicode MS"/>
          <w:b/>
          <w:bCs/>
          <w:rtl/>
        </w:rPr>
      </w:pPr>
      <w:r>
        <w:rPr>
          <w:rFonts w:eastAsia="Arial Unicode MS" w:cs="Arial Unicode MS"/>
          <w:rtl/>
        </w:rPr>
        <w:tab/>
      </w:r>
      <w:r>
        <w:rPr>
          <w:rFonts w:eastAsia="Arial Unicode MS" w:cs="Arial Unicode MS"/>
          <w:rtl/>
        </w:rPr>
        <w:tab/>
      </w:r>
      <w:r>
        <w:rPr>
          <w:rFonts w:eastAsia="Arial Unicode MS" w:cs="Arial Unicode MS"/>
          <w:rtl/>
        </w:rPr>
        <w:tab/>
        <w:t xml:space="preserve">   </w:t>
      </w:r>
      <w:r>
        <w:rPr>
          <w:rFonts w:eastAsia="Arial Unicode MS" w:cs="Arial Unicode MS" w:hint="eastAsia"/>
          <w:b/>
          <w:bCs/>
          <w:rtl/>
        </w:rPr>
        <w:t>ח</w:t>
      </w:r>
      <w:r>
        <w:rPr>
          <w:rFonts w:eastAsia="Arial Unicode MS" w:cs="Arial Unicode MS"/>
          <w:b/>
          <w:bCs/>
          <w:rtl/>
        </w:rPr>
        <w:t>"</w:t>
      </w:r>
      <w:r>
        <w:rPr>
          <w:rFonts w:eastAsia="Arial Unicode MS" w:cs="Arial Unicode MS" w:hint="eastAsia"/>
          <w:b/>
          <w:bCs/>
          <w:rtl/>
        </w:rPr>
        <w:t>כ</w:t>
      </w:r>
      <w:r>
        <w:rPr>
          <w:rFonts w:eastAsia="Arial Unicode MS" w:cs="Arial Unicode MS"/>
          <w:b/>
          <w:bCs/>
          <w:rtl/>
        </w:rPr>
        <w:t xml:space="preserve"> </w:t>
      </w:r>
      <w:r>
        <w:rPr>
          <w:rFonts w:eastAsia="Arial Unicode MS" w:cs="Arial Unicode MS" w:hint="eastAsia"/>
          <w:b/>
          <w:bCs/>
          <w:rtl/>
        </w:rPr>
        <w:t>גילה</w:t>
      </w:r>
      <w:r>
        <w:rPr>
          <w:rFonts w:eastAsia="Arial Unicode MS" w:cs="Arial Unicode MS"/>
          <w:b/>
          <w:bCs/>
          <w:rtl/>
        </w:rPr>
        <w:t xml:space="preserve"> </w:t>
      </w:r>
      <w:r>
        <w:rPr>
          <w:rFonts w:eastAsia="Arial Unicode MS" w:cs="Arial Unicode MS" w:hint="eastAsia"/>
          <w:b/>
          <w:bCs/>
          <w:rtl/>
        </w:rPr>
        <w:t>פינקלשטיין</w:t>
      </w:r>
    </w:p>
    <w:p w:rsidR="00000000" w:rsidRDefault="003B7283">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p>
    <w:p w:rsidR="00000000" w:rsidRDefault="003B7283">
      <w:pPr>
        <w:ind w:left="2160"/>
        <w:rPr>
          <w:b/>
          <w:bCs/>
          <w:rtl/>
        </w:rPr>
      </w:pPr>
      <w:r>
        <w:rPr>
          <w:rFonts w:eastAsia="Arial Unicode MS" w:cs="Arial Unicode MS"/>
          <w:b/>
          <w:bCs/>
          <w:rtl/>
        </w:rPr>
        <w:t xml:space="preserve">2 </w:t>
      </w:r>
      <w:r>
        <w:rPr>
          <w:rFonts w:eastAsia="Arial Unicode MS" w:cs="Arial Unicode MS"/>
          <w:rtl/>
        </w:rPr>
        <w:t xml:space="preserve">.  </w:t>
      </w:r>
      <w:r>
        <w:rPr>
          <w:rFonts w:eastAsia="Arial Unicode MS" w:cs="Arial Unicode MS" w:hint="eastAsia"/>
          <w:b/>
          <w:bCs/>
          <w:rtl/>
        </w:rPr>
        <w:t>הצעת</w:t>
      </w:r>
      <w:r>
        <w:rPr>
          <w:rFonts w:eastAsia="Arial Unicode MS" w:cs="Arial Unicode MS"/>
          <w:b/>
          <w:bCs/>
          <w:rtl/>
        </w:rPr>
        <w:t xml:space="preserve"> </w:t>
      </w:r>
      <w:r>
        <w:rPr>
          <w:rFonts w:eastAsia="Arial Unicode MS" w:cs="Arial Unicode MS" w:hint="eastAsia"/>
          <w:b/>
          <w:bCs/>
          <w:rtl/>
        </w:rPr>
        <w:t>חוק</w:t>
      </w:r>
      <w:r>
        <w:rPr>
          <w:rFonts w:eastAsia="Arial Unicode MS" w:cs="Arial Unicode MS"/>
          <w:b/>
          <w:bCs/>
          <w:rtl/>
        </w:rPr>
        <w:t xml:space="preserve"> </w:t>
      </w:r>
      <w:r>
        <w:rPr>
          <w:rFonts w:eastAsia="Arial Unicode MS" w:cs="Arial Unicode MS" w:hint="eastAsia"/>
          <w:b/>
          <w:bCs/>
          <w:rtl/>
        </w:rPr>
        <w:t>החברות</w:t>
      </w:r>
      <w:r>
        <w:rPr>
          <w:rFonts w:eastAsia="Arial Unicode MS" w:cs="Arial Unicode MS"/>
          <w:b/>
          <w:bCs/>
          <w:rtl/>
        </w:rPr>
        <w:t xml:space="preserve"> (</w:t>
      </w:r>
      <w:r>
        <w:rPr>
          <w:rFonts w:eastAsia="Arial Unicode MS" w:cs="Arial Unicode MS" w:hint="eastAsia"/>
          <w:b/>
          <w:bCs/>
          <w:rtl/>
        </w:rPr>
        <w:t>תיק</w:t>
      </w:r>
      <w:r>
        <w:rPr>
          <w:rFonts w:eastAsia="Arial Unicode MS" w:cs="Arial Unicode MS" w:hint="eastAsia"/>
          <w:b/>
          <w:bCs/>
          <w:rtl/>
        </w:rPr>
        <w:t>ון</w:t>
      </w:r>
      <w:r>
        <w:rPr>
          <w:rFonts w:eastAsia="Arial Unicode MS" w:cs="Arial Unicode MS"/>
          <w:b/>
          <w:bCs/>
          <w:rtl/>
        </w:rPr>
        <w:t xml:space="preserve"> – </w:t>
      </w:r>
      <w:r>
        <w:rPr>
          <w:rFonts w:eastAsia="Arial Unicode MS" w:cs="Arial Unicode MS" w:hint="eastAsia"/>
          <w:b/>
          <w:bCs/>
          <w:rtl/>
        </w:rPr>
        <w:t>כשירות</w:t>
      </w:r>
      <w:r>
        <w:rPr>
          <w:rFonts w:eastAsia="Arial Unicode MS" w:cs="Arial Unicode MS"/>
          <w:b/>
          <w:bCs/>
          <w:rtl/>
        </w:rPr>
        <w:t xml:space="preserve"> </w:t>
      </w:r>
      <w:r>
        <w:rPr>
          <w:rFonts w:eastAsia="Arial Unicode MS" w:cs="Arial Unicode MS" w:hint="eastAsia"/>
          <w:b/>
          <w:bCs/>
          <w:rtl/>
        </w:rPr>
        <w:t>דירקטור</w:t>
      </w:r>
      <w:r>
        <w:rPr>
          <w:rFonts w:eastAsia="Arial Unicode MS" w:cs="Arial Unicode MS"/>
          <w:b/>
          <w:bCs/>
          <w:rtl/>
        </w:rPr>
        <w:t xml:space="preserve"> </w:t>
      </w:r>
      <w:r>
        <w:rPr>
          <w:rFonts w:eastAsia="Arial Unicode MS" w:cs="Arial Unicode MS" w:hint="eastAsia"/>
          <w:b/>
          <w:bCs/>
          <w:rtl/>
        </w:rPr>
        <w:t>חיצוני</w:t>
      </w:r>
      <w:r>
        <w:rPr>
          <w:rFonts w:eastAsia="Arial Unicode MS" w:cs="Arial Unicode MS"/>
          <w:b/>
          <w:bCs/>
          <w:rtl/>
        </w:rPr>
        <w:t xml:space="preserve"> </w:t>
      </w:r>
      <w:r>
        <w:rPr>
          <w:rFonts w:eastAsia="Arial Unicode MS" w:cs="Arial Unicode MS" w:hint="eastAsia"/>
          <w:b/>
          <w:bCs/>
          <w:rtl/>
        </w:rPr>
        <w:t>וחברי</w:t>
      </w:r>
      <w:r>
        <w:rPr>
          <w:rFonts w:eastAsia="Arial Unicode MS" w:cs="Arial Unicode MS"/>
          <w:b/>
          <w:bCs/>
          <w:rtl/>
        </w:rPr>
        <w:t xml:space="preserve"> </w:t>
      </w:r>
      <w:r>
        <w:rPr>
          <w:rFonts w:eastAsia="Arial Unicode MS" w:cs="Arial Unicode MS" w:hint="eastAsia"/>
          <w:b/>
          <w:bCs/>
          <w:rtl/>
        </w:rPr>
        <w:t>ועדת</w:t>
      </w:r>
      <w:r>
        <w:rPr>
          <w:rFonts w:eastAsia="Arial Unicode MS" w:cs="Arial Unicode MS"/>
          <w:b/>
          <w:bCs/>
          <w:rtl/>
        </w:rPr>
        <w:t xml:space="preserve"> </w:t>
      </w:r>
      <w:r>
        <w:rPr>
          <w:rFonts w:eastAsia="Arial Unicode MS" w:cs="Arial Unicode MS" w:hint="eastAsia"/>
          <w:b/>
          <w:bCs/>
          <w:rtl/>
        </w:rPr>
        <w:t>הביקורת</w:t>
      </w:r>
      <w:r>
        <w:rPr>
          <w:rFonts w:eastAsia="Arial Unicode MS" w:cs="Arial Unicode MS"/>
          <w:b/>
          <w:bCs/>
          <w:rtl/>
        </w:rPr>
        <w:t xml:space="preserve"> </w:t>
      </w:r>
      <w:r>
        <w:rPr>
          <w:rFonts w:eastAsia="Arial Unicode MS" w:cs="Arial Unicode MS" w:hint="eastAsia"/>
          <w:b/>
          <w:bCs/>
          <w:rtl/>
        </w:rPr>
        <w:t>בחברה</w:t>
      </w:r>
      <w:r>
        <w:rPr>
          <w:rFonts w:eastAsia="Arial Unicode MS" w:cs="Arial Unicode MS"/>
          <w:b/>
          <w:bCs/>
          <w:rtl/>
        </w:rPr>
        <w:t xml:space="preserve"> </w:t>
      </w:r>
      <w:r>
        <w:rPr>
          <w:rFonts w:eastAsia="Arial Unicode MS" w:cs="Arial Unicode MS" w:hint="eastAsia"/>
          <w:b/>
          <w:bCs/>
          <w:rtl/>
        </w:rPr>
        <w:t>ציבורית</w:t>
      </w:r>
      <w:r>
        <w:rPr>
          <w:rFonts w:eastAsia="Arial Unicode MS" w:cs="Arial Unicode MS"/>
          <w:b/>
          <w:bCs/>
          <w:rtl/>
        </w:rPr>
        <w:t xml:space="preserve">), </w:t>
      </w:r>
      <w:r>
        <w:rPr>
          <w:rFonts w:eastAsia="Arial Unicode MS" w:cs="Arial Unicode MS" w:hint="eastAsia"/>
          <w:b/>
          <w:bCs/>
          <w:rtl/>
        </w:rPr>
        <w:t>התשס</w:t>
      </w:r>
      <w:r>
        <w:rPr>
          <w:rFonts w:eastAsia="Arial Unicode MS" w:cs="Arial Unicode MS"/>
          <w:b/>
          <w:bCs/>
          <w:rtl/>
        </w:rPr>
        <w:t>"</w:t>
      </w:r>
      <w:r>
        <w:rPr>
          <w:rFonts w:eastAsia="Arial Unicode MS" w:cs="Arial Unicode MS" w:hint="eastAsia"/>
          <w:b/>
          <w:bCs/>
          <w:rtl/>
        </w:rPr>
        <w:t>ד</w:t>
      </w:r>
      <w:r>
        <w:rPr>
          <w:rFonts w:eastAsia="Arial Unicode MS" w:cs="Arial Unicode MS"/>
          <w:b/>
          <w:bCs/>
          <w:rtl/>
        </w:rPr>
        <w:t xml:space="preserve"> – 2004 – </w:t>
      </w:r>
      <w:r>
        <w:rPr>
          <w:rFonts w:eastAsia="Arial Unicode MS" w:cs="Arial Unicode MS" w:hint="eastAsia"/>
          <w:b/>
          <w:bCs/>
          <w:rtl/>
        </w:rPr>
        <w:t>אישור</w:t>
      </w:r>
      <w:r>
        <w:rPr>
          <w:rFonts w:eastAsia="Arial Unicode MS" w:cs="Arial Unicode MS"/>
          <w:b/>
          <w:bCs/>
          <w:rtl/>
        </w:rPr>
        <w:t xml:space="preserve"> </w:t>
      </w:r>
      <w:r>
        <w:rPr>
          <w:rFonts w:eastAsia="Arial Unicode MS" w:cs="Arial Unicode MS" w:hint="eastAsia"/>
          <w:b/>
          <w:bCs/>
          <w:rtl/>
        </w:rPr>
        <w:t>לקריאה</w:t>
      </w:r>
      <w:r>
        <w:rPr>
          <w:rFonts w:eastAsia="Arial Unicode MS" w:cs="Arial Unicode MS"/>
          <w:b/>
          <w:bCs/>
          <w:rtl/>
        </w:rPr>
        <w:t xml:space="preserve"> </w:t>
      </w:r>
      <w:r>
        <w:rPr>
          <w:rFonts w:eastAsia="Arial Unicode MS" w:cs="Arial Unicode MS" w:hint="eastAsia"/>
          <w:b/>
          <w:bCs/>
          <w:rtl/>
        </w:rPr>
        <w:t>ראשונה</w:t>
      </w:r>
      <w:r>
        <w:rPr>
          <w:rFonts w:eastAsia="Arial Unicode MS" w:cs="Arial Unicode MS"/>
          <w:b/>
          <w:bCs/>
          <w:rtl/>
        </w:rPr>
        <w:t xml:space="preserve"> – </w:t>
      </w:r>
      <w:r>
        <w:rPr>
          <w:rFonts w:eastAsia="Arial Unicode MS" w:cs="Arial Unicode MS" w:hint="eastAsia"/>
          <w:b/>
          <w:bCs/>
          <w:rtl/>
        </w:rPr>
        <w:t>דיון</w:t>
      </w:r>
      <w:r>
        <w:rPr>
          <w:rFonts w:eastAsia="Arial Unicode MS" w:cs="Arial Unicode MS"/>
          <w:b/>
          <w:bCs/>
          <w:rtl/>
        </w:rPr>
        <w:t xml:space="preserve"> </w:t>
      </w:r>
      <w:r>
        <w:rPr>
          <w:rFonts w:eastAsia="Arial Unicode MS" w:cs="Arial Unicode MS" w:hint="eastAsia"/>
          <w:b/>
          <w:bCs/>
          <w:rtl/>
        </w:rPr>
        <w:t>והצבעה</w:t>
      </w:r>
    </w:p>
    <w:p w:rsidR="00000000" w:rsidRDefault="003B7283">
      <w:pPr>
        <w:pStyle w:val="21"/>
        <w:rPr>
          <w:rFonts w:cs="David"/>
          <w:rtl/>
        </w:rPr>
      </w:pPr>
      <w:r>
        <w:rPr>
          <w:rFonts w:cs="David"/>
          <w:rtl/>
        </w:rPr>
        <w:t>ח"כים: אהוד רצאבי, רוני בריזון, חמי דורון, רשף חן, יגאל יאסינוב, אתי לבני, אילן ליבוביץ</w:t>
      </w:r>
    </w:p>
    <w:p w:rsidR="00000000" w:rsidRDefault="003B7283">
      <w:pPr>
        <w:autoSpaceDE w:val="0"/>
        <w:autoSpaceDN w:val="0"/>
        <w:jc w:val="both"/>
        <w:rPr>
          <w:rFonts w:cs="David"/>
          <w:rtl/>
        </w:rPr>
      </w:pPr>
    </w:p>
    <w:p w:rsidR="00000000" w:rsidRDefault="003B7283">
      <w:pPr>
        <w:autoSpaceDE w:val="0"/>
        <w:autoSpaceDN w:val="0"/>
        <w:jc w:val="both"/>
        <w:rPr>
          <w:rFonts w:cs="David"/>
          <w:b/>
          <w:bCs/>
          <w:u w:val="single"/>
          <w:rtl/>
        </w:rPr>
      </w:pPr>
      <w:r>
        <w:rPr>
          <w:rFonts w:cs="David"/>
          <w:b/>
          <w:bCs/>
          <w:u w:val="single"/>
          <w:rtl/>
        </w:rPr>
        <w:t>נכחו:</w:t>
      </w:r>
    </w:p>
    <w:p w:rsidR="00000000" w:rsidRDefault="003B7283">
      <w:pPr>
        <w:autoSpaceDE w:val="0"/>
        <w:autoSpaceDN w:val="0"/>
        <w:jc w:val="both"/>
        <w:rPr>
          <w:rFonts w:cs="David"/>
          <w:b/>
          <w:bCs/>
          <w:u w:val="single"/>
          <w:rtl/>
        </w:rPr>
      </w:pPr>
    </w:p>
    <w:p w:rsidR="00000000" w:rsidRDefault="003B728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רשף חן – היו"ר</w:t>
      </w:r>
    </w:p>
    <w:p w:rsidR="00000000" w:rsidRDefault="003B7283">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3B7283">
      <w:pPr>
        <w:autoSpaceDE w:val="0"/>
        <w:autoSpaceDN w:val="0"/>
        <w:jc w:val="both"/>
        <w:rPr>
          <w:rFonts w:eastAsia="Arial Unicode MS" w:cs="Arial Unicode MS"/>
          <w:rtl/>
        </w:rPr>
      </w:pPr>
      <w:r>
        <w:rPr>
          <w:rFonts w:cs="David"/>
          <w:rtl/>
        </w:rPr>
        <w:tab/>
      </w:r>
      <w:r>
        <w:rPr>
          <w:rFonts w:cs="David"/>
          <w:rtl/>
        </w:rPr>
        <w:tab/>
      </w:r>
      <w:r>
        <w:rPr>
          <w:rFonts w:cs="David"/>
          <w:rtl/>
        </w:rPr>
        <w:tab/>
      </w:r>
      <w:r>
        <w:rPr>
          <w:rtl/>
        </w:rPr>
        <w:tab/>
      </w:r>
      <w:r>
        <w:rPr>
          <w:rtl/>
        </w:rPr>
        <w:tab/>
      </w:r>
      <w:r>
        <w:rPr>
          <w:rtl/>
        </w:rPr>
        <w:tab/>
      </w:r>
    </w:p>
    <w:p w:rsidR="00000000" w:rsidRDefault="003B7283">
      <w:pPr>
        <w:autoSpaceDE w:val="0"/>
        <w:autoSpaceDN w:val="0"/>
        <w:jc w:val="both"/>
        <w:rPr>
          <w:rFonts w:cs="David"/>
          <w:b/>
          <w:bCs/>
          <w:u w:val="single"/>
          <w:rtl/>
        </w:rPr>
      </w:pPr>
    </w:p>
    <w:p w:rsidR="00000000" w:rsidRDefault="003B728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 מסר – המשנה ליועץ המשפטי לממשלה, משרד המשפטים</w:t>
      </w:r>
    </w:p>
    <w:p w:rsidR="00000000" w:rsidRDefault="003B7283">
      <w:pPr>
        <w:autoSpaceDE w:val="0"/>
        <w:autoSpaceDN w:val="0"/>
        <w:ind w:left="2160"/>
        <w:jc w:val="both"/>
        <w:rPr>
          <w:rFonts w:cs="David"/>
          <w:rtl/>
        </w:rPr>
      </w:pPr>
      <w:r>
        <w:rPr>
          <w:rFonts w:cs="David"/>
          <w:rtl/>
        </w:rPr>
        <w:t>עו"ד מרים אילני –  משרד המשפטים</w:t>
      </w:r>
    </w:p>
    <w:p w:rsidR="00000000" w:rsidRDefault="003B7283">
      <w:pPr>
        <w:autoSpaceDE w:val="0"/>
        <w:autoSpaceDN w:val="0"/>
        <w:ind w:left="1440"/>
        <w:jc w:val="both"/>
        <w:rPr>
          <w:rFonts w:cs="David"/>
          <w:rtl/>
        </w:rPr>
      </w:pPr>
      <w:r>
        <w:rPr>
          <w:rFonts w:cs="David"/>
          <w:rtl/>
        </w:rPr>
        <w:tab/>
        <w:t>רעות שניר – מתמחה, משרד המשפטים</w:t>
      </w:r>
    </w:p>
    <w:p w:rsidR="00000000" w:rsidRDefault="003B7283">
      <w:pPr>
        <w:autoSpaceDE w:val="0"/>
        <w:autoSpaceDN w:val="0"/>
        <w:ind w:left="1440"/>
        <w:jc w:val="both"/>
        <w:rPr>
          <w:rFonts w:cs="David"/>
          <w:rtl/>
        </w:rPr>
      </w:pPr>
      <w:r>
        <w:rPr>
          <w:rFonts w:cs="David"/>
          <w:rtl/>
        </w:rPr>
        <w:tab/>
        <w:t>ליהי ציגלר – מתמחה, משרד המשפטים</w:t>
      </w:r>
    </w:p>
    <w:p w:rsidR="00000000" w:rsidRDefault="003B7283">
      <w:pPr>
        <w:autoSpaceDE w:val="0"/>
        <w:autoSpaceDN w:val="0"/>
        <w:ind w:left="1440" w:firstLine="720"/>
        <w:jc w:val="both"/>
        <w:rPr>
          <w:rFonts w:cs="David"/>
          <w:rtl/>
        </w:rPr>
      </w:pPr>
      <w:r>
        <w:rPr>
          <w:rFonts w:cs="David"/>
          <w:rtl/>
        </w:rPr>
        <w:t>עו"ד מוריה דורון-הופטמן – בנק הפועלים, איגוד הבנקים</w:t>
      </w:r>
    </w:p>
    <w:p w:rsidR="00000000" w:rsidRDefault="003B7283">
      <w:pPr>
        <w:autoSpaceDE w:val="0"/>
        <w:autoSpaceDN w:val="0"/>
        <w:ind w:left="1440" w:firstLine="720"/>
        <w:jc w:val="both"/>
        <w:rPr>
          <w:rFonts w:cs="David"/>
          <w:rtl/>
        </w:rPr>
      </w:pPr>
      <w:r>
        <w:rPr>
          <w:rFonts w:cs="David"/>
          <w:rtl/>
        </w:rPr>
        <w:t xml:space="preserve">עו"ד יוליוס רודיק  - בנק </w:t>
      </w:r>
      <w:r>
        <w:rPr>
          <w:rFonts w:cs="David"/>
          <w:rtl/>
        </w:rPr>
        <w:t>דיסקונט, איגוד הבנקים</w:t>
      </w:r>
    </w:p>
    <w:p w:rsidR="00000000" w:rsidRDefault="003B7283">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3B7283">
      <w:pPr>
        <w:autoSpaceDE w:val="0"/>
        <w:autoSpaceDN w:val="0"/>
        <w:ind w:left="1440" w:hanging="1440"/>
        <w:jc w:val="both"/>
        <w:rPr>
          <w:rFonts w:cs="David"/>
          <w:rtl/>
        </w:rPr>
      </w:pPr>
      <w:r>
        <w:rPr>
          <w:rFonts w:cs="David"/>
          <w:rtl/>
        </w:rPr>
        <w:tab/>
      </w:r>
      <w:r>
        <w:rPr>
          <w:rFonts w:cs="David"/>
          <w:rtl/>
        </w:rPr>
        <w:tab/>
        <w:t>גד סואן – מנכ"ל איגוד החברות הציבוריות</w:t>
      </w:r>
    </w:p>
    <w:p w:rsidR="00000000" w:rsidRDefault="003B7283">
      <w:pPr>
        <w:autoSpaceDE w:val="0"/>
        <w:autoSpaceDN w:val="0"/>
        <w:ind w:left="2160"/>
        <w:jc w:val="both"/>
        <w:rPr>
          <w:rFonts w:cs="David"/>
          <w:rtl/>
        </w:rPr>
      </w:pPr>
      <w:r>
        <w:rPr>
          <w:rFonts w:cs="David"/>
          <w:rtl/>
        </w:rPr>
        <w:t>עו"ד  דניאלה גורני- היועצת המשפטית, הרשות לניירות ערך</w:t>
      </w:r>
    </w:p>
    <w:p w:rsidR="00000000" w:rsidRDefault="003B7283">
      <w:pPr>
        <w:autoSpaceDE w:val="0"/>
        <w:autoSpaceDN w:val="0"/>
        <w:ind w:left="2160"/>
        <w:jc w:val="both"/>
        <w:rPr>
          <w:rFonts w:cs="David"/>
          <w:rtl/>
        </w:rPr>
      </w:pPr>
      <w:r>
        <w:rPr>
          <w:rFonts w:cs="David"/>
          <w:rtl/>
        </w:rPr>
        <w:t>עו"ד מוטי ימין – הרשות לניירות ערך</w:t>
      </w:r>
    </w:p>
    <w:p w:rsidR="00000000" w:rsidRDefault="003B7283">
      <w:pPr>
        <w:autoSpaceDE w:val="0"/>
        <w:autoSpaceDN w:val="0"/>
        <w:ind w:left="2160"/>
        <w:jc w:val="both"/>
        <w:rPr>
          <w:rFonts w:cs="David"/>
          <w:rtl/>
        </w:rPr>
      </w:pPr>
      <w:r>
        <w:rPr>
          <w:rFonts w:cs="David"/>
          <w:rtl/>
        </w:rPr>
        <w:t>עו"ד אמיר וסרמן  - הרשות לניירות ערך</w:t>
      </w:r>
    </w:p>
    <w:p w:rsidR="00000000" w:rsidRDefault="003B7283">
      <w:pPr>
        <w:autoSpaceDE w:val="0"/>
        <w:autoSpaceDN w:val="0"/>
        <w:ind w:left="2160"/>
        <w:jc w:val="both"/>
        <w:rPr>
          <w:rFonts w:cs="David"/>
          <w:rtl/>
        </w:rPr>
      </w:pPr>
      <w:r>
        <w:rPr>
          <w:rFonts w:cs="David"/>
          <w:rtl/>
        </w:rPr>
        <w:t>עו"ד</w:t>
      </w:r>
      <w:r>
        <w:rPr>
          <w:rFonts w:cs="David"/>
          <w:rtl/>
        </w:rPr>
        <w:t xml:space="preserve"> חגי טיומקין – לשכת עורכי הדין</w:t>
      </w:r>
    </w:p>
    <w:p w:rsidR="00000000" w:rsidRDefault="003B7283">
      <w:pPr>
        <w:autoSpaceDE w:val="0"/>
        <w:autoSpaceDN w:val="0"/>
        <w:ind w:left="2160"/>
        <w:jc w:val="both"/>
        <w:rPr>
          <w:rFonts w:cs="David"/>
          <w:rtl/>
        </w:rPr>
      </w:pPr>
      <w:r>
        <w:rPr>
          <w:rFonts w:cs="David"/>
          <w:rtl/>
        </w:rPr>
        <w:t>ד"ר עמרי ידלין – הפקולטה למשפטים, אוניברסיטת תל אביב</w:t>
      </w:r>
    </w:p>
    <w:p w:rsidR="00000000" w:rsidRDefault="003B7283">
      <w:pPr>
        <w:autoSpaceDE w:val="0"/>
        <w:autoSpaceDN w:val="0"/>
        <w:ind w:left="2160"/>
        <w:jc w:val="both"/>
        <w:rPr>
          <w:rFonts w:cs="David"/>
          <w:rtl/>
        </w:rPr>
      </w:pPr>
      <w:r>
        <w:rPr>
          <w:rFonts w:cs="David"/>
          <w:rtl/>
        </w:rPr>
        <w:t>עו"ד רונית פרל – התאחדות התעשיינים</w:t>
      </w:r>
    </w:p>
    <w:p w:rsidR="00000000" w:rsidRDefault="003B7283">
      <w:pPr>
        <w:autoSpaceDE w:val="0"/>
        <w:autoSpaceDN w:val="0"/>
        <w:ind w:left="2160"/>
        <w:jc w:val="both"/>
        <w:rPr>
          <w:rFonts w:cs="David"/>
          <w:rtl/>
        </w:rPr>
      </w:pPr>
      <w:r>
        <w:rPr>
          <w:rFonts w:cs="David"/>
          <w:rtl/>
        </w:rPr>
        <w:t>יוסי רייטן – לשכת השמאים</w:t>
      </w:r>
    </w:p>
    <w:p w:rsidR="00000000" w:rsidRDefault="003B7283">
      <w:pPr>
        <w:autoSpaceDE w:val="0"/>
        <w:autoSpaceDN w:val="0"/>
        <w:ind w:firstLine="720"/>
        <w:jc w:val="both"/>
        <w:rPr>
          <w:rFonts w:cs="David"/>
          <w:rtl/>
        </w:rPr>
      </w:pPr>
      <w:r>
        <w:rPr>
          <w:rFonts w:cs="David"/>
          <w:rtl/>
        </w:rPr>
        <w:tab/>
      </w:r>
      <w:r>
        <w:rPr>
          <w:rFonts w:cs="David"/>
          <w:rtl/>
        </w:rPr>
        <w:tab/>
        <w:t>עו"ד מוטי ארד -  קואליציה הארגונים לשינוי חוק החברות</w:t>
      </w:r>
      <w:r>
        <w:rPr>
          <w:rFonts w:cs="David"/>
          <w:rtl/>
        </w:rPr>
        <w:tab/>
      </w:r>
    </w:p>
    <w:p w:rsidR="00000000" w:rsidRDefault="003B7283">
      <w:pPr>
        <w:autoSpaceDE w:val="0"/>
        <w:autoSpaceDN w:val="0"/>
        <w:ind w:left="2160"/>
        <w:jc w:val="both"/>
        <w:rPr>
          <w:rFonts w:cs="David"/>
          <w:rtl/>
        </w:rPr>
      </w:pPr>
      <w:r>
        <w:rPr>
          <w:rFonts w:cs="David"/>
          <w:rtl/>
        </w:rPr>
        <w:t>יוני ישראלי – כלכלן ושמאי מקרקעין, מנכ"ל חב' נדל"ן</w:t>
      </w:r>
    </w:p>
    <w:p w:rsidR="00000000" w:rsidRDefault="003B7283">
      <w:pPr>
        <w:autoSpaceDE w:val="0"/>
        <w:autoSpaceDN w:val="0"/>
        <w:jc w:val="both"/>
        <w:rPr>
          <w:rFonts w:cs="David"/>
          <w:b/>
          <w:bCs/>
          <w:u w:val="single"/>
          <w:rtl/>
        </w:rPr>
      </w:pPr>
    </w:p>
    <w:p w:rsidR="00000000" w:rsidRDefault="003B7283">
      <w:pPr>
        <w:autoSpaceDE w:val="0"/>
        <w:autoSpaceDN w:val="0"/>
        <w:jc w:val="both"/>
        <w:rPr>
          <w:rFonts w:cs="David"/>
          <w:rtl/>
        </w:rPr>
      </w:pPr>
      <w:r>
        <w:rPr>
          <w:rFonts w:cs="David"/>
          <w:b/>
          <w:bCs/>
          <w:u w:val="single"/>
          <w:rtl/>
        </w:rPr>
        <w:t>ייעו</w:t>
      </w:r>
      <w:r>
        <w:rPr>
          <w:rFonts w:cs="David"/>
          <w:b/>
          <w:bCs/>
          <w:u w:val="single"/>
          <w:rtl/>
        </w:rPr>
        <w:t>ץ משפטי</w:t>
      </w:r>
      <w:r>
        <w:rPr>
          <w:rFonts w:cs="David"/>
          <w:rtl/>
        </w:rPr>
        <w:t xml:space="preserve">: </w:t>
      </w:r>
      <w:r>
        <w:rPr>
          <w:rFonts w:cs="David"/>
          <w:rtl/>
        </w:rPr>
        <w:tab/>
      </w:r>
      <w:r>
        <w:rPr>
          <w:rFonts w:cs="David"/>
          <w:rtl/>
        </w:rPr>
        <w:tab/>
        <w:t xml:space="preserve">תמי סלע </w:t>
      </w:r>
    </w:p>
    <w:p w:rsidR="00000000" w:rsidRDefault="003B7283">
      <w:pPr>
        <w:autoSpaceDE w:val="0"/>
        <w:autoSpaceDN w:val="0"/>
        <w:ind w:left="1440" w:firstLine="720"/>
        <w:jc w:val="both"/>
        <w:rPr>
          <w:rFonts w:cs="David"/>
          <w:rtl/>
        </w:rPr>
      </w:pPr>
      <w:r>
        <w:rPr>
          <w:rFonts w:cs="David"/>
          <w:rtl/>
        </w:rPr>
        <w:tab/>
      </w:r>
      <w:r>
        <w:rPr>
          <w:rFonts w:cs="David"/>
          <w:rtl/>
        </w:rPr>
        <w:tab/>
      </w:r>
    </w:p>
    <w:p w:rsidR="00000000" w:rsidRDefault="003B728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3B7283">
      <w:pPr>
        <w:autoSpaceDE w:val="0"/>
        <w:autoSpaceDN w:val="0"/>
        <w:jc w:val="both"/>
        <w:rPr>
          <w:rFonts w:cs="David"/>
          <w:rtl/>
        </w:rPr>
      </w:pPr>
      <w:r>
        <w:rPr>
          <w:rFonts w:cs="David"/>
          <w:rtl/>
        </w:rPr>
        <w:t xml:space="preserve"> </w:t>
      </w:r>
    </w:p>
    <w:p w:rsidR="00000000" w:rsidRDefault="003B7283">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3B7283">
      <w:pPr>
        <w:autoSpaceDE w:val="0"/>
        <w:autoSpaceDN w:val="0"/>
        <w:jc w:val="both"/>
        <w:rPr>
          <w:rFonts w:cs="David"/>
          <w:rtl/>
        </w:rPr>
      </w:pPr>
      <w:r>
        <w:rPr>
          <w:rFonts w:cs="David"/>
          <w:rtl/>
        </w:rPr>
        <w:tab/>
      </w:r>
    </w:p>
    <w:p w:rsidR="00000000" w:rsidRDefault="003B7283">
      <w:pPr>
        <w:autoSpaceDE w:val="0"/>
        <w:autoSpaceDN w:val="0"/>
        <w:jc w:val="both"/>
        <w:rPr>
          <w:rFonts w:cs="David"/>
          <w:rtl/>
        </w:rPr>
      </w:pPr>
    </w:p>
    <w:p w:rsidR="00000000" w:rsidRDefault="003B7283">
      <w:pPr>
        <w:autoSpaceDE w:val="0"/>
        <w:autoSpaceDN w:val="0"/>
        <w:jc w:val="both"/>
        <w:rPr>
          <w:rFonts w:cs="David"/>
          <w:rtl/>
        </w:rPr>
      </w:pPr>
    </w:p>
    <w:p w:rsidR="00000000" w:rsidRDefault="003B7283">
      <w:pPr>
        <w:pStyle w:val="2"/>
        <w:numPr>
          <w:ilvl w:val="0"/>
          <w:numId w:val="1"/>
        </w:numPr>
        <w:jc w:val="both"/>
        <w:rPr>
          <w:rFonts w:cs="David"/>
          <w:rtl/>
        </w:rPr>
      </w:pPr>
      <w:r>
        <w:rPr>
          <w:rFonts w:cs="David"/>
          <w:rtl/>
        </w:rPr>
        <w:lastRenderedPageBreak/>
        <w:t xml:space="preserve">הצעת חוק החברות (תיקון – כשירות דירקטור חיצוני בחברה ציבורית),התשס"ד – 2003– </w:t>
      </w:r>
    </w:p>
    <w:p w:rsidR="00000000" w:rsidRDefault="003B7283">
      <w:pPr>
        <w:pStyle w:val="2"/>
        <w:ind w:left="360"/>
        <w:jc w:val="both"/>
        <w:rPr>
          <w:rFonts w:cs="David"/>
          <w:u w:val="single"/>
          <w:rtl/>
        </w:rPr>
      </w:pPr>
      <w:r>
        <w:rPr>
          <w:rFonts w:cs="David"/>
          <w:rtl/>
        </w:rPr>
        <w:t xml:space="preserve">      </w:t>
      </w:r>
      <w:r>
        <w:rPr>
          <w:rFonts w:cs="David"/>
          <w:u w:val="single"/>
          <w:rtl/>
        </w:rPr>
        <w:t>אישור לקריאה ראשונה – דיון והצבעה</w:t>
      </w:r>
    </w:p>
    <w:p w:rsidR="00000000" w:rsidRDefault="003B7283">
      <w:pPr>
        <w:rPr>
          <w:rFonts w:eastAsia="Arial Unicode MS" w:cs="Arial Unicode MS"/>
          <w:b/>
          <w:bCs/>
          <w:rtl/>
        </w:rPr>
      </w:pPr>
      <w:r>
        <w:rPr>
          <w:rFonts w:eastAsia="Arial Unicode MS" w:cs="Arial Unicode MS"/>
          <w:rtl/>
        </w:rPr>
        <w:tab/>
      </w:r>
      <w:r>
        <w:rPr>
          <w:rFonts w:eastAsia="Arial Unicode MS" w:cs="Arial Unicode MS" w:hint="eastAsia"/>
          <w:b/>
          <w:bCs/>
          <w:rtl/>
        </w:rPr>
        <w:t>ח</w:t>
      </w:r>
      <w:r>
        <w:rPr>
          <w:rFonts w:eastAsia="Arial Unicode MS" w:cs="Arial Unicode MS"/>
          <w:b/>
          <w:bCs/>
          <w:rtl/>
        </w:rPr>
        <w:t>"</w:t>
      </w:r>
      <w:r>
        <w:rPr>
          <w:rFonts w:eastAsia="Arial Unicode MS" w:cs="Arial Unicode MS" w:hint="eastAsia"/>
          <w:b/>
          <w:bCs/>
          <w:rtl/>
        </w:rPr>
        <w:t>כ</w:t>
      </w:r>
      <w:r>
        <w:rPr>
          <w:rFonts w:eastAsia="Arial Unicode MS" w:cs="Arial Unicode MS"/>
          <w:b/>
          <w:bCs/>
          <w:rtl/>
        </w:rPr>
        <w:t xml:space="preserve"> </w:t>
      </w:r>
      <w:r>
        <w:rPr>
          <w:rFonts w:eastAsia="Arial Unicode MS" w:cs="Arial Unicode MS" w:hint="eastAsia"/>
          <w:b/>
          <w:bCs/>
          <w:rtl/>
        </w:rPr>
        <w:t>גילה</w:t>
      </w:r>
      <w:r>
        <w:rPr>
          <w:rFonts w:eastAsia="Arial Unicode MS" w:cs="Arial Unicode MS"/>
          <w:b/>
          <w:bCs/>
          <w:rtl/>
        </w:rPr>
        <w:t xml:space="preserve"> </w:t>
      </w:r>
      <w:r>
        <w:rPr>
          <w:rFonts w:eastAsia="Arial Unicode MS" w:cs="Arial Unicode MS" w:hint="eastAsia"/>
          <w:b/>
          <w:bCs/>
          <w:rtl/>
        </w:rPr>
        <w:t>פינקלשטיין</w:t>
      </w:r>
    </w:p>
    <w:p w:rsidR="00000000" w:rsidRDefault="003B7283">
      <w:pPr>
        <w:rPr>
          <w:rFonts w:eastAsia="Arial Unicode MS" w:cs="Arial Unicode MS"/>
          <w:rtl/>
        </w:rPr>
      </w:pPr>
    </w:p>
    <w:p w:rsidR="00000000" w:rsidRDefault="003B7283">
      <w:pPr>
        <w:rPr>
          <w:rFonts w:eastAsia="Arial Unicode MS" w:cs="Arial Unicode MS"/>
          <w:b/>
          <w:bCs/>
          <w:rtl/>
        </w:rPr>
      </w:pPr>
      <w:r>
        <w:rPr>
          <w:rFonts w:eastAsia="Arial Unicode MS" w:cs="Arial Unicode MS"/>
          <w:b/>
          <w:bCs/>
          <w:rtl/>
        </w:rPr>
        <w:t xml:space="preserve">    2  </w:t>
      </w:r>
      <w:r>
        <w:rPr>
          <w:rFonts w:eastAsia="Arial Unicode MS" w:cs="Arial Unicode MS"/>
          <w:rtl/>
        </w:rPr>
        <w:t xml:space="preserve">.  </w:t>
      </w:r>
      <w:r>
        <w:rPr>
          <w:rFonts w:eastAsia="Arial Unicode MS" w:cs="Arial Unicode MS" w:hint="eastAsia"/>
          <w:b/>
          <w:bCs/>
          <w:rtl/>
        </w:rPr>
        <w:t>הצעת</w:t>
      </w:r>
      <w:r>
        <w:rPr>
          <w:rFonts w:eastAsia="Arial Unicode MS" w:cs="Arial Unicode MS"/>
          <w:b/>
          <w:bCs/>
          <w:rtl/>
        </w:rPr>
        <w:t xml:space="preserve"> </w:t>
      </w:r>
      <w:r>
        <w:rPr>
          <w:rFonts w:eastAsia="Arial Unicode MS" w:cs="Arial Unicode MS" w:hint="eastAsia"/>
          <w:b/>
          <w:bCs/>
          <w:rtl/>
        </w:rPr>
        <w:t>חוק</w:t>
      </w:r>
      <w:r>
        <w:rPr>
          <w:rFonts w:eastAsia="Arial Unicode MS" w:cs="Arial Unicode MS"/>
          <w:b/>
          <w:bCs/>
          <w:rtl/>
        </w:rPr>
        <w:t xml:space="preserve"> </w:t>
      </w:r>
      <w:r>
        <w:rPr>
          <w:rFonts w:eastAsia="Arial Unicode MS" w:cs="Arial Unicode MS" w:hint="eastAsia"/>
          <w:b/>
          <w:bCs/>
          <w:rtl/>
        </w:rPr>
        <w:t>החברות</w:t>
      </w:r>
      <w:r>
        <w:rPr>
          <w:rFonts w:eastAsia="Arial Unicode MS" w:cs="Arial Unicode MS"/>
          <w:b/>
          <w:bCs/>
          <w:rtl/>
        </w:rPr>
        <w:t xml:space="preserve"> (</w:t>
      </w:r>
      <w:r>
        <w:rPr>
          <w:rFonts w:eastAsia="Arial Unicode MS" w:cs="Arial Unicode MS" w:hint="eastAsia"/>
          <w:b/>
          <w:bCs/>
          <w:rtl/>
        </w:rPr>
        <w:t>תיק</w:t>
      </w:r>
      <w:r>
        <w:rPr>
          <w:rFonts w:eastAsia="Arial Unicode MS" w:cs="Arial Unicode MS" w:hint="eastAsia"/>
          <w:b/>
          <w:bCs/>
          <w:rtl/>
        </w:rPr>
        <w:t>ון</w:t>
      </w:r>
      <w:r>
        <w:rPr>
          <w:rFonts w:eastAsia="Arial Unicode MS" w:cs="Arial Unicode MS"/>
          <w:b/>
          <w:bCs/>
          <w:rtl/>
        </w:rPr>
        <w:t xml:space="preserve"> – </w:t>
      </w:r>
      <w:r>
        <w:rPr>
          <w:rFonts w:eastAsia="Arial Unicode MS" w:cs="Arial Unicode MS" w:hint="eastAsia"/>
          <w:b/>
          <w:bCs/>
          <w:rtl/>
        </w:rPr>
        <w:t>כשירות</w:t>
      </w:r>
      <w:r>
        <w:rPr>
          <w:rFonts w:eastAsia="Arial Unicode MS" w:cs="Arial Unicode MS"/>
          <w:b/>
          <w:bCs/>
          <w:rtl/>
        </w:rPr>
        <w:t xml:space="preserve"> </w:t>
      </w:r>
      <w:r>
        <w:rPr>
          <w:rFonts w:eastAsia="Arial Unicode MS" w:cs="Arial Unicode MS" w:hint="eastAsia"/>
          <w:b/>
          <w:bCs/>
          <w:rtl/>
        </w:rPr>
        <w:t>דירקטור</w:t>
      </w:r>
      <w:r>
        <w:rPr>
          <w:rFonts w:eastAsia="Arial Unicode MS" w:cs="Arial Unicode MS"/>
          <w:b/>
          <w:bCs/>
          <w:rtl/>
        </w:rPr>
        <w:t xml:space="preserve"> </w:t>
      </w:r>
      <w:r>
        <w:rPr>
          <w:rFonts w:eastAsia="Arial Unicode MS" w:cs="Arial Unicode MS" w:hint="eastAsia"/>
          <w:b/>
          <w:bCs/>
          <w:rtl/>
        </w:rPr>
        <w:t>חיצוני</w:t>
      </w:r>
      <w:r>
        <w:rPr>
          <w:rFonts w:eastAsia="Arial Unicode MS" w:cs="Arial Unicode MS"/>
          <w:b/>
          <w:bCs/>
          <w:rtl/>
        </w:rPr>
        <w:t xml:space="preserve"> </w:t>
      </w:r>
      <w:r>
        <w:rPr>
          <w:rFonts w:eastAsia="Arial Unicode MS" w:cs="Arial Unicode MS" w:hint="eastAsia"/>
          <w:b/>
          <w:bCs/>
          <w:rtl/>
        </w:rPr>
        <w:t>וחברי</w:t>
      </w:r>
      <w:r>
        <w:rPr>
          <w:rFonts w:eastAsia="Arial Unicode MS" w:cs="Arial Unicode MS"/>
          <w:b/>
          <w:bCs/>
          <w:rtl/>
        </w:rPr>
        <w:t xml:space="preserve"> </w:t>
      </w:r>
      <w:r>
        <w:rPr>
          <w:rFonts w:eastAsia="Arial Unicode MS" w:cs="Arial Unicode MS" w:hint="eastAsia"/>
          <w:b/>
          <w:bCs/>
          <w:rtl/>
        </w:rPr>
        <w:t>ועדת</w:t>
      </w:r>
      <w:r>
        <w:rPr>
          <w:rFonts w:eastAsia="Arial Unicode MS" w:cs="Arial Unicode MS"/>
          <w:b/>
          <w:bCs/>
          <w:rtl/>
        </w:rPr>
        <w:t xml:space="preserve"> </w:t>
      </w:r>
      <w:r>
        <w:rPr>
          <w:rFonts w:eastAsia="Arial Unicode MS" w:cs="Arial Unicode MS" w:hint="eastAsia"/>
          <w:b/>
          <w:bCs/>
          <w:rtl/>
        </w:rPr>
        <w:t>הביקורת</w:t>
      </w:r>
      <w:r>
        <w:rPr>
          <w:rFonts w:eastAsia="Arial Unicode MS" w:cs="Arial Unicode MS"/>
          <w:b/>
          <w:bCs/>
          <w:rtl/>
        </w:rPr>
        <w:t xml:space="preserve"> </w:t>
      </w:r>
      <w:r>
        <w:rPr>
          <w:rFonts w:eastAsia="Arial Unicode MS" w:cs="Arial Unicode MS" w:hint="eastAsia"/>
          <w:b/>
          <w:bCs/>
          <w:rtl/>
        </w:rPr>
        <w:t>בחברה</w:t>
      </w:r>
      <w:r>
        <w:rPr>
          <w:rFonts w:eastAsia="Arial Unicode MS" w:cs="Arial Unicode MS"/>
          <w:b/>
          <w:bCs/>
          <w:rtl/>
        </w:rPr>
        <w:t xml:space="preserve"> </w:t>
      </w:r>
      <w:r>
        <w:rPr>
          <w:rFonts w:eastAsia="Arial Unicode MS" w:cs="Arial Unicode MS" w:hint="eastAsia"/>
          <w:b/>
          <w:bCs/>
          <w:rtl/>
        </w:rPr>
        <w:t>ציבורית</w:t>
      </w:r>
      <w:r>
        <w:rPr>
          <w:rFonts w:eastAsia="Arial Unicode MS" w:cs="Arial Unicode MS"/>
          <w:b/>
          <w:bCs/>
          <w:rtl/>
        </w:rPr>
        <w:t xml:space="preserve">), </w:t>
      </w:r>
    </w:p>
    <w:p w:rsidR="00000000" w:rsidRDefault="003B7283">
      <w:pPr>
        <w:rPr>
          <w:b/>
          <w:bCs/>
          <w:u w:val="single"/>
          <w:rtl/>
        </w:rPr>
      </w:pPr>
      <w:r>
        <w:rPr>
          <w:rFonts w:eastAsia="Arial Unicode MS" w:cs="Arial Unicode MS"/>
          <w:b/>
          <w:bCs/>
          <w:rtl/>
        </w:rPr>
        <w:t xml:space="preserve">           </w:t>
      </w:r>
      <w:r>
        <w:rPr>
          <w:rFonts w:eastAsia="Arial Unicode MS" w:cs="Arial Unicode MS" w:hint="eastAsia"/>
          <w:b/>
          <w:bCs/>
          <w:u w:val="single"/>
          <w:rtl/>
        </w:rPr>
        <w:t>התשס</w:t>
      </w:r>
      <w:r>
        <w:rPr>
          <w:rFonts w:eastAsia="Arial Unicode MS" w:cs="Arial Unicode MS"/>
          <w:b/>
          <w:bCs/>
          <w:u w:val="single"/>
          <w:rtl/>
        </w:rPr>
        <w:t>"</w:t>
      </w:r>
      <w:r>
        <w:rPr>
          <w:rFonts w:eastAsia="Arial Unicode MS" w:cs="Arial Unicode MS" w:hint="eastAsia"/>
          <w:b/>
          <w:bCs/>
          <w:u w:val="single"/>
          <w:rtl/>
        </w:rPr>
        <w:t>ד</w:t>
      </w:r>
      <w:r>
        <w:rPr>
          <w:rFonts w:eastAsia="Arial Unicode MS" w:cs="Arial Unicode MS"/>
          <w:b/>
          <w:bCs/>
          <w:u w:val="single"/>
          <w:rtl/>
        </w:rPr>
        <w:t xml:space="preserve"> – 2004 – </w:t>
      </w:r>
      <w:r>
        <w:rPr>
          <w:rFonts w:eastAsia="Arial Unicode MS" w:cs="Arial Unicode MS" w:hint="eastAsia"/>
          <w:b/>
          <w:bCs/>
          <w:u w:val="single"/>
          <w:rtl/>
        </w:rPr>
        <w:t>אישור</w:t>
      </w:r>
      <w:r>
        <w:rPr>
          <w:rFonts w:eastAsia="Arial Unicode MS" w:cs="Arial Unicode MS"/>
          <w:b/>
          <w:bCs/>
          <w:u w:val="single"/>
          <w:rtl/>
        </w:rPr>
        <w:t xml:space="preserve"> </w:t>
      </w:r>
      <w:r>
        <w:rPr>
          <w:rFonts w:eastAsia="Arial Unicode MS" w:cs="Arial Unicode MS" w:hint="eastAsia"/>
          <w:b/>
          <w:bCs/>
          <w:u w:val="single"/>
          <w:rtl/>
        </w:rPr>
        <w:t>לקריאה</w:t>
      </w:r>
      <w:r>
        <w:rPr>
          <w:rFonts w:eastAsia="Arial Unicode MS" w:cs="Arial Unicode MS"/>
          <w:b/>
          <w:bCs/>
          <w:u w:val="single"/>
          <w:rtl/>
        </w:rPr>
        <w:t xml:space="preserve"> </w:t>
      </w:r>
      <w:r>
        <w:rPr>
          <w:rFonts w:eastAsia="Arial Unicode MS" w:cs="Arial Unicode MS" w:hint="eastAsia"/>
          <w:b/>
          <w:bCs/>
          <w:u w:val="single"/>
          <w:rtl/>
        </w:rPr>
        <w:t>ראשונה</w:t>
      </w:r>
      <w:r>
        <w:rPr>
          <w:rFonts w:eastAsia="Arial Unicode MS" w:cs="Arial Unicode MS"/>
          <w:b/>
          <w:bCs/>
          <w:u w:val="single"/>
          <w:rtl/>
        </w:rPr>
        <w:t xml:space="preserve"> – </w:t>
      </w:r>
      <w:r>
        <w:rPr>
          <w:rFonts w:eastAsia="Arial Unicode MS" w:cs="Arial Unicode MS" w:hint="eastAsia"/>
          <w:b/>
          <w:bCs/>
          <w:u w:val="single"/>
          <w:rtl/>
        </w:rPr>
        <w:t>דיון</w:t>
      </w:r>
      <w:r>
        <w:rPr>
          <w:rFonts w:eastAsia="Arial Unicode MS" w:cs="Arial Unicode MS"/>
          <w:b/>
          <w:bCs/>
          <w:u w:val="single"/>
          <w:rtl/>
        </w:rPr>
        <w:t xml:space="preserve"> </w:t>
      </w:r>
      <w:r>
        <w:rPr>
          <w:rFonts w:eastAsia="Arial Unicode MS" w:cs="Arial Unicode MS" w:hint="eastAsia"/>
          <w:b/>
          <w:bCs/>
          <w:u w:val="single"/>
          <w:rtl/>
        </w:rPr>
        <w:t>והצבעה</w:t>
      </w:r>
    </w:p>
    <w:p w:rsidR="00000000" w:rsidRDefault="003B7283">
      <w:pPr>
        <w:pStyle w:val="21"/>
        <w:ind w:left="0"/>
        <w:rPr>
          <w:rFonts w:cs="David"/>
          <w:rtl/>
        </w:rPr>
      </w:pPr>
      <w:r>
        <w:rPr>
          <w:rFonts w:cs="David"/>
          <w:rtl/>
        </w:rPr>
        <w:t xml:space="preserve">          ח"כים: אהוד רצאבי, רוני בריזון, חמי דורון, רשף חן, יגאל יאסינוב, אתי לבני, אילן ליבוביץ</w:t>
      </w:r>
    </w:p>
    <w:p w:rsidR="00000000" w:rsidRDefault="003B7283">
      <w:pPr>
        <w:autoSpaceDE w:val="0"/>
        <w:autoSpaceDN w:val="0"/>
        <w:jc w:val="both"/>
        <w:rPr>
          <w:rFonts w:cs="David"/>
          <w:rtl/>
        </w:rPr>
      </w:pPr>
      <w:r>
        <w:rPr>
          <w:rFonts w:cs="David"/>
          <w:rtl/>
        </w:rPr>
        <w:t xml:space="preserve">                 </w:t>
      </w:r>
    </w:p>
    <w:p w:rsidR="00000000" w:rsidRDefault="003B7283">
      <w:pPr>
        <w:autoSpaceDE w:val="0"/>
        <w:autoSpaceDN w:val="0"/>
        <w:jc w:val="center"/>
        <w:rPr>
          <w:rFonts w:cs="David"/>
          <w:rtl/>
        </w:rPr>
      </w:pPr>
    </w:p>
    <w:p w:rsidR="00000000" w:rsidRDefault="003B7283">
      <w:pPr>
        <w:autoSpaceDE w:val="0"/>
        <w:autoSpaceDN w:val="0"/>
        <w:jc w:val="center"/>
        <w:rPr>
          <w:rFonts w:cs="David"/>
          <w:rtl/>
        </w:rPr>
      </w:pP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autoSpaceDE w:val="0"/>
        <w:autoSpaceDN w:val="0"/>
        <w:jc w:val="both"/>
        <w:rPr>
          <w:rFonts w:cs="David"/>
          <w:rtl/>
        </w:rPr>
      </w:pPr>
      <w:r>
        <w:rPr>
          <w:rFonts w:cs="David"/>
          <w:rtl/>
        </w:rPr>
        <w:tab/>
        <w:t>גבירותיי ורבותיי, אנחנו עכשיו נמצאים בשלב שמבחינתי טכני, כרגע, בקטע הנוכחי של הפגישה. זו ישיבת ועדת חוקה במליאתה. לא ועדת המשנה. אני פותח את ישיבת ועדת החוקה מספר 284. המטרה הפרוצדורלית של מה שאנחנו עושים עכשיו זה לשלב את החקיקה הפרטית לתוך התהליך של הח</w:t>
      </w:r>
      <w:r>
        <w:rPr>
          <w:rFonts w:cs="David"/>
          <w:rtl/>
        </w:rPr>
        <w:t>קיקה הממשלתית, בעצם להביא אותן למצב של סינכרון מבחינת איפה שהן נמצאות, קרי, אחרי קריאה ראשונה.</w:t>
      </w:r>
    </w:p>
    <w:p w:rsidR="00000000" w:rsidRDefault="003B7283">
      <w:pPr>
        <w:autoSpaceDE w:val="0"/>
        <w:autoSpaceDN w:val="0"/>
        <w:jc w:val="both"/>
        <w:rPr>
          <w:rFonts w:cs="David"/>
          <w:rtl/>
        </w:rPr>
      </w:pPr>
    </w:p>
    <w:p w:rsidR="00000000" w:rsidRDefault="003B7283">
      <w:pPr>
        <w:autoSpaceDE w:val="0"/>
        <w:autoSpaceDN w:val="0"/>
        <w:jc w:val="both"/>
        <w:rPr>
          <w:rFonts w:cs="David"/>
          <w:rtl/>
        </w:rPr>
      </w:pPr>
      <w:r>
        <w:rPr>
          <w:rFonts w:cs="David"/>
          <w:rtl/>
        </w:rPr>
        <w:tab/>
        <w:t>אנחנו נמצאים אחרי דיון מקיף יחסית שקיימנו בוועדת המשנה בהצעות החוק. שינויים דרמטיים מאוד שהצעות החוק הפרטיות עברו תוך כדי מעורבות של משרד המשפטים. מה שאנחנו נע</w:t>
      </w:r>
      <w:r>
        <w:rPr>
          <w:rFonts w:cs="David"/>
          <w:rtl/>
        </w:rPr>
        <w:t>שה עכשיו, זה אנחנו נקריא את הסעיפים. אני לא מתכוון לפתוח כאן עכשיו דיון דה נובו שבעצם התקיים בישיבת ועדת המשנה, למעט הערות יחסית טכניות שיהיו למי שירצה להעיר לנוסח. אבל זה עדיין רחוק מאוד מלהיות סוף העניין. אני מבין שזה בסך הכל הכנה לקריאה ראשונה. עדיין קי</w:t>
      </w:r>
      <w:r>
        <w:rPr>
          <w:rFonts w:cs="David"/>
          <w:rtl/>
        </w:rPr>
        <w:t>ים התהליך שיתקיים גם בוועדת המשנה, גם בוועדת החוקה במליאתה בהכנה לקריאה שנייה ושלישית. אני מבהיר את זה כדי להבהיר למה אני לא רוצה עכשיו להקדיש יותר מדי זמן ליותר מדי דיונים.</w:t>
      </w:r>
    </w:p>
    <w:p w:rsidR="00000000" w:rsidRDefault="003B7283">
      <w:pPr>
        <w:autoSpaceDE w:val="0"/>
        <w:autoSpaceDN w:val="0"/>
        <w:jc w:val="both"/>
        <w:rPr>
          <w:rFonts w:cs="David"/>
          <w:rtl/>
        </w:rPr>
      </w:pPr>
    </w:p>
    <w:p w:rsidR="00000000" w:rsidRDefault="003B7283">
      <w:pPr>
        <w:autoSpaceDE w:val="0"/>
        <w:autoSpaceDN w:val="0"/>
        <w:jc w:val="both"/>
        <w:rPr>
          <w:rFonts w:cs="David"/>
          <w:rtl/>
        </w:rPr>
      </w:pPr>
      <w:r>
        <w:rPr>
          <w:rFonts w:cs="David"/>
          <w:rtl/>
        </w:rPr>
        <w:tab/>
        <w:t>תמי, אם תוכלי פשוט להקריא את הסעיפים.</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תמי סלע:</w:t>
      </w:r>
    </w:p>
    <w:p w:rsidR="00000000" w:rsidRDefault="003B7283">
      <w:pPr>
        <w:autoSpaceDE w:val="0"/>
        <w:autoSpaceDN w:val="0"/>
        <w:jc w:val="both"/>
        <w:rPr>
          <w:rFonts w:cs="David"/>
          <w:u w:val="single"/>
          <w:rtl/>
        </w:rPr>
      </w:pPr>
    </w:p>
    <w:p w:rsidR="00000000" w:rsidRDefault="003B7283">
      <w:pPr>
        <w:autoSpaceDE w:val="0"/>
        <w:autoSpaceDN w:val="0"/>
        <w:jc w:val="both"/>
        <w:rPr>
          <w:rFonts w:cs="David"/>
          <w:rtl/>
        </w:rPr>
      </w:pPr>
      <w:r>
        <w:rPr>
          <w:rFonts w:cs="David"/>
          <w:rtl/>
        </w:rPr>
        <w:tab/>
        <w:t>הצעת חוק החברות (כשירות דירקטו</w:t>
      </w:r>
      <w:r>
        <w:rPr>
          <w:rFonts w:cs="David"/>
          <w:rtl/>
        </w:rPr>
        <w:t>רים חיצוניים), התשס"ד – 2004.</w:t>
      </w:r>
    </w:p>
    <w:p w:rsidR="00000000" w:rsidRDefault="003B7283">
      <w:pPr>
        <w:autoSpaceDE w:val="0"/>
        <w:autoSpaceDN w:val="0"/>
        <w:jc w:val="both"/>
        <w:rPr>
          <w:rFonts w:cs="David"/>
          <w:rtl/>
        </w:rPr>
      </w:pPr>
    </w:p>
    <w:p w:rsidR="00000000" w:rsidRDefault="003B7283">
      <w:pPr>
        <w:autoSpaceDE w:val="0"/>
        <w:autoSpaceDN w:val="0"/>
        <w:jc w:val="both"/>
        <w:rPr>
          <w:rFonts w:cs="David"/>
          <w:rtl/>
        </w:rPr>
      </w:pPr>
      <w:r>
        <w:rPr>
          <w:rFonts w:cs="David"/>
          <w:rtl/>
        </w:rPr>
        <w:t>תיקון סעיף 92. בחוק החברות, בסעיף קטן (א) אחרי פסקה (11) יבוא:</w:t>
      </w:r>
    </w:p>
    <w:p w:rsidR="00000000" w:rsidRDefault="003B7283">
      <w:pPr>
        <w:autoSpaceDE w:val="0"/>
        <w:autoSpaceDN w:val="0"/>
        <w:jc w:val="both"/>
        <w:rPr>
          <w:rFonts w:cs="David"/>
          <w:rtl/>
        </w:rPr>
      </w:pPr>
      <w:r>
        <w:rPr>
          <w:rFonts w:cs="David"/>
          <w:rtl/>
        </w:rPr>
        <w:t>"(12) יקבע את המספר המזערי הנדרש של דירקטורים בדירקטוריון שעליהם להיות בעלי מיומנות חשבונאית ופיננסית; הדירקטוריון יקבע את המספר המזערי כאמור, בהתחשב, בין היתר, ב</w:t>
      </w:r>
      <w:r>
        <w:rPr>
          <w:rFonts w:cs="David"/>
          <w:rtl/>
        </w:rPr>
        <w:t>סוג החברה, גודלה, היקף פעילות החברה ומורכבות פעילותה".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autoSpaceDE w:val="0"/>
        <w:autoSpaceDN w:val="0"/>
        <w:jc w:val="both"/>
        <w:rPr>
          <w:rFonts w:cs="David"/>
          <w:rtl/>
        </w:rPr>
      </w:pPr>
      <w:r>
        <w:rPr>
          <w:rFonts w:cs="David"/>
          <w:rtl/>
        </w:rPr>
        <w:tab/>
        <w:t>בסדר גמור. את רוצה להסביר מאוד בקצרה?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תמי סלע:</w:t>
      </w:r>
    </w:p>
    <w:p w:rsidR="00000000" w:rsidRDefault="003B7283">
      <w:pPr>
        <w:autoSpaceDE w:val="0"/>
        <w:autoSpaceDN w:val="0"/>
        <w:jc w:val="both"/>
        <w:rPr>
          <w:rFonts w:cs="David"/>
          <w:u w:val="single"/>
          <w:rtl/>
        </w:rPr>
      </w:pPr>
    </w:p>
    <w:p w:rsidR="00000000" w:rsidRDefault="003B7283">
      <w:pPr>
        <w:autoSpaceDE w:val="0"/>
        <w:autoSpaceDN w:val="0"/>
        <w:jc w:val="both"/>
        <w:rPr>
          <w:rFonts w:cs="David"/>
          <w:rtl/>
        </w:rPr>
      </w:pPr>
      <w:r>
        <w:rPr>
          <w:rFonts w:cs="David"/>
          <w:rtl/>
        </w:rPr>
        <w:tab/>
        <w:t xml:space="preserve">דיברנו על כך שהעובדה שאנחנו קובעים שיידרש להיות לפחות דירקטור חיצוני אחד עם מיומנות חשבונאית ופיננסית זה לא אומר שאין חברות שבהן נדרש </w:t>
      </w:r>
      <w:r>
        <w:rPr>
          <w:rFonts w:cs="David"/>
          <w:rtl/>
        </w:rPr>
        <w:t>שיהיה יותר מדירקטור אחד, לאו דווקא חיצוני, יותר מדירקטור אחד בדירקטוריון שיש לו את המיומנות הזו. ורצינו לחייב את הדירקטוריון לדון בשאלה הזו, כדי שאם אכן החברה, לאור הפעילות שלה, לאור ההיקף שלה וכל הנתונים שכתבנו בשיקולים, נדרש שיהיה בה יותר מדירקטור אחד כז</w:t>
      </w:r>
      <w:r>
        <w:rPr>
          <w:rFonts w:cs="David"/>
          <w:rtl/>
        </w:rPr>
        <w:t>ה, אז הוא ידון ויצטרך לקבוע.</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br w:type="page"/>
      </w:r>
      <w:r>
        <w:rPr>
          <w:rFonts w:cs="David"/>
          <w:u w:val="single"/>
          <w:rtl/>
        </w:rPr>
        <w:lastRenderedPageBreak/>
        <w:t>היו"ר רשף חן:</w:t>
      </w:r>
    </w:p>
    <w:p w:rsidR="00000000" w:rsidRDefault="003B7283">
      <w:pPr>
        <w:autoSpaceDE w:val="0"/>
        <w:autoSpaceDN w:val="0"/>
        <w:jc w:val="both"/>
        <w:rPr>
          <w:rFonts w:cs="David"/>
          <w:u w:val="single"/>
          <w:rtl/>
        </w:rPr>
      </w:pPr>
    </w:p>
    <w:p w:rsidR="00000000" w:rsidRDefault="003B7283">
      <w:pPr>
        <w:rPr>
          <w:rFonts w:cs="David"/>
          <w:rtl/>
        </w:rPr>
      </w:pPr>
      <w:r>
        <w:rPr>
          <w:rFonts w:cs="David"/>
          <w:rtl/>
        </w:rPr>
        <w:tab/>
        <w:t>כלומר, בעצם זוהי תוספת לסעיף 240(א) שאנחנו תכף נגיע אליו. מחייב דיון ומאפשר להגדיל את מספר הדירקטורים בעלי המיומנות הפיננסית.</w:t>
      </w:r>
    </w:p>
    <w:p w:rsidR="00000000" w:rsidRDefault="003B7283">
      <w:pPr>
        <w:rPr>
          <w:rFonts w:cs="David"/>
          <w:rtl/>
        </w:rPr>
      </w:pPr>
    </w:p>
    <w:p w:rsidR="00000000" w:rsidRDefault="003B7283">
      <w:pPr>
        <w:rPr>
          <w:rFonts w:cs="David"/>
          <w:rtl/>
        </w:rPr>
      </w:pPr>
      <w:r>
        <w:rPr>
          <w:rFonts w:cs="David"/>
          <w:rtl/>
        </w:rPr>
        <w:tab/>
        <w:t>יש למישהו איזה שהן הערות לעניין הזה?</w:t>
      </w:r>
    </w:p>
    <w:p w:rsidR="00000000" w:rsidRDefault="003B7283">
      <w:pPr>
        <w:rPr>
          <w:rFonts w:cs="David"/>
          <w:rtl/>
        </w:rPr>
      </w:pPr>
    </w:p>
    <w:p w:rsidR="00000000" w:rsidRDefault="003B7283">
      <w:pPr>
        <w:rPr>
          <w:rFonts w:cs="David"/>
          <w:u w:val="single"/>
          <w:rtl/>
        </w:rPr>
      </w:pPr>
      <w:r>
        <w:rPr>
          <w:rFonts w:cs="David"/>
          <w:u w:val="single"/>
          <w:rtl/>
        </w:rPr>
        <w:t>נתי שילה:</w:t>
      </w:r>
    </w:p>
    <w:p w:rsidR="00000000" w:rsidRDefault="003B7283">
      <w:pPr>
        <w:rPr>
          <w:rFonts w:cs="David"/>
          <w:u w:val="single"/>
          <w:rtl/>
        </w:rPr>
      </w:pPr>
    </w:p>
    <w:p w:rsidR="00000000" w:rsidRDefault="003B7283">
      <w:pPr>
        <w:rPr>
          <w:rFonts w:cs="David"/>
          <w:rtl/>
        </w:rPr>
      </w:pPr>
      <w:r>
        <w:rPr>
          <w:rFonts w:cs="David"/>
          <w:rtl/>
        </w:rPr>
        <w:tab/>
        <w:t xml:space="preserve">אני מניח שהכוונה היא שברגע שזה </w:t>
      </w:r>
      <w:r>
        <w:rPr>
          <w:rFonts w:cs="David"/>
          <w:rtl/>
        </w:rPr>
        <w:t>ייכנס לתוקף זה יבוא במקום ההנחיות של הרשות היום בנושא הזה?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rPr>
          <w:rFonts w:cs="David"/>
          <w:rtl/>
        </w:rPr>
      </w:pPr>
      <w:r>
        <w:rPr>
          <w:rFonts w:cs="David"/>
          <w:rtl/>
        </w:rPr>
        <w:tab/>
        <w:t xml:space="preserve">אם זה סותר אז כן. </w:t>
      </w:r>
    </w:p>
    <w:p w:rsidR="00000000" w:rsidRDefault="003B7283">
      <w:pPr>
        <w:rPr>
          <w:rFonts w:cs="David"/>
          <w:u w:val="single"/>
          <w:rtl/>
        </w:rPr>
      </w:pPr>
    </w:p>
    <w:p w:rsidR="00000000" w:rsidRDefault="003B7283">
      <w:pPr>
        <w:rPr>
          <w:rFonts w:cs="David"/>
          <w:u w:val="single"/>
          <w:rtl/>
        </w:rPr>
      </w:pPr>
      <w:r>
        <w:rPr>
          <w:rFonts w:cs="David"/>
          <w:u w:val="single"/>
          <w:rtl/>
        </w:rPr>
        <w:t>נתי שילה:</w:t>
      </w:r>
    </w:p>
    <w:p w:rsidR="00000000" w:rsidRDefault="003B7283">
      <w:pPr>
        <w:rPr>
          <w:rFonts w:cs="David"/>
          <w:u w:val="single"/>
          <w:rtl/>
        </w:rPr>
      </w:pPr>
    </w:p>
    <w:p w:rsidR="00000000" w:rsidRDefault="003B7283">
      <w:pPr>
        <w:rPr>
          <w:rFonts w:cs="David"/>
          <w:rtl/>
        </w:rPr>
      </w:pPr>
      <w:r>
        <w:rPr>
          <w:rFonts w:cs="David"/>
          <w:rtl/>
        </w:rPr>
        <w:tab/>
        <w:t>כי יש שם הגדרה של בעל מיומנות.</w:t>
      </w:r>
    </w:p>
    <w:p w:rsidR="00000000" w:rsidRDefault="003B7283">
      <w:pPr>
        <w:rPr>
          <w:rtl/>
        </w:rPr>
      </w:pPr>
    </w:p>
    <w:p w:rsidR="00000000" w:rsidRDefault="003B7283">
      <w:pPr>
        <w:rPr>
          <w:rFonts w:cs="David"/>
          <w:u w:val="single"/>
          <w:rtl/>
        </w:rPr>
      </w:pPr>
      <w:r>
        <w:rPr>
          <w:rFonts w:cs="David"/>
          <w:u w:val="single"/>
          <w:rtl/>
        </w:rPr>
        <w:t>תמי סלע:</w:t>
      </w:r>
    </w:p>
    <w:p w:rsidR="00000000" w:rsidRDefault="003B7283">
      <w:pPr>
        <w:rPr>
          <w:rFonts w:cs="David"/>
          <w:u w:val="single"/>
          <w:rtl/>
        </w:rPr>
      </w:pPr>
    </w:p>
    <w:p w:rsidR="00000000" w:rsidRDefault="003B7283">
      <w:pPr>
        <w:pStyle w:val="a3"/>
        <w:tabs>
          <w:tab w:val="clear" w:pos="4320"/>
          <w:tab w:val="clear" w:pos="8640"/>
        </w:tabs>
        <w:rPr>
          <w:rFonts w:cs="David"/>
          <w:rtl/>
        </w:rPr>
      </w:pPr>
      <w:r>
        <w:rPr>
          <w:rFonts w:cs="David"/>
          <w:rtl/>
        </w:rPr>
        <w:tab/>
        <w:t>אחר כך, כשנגיע לדרישה של המיומנות, אז יש שם הוראה ששר המשפטים יקבע בתקנות מה בעצם המשמעות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r>
        <w:rPr>
          <w:rFonts w:cs="David"/>
          <w:u w:val="single"/>
          <w:rtl/>
        </w:rPr>
        <w:t>:</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עוד לא הגענו לזה. אני לא רוצה להיכנס עכשיו לשאלות יותר מדי פילוסופיות. אבל אם יש חוק שסותר הנחיות, החוק גובר. זה ברור.</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גילה פינקלשטיין:</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 xml:space="preserve">בחברות שזה לא נעשה כבר אז לא יכניסו חידוש. נגיד, חברה שיש שם דירקטורים שאין להם את המיומנויות האלה. </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r>
      <w:r>
        <w:rPr>
          <w:rFonts w:cs="David"/>
          <w:rtl/>
        </w:rPr>
        <w:t>יש כאן הוראת מעבר.</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גד סואן:</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אז ההוראות האלה למעשה תתבטלנה.</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אתה מדבר על החובת גילוי?</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גד סואן:</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 xml:space="preserve">דירקטורים בעלי מיומנות פיננסית. </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זה לא סותר.</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גד סואן:</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לא, יש שם הגדרה מהו, מיהו הדירקטור.</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אולי הערות מהסוג הזה תע</w:t>
      </w:r>
      <w:r>
        <w:rPr>
          <w:rFonts w:cs="David"/>
          <w:rtl/>
        </w:rPr>
        <w:t xml:space="preserve">ירו, אם עדיין תרצו להעיר אותן, לאחר שנקרא את כל החוק כי יש לרוב הדברים תשובות בהמשך.   סעיף 2.  </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תיקון סעיף 239. בסעיף 239(א) אחרי "יכהנו" יבוא "לפחות".</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כלומר, מה זה בא לעשות?</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זה פשוט אומר שיכהנו לפחות כמה דירקטורים</w:t>
      </w:r>
      <w:r>
        <w:rPr>
          <w:rFonts w:cs="David"/>
          <w:rtl/>
        </w:rPr>
        <w:t xml:space="preserve"> חיצוניים בעלי מיומנויות.</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מרים אילני:</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jc w:val="both"/>
        <w:rPr>
          <w:rFonts w:cs="David"/>
          <w:rtl/>
        </w:rPr>
      </w:pPr>
      <w:r>
        <w:rPr>
          <w:rFonts w:cs="David"/>
          <w:rtl/>
        </w:rPr>
        <w:tab/>
        <w:t>היום כתוב שיכהנו שני דירקטורים, ונשאלה השאלה האם מותר גם שיהיו שלושה דירקטורים. וזה ברור שכן. זו הבהרה.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סעיף 3.</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תמי סלע:</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 xml:space="preserve">סעיף 3. זה הסעיף שעוסק במינוי הדירקטורים בחברה.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ind w:left="720"/>
        <w:jc w:val="both"/>
        <w:rPr>
          <w:rFonts w:cs="David"/>
          <w:rtl/>
        </w:rPr>
      </w:pPr>
      <w:r>
        <w:rPr>
          <w:rFonts w:cs="David"/>
          <w:rtl/>
        </w:rPr>
        <w:t>סעיף 240(א) לחוק העיקרי,</w:t>
      </w:r>
      <w:r>
        <w:rPr>
          <w:rFonts w:cs="David"/>
          <w:rtl/>
        </w:rPr>
        <w:t xml:space="preserve"> בסופו יבוא "בכפוף לתנאי הכשירות המקצועית כאמור בסעיפ 240א"</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סעיף 4.</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אחרי סעיף 240 לחוק העיקרי יבוא: סעיף חדש:</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rtl/>
        </w:rPr>
      </w:pPr>
      <w:r>
        <w:rPr>
          <w:rFonts w:cs="David"/>
          <w:rtl/>
        </w:rPr>
        <w:tab/>
        <w:t xml:space="preserve">"כשירות מקצועית של דירקטורים חיצוניים" </w:t>
      </w:r>
    </w:p>
    <w:p w:rsidR="00000000" w:rsidRDefault="003B7283">
      <w:pPr>
        <w:pStyle w:val="a3"/>
        <w:tabs>
          <w:tab w:val="clear" w:pos="4320"/>
          <w:tab w:val="clear" w:pos="8640"/>
        </w:tabs>
        <w:rPr>
          <w:rFonts w:cs="David"/>
          <w:rtl/>
        </w:rPr>
      </w:pPr>
      <w:r>
        <w:rPr>
          <w:rFonts w:cs="David"/>
          <w:rtl/>
        </w:rPr>
        <w:tab/>
        <w:t>240א.  (א) מינוי דירקטורים חיצוניים ייעשה בהתאם להוראות אלה:</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ind w:left="2880" w:hanging="1275"/>
        <w:rPr>
          <w:rFonts w:cs="David"/>
          <w:rtl/>
        </w:rPr>
      </w:pPr>
      <w:r>
        <w:rPr>
          <w:rFonts w:cs="David"/>
          <w:rtl/>
        </w:rPr>
        <w:softHyphen/>
      </w:r>
      <w:r>
        <w:rPr>
          <w:rFonts w:cs="David"/>
          <w:rtl/>
        </w:rPr>
        <w:t xml:space="preserve">     (1)       </w:t>
      </w:r>
      <w:r>
        <w:rPr>
          <w:rFonts w:cs="David"/>
          <w:rtl/>
        </w:rPr>
        <w:tab/>
        <w:t>לפחות אחד מהדירקטורים החיצוניים יהיה בעל מיומנות חשבונאית ופיננסית; קבע הדירקטוריון לפי הוראת סעיף 92(א)(12) כי נדרש יותר מדירקטור אחד בעל מיומנות חשבונאית ופיננסית, ימונו דירקטורים בעלי מיומנות כאמור, במספר אותו קבע הדירקטוריון;</w:t>
      </w:r>
    </w:p>
    <w:p w:rsidR="00000000" w:rsidRDefault="003B7283">
      <w:pPr>
        <w:pStyle w:val="a3"/>
        <w:tabs>
          <w:tab w:val="clear" w:pos="4320"/>
          <w:tab w:val="clear" w:pos="8640"/>
        </w:tabs>
        <w:rPr>
          <w:rFonts w:cs="David"/>
          <w:rtl/>
        </w:rPr>
      </w:pPr>
      <w:r>
        <w:rPr>
          <w:rFonts w:cs="David"/>
          <w:rtl/>
        </w:rPr>
        <w:t xml:space="preserve"> </w:t>
      </w:r>
    </w:p>
    <w:p w:rsidR="00000000" w:rsidRDefault="003B7283">
      <w:pPr>
        <w:pStyle w:val="a3"/>
        <w:tabs>
          <w:tab w:val="clear" w:pos="4320"/>
          <w:tab w:val="clear" w:pos="8640"/>
        </w:tabs>
        <w:ind w:left="1440"/>
        <w:rPr>
          <w:rFonts w:cs="David"/>
          <w:rtl/>
        </w:rPr>
      </w:pPr>
      <w:r>
        <w:rPr>
          <w:rFonts w:cs="David"/>
          <w:rtl/>
        </w:rPr>
        <w:t xml:space="preserve">       (</w:t>
      </w:r>
      <w:r>
        <w:rPr>
          <w:rFonts w:cs="David"/>
          <w:rtl/>
        </w:rPr>
        <w:t xml:space="preserve">2)              </w:t>
      </w:r>
      <w:r>
        <w:rPr>
          <w:rFonts w:cs="David"/>
          <w:rtl/>
        </w:rPr>
        <w:tab/>
        <w:t xml:space="preserve">דירקטור חיצוני שאינו בעל מיומנות חשבונאית ופיננסית, יהיה </w:t>
      </w:r>
    </w:p>
    <w:p w:rsidR="00000000" w:rsidRDefault="003B7283">
      <w:pPr>
        <w:pStyle w:val="a3"/>
        <w:tabs>
          <w:tab w:val="clear" w:pos="4320"/>
          <w:tab w:val="clear" w:pos="8640"/>
        </w:tabs>
        <w:ind w:left="2160"/>
        <w:rPr>
          <w:rFonts w:cs="David"/>
          <w:rtl/>
        </w:rPr>
      </w:pPr>
      <w:r>
        <w:rPr>
          <w:rFonts w:cs="David"/>
          <w:rtl/>
        </w:rPr>
        <w:t xml:space="preserve">              בעל כשירות מקצועית בסיסית.</w:t>
      </w:r>
    </w:p>
    <w:p w:rsidR="00000000" w:rsidRDefault="003B7283">
      <w:pPr>
        <w:pStyle w:val="a3"/>
        <w:tabs>
          <w:tab w:val="clear" w:pos="4320"/>
          <w:tab w:val="clear" w:pos="8640"/>
        </w:tabs>
        <w:rPr>
          <w:rFonts w:cs="David"/>
          <w:rtl/>
        </w:rPr>
      </w:pPr>
    </w:p>
    <w:p w:rsidR="00000000" w:rsidRDefault="003B7283">
      <w:pPr>
        <w:pStyle w:val="a3"/>
        <w:numPr>
          <w:ilvl w:val="0"/>
          <w:numId w:val="3"/>
        </w:numPr>
        <w:tabs>
          <w:tab w:val="clear" w:pos="4320"/>
          <w:tab w:val="clear" w:pos="8640"/>
        </w:tabs>
        <w:rPr>
          <w:rFonts w:cs="David"/>
          <w:rtl/>
        </w:rPr>
      </w:pPr>
      <w:r>
        <w:rPr>
          <w:rFonts w:cs="David"/>
          <w:rtl/>
        </w:rPr>
        <w:t xml:space="preserve">השר יקבע, לאחר התייעצות עם רשות ניירות ערך, תנאים אשר </w:t>
      </w:r>
    </w:p>
    <w:p w:rsidR="00000000" w:rsidRDefault="003B7283">
      <w:pPr>
        <w:pStyle w:val="a3"/>
        <w:tabs>
          <w:tab w:val="clear" w:pos="4320"/>
          <w:tab w:val="clear" w:pos="8640"/>
        </w:tabs>
        <w:ind w:left="2880"/>
        <w:rPr>
          <w:rFonts w:cs="David"/>
          <w:rtl/>
        </w:rPr>
      </w:pPr>
      <w:r>
        <w:rPr>
          <w:rFonts w:cs="David"/>
          <w:rtl/>
        </w:rPr>
        <w:t>בהתקיימם יראו דירקטור כבעל מיומנות חשבונאית פיננסית</w:t>
      </w:r>
    </w:p>
    <w:p w:rsidR="00000000" w:rsidRDefault="003B7283">
      <w:pPr>
        <w:pStyle w:val="a3"/>
        <w:tabs>
          <w:tab w:val="clear" w:pos="4320"/>
          <w:tab w:val="clear" w:pos="8640"/>
        </w:tabs>
        <w:ind w:left="2880"/>
        <w:rPr>
          <w:rFonts w:cs="David"/>
          <w:rtl/>
        </w:rPr>
      </w:pPr>
      <w:r>
        <w:rPr>
          <w:rFonts w:cs="David"/>
          <w:rtl/>
        </w:rPr>
        <w:t>ותנאים שבהתקיימם יראו דירקטו</w:t>
      </w:r>
      <w:r>
        <w:rPr>
          <w:rFonts w:cs="David"/>
          <w:rtl/>
        </w:rPr>
        <w:t>ר כבעל כשירות מקצועית</w:t>
      </w:r>
    </w:p>
    <w:p w:rsidR="00000000" w:rsidRDefault="003B7283">
      <w:pPr>
        <w:pStyle w:val="a3"/>
        <w:tabs>
          <w:tab w:val="clear" w:pos="4320"/>
          <w:tab w:val="clear" w:pos="8640"/>
        </w:tabs>
        <w:ind w:left="2880"/>
        <w:rPr>
          <w:rFonts w:cs="David"/>
          <w:rtl/>
        </w:rPr>
      </w:pPr>
      <w:r>
        <w:rPr>
          <w:rFonts w:cs="David"/>
          <w:rtl/>
        </w:rPr>
        <w:t>בסיסית.</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מרים אילני:</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יש לנו עוד ויכוח קל מהי כשירות מקצועית בסיסית. האם זה כלכלי או לא כלכלי. הנוסח מוצע לתקנות.</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זו בדיוק הנקודה. אנחנו כרגע מעבירים את זה לקריאה ראשונה. ההכנה לקריאה שנייה ושלישית תלך ביחד עם התקנו</w:t>
      </w:r>
      <w:r>
        <w:rPr>
          <w:rFonts w:cs="David"/>
          <w:rtl/>
        </w:rPr>
        <w:t xml:space="preserve">ת הרלבנטיות שבעצם באים להשלים את סעיף (ב), ושם יהיה המקום לכל הדיונים לדוגמת המכתב הזה שקיבלנו כאן מלשכת שמאי מקרקעין בישראל, והם עוסקים בשאלה האם בחברות מסוג מסוים שמאים ייחשבו בעלי מיומנות בסיסית, נחצה את הגשר הזה בשלב התקנות ולא עכשיו.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תמי סלע:</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ביקש</w:t>
      </w:r>
      <w:r>
        <w:rPr>
          <w:rFonts w:cs="David"/>
          <w:rtl/>
        </w:rPr>
        <w:t>נו רק לעניין הכשירויות הקיימות היום, קיבלנו מהרשות לניירות ערך את הטבלה שאפשר לראות בה מה הכשירויות שקיימות אצל דירקטור, שכולם לפחות תואר ראשון בכל מיני תחומים.</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קריאה:</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 xml:space="preserve">לאו דווקא כלכליים.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גד סואן:</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רק הערה קטנה. אני חושב שהרעיון של הכשירות הבסיסית ה</w:t>
      </w:r>
      <w:r>
        <w:rPr>
          <w:rFonts w:cs="David"/>
          <w:rtl/>
        </w:rPr>
        <w:t>וא רעיון נכון. אנחנו העלינו את זה בפני וועדת החוקה טרם חקקו את החוק הראשי, הראשון, לפני שנת 2000, ואז משרד המשפטים התנגד לזה בתוקף.</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br w:type="page"/>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לא ניכנס להיסטוריה.</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גד סואן:</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לא, אני אומר, אז אני שמח שמשרד המשפטים שינה את דעתו.</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רבות</w:t>
      </w:r>
      <w:r>
        <w:rPr>
          <w:rFonts w:cs="David"/>
          <w:rtl/>
        </w:rPr>
        <w:t>יי, אני רוצה שנייה אחת הערה לסדר. במאמץ רב מאוד אנחנו מצליחים לפנות זמן כדי לקיים את הישיבות האלה בזמן הפגרה ובכלל. אני רוצה שכולנו נעבור ל</w:t>
      </w:r>
      <w:r>
        <w:rPr>
          <w:rFonts w:cs="David"/>
        </w:rPr>
        <w:t>MODE</w:t>
      </w:r>
      <w:r>
        <w:rPr>
          <w:rFonts w:cs="David"/>
          <w:rtl/>
        </w:rPr>
        <w:t xml:space="preserve"> של ניצול זמן מירבי. אני בכל אופן מתכוון לעשות את זה.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rtl/>
        </w:rPr>
        <w:tab/>
        <w:t>רצית להעיר הערה שנראית לך מאוד חשובה?</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יוסי רייטן:</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לפי</w:t>
      </w:r>
      <w:r>
        <w:rPr>
          <w:rFonts w:cs="David"/>
          <w:rtl/>
        </w:rPr>
        <w:t xml:space="preserve"> דעתי, נכון ששר המשפטים בתקנות ייקבע מה זה כשירות, אבל אני הייתי מציע אולי רק תיקון טכני קטן, בסעיף קטן 2 – דירקטור חיצוני שאינו בעל מיומנות חשבונאית פיננסית יהיה בעל כשירות מקצועית הרלבנטית לפעילות החברה, במקום בסיסית. על מנת --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זה יהיה</w:t>
      </w:r>
      <w:r>
        <w:rPr>
          <w:rFonts w:cs="David"/>
          <w:rtl/>
        </w:rPr>
        <w:t xml:space="preserve"> בשלב התקנות. אבל מרים, כן שאלה אחת:  על פי הנוסח הנוכחי זה בכלל צריך ללכת לוועדת חוקה אפילו לאישור התקנות.</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מרים אילני:</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חייב. כל התקנות לפי החוק.</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 xml:space="preserve">סעיף 5.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תמי סלע:</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 xml:space="preserve">אחרי סעיף 249 לחוק העיקרי יבוא: גם כן סעיף חדש -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rtl/>
        </w:rPr>
        <w:tab/>
        <w:t>"חובת זהירות של ד</w:t>
      </w:r>
      <w:r>
        <w:rPr>
          <w:rFonts w:cs="David"/>
          <w:rtl/>
        </w:rPr>
        <w:t>ירקטור חיצוני בעל מיומנות חשבונאית ופיננסית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rtl/>
        </w:rPr>
        <w:tab/>
        <w:t xml:space="preserve">עכשיו שאני חושבת על זה, זה לאו דווקא חיצוני. כל דירקטור שהוא מוגדר כבעל מיומנות חשבונאית ופיננסית. כי הרי יכול להיות שגם דירקטור שהוא לא דירקטור חיצוני יוגדר כבעל - -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נכון. המילה חיצוני מיות</w:t>
      </w:r>
      <w:r>
        <w:rPr>
          <w:rFonts w:cs="David"/>
          <w:rtl/>
        </w:rPr>
        <w:t>רת.</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u w:val="single"/>
          <w:rtl/>
        </w:rPr>
        <w:br w:type="page"/>
        <w:t>תמי סלע</w:t>
      </w:r>
      <w:r>
        <w:rPr>
          <w:rFonts w:cs="David"/>
          <w:rtl/>
        </w:rPr>
        <w:t>:</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ind w:left="720" w:firstLine="300"/>
        <w:jc w:val="both"/>
        <w:rPr>
          <w:rFonts w:cs="David"/>
          <w:rtl/>
        </w:rPr>
      </w:pPr>
      <w:r>
        <w:rPr>
          <w:rFonts w:cs="David"/>
          <w:rtl/>
        </w:rPr>
        <w:t xml:space="preserve">249א.  מינויו של דירקטור כבעל מיומנות חשבונאית ופיננסית בהתאם להוראת סעיף </w:t>
      </w:r>
      <w:r>
        <w:rPr>
          <w:rFonts w:cs="David"/>
          <w:rtl/>
        </w:rPr>
        <w:tab/>
        <w:t xml:space="preserve"> 240א אין בו כשלעצמו"</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ופה יש שתי חלופות למרות שכבר יש נטייה להסכים על חלופה ב', אז אני אקרא אותה:</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rtl/>
        </w:rPr>
        <w:tab/>
        <w:t xml:space="preserve">"כדי לשנות מן האחריות המוטלת עליו ועל יתר הדירקטורים בחברה, על </w:t>
      </w:r>
      <w:r>
        <w:rPr>
          <w:rFonts w:cs="David"/>
          <w:rtl/>
        </w:rPr>
        <w:t>פי כל דין".</w:t>
      </w:r>
    </w:p>
    <w:p w:rsidR="00000000" w:rsidRDefault="003B7283">
      <w:pPr>
        <w:pStyle w:val="a3"/>
        <w:tabs>
          <w:tab w:val="clear" w:pos="4320"/>
          <w:tab w:val="clear" w:pos="8640"/>
        </w:tabs>
        <w:jc w:val="both"/>
        <w:rPr>
          <w:rFonts w:cs="David"/>
          <w:rtl/>
        </w:rPr>
      </w:pPr>
      <w:r>
        <w:rPr>
          <w:rFonts w:cs="David"/>
          <w:rtl/>
        </w:rPr>
        <w:tab/>
      </w:r>
    </w:p>
    <w:p w:rsidR="00000000" w:rsidRDefault="003B7283">
      <w:pPr>
        <w:pStyle w:val="a3"/>
        <w:tabs>
          <w:tab w:val="clear" w:pos="4320"/>
          <w:tab w:val="clear" w:pos="8640"/>
        </w:tabs>
        <w:jc w:val="both"/>
        <w:rPr>
          <w:rFonts w:cs="David"/>
          <w:rtl/>
        </w:rPr>
      </w:pPr>
      <w:r>
        <w:rPr>
          <w:rFonts w:cs="David"/>
          <w:rtl/>
        </w:rPr>
        <w:tab/>
        <w:t>כלומר, עצם זה שמינו אותו כבעל מיומנות פיננסית לא מטיל עליו איזו חובה מוגברת או מוריד מהאחרים.</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קריאה:</w:t>
      </w:r>
    </w:p>
    <w:p w:rsidR="00000000" w:rsidRDefault="003B7283">
      <w:pPr>
        <w:pStyle w:val="a3"/>
        <w:tabs>
          <w:tab w:val="clear" w:pos="4320"/>
          <w:tab w:val="clear" w:pos="8640"/>
        </w:tabs>
        <w:jc w:val="both"/>
        <w:rPr>
          <w:rFonts w:cs="David"/>
          <w:u w:val="single"/>
          <w:rtl/>
        </w:rPr>
      </w:pPr>
    </w:p>
    <w:p w:rsidR="00000000" w:rsidRDefault="003B7283">
      <w:pPr>
        <w:autoSpaceDE w:val="0"/>
        <w:autoSpaceDN w:val="0"/>
        <w:jc w:val="both"/>
        <w:rPr>
          <w:rFonts w:cs="David"/>
          <w:rtl/>
        </w:rPr>
      </w:pPr>
      <w:r>
        <w:rPr>
          <w:rFonts w:cs="David"/>
          <w:rtl/>
        </w:rPr>
        <w:tab/>
        <w:t xml:space="preserve">למחוק את חלופה א. </w:t>
      </w:r>
    </w:p>
    <w:p w:rsidR="00000000" w:rsidRDefault="003B7283">
      <w:pPr>
        <w:autoSpaceDE w:val="0"/>
        <w:autoSpaceDN w:val="0"/>
        <w:jc w:val="both"/>
        <w:rPr>
          <w:rFonts w:cs="David"/>
          <w:u w:val="single"/>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כן. חלופה ב' היא החלופה. בסדר גמור. איזה שהן הערות מאוד חשובות לעניין הזה? כן.</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נתי שילה:</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יש לי הצע</w:t>
      </w:r>
      <w:r>
        <w:rPr>
          <w:rFonts w:cs="David"/>
          <w:rtl/>
        </w:rPr>
        <w:t xml:space="preserve">ה לנוסח טיפה חילופי ל-249א. השאלה אם זה המקום להציע את זה.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שינוי מהותי?</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נתי שילה:</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לא. לא. לא. רק בצורה חיובית ולא בצורה שלילית, שהאחריות של דירקטור חיצוני שהוא בעל או של דירקטור שהוא בעל מיומנות חשבונאית ופיננסית תהיה זהה לזו של הדירקט</w:t>
      </w:r>
      <w:r>
        <w:rPr>
          <w:rFonts w:cs="David"/>
          <w:rtl/>
        </w:rPr>
        <w:t>ורים האחרים בחברה.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זה לא חשוב בעיני.  סעיף 6.</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תמי סלע:</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 xml:space="preserve">הוראת תחולה שמתייחסת גם לדירקטורים מקרב הציבור, שזה כבר לא דבר שקיים היום לפי החוק החדש, וגם לדירקטורים חיצוניים שמונו לפני תחילת החוק הזה. </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r>
        <w:rPr>
          <w:rFonts w:cs="David"/>
          <w:rtl/>
        </w:rPr>
        <w:tab/>
        <w:t xml:space="preserve">"הוראות סעיפים 240 ו-240א לחוק העיקרי </w:t>
      </w:r>
      <w:r>
        <w:rPr>
          <w:rFonts w:cs="David"/>
          <w:rtl/>
        </w:rPr>
        <w:t xml:space="preserve">כנוסחן בסעיפים 3 ו-4 לחוק </w:t>
      </w:r>
    </w:p>
    <w:p w:rsidR="00000000" w:rsidRDefault="003B7283">
      <w:pPr>
        <w:pStyle w:val="a3"/>
        <w:tabs>
          <w:tab w:val="clear" w:pos="4320"/>
          <w:tab w:val="clear" w:pos="8640"/>
        </w:tabs>
        <w:jc w:val="both"/>
        <w:rPr>
          <w:rFonts w:cs="David"/>
          <w:rtl/>
        </w:rPr>
      </w:pPr>
      <w:r>
        <w:rPr>
          <w:rFonts w:cs="David"/>
          <w:rtl/>
        </w:rPr>
        <w:tab/>
        <w:t xml:space="preserve"> זה לא יחולו על דירקטור חיצוני, אשר מונה לפני מועד תחילתו של חוק</w:t>
      </w:r>
    </w:p>
    <w:p w:rsidR="00000000" w:rsidRDefault="003B7283">
      <w:pPr>
        <w:pStyle w:val="a3"/>
        <w:tabs>
          <w:tab w:val="clear" w:pos="4320"/>
          <w:tab w:val="clear" w:pos="8640"/>
        </w:tabs>
        <w:jc w:val="both"/>
        <w:rPr>
          <w:rFonts w:cs="David"/>
          <w:rtl/>
        </w:rPr>
      </w:pPr>
      <w:r>
        <w:rPr>
          <w:rFonts w:cs="David"/>
          <w:rtl/>
        </w:rPr>
        <w:tab/>
        <w:t>זה, לרבות דירקטור מקרב הציבור הרואים בו כדירקטור חיצוני בהתאם</w:t>
      </w:r>
    </w:p>
    <w:p w:rsidR="00000000" w:rsidRDefault="003B7283">
      <w:pPr>
        <w:pStyle w:val="a3"/>
        <w:tabs>
          <w:tab w:val="clear" w:pos="4320"/>
          <w:tab w:val="clear" w:pos="8640"/>
        </w:tabs>
        <w:jc w:val="both"/>
        <w:rPr>
          <w:rFonts w:cs="David"/>
          <w:rtl/>
        </w:rPr>
      </w:pPr>
      <w:r>
        <w:rPr>
          <w:rFonts w:cs="David"/>
          <w:rtl/>
        </w:rPr>
        <w:tab/>
        <w:t>לסעיף 372 לחוק; ואולם, החברה לא תהיה רשאית למנות דירקטור</w:t>
      </w:r>
    </w:p>
    <w:p w:rsidR="00000000" w:rsidRDefault="003B7283">
      <w:pPr>
        <w:pStyle w:val="a3"/>
        <w:tabs>
          <w:tab w:val="clear" w:pos="4320"/>
          <w:tab w:val="clear" w:pos="8640"/>
        </w:tabs>
        <w:jc w:val="both"/>
        <w:rPr>
          <w:rFonts w:cs="David"/>
          <w:rtl/>
        </w:rPr>
      </w:pPr>
      <w:r>
        <w:rPr>
          <w:rFonts w:cs="David"/>
          <w:rtl/>
        </w:rPr>
        <w:tab/>
        <w:t>חיצוני שמונה לפני מועד תחילתו של חוק זה ל</w:t>
      </w:r>
      <w:r>
        <w:rPr>
          <w:rFonts w:cs="David"/>
          <w:rtl/>
        </w:rPr>
        <w:t xml:space="preserve">תקופה נוספת בהתאם </w:t>
      </w:r>
    </w:p>
    <w:p w:rsidR="00000000" w:rsidRDefault="003B7283">
      <w:pPr>
        <w:pStyle w:val="a3"/>
        <w:tabs>
          <w:tab w:val="clear" w:pos="4320"/>
          <w:tab w:val="clear" w:pos="8640"/>
        </w:tabs>
        <w:jc w:val="both"/>
        <w:rPr>
          <w:rFonts w:cs="David"/>
          <w:rtl/>
        </w:rPr>
      </w:pPr>
      <w:r>
        <w:rPr>
          <w:rFonts w:cs="David"/>
          <w:rtl/>
        </w:rPr>
        <w:tab/>
        <w:t>להוראת סעיף 245(א), אלא אם מתקיים אחד מאלה:</w:t>
      </w:r>
    </w:p>
    <w:p w:rsidR="00000000" w:rsidRDefault="003B7283">
      <w:pPr>
        <w:pStyle w:val="a3"/>
        <w:tabs>
          <w:tab w:val="clear" w:pos="4320"/>
          <w:tab w:val="clear" w:pos="8640"/>
        </w:tabs>
        <w:jc w:val="both"/>
        <w:rPr>
          <w:rFonts w:cs="David"/>
          <w:rtl/>
        </w:rPr>
      </w:pPr>
    </w:p>
    <w:p w:rsidR="00000000" w:rsidRDefault="003B7283">
      <w:pPr>
        <w:pStyle w:val="a3"/>
        <w:numPr>
          <w:ilvl w:val="0"/>
          <w:numId w:val="4"/>
        </w:numPr>
        <w:tabs>
          <w:tab w:val="clear" w:pos="4320"/>
          <w:tab w:val="clear" w:pos="8640"/>
        </w:tabs>
        <w:jc w:val="both"/>
        <w:rPr>
          <w:rFonts w:cs="David"/>
          <w:rtl/>
        </w:rPr>
      </w:pPr>
      <w:r>
        <w:rPr>
          <w:rFonts w:cs="David"/>
          <w:rtl/>
        </w:rPr>
        <w:t>אותו הדירקטור הוא בעל מיומנות חשבונאית ופיננסית;</w:t>
      </w:r>
    </w:p>
    <w:p w:rsidR="00000000" w:rsidRDefault="003B7283">
      <w:pPr>
        <w:pStyle w:val="a3"/>
        <w:numPr>
          <w:ilvl w:val="0"/>
          <w:numId w:val="4"/>
        </w:numPr>
        <w:tabs>
          <w:tab w:val="clear" w:pos="4320"/>
          <w:tab w:val="clear" w:pos="8640"/>
        </w:tabs>
        <w:jc w:val="both"/>
        <w:rPr>
          <w:rFonts w:cs="David"/>
          <w:rtl/>
        </w:rPr>
      </w:pPr>
      <w:r>
        <w:rPr>
          <w:rFonts w:cs="David"/>
          <w:rtl/>
        </w:rPr>
        <w:t>מכהן בחברה, בעת הארכת המינוי, דירקטור חיצוני אחר בעל</w:t>
      </w:r>
    </w:p>
    <w:p w:rsidR="00000000" w:rsidRDefault="003B7283">
      <w:pPr>
        <w:pStyle w:val="a3"/>
        <w:tabs>
          <w:tab w:val="clear" w:pos="4320"/>
          <w:tab w:val="clear" w:pos="8640"/>
        </w:tabs>
        <w:ind w:left="1260"/>
        <w:jc w:val="both"/>
        <w:rPr>
          <w:rFonts w:cs="David"/>
          <w:rtl/>
        </w:rPr>
      </w:pPr>
      <w:r>
        <w:rPr>
          <w:rFonts w:cs="David"/>
          <w:rtl/>
        </w:rPr>
        <w:t>מיומנות חשבונאית ופיננסית, ואם קיימת בעת הארכת המינוי</w:t>
      </w:r>
    </w:p>
    <w:p w:rsidR="00000000" w:rsidRDefault="003B7283">
      <w:pPr>
        <w:pStyle w:val="a3"/>
        <w:tabs>
          <w:tab w:val="clear" w:pos="4320"/>
          <w:tab w:val="clear" w:pos="8640"/>
        </w:tabs>
        <w:ind w:left="1260"/>
        <w:jc w:val="both"/>
        <w:rPr>
          <w:rFonts w:cs="David"/>
          <w:rtl/>
        </w:rPr>
      </w:pPr>
      <w:r>
        <w:rPr>
          <w:rFonts w:cs="David"/>
          <w:rtl/>
        </w:rPr>
        <w:t>קביעה של הדירקטוריון לפי סע</w:t>
      </w:r>
      <w:r>
        <w:rPr>
          <w:rFonts w:cs="David"/>
          <w:rtl/>
        </w:rPr>
        <w:t>יף 92(א)(12) כי נדרש יותר</w:t>
      </w:r>
    </w:p>
    <w:p w:rsidR="00000000" w:rsidRDefault="003B7283">
      <w:pPr>
        <w:pStyle w:val="a3"/>
        <w:tabs>
          <w:tab w:val="clear" w:pos="4320"/>
          <w:tab w:val="clear" w:pos="8640"/>
        </w:tabs>
        <w:ind w:left="1260"/>
        <w:jc w:val="both"/>
        <w:rPr>
          <w:rFonts w:cs="David"/>
          <w:rtl/>
        </w:rPr>
      </w:pPr>
      <w:r>
        <w:rPr>
          <w:rFonts w:cs="David"/>
          <w:rtl/>
        </w:rPr>
        <w:t>מדירקטור אחד בעל מיומנות חשבונאית ופיננסית, מכהנים</w:t>
      </w:r>
    </w:p>
    <w:p w:rsidR="00000000" w:rsidRDefault="003B7283">
      <w:pPr>
        <w:pStyle w:val="a3"/>
        <w:tabs>
          <w:tab w:val="clear" w:pos="4320"/>
          <w:tab w:val="clear" w:pos="8640"/>
        </w:tabs>
        <w:ind w:left="1260"/>
        <w:jc w:val="both"/>
        <w:rPr>
          <w:rFonts w:cs="David"/>
          <w:rtl/>
        </w:rPr>
      </w:pPr>
      <w:r>
        <w:rPr>
          <w:rFonts w:cs="David"/>
          <w:rtl/>
        </w:rPr>
        <w:t>בחברה, בעת הארכת המינוי, דירקטורים חיצוניים בעלי מיומנות</w:t>
      </w:r>
    </w:p>
    <w:p w:rsidR="00000000" w:rsidRDefault="003B7283">
      <w:pPr>
        <w:pStyle w:val="a3"/>
        <w:tabs>
          <w:tab w:val="clear" w:pos="4320"/>
          <w:tab w:val="clear" w:pos="8640"/>
        </w:tabs>
        <w:ind w:left="1260"/>
        <w:jc w:val="both"/>
        <w:rPr>
          <w:rFonts w:cs="David"/>
          <w:rtl/>
        </w:rPr>
      </w:pPr>
      <w:r>
        <w:rPr>
          <w:rFonts w:cs="David"/>
          <w:rtl/>
        </w:rPr>
        <w:t>כאמור, במספר אותו קבע הדירקטוריון.</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jc w:val="both"/>
        <w:rPr>
          <w:rFonts w:cs="David"/>
          <w:u w:val="single"/>
          <w:rtl/>
        </w:rPr>
      </w:pPr>
      <w:r>
        <w:rPr>
          <w:rFonts w:cs="David"/>
          <w:u w:val="single"/>
          <w:rtl/>
        </w:rPr>
        <w:t>מרים אילני:</w:t>
      </w:r>
    </w:p>
    <w:p w:rsidR="00000000" w:rsidRDefault="003B7283">
      <w:pPr>
        <w:pStyle w:val="a3"/>
        <w:tabs>
          <w:tab w:val="clear" w:pos="4320"/>
          <w:tab w:val="clear" w:pos="8640"/>
        </w:tabs>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דירקטור אחר . לא דווקא פה זה כן חיצוני.</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jc w:val="both"/>
        <w:rPr>
          <w:rFonts w:cs="David"/>
          <w:rtl/>
        </w:rPr>
      </w:pPr>
      <w:r>
        <w:rPr>
          <w:rFonts w:cs="David"/>
          <w:rtl/>
        </w:rPr>
        <w:tab/>
        <w:t>כי אחד מהם חיי</w:t>
      </w:r>
      <w:r>
        <w:rPr>
          <w:rFonts w:cs="David"/>
          <w:rtl/>
        </w:rPr>
        <w:t>ב להיות.</w:t>
      </w:r>
    </w:p>
    <w:p w:rsidR="00000000" w:rsidRDefault="003B7283">
      <w:pPr>
        <w:pStyle w:val="a3"/>
        <w:tabs>
          <w:tab w:val="clear" w:pos="4320"/>
          <w:tab w:val="clear" w:pos="8640"/>
        </w:tabs>
        <w:jc w:val="both"/>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 xml:space="preserve">"דירקטורים חיצוניים" – פה זה דירקטורים. ולא חיצוניים.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זה בסדר גמור. יש איזה שהן הערות לסעיף הזה? לא? מצוין. חברת הכנסת פינקלשטיין, את כאן כמחליפה של מישהו גם?</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גילה פינקלשטיין:</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 xml:space="preserve">לא. </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 xml:space="preserve">חבר הכנסת רצאבי </w:t>
      </w:r>
      <w:r>
        <w:rPr>
          <w:rFonts w:cs="David"/>
          <w:rtl/>
        </w:rPr>
        <w:t xml:space="preserve">קיבלנו הסכמה שלו. </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rtl/>
        </w:rPr>
      </w:pPr>
      <w:r>
        <w:rPr>
          <w:rFonts w:cs="David"/>
          <w:rtl/>
        </w:rPr>
        <w:tab/>
        <w:t>אז פה אחד אני מצביע בעד הנוסח הזה ומבקש להעלות את זה לקריאה ראשונה לכנסת. אני מניח שזה לא יהיה בזמן הפגרה. אלא אם כן יהיה כינוס מיוחד אז תניחו את זה, מצוין.</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r>
        <w:rPr>
          <w:rFonts w:cs="David"/>
          <w:u w:val="single"/>
          <w:rtl/>
        </w:rPr>
        <w:t>תמי סלע:</w:t>
      </w: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rFonts w:cs="David"/>
          <w:rtl/>
        </w:rPr>
      </w:pPr>
      <w:r>
        <w:rPr>
          <w:rFonts w:cs="David"/>
          <w:rtl/>
        </w:rPr>
        <w:tab/>
        <w:t>לא יצביעו על זה בפגרה.</w:t>
      </w:r>
    </w:p>
    <w:p w:rsidR="00000000" w:rsidRDefault="003B7283">
      <w:pPr>
        <w:autoSpaceDE w:val="0"/>
        <w:autoSpaceDN w:val="0"/>
        <w:jc w:val="both"/>
        <w:rPr>
          <w:rFonts w:cs="David"/>
          <w:rtl/>
        </w:rPr>
      </w:pPr>
    </w:p>
    <w:p w:rsidR="00000000" w:rsidRDefault="003B7283">
      <w:pPr>
        <w:autoSpaceDE w:val="0"/>
        <w:autoSpaceDN w:val="0"/>
        <w:jc w:val="both"/>
        <w:rPr>
          <w:rFonts w:cs="David"/>
          <w:u w:val="single"/>
          <w:rtl/>
        </w:rPr>
      </w:pPr>
      <w:r>
        <w:rPr>
          <w:rFonts w:cs="David"/>
          <w:u w:val="single"/>
          <w:rtl/>
        </w:rPr>
        <w:t>היו"ר רשף חן:</w:t>
      </w:r>
    </w:p>
    <w:p w:rsidR="00000000" w:rsidRDefault="003B7283">
      <w:pPr>
        <w:autoSpaceDE w:val="0"/>
        <w:autoSpaceDN w:val="0"/>
        <w:jc w:val="both"/>
        <w:rPr>
          <w:rFonts w:cs="David"/>
          <w:u w:val="single"/>
          <w:rtl/>
        </w:rPr>
      </w:pPr>
    </w:p>
    <w:p w:rsidR="00000000" w:rsidRDefault="003B7283">
      <w:pPr>
        <w:pStyle w:val="a3"/>
        <w:tabs>
          <w:tab w:val="clear" w:pos="4320"/>
          <w:tab w:val="clear" w:pos="8640"/>
        </w:tabs>
        <w:rPr>
          <w:rFonts w:cs="David"/>
          <w:rtl/>
        </w:rPr>
      </w:pPr>
      <w:r>
        <w:rPr>
          <w:rFonts w:cs="David"/>
          <w:rtl/>
        </w:rPr>
        <w:tab/>
        <w:t>עשר נקודות על זמן שיא. עכש</w:t>
      </w:r>
      <w:r>
        <w:rPr>
          <w:rFonts w:cs="David"/>
          <w:rtl/>
        </w:rPr>
        <w:t xml:space="preserve">יו שלוש דקות הפסקה, אני רוצה לדבר עם תמי על הנושאים של המשך הישיבה, ואז אנחנו ממשיכים הלאה. </w:t>
      </w:r>
    </w:p>
    <w:p w:rsidR="00000000" w:rsidRDefault="003B7283">
      <w:pPr>
        <w:pStyle w:val="a3"/>
        <w:tabs>
          <w:tab w:val="clear" w:pos="4320"/>
          <w:tab w:val="clear" w:pos="8640"/>
        </w:tabs>
        <w:rPr>
          <w:rFonts w:cs="David"/>
          <w:b/>
          <w:bCs/>
          <w:u w:val="single"/>
          <w:rtl/>
        </w:rPr>
      </w:pPr>
    </w:p>
    <w:p w:rsidR="00000000" w:rsidRDefault="003B7283">
      <w:pPr>
        <w:pStyle w:val="a3"/>
        <w:tabs>
          <w:tab w:val="clear" w:pos="4320"/>
          <w:tab w:val="clear" w:pos="8640"/>
        </w:tabs>
        <w:rPr>
          <w:rFonts w:cs="David"/>
          <w:b/>
          <w:bCs/>
          <w:u w:val="single"/>
          <w:rtl/>
        </w:rPr>
      </w:pPr>
      <w:r>
        <w:rPr>
          <w:rFonts w:cs="David"/>
          <w:b/>
          <w:bCs/>
          <w:u w:val="single"/>
          <w:rtl/>
        </w:rPr>
        <w:t>הישיבה ננעלה בשעה 9:35</w:t>
      </w: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rtl/>
        </w:rPr>
      </w:pPr>
    </w:p>
    <w:p w:rsidR="00000000" w:rsidRDefault="003B7283">
      <w:pPr>
        <w:pStyle w:val="a3"/>
        <w:tabs>
          <w:tab w:val="clear" w:pos="4320"/>
          <w:tab w:val="clear" w:pos="8640"/>
        </w:tabs>
        <w:rPr>
          <w:rFonts w:cs="David"/>
          <w:u w:val="single"/>
          <w:rtl/>
        </w:rPr>
      </w:pPr>
    </w:p>
    <w:p w:rsidR="00000000" w:rsidRDefault="003B7283">
      <w:pPr>
        <w:pStyle w:val="a3"/>
        <w:tabs>
          <w:tab w:val="clear" w:pos="4320"/>
          <w:tab w:val="clear" w:pos="8640"/>
        </w:tabs>
        <w:rPr>
          <w:u w:val="single"/>
          <w:rtl/>
        </w:rPr>
      </w:pPr>
    </w:p>
    <w:p w:rsidR="00000000" w:rsidRDefault="003B7283">
      <w:pPr>
        <w:pStyle w:val="a3"/>
        <w:tabs>
          <w:tab w:val="clear" w:pos="4320"/>
          <w:tab w:val="clear" w:pos="8640"/>
        </w:tabs>
        <w:rPr>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7283">
      <w:r>
        <w:separator/>
      </w:r>
    </w:p>
  </w:endnote>
  <w:endnote w:type="continuationSeparator" w:id="0">
    <w:p w:rsidR="00000000" w:rsidRDefault="003B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7283">
      <w:r>
        <w:separator/>
      </w:r>
    </w:p>
  </w:footnote>
  <w:footnote w:type="continuationSeparator" w:id="0">
    <w:p w:rsidR="00000000" w:rsidRDefault="003B7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7283">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3B7283">
    <w:pPr>
      <w:pStyle w:val="a3"/>
      <w:ind w:right="360"/>
      <w:rPr>
        <w:rFonts w:cs="David"/>
        <w:rtl/>
      </w:rPr>
    </w:pPr>
    <w:r>
      <w:rPr>
        <w:rFonts w:cs="David"/>
        <w:rtl/>
      </w:rPr>
      <w:t>ועדת חוקה חוק ומשפט</w:t>
    </w:r>
  </w:p>
  <w:p w:rsidR="00000000" w:rsidRDefault="003B7283">
    <w:pPr>
      <w:pStyle w:val="a3"/>
      <w:ind w:right="360"/>
      <w:rPr>
        <w:rtl/>
      </w:rPr>
    </w:pPr>
    <w:r>
      <w:rPr>
        <w:rFonts w:cs="David"/>
        <w:rtl/>
      </w:rPr>
      <w:t>12.8.2004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02B4"/>
    <w:multiLevelType w:val="hybridMultilevel"/>
    <w:tmpl w:val="06D2F9FA"/>
    <w:lvl w:ilvl="0" w:tplc="957C25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A151361"/>
    <w:multiLevelType w:val="hybridMultilevel"/>
    <w:tmpl w:val="A2B0DEB0"/>
    <w:lvl w:ilvl="0" w:tplc="5986DDA6">
      <w:start w:val="1"/>
      <w:numFmt w:val="decimal"/>
      <w:lvlText w:val="(%1)"/>
      <w:lvlJc w:val="left"/>
      <w:pPr>
        <w:tabs>
          <w:tab w:val="num" w:pos="1260"/>
        </w:tabs>
        <w:ind w:left="1260" w:hanging="360"/>
      </w:pPr>
      <w:rPr>
        <w:rFonts w:ascii="Times New Roman" w:hAnsi="Times New Roman" w:cs="Times New Roman" w:hint="default"/>
      </w:rPr>
    </w:lvl>
    <w:lvl w:ilvl="1" w:tplc="040D0019">
      <w:start w:val="1"/>
      <w:numFmt w:val="lowerLetter"/>
      <w:lvlText w:val="%2."/>
      <w:lvlJc w:val="left"/>
      <w:pPr>
        <w:tabs>
          <w:tab w:val="num" w:pos="1980"/>
        </w:tabs>
        <w:ind w:left="1980" w:hanging="360"/>
      </w:pPr>
      <w:rPr>
        <w:rFonts w:ascii="Times New Roman" w:hAnsi="Times New Roman" w:cs="Times New Roman"/>
      </w:rPr>
    </w:lvl>
    <w:lvl w:ilvl="2" w:tplc="040D001B">
      <w:start w:val="1"/>
      <w:numFmt w:val="lowerRoman"/>
      <w:lvlText w:val="%3."/>
      <w:lvlJc w:val="right"/>
      <w:pPr>
        <w:tabs>
          <w:tab w:val="num" w:pos="2700"/>
        </w:tabs>
        <w:ind w:left="2700" w:hanging="180"/>
      </w:pPr>
      <w:rPr>
        <w:rFonts w:ascii="Times New Roman" w:hAnsi="Times New Roman" w:cs="Times New Roman"/>
      </w:rPr>
    </w:lvl>
    <w:lvl w:ilvl="3" w:tplc="040D000F">
      <w:start w:val="1"/>
      <w:numFmt w:val="decimal"/>
      <w:lvlText w:val="%4."/>
      <w:lvlJc w:val="left"/>
      <w:pPr>
        <w:tabs>
          <w:tab w:val="num" w:pos="3420"/>
        </w:tabs>
        <w:ind w:left="3420" w:hanging="360"/>
      </w:pPr>
      <w:rPr>
        <w:rFonts w:ascii="Times New Roman" w:hAnsi="Times New Roman" w:cs="Times New Roman"/>
      </w:rPr>
    </w:lvl>
    <w:lvl w:ilvl="4" w:tplc="040D0019">
      <w:start w:val="1"/>
      <w:numFmt w:val="lowerLetter"/>
      <w:lvlText w:val="%5."/>
      <w:lvlJc w:val="left"/>
      <w:pPr>
        <w:tabs>
          <w:tab w:val="num" w:pos="4140"/>
        </w:tabs>
        <w:ind w:left="4140" w:hanging="360"/>
      </w:pPr>
      <w:rPr>
        <w:rFonts w:ascii="Times New Roman" w:hAnsi="Times New Roman" w:cs="Times New Roman"/>
      </w:rPr>
    </w:lvl>
    <w:lvl w:ilvl="5" w:tplc="040D001B">
      <w:start w:val="1"/>
      <w:numFmt w:val="lowerRoman"/>
      <w:lvlText w:val="%6."/>
      <w:lvlJc w:val="right"/>
      <w:pPr>
        <w:tabs>
          <w:tab w:val="num" w:pos="4860"/>
        </w:tabs>
        <w:ind w:left="4860" w:hanging="180"/>
      </w:pPr>
      <w:rPr>
        <w:rFonts w:ascii="Times New Roman" w:hAnsi="Times New Roman" w:cs="Times New Roman"/>
      </w:rPr>
    </w:lvl>
    <w:lvl w:ilvl="6" w:tplc="040D000F">
      <w:start w:val="1"/>
      <w:numFmt w:val="decimal"/>
      <w:lvlText w:val="%7."/>
      <w:lvlJc w:val="left"/>
      <w:pPr>
        <w:tabs>
          <w:tab w:val="num" w:pos="5580"/>
        </w:tabs>
        <w:ind w:left="5580" w:hanging="360"/>
      </w:pPr>
      <w:rPr>
        <w:rFonts w:ascii="Times New Roman" w:hAnsi="Times New Roman" w:cs="Times New Roman"/>
      </w:rPr>
    </w:lvl>
    <w:lvl w:ilvl="7" w:tplc="040D0019">
      <w:start w:val="1"/>
      <w:numFmt w:val="lowerLetter"/>
      <w:lvlText w:val="%8."/>
      <w:lvlJc w:val="left"/>
      <w:pPr>
        <w:tabs>
          <w:tab w:val="num" w:pos="6300"/>
        </w:tabs>
        <w:ind w:left="6300" w:hanging="360"/>
      </w:pPr>
      <w:rPr>
        <w:rFonts w:ascii="Times New Roman" w:hAnsi="Times New Roman" w:cs="Times New Roman"/>
      </w:rPr>
    </w:lvl>
    <w:lvl w:ilvl="8" w:tplc="040D001B">
      <w:start w:val="1"/>
      <w:numFmt w:val="lowerRoman"/>
      <w:lvlText w:val="%9."/>
      <w:lvlJc w:val="right"/>
      <w:pPr>
        <w:tabs>
          <w:tab w:val="num" w:pos="7020"/>
        </w:tabs>
        <w:ind w:left="7020" w:hanging="180"/>
      </w:pPr>
      <w:rPr>
        <w:rFonts w:ascii="Times New Roman" w:hAnsi="Times New Roman" w:cs="Times New Roman"/>
      </w:rPr>
    </w:lvl>
  </w:abstractNum>
  <w:abstractNum w:abstractNumId="2" w15:restartNumberingAfterBreak="0">
    <w:nsid w:val="4A974A79"/>
    <w:multiLevelType w:val="hybridMultilevel"/>
    <w:tmpl w:val="31C0D98E"/>
    <w:lvl w:ilvl="0" w:tplc="CC347CE8">
      <w:start w:val="2"/>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4F344362"/>
    <w:multiLevelType w:val="hybridMultilevel"/>
    <w:tmpl w:val="E222AF30"/>
    <w:lvl w:ilvl="0" w:tplc="8EFCFA32">
      <w:start w:val="2"/>
      <w:numFmt w:val="hebrew1"/>
      <w:lvlText w:val="(%1)"/>
      <w:lvlJc w:val="left"/>
      <w:pPr>
        <w:tabs>
          <w:tab w:val="num" w:pos="2880"/>
        </w:tabs>
        <w:ind w:left="2880" w:hanging="144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283"/>
    <w:rsid w:val="003B7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D65506-E567-469A-AEC1-3DF941FB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21">
    <w:name w:val="Body Text 2"/>
    <w:basedOn w:val="a"/>
    <w:link w:val="22"/>
    <w:uiPriority w:val="99"/>
    <w:pPr>
      <w:autoSpaceDE w:val="0"/>
      <w:autoSpaceDN w:val="0"/>
      <w:ind w:left="2160"/>
      <w:jc w:val="both"/>
    </w:pPr>
    <w:rPr>
      <w:b/>
      <w:bC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D5F0C-1D0C-417C-8FD1-13A686481211}"/>
</file>

<file path=customXml/itemProps2.xml><?xml version="1.0" encoding="utf-8"?>
<ds:datastoreItem xmlns:ds="http://schemas.openxmlformats.org/officeDocument/2006/customXml" ds:itemID="{841476D3-81BE-4C0C-8AFF-72EB03060B3D}"/>
</file>

<file path=customXml/itemProps3.xml><?xml version="1.0" encoding="utf-8"?>
<ds:datastoreItem xmlns:ds="http://schemas.openxmlformats.org/officeDocument/2006/customXml" ds:itemID="{92F27D15-BBCA-426D-9183-E1DD16E50AB4}"/>
</file>

<file path=docProps/app.xml><?xml version="1.0" encoding="utf-8"?>
<Properties xmlns="http://schemas.openxmlformats.org/officeDocument/2006/extended-properties" xmlns:vt="http://schemas.openxmlformats.org/officeDocument/2006/docPropsVTypes">
  <Template>Normal.dotm</Template>
  <TotalTime>0</TotalTime>
  <Pages>3</Pages>
  <Words>1735</Words>
  <Characters>8680</Characters>
  <Application>Microsoft Office Word</Application>
  <DocSecurity>4</DocSecurity>
  <Lines>72</Lines>
  <Paragraphs>20</Paragraphs>
  <ScaleCrop>false</ScaleCrop>
  <Company>knesset</Company>
  <LinksUpToDate>false</LinksUpToDate>
  <CharactersWithSpaces>10395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החברות (תיקון – כשירות דירקטור חיצוני בחברה ציבורית)</dc:title>
  <dc:subject/>
  <dc:creator>תמר שפנייר</dc:creator>
  <cp:keywords/>
  <dc:description/>
  <cp:lastModifiedBy>שמואל כוכב</cp:lastModifiedBy>
  <cp:revision>2</cp:revision>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285</vt:i4>
  </property>
  <property fmtid="{D5CDD505-2E9C-101B-9397-08002B2CF9AE}" pid="5" name="Nose">
    <vt:lpwstr>':מחלקת הפרוטוקולים:ועדת חוקה'_x000d__x000d_</vt:lpwstr>
  </property>
  <property fmtid="{D5CDD505-2E9C-101B-9397-08002B2CF9AE}" pid="6" name="TaarichYeshiva">
    <vt:filetime>2004-08-10T21:00:00Z</vt:filetime>
  </property>
  <property fmtid="{D5CDD505-2E9C-101B-9397-08002B2CF9AE}" pid="7" name="סימוכין">
    <vt:i4>2856804</vt:i4>
  </property>
  <property fmtid="{D5CDD505-2E9C-101B-9397-08002B2CF9AE}" pid="8" name="שעת ישיבה">
    <vt:lpwstr>9:00</vt:lpwstr>
  </property>
  <property fmtid="{D5CDD505-2E9C-101B-9397-08002B2CF9AE}" pid="9" name="תאריך המסמך">
    <vt:filetime>2004-08-15T21:00:00Z</vt:filetime>
  </property>
  <property fmtid="{D5CDD505-2E9C-101B-9397-08002B2CF9AE}" pid="10" name="Int_ModifyDate">
    <vt:lpwstr>30/08/2004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77089</vt:r8>
  </property>
  <property fmtid="{D5CDD505-2E9C-101B-9397-08002B2CF9AE}" pid="14" name="SanhedrinDocumentType">
    <vt:r8>167</vt:r8>
  </property>
</Properties>
</file>