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F72C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F72C2">
      <w:pPr>
        <w:rPr>
          <w:rFonts w:cs="David"/>
          <w:b/>
          <w:bCs/>
          <w:sz w:val="24"/>
          <w:rtl/>
        </w:rPr>
      </w:pPr>
      <w:r>
        <w:rPr>
          <w:rFonts w:cs="David"/>
          <w:b/>
          <w:bCs/>
          <w:sz w:val="24"/>
          <w:rtl/>
        </w:rPr>
        <w:t>מושב שני</w:t>
      </w:r>
    </w:p>
    <w:p w:rsidR="00000000" w:rsidRDefault="003F72C2">
      <w:pPr>
        <w:rPr>
          <w:rFonts w:cs="David"/>
          <w:b/>
          <w:bCs/>
          <w:sz w:val="24"/>
          <w:rtl/>
        </w:rPr>
      </w:pPr>
    </w:p>
    <w:p w:rsidR="00000000" w:rsidRDefault="003F72C2">
      <w:pPr>
        <w:rPr>
          <w:rFonts w:cs="David"/>
          <w:b/>
          <w:bCs/>
          <w:sz w:val="24"/>
          <w:rtl/>
        </w:rPr>
      </w:pPr>
    </w:p>
    <w:p w:rsidR="00000000" w:rsidRDefault="003F72C2">
      <w:pPr>
        <w:rPr>
          <w:rFonts w:cs="David"/>
          <w:b/>
          <w:bCs/>
          <w:sz w:val="24"/>
          <w:rtl/>
        </w:rPr>
      </w:pPr>
    </w:p>
    <w:p w:rsidR="00000000" w:rsidRDefault="003F72C2">
      <w:pPr>
        <w:rPr>
          <w:rFonts w:cs="David"/>
          <w:b/>
          <w:bCs/>
          <w:sz w:val="24"/>
          <w:rtl/>
        </w:rPr>
      </w:pPr>
    </w:p>
    <w:p w:rsidR="00000000" w:rsidRDefault="003F72C2">
      <w:pPr>
        <w:pStyle w:val="1"/>
        <w:rPr>
          <w:rFonts w:cs="David"/>
          <w:sz w:val="24"/>
          <w:rtl/>
        </w:rPr>
      </w:pPr>
      <w:r>
        <w:rPr>
          <w:rFonts w:cs="David"/>
          <w:sz w:val="24"/>
          <w:rtl/>
        </w:rPr>
        <w:t>פרוטוקול מס' 292</w:t>
      </w:r>
    </w:p>
    <w:p w:rsidR="00000000" w:rsidRDefault="003F72C2">
      <w:pPr>
        <w:jc w:val="center"/>
        <w:rPr>
          <w:rFonts w:cs="David"/>
          <w:b/>
          <w:bCs/>
          <w:sz w:val="24"/>
          <w:rtl/>
        </w:rPr>
      </w:pPr>
      <w:r>
        <w:rPr>
          <w:rFonts w:cs="David"/>
          <w:b/>
          <w:bCs/>
          <w:sz w:val="24"/>
          <w:rtl/>
        </w:rPr>
        <w:t>מישיבת ועדת החוקה, חוק ומשפט</w:t>
      </w:r>
    </w:p>
    <w:p w:rsidR="00000000" w:rsidRDefault="003F72C2">
      <w:pPr>
        <w:pStyle w:val="7"/>
        <w:rPr>
          <w:rFonts w:cs="David"/>
          <w:sz w:val="24"/>
          <w:rtl/>
        </w:rPr>
      </w:pPr>
      <w:r>
        <w:rPr>
          <w:rFonts w:cs="David"/>
          <w:sz w:val="24"/>
          <w:rtl/>
        </w:rPr>
        <w:t>יום חמישי, ב' באלול התשס"ד - 19 באוגוסט 2004 - שעה 09:00</w:t>
      </w:r>
    </w:p>
    <w:p w:rsidR="00000000" w:rsidRDefault="003F72C2">
      <w:pPr>
        <w:rPr>
          <w:rFonts w:cs="David"/>
          <w:b/>
          <w:bCs/>
          <w:sz w:val="24"/>
          <w:rtl/>
        </w:rPr>
      </w:pPr>
    </w:p>
    <w:p w:rsidR="00000000" w:rsidRDefault="003F72C2">
      <w:pPr>
        <w:rPr>
          <w:rFonts w:cs="David"/>
          <w:b/>
          <w:bCs/>
          <w:sz w:val="24"/>
          <w:rtl/>
        </w:rPr>
      </w:pPr>
    </w:p>
    <w:p w:rsidR="00000000" w:rsidRDefault="003F72C2">
      <w:pPr>
        <w:tabs>
          <w:tab w:val="left" w:pos="1221"/>
        </w:tabs>
        <w:rPr>
          <w:rFonts w:cs="David"/>
          <w:b/>
          <w:bCs/>
          <w:sz w:val="24"/>
          <w:u w:val="single"/>
          <w:rtl/>
        </w:rPr>
      </w:pPr>
    </w:p>
    <w:p w:rsidR="00000000" w:rsidRDefault="003F72C2">
      <w:pPr>
        <w:tabs>
          <w:tab w:val="left" w:pos="1221"/>
        </w:tabs>
        <w:ind w:left="1134" w:hanging="1134"/>
        <w:rPr>
          <w:rFonts w:cs="David"/>
          <w:b/>
          <w:bCs/>
          <w:sz w:val="24"/>
          <w:rtl/>
        </w:rPr>
      </w:pPr>
      <w:r>
        <w:rPr>
          <w:rFonts w:cs="David"/>
          <w:b/>
          <w:bCs/>
          <w:sz w:val="24"/>
          <w:u w:val="single"/>
          <w:rtl/>
        </w:rPr>
        <w:t>סדר היום</w:t>
      </w:r>
      <w:r>
        <w:rPr>
          <w:rFonts w:cs="David"/>
          <w:sz w:val="24"/>
          <w:rtl/>
        </w:rPr>
        <w:t>:</w:t>
      </w:r>
      <w:r>
        <w:rPr>
          <w:rFonts w:cs="David"/>
          <w:sz w:val="24"/>
          <w:rtl/>
        </w:rPr>
        <w:tab/>
        <w:t>הצעת חו</w:t>
      </w:r>
      <w:r>
        <w:rPr>
          <w:rFonts w:cs="David"/>
          <w:sz w:val="24"/>
          <w:rtl/>
        </w:rPr>
        <w:t>ק הגבלות על חזרתו של עבריין מין לסביבת נפגע העבירה, התשס"ד-2004 - הכנה לקריאה שנייה ושלישית.</w:t>
      </w:r>
    </w:p>
    <w:p w:rsidR="00000000" w:rsidRDefault="003F72C2">
      <w:pPr>
        <w:rPr>
          <w:rFonts w:cs="David"/>
          <w:b/>
          <w:bCs/>
          <w:sz w:val="24"/>
          <w:rtl/>
        </w:rPr>
      </w:pPr>
    </w:p>
    <w:p w:rsidR="00000000" w:rsidRDefault="003F72C2">
      <w:pPr>
        <w:rPr>
          <w:rFonts w:cs="David"/>
          <w:sz w:val="24"/>
          <w:rtl/>
        </w:rPr>
      </w:pPr>
    </w:p>
    <w:p w:rsidR="00000000" w:rsidRDefault="003F72C2">
      <w:pPr>
        <w:rPr>
          <w:rFonts w:cs="David"/>
          <w:sz w:val="24"/>
          <w:rtl/>
        </w:rPr>
      </w:pPr>
    </w:p>
    <w:p w:rsidR="00000000" w:rsidRDefault="003F72C2">
      <w:pPr>
        <w:rPr>
          <w:rFonts w:cs="David"/>
          <w:b/>
          <w:bCs/>
          <w:sz w:val="24"/>
          <w:u w:val="single"/>
          <w:rtl/>
        </w:rPr>
      </w:pPr>
      <w:r>
        <w:rPr>
          <w:rFonts w:cs="David"/>
          <w:b/>
          <w:bCs/>
          <w:sz w:val="24"/>
          <w:u w:val="single"/>
          <w:rtl/>
        </w:rPr>
        <w:t>נכחו</w:t>
      </w:r>
      <w:r>
        <w:rPr>
          <w:rFonts w:cs="David"/>
          <w:sz w:val="24"/>
          <w:rtl/>
        </w:rPr>
        <w:t>:</w:t>
      </w:r>
    </w:p>
    <w:p w:rsidR="00000000" w:rsidRDefault="003F72C2">
      <w:pPr>
        <w:rPr>
          <w:rFonts w:cs="David"/>
          <w:sz w:val="24"/>
          <w:rtl/>
        </w:rPr>
      </w:pPr>
    </w:p>
    <w:p w:rsidR="00000000" w:rsidRDefault="003F72C2">
      <w:pPr>
        <w:rPr>
          <w:rFonts w:cs="David"/>
          <w:sz w:val="24"/>
          <w:rtl/>
        </w:rPr>
      </w:pPr>
    </w:p>
    <w:p w:rsidR="00000000" w:rsidRDefault="003F72C2">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3F72C2">
      <w:pPr>
        <w:tabs>
          <w:tab w:val="left" w:pos="1788"/>
        </w:tabs>
        <w:rPr>
          <w:rFonts w:cs="David"/>
          <w:sz w:val="24"/>
          <w:rtl/>
        </w:rPr>
      </w:pPr>
      <w:r>
        <w:rPr>
          <w:rFonts w:cs="David"/>
          <w:sz w:val="24"/>
          <w:rtl/>
        </w:rPr>
        <w:tab/>
        <w:t>גילה גמליאל</w:t>
      </w:r>
    </w:p>
    <w:p w:rsidR="00000000" w:rsidRDefault="003F72C2">
      <w:pPr>
        <w:tabs>
          <w:tab w:val="left" w:pos="1788"/>
        </w:tabs>
        <w:rPr>
          <w:rFonts w:cs="David"/>
          <w:sz w:val="24"/>
          <w:rtl/>
        </w:rPr>
      </w:pPr>
      <w:r>
        <w:rPr>
          <w:rFonts w:cs="David"/>
          <w:sz w:val="24"/>
          <w:rtl/>
        </w:rPr>
        <w:tab/>
        <w:t>אליעזר כהן</w:t>
      </w:r>
    </w:p>
    <w:p w:rsidR="00000000" w:rsidRDefault="003F72C2">
      <w:pPr>
        <w:rPr>
          <w:rFonts w:cs="David"/>
          <w:sz w:val="24"/>
          <w:rtl/>
        </w:rPr>
      </w:pPr>
      <w:r>
        <w:rPr>
          <w:rFonts w:cs="David"/>
          <w:sz w:val="24"/>
          <w:rtl/>
        </w:rPr>
        <w:tab/>
      </w:r>
      <w:r>
        <w:rPr>
          <w:rFonts w:cs="David"/>
          <w:sz w:val="24"/>
          <w:rtl/>
        </w:rPr>
        <w:tab/>
      </w:r>
      <w:r>
        <w:rPr>
          <w:rFonts w:cs="David"/>
          <w:sz w:val="24"/>
          <w:rtl/>
        </w:rPr>
        <w:tab/>
        <w:t xml:space="preserve">  יצחק לוי</w:t>
      </w:r>
    </w:p>
    <w:p w:rsidR="00000000" w:rsidRDefault="003F72C2">
      <w:pPr>
        <w:rPr>
          <w:rFonts w:cs="David"/>
          <w:sz w:val="24"/>
          <w:rtl/>
        </w:rPr>
      </w:pPr>
    </w:p>
    <w:p w:rsidR="00000000" w:rsidRDefault="003F72C2">
      <w:pPr>
        <w:rPr>
          <w:rFonts w:cs="David"/>
          <w:sz w:val="24"/>
          <w:rtl/>
        </w:rPr>
      </w:pPr>
    </w:p>
    <w:p w:rsidR="00000000" w:rsidRDefault="003F72C2">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 דפנה בינוולד</w:t>
      </w:r>
      <w:r>
        <w:rPr>
          <w:rFonts w:cs="David"/>
          <w:sz w:val="24"/>
          <w:rtl/>
        </w:rPr>
        <w:tab/>
      </w:r>
      <w:r>
        <w:rPr>
          <w:rFonts w:cs="David"/>
          <w:sz w:val="24"/>
          <w:rtl/>
        </w:rPr>
        <w:tab/>
        <w:t xml:space="preserve"> - פרקליטות המדינה</w:t>
      </w:r>
    </w:p>
    <w:p w:rsidR="00000000" w:rsidRDefault="003F72C2">
      <w:pPr>
        <w:tabs>
          <w:tab w:val="left" w:pos="1788"/>
          <w:tab w:val="left" w:pos="3631"/>
        </w:tabs>
        <w:rPr>
          <w:rFonts w:cs="David"/>
          <w:sz w:val="24"/>
          <w:rtl/>
        </w:rPr>
      </w:pPr>
      <w:r>
        <w:rPr>
          <w:rFonts w:cs="David"/>
          <w:sz w:val="24"/>
          <w:rtl/>
        </w:rPr>
        <w:tab/>
        <w:t xml:space="preserve"> רחל גרשוני</w:t>
      </w:r>
      <w:r>
        <w:rPr>
          <w:rFonts w:cs="David"/>
          <w:sz w:val="24"/>
          <w:rtl/>
        </w:rPr>
        <w:tab/>
      </w:r>
      <w:r>
        <w:rPr>
          <w:rFonts w:cs="David"/>
          <w:sz w:val="24"/>
          <w:rtl/>
        </w:rPr>
        <w:tab/>
        <w:t xml:space="preserve"> - ראש תחום עונשין, מש</w:t>
      </w:r>
      <w:r>
        <w:rPr>
          <w:rFonts w:cs="David"/>
          <w:sz w:val="24"/>
          <w:rtl/>
        </w:rPr>
        <w:t>רד המשפטים</w:t>
      </w:r>
    </w:p>
    <w:p w:rsidR="00000000" w:rsidRDefault="003F72C2">
      <w:pPr>
        <w:tabs>
          <w:tab w:val="left" w:pos="1788"/>
          <w:tab w:val="left" w:pos="3631"/>
        </w:tabs>
        <w:rPr>
          <w:rFonts w:cs="David"/>
          <w:sz w:val="24"/>
          <w:rtl/>
        </w:rPr>
      </w:pPr>
      <w:r>
        <w:rPr>
          <w:rFonts w:cs="David"/>
          <w:sz w:val="24"/>
          <w:rtl/>
        </w:rPr>
        <w:tab/>
        <w:t xml:space="preserve"> עדי קומרינר-פלד</w:t>
      </w:r>
      <w:r>
        <w:rPr>
          <w:rFonts w:cs="David"/>
          <w:sz w:val="24"/>
          <w:rtl/>
        </w:rPr>
        <w:tab/>
      </w:r>
      <w:r>
        <w:rPr>
          <w:rFonts w:cs="David"/>
          <w:sz w:val="24"/>
          <w:rtl/>
        </w:rPr>
        <w:tab/>
        <w:t xml:space="preserve"> - הסיוע המשפטי, משרד המשפטים</w:t>
      </w:r>
    </w:p>
    <w:p w:rsidR="00000000" w:rsidRDefault="003F72C2">
      <w:pPr>
        <w:rPr>
          <w:rFonts w:cs="David"/>
          <w:sz w:val="24"/>
          <w:rtl/>
        </w:rPr>
      </w:pPr>
      <w:r>
        <w:rPr>
          <w:rFonts w:cs="David"/>
          <w:sz w:val="24"/>
          <w:rtl/>
        </w:rPr>
        <w:tab/>
      </w:r>
      <w:r>
        <w:rPr>
          <w:rFonts w:cs="David"/>
          <w:sz w:val="24"/>
          <w:rtl/>
        </w:rPr>
        <w:tab/>
      </w:r>
      <w:r>
        <w:rPr>
          <w:rFonts w:cs="David"/>
          <w:sz w:val="24"/>
          <w:rtl/>
        </w:rPr>
        <w:tab/>
        <w:t xml:space="preserve">  שי צרפתי</w:t>
      </w:r>
      <w:r>
        <w:rPr>
          <w:rFonts w:cs="David"/>
          <w:sz w:val="24"/>
          <w:rtl/>
        </w:rPr>
        <w:tab/>
      </w:r>
      <w:r>
        <w:rPr>
          <w:rFonts w:cs="David"/>
          <w:sz w:val="24"/>
          <w:rtl/>
        </w:rPr>
        <w:tab/>
      </w:r>
      <w:r>
        <w:rPr>
          <w:rFonts w:cs="David"/>
          <w:sz w:val="24"/>
          <w:rtl/>
        </w:rPr>
        <w:tab/>
        <w:t xml:space="preserve"> - הנהלת בתי המשפט</w:t>
      </w:r>
    </w:p>
    <w:p w:rsidR="00000000" w:rsidRDefault="003F72C2">
      <w:pPr>
        <w:rPr>
          <w:rFonts w:cs="David"/>
          <w:sz w:val="24"/>
          <w:rtl/>
        </w:rPr>
      </w:pPr>
      <w:r>
        <w:rPr>
          <w:rFonts w:cs="David"/>
          <w:sz w:val="24"/>
          <w:rtl/>
        </w:rPr>
        <w:tab/>
      </w:r>
      <w:r>
        <w:rPr>
          <w:rFonts w:cs="David"/>
          <w:sz w:val="24"/>
          <w:rtl/>
        </w:rPr>
        <w:tab/>
      </w:r>
      <w:r>
        <w:rPr>
          <w:rFonts w:cs="David"/>
          <w:sz w:val="24"/>
          <w:rtl/>
        </w:rPr>
        <w:tab/>
        <w:t xml:space="preserve">  חנה אטקס</w:t>
      </w:r>
      <w:r>
        <w:rPr>
          <w:rFonts w:cs="David"/>
          <w:sz w:val="24"/>
          <w:rtl/>
        </w:rPr>
        <w:tab/>
      </w:r>
      <w:r>
        <w:rPr>
          <w:rFonts w:cs="David"/>
          <w:sz w:val="24"/>
          <w:rtl/>
        </w:rPr>
        <w:tab/>
      </w:r>
      <w:r>
        <w:rPr>
          <w:rFonts w:cs="David"/>
          <w:sz w:val="24"/>
          <w:rtl/>
        </w:rPr>
        <w:tab/>
        <w:t xml:space="preserve"> - מנהלת שירות המבחן למבוגרים, משרד הרווחה</w:t>
      </w:r>
    </w:p>
    <w:p w:rsidR="00000000" w:rsidRDefault="003F72C2">
      <w:pPr>
        <w:rPr>
          <w:rFonts w:cs="David"/>
          <w:sz w:val="24"/>
          <w:rtl/>
        </w:rPr>
      </w:pPr>
      <w:r>
        <w:rPr>
          <w:rFonts w:cs="David"/>
          <w:sz w:val="24"/>
          <w:rtl/>
        </w:rPr>
        <w:tab/>
      </w:r>
      <w:r>
        <w:rPr>
          <w:rFonts w:cs="David"/>
          <w:sz w:val="24"/>
          <w:rtl/>
        </w:rPr>
        <w:tab/>
      </w:r>
      <w:r>
        <w:rPr>
          <w:rFonts w:cs="David"/>
          <w:sz w:val="24"/>
          <w:rtl/>
        </w:rPr>
        <w:tab/>
        <w:t xml:space="preserve">  עו"ד רינת וייגלר</w:t>
      </w:r>
      <w:r>
        <w:rPr>
          <w:rFonts w:cs="David"/>
          <w:sz w:val="24"/>
          <w:rtl/>
        </w:rPr>
        <w:tab/>
      </w:r>
      <w:r>
        <w:rPr>
          <w:rFonts w:cs="David"/>
          <w:sz w:val="24"/>
          <w:rtl/>
        </w:rPr>
        <w:tab/>
        <w:t xml:space="preserve"> - לשכה משפטית, משרד הרווחה</w:t>
      </w:r>
    </w:p>
    <w:p w:rsidR="00000000" w:rsidRDefault="003F72C2">
      <w:pPr>
        <w:ind w:firstLine="567"/>
        <w:rPr>
          <w:rFonts w:cs="David"/>
          <w:sz w:val="24"/>
          <w:rtl/>
        </w:rPr>
      </w:pPr>
      <w:r>
        <w:rPr>
          <w:rFonts w:cs="David"/>
          <w:sz w:val="24"/>
          <w:rtl/>
        </w:rPr>
        <w:tab/>
      </w:r>
      <w:r>
        <w:rPr>
          <w:rFonts w:cs="David"/>
          <w:sz w:val="24"/>
          <w:rtl/>
        </w:rPr>
        <w:tab/>
        <w:t xml:space="preserve">  חנה סלוצקי</w:t>
      </w:r>
      <w:r>
        <w:rPr>
          <w:rFonts w:cs="David"/>
          <w:sz w:val="24"/>
          <w:rtl/>
        </w:rPr>
        <w:tab/>
      </w:r>
      <w:r>
        <w:rPr>
          <w:rFonts w:cs="David"/>
          <w:sz w:val="24"/>
          <w:rtl/>
        </w:rPr>
        <w:tab/>
        <w:t xml:space="preserve"> - פקידת סעד ארצית לחוק הנוער, משרד</w:t>
      </w:r>
      <w:r>
        <w:rPr>
          <w:rFonts w:cs="David"/>
          <w:sz w:val="24"/>
          <w:rtl/>
        </w:rPr>
        <w:t xml:space="preserve"> הרווחה</w:t>
      </w:r>
    </w:p>
    <w:p w:rsidR="00000000" w:rsidRDefault="003F72C2">
      <w:pPr>
        <w:rPr>
          <w:rFonts w:cs="David"/>
          <w:sz w:val="24"/>
          <w:rtl/>
        </w:rPr>
      </w:pPr>
      <w:r>
        <w:rPr>
          <w:rFonts w:cs="David"/>
          <w:sz w:val="24"/>
          <w:rtl/>
        </w:rPr>
        <w:tab/>
      </w:r>
      <w:r>
        <w:rPr>
          <w:rFonts w:cs="David"/>
          <w:sz w:val="24"/>
          <w:rtl/>
        </w:rPr>
        <w:tab/>
      </w:r>
      <w:r>
        <w:rPr>
          <w:rFonts w:cs="David"/>
          <w:sz w:val="24"/>
          <w:rtl/>
        </w:rPr>
        <w:tab/>
        <w:t xml:space="preserve">   רותי מזרחי</w:t>
      </w:r>
      <w:r>
        <w:rPr>
          <w:rFonts w:cs="David"/>
          <w:sz w:val="24"/>
          <w:rtl/>
        </w:rPr>
        <w:tab/>
      </w:r>
      <w:r>
        <w:rPr>
          <w:rFonts w:cs="David"/>
          <w:i/>
          <w:iCs/>
          <w:sz w:val="24"/>
          <w:rtl/>
        </w:rPr>
        <w:tab/>
        <w:t xml:space="preserve"> - </w:t>
      </w:r>
      <w:r>
        <w:rPr>
          <w:rFonts w:cs="David"/>
          <w:sz w:val="24"/>
          <w:rtl/>
        </w:rPr>
        <w:t xml:space="preserve">מנהל אגף תנועת עובדי הוראה, משרד החינוך </w:t>
      </w:r>
    </w:p>
    <w:p w:rsidR="00000000" w:rsidRDefault="003F72C2">
      <w:pPr>
        <w:ind w:left="3402" w:firstLine="567"/>
        <w:rPr>
          <w:rFonts w:cs="David"/>
          <w:sz w:val="24"/>
          <w:rtl/>
        </w:rPr>
      </w:pPr>
      <w:r>
        <w:rPr>
          <w:rFonts w:cs="David"/>
          <w:sz w:val="24"/>
          <w:rtl/>
        </w:rPr>
        <w:t xml:space="preserve">   והתרבות</w:t>
      </w:r>
    </w:p>
    <w:p w:rsidR="00000000" w:rsidRDefault="003F72C2">
      <w:pPr>
        <w:ind w:left="1134" w:firstLine="567"/>
        <w:rPr>
          <w:rFonts w:cs="David"/>
          <w:sz w:val="24"/>
          <w:rtl/>
        </w:rPr>
      </w:pPr>
      <w:r>
        <w:rPr>
          <w:rFonts w:cs="David"/>
          <w:sz w:val="24"/>
          <w:rtl/>
        </w:rPr>
        <w:t xml:space="preserve">  סנ"צ שמואל ברגר</w:t>
      </w:r>
      <w:r>
        <w:rPr>
          <w:rFonts w:cs="David"/>
          <w:sz w:val="24"/>
          <w:rtl/>
        </w:rPr>
        <w:tab/>
      </w:r>
      <w:r>
        <w:rPr>
          <w:rFonts w:cs="David"/>
          <w:sz w:val="24"/>
          <w:rtl/>
        </w:rPr>
        <w:tab/>
        <w:t xml:space="preserve"> - רמ"ד מידע פלילי, המשרד לביטחון פנים</w:t>
      </w:r>
    </w:p>
    <w:p w:rsidR="00000000" w:rsidRDefault="003F72C2">
      <w:pPr>
        <w:rPr>
          <w:rFonts w:cs="David"/>
          <w:sz w:val="24"/>
          <w:rtl/>
        </w:rPr>
      </w:pPr>
      <w:r>
        <w:rPr>
          <w:rFonts w:cs="David"/>
          <w:sz w:val="24"/>
          <w:rtl/>
        </w:rPr>
        <w:tab/>
      </w:r>
      <w:r>
        <w:rPr>
          <w:rFonts w:cs="David"/>
          <w:sz w:val="24"/>
          <w:rtl/>
        </w:rPr>
        <w:tab/>
      </w:r>
      <w:r>
        <w:rPr>
          <w:rFonts w:cs="David"/>
          <w:sz w:val="24"/>
          <w:rtl/>
        </w:rPr>
        <w:tab/>
        <w:t xml:space="preserve">  סג"ד גדעון ברטפלד</w:t>
      </w:r>
      <w:r>
        <w:rPr>
          <w:rFonts w:cs="David"/>
          <w:sz w:val="24"/>
          <w:rtl/>
        </w:rPr>
        <w:tab/>
        <w:t xml:space="preserve"> - ע' יועמ"ש, המשרד לביטחון פנים</w:t>
      </w:r>
    </w:p>
    <w:p w:rsidR="00000000" w:rsidRDefault="003F72C2">
      <w:pPr>
        <w:rPr>
          <w:rFonts w:cs="David"/>
          <w:sz w:val="24"/>
          <w:rtl/>
        </w:rPr>
      </w:pPr>
      <w:r>
        <w:rPr>
          <w:rFonts w:cs="David"/>
          <w:sz w:val="24"/>
          <w:rtl/>
        </w:rPr>
        <w:tab/>
      </w:r>
      <w:r>
        <w:rPr>
          <w:rFonts w:cs="David"/>
          <w:sz w:val="24"/>
          <w:rtl/>
        </w:rPr>
        <w:tab/>
      </w:r>
      <w:r>
        <w:rPr>
          <w:rFonts w:cs="David"/>
          <w:sz w:val="24"/>
          <w:rtl/>
        </w:rPr>
        <w:tab/>
        <w:t xml:space="preserve">  עודד ברוק</w:t>
      </w:r>
      <w:r>
        <w:rPr>
          <w:rFonts w:cs="David"/>
          <w:sz w:val="24"/>
          <w:rtl/>
        </w:rPr>
        <w:tab/>
      </w:r>
      <w:r>
        <w:rPr>
          <w:rFonts w:cs="David"/>
          <w:sz w:val="24"/>
          <w:rtl/>
        </w:rPr>
        <w:tab/>
      </w:r>
      <w:r>
        <w:rPr>
          <w:rFonts w:cs="David"/>
          <w:sz w:val="24"/>
          <w:rtl/>
        </w:rPr>
        <w:tab/>
        <w:t xml:space="preserve"> - המשרד לביטחון פנים</w:t>
      </w:r>
    </w:p>
    <w:p w:rsidR="00000000" w:rsidRDefault="003F72C2">
      <w:pPr>
        <w:rPr>
          <w:rFonts w:cs="David"/>
          <w:sz w:val="24"/>
          <w:rtl/>
        </w:rPr>
      </w:pPr>
      <w:r>
        <w:rPr>
          <w:rFonts w:cs="David"/>
          <w:sz w:val="24"/>
          <w:rtl/>
        </w:rPr>
        <w:tab/>
      </w:r>
      <w:r>
        <w:rPr>
          <w:rFonts w:cs="David"/>
          <w:sz w:val="24"/>
          <w:rtl/>
        </w:rPr>
        <w:tab/>
      </w:r>
      <w:r>
        <w:rPr>
          <w:rFonts w:cs="David"/>
          <w:sz w:val="24"/>
          <w:rtl/>
        </w:rPr>
        <w:tab/>
        <w:t xml:space="preserve">  משה בר-סימנטוב</w:t>
      </w:r>
      <w:r>
        <w:rPr>
          <w:rFonts w:cs="David"/>
          <w:sz w:val="24"/>
          <w:rtl/>
        </w:rPr>
        <w:tab/>
      </w:r>
      <w:r>
        <w:rPr>
          <w:rFonts w:cs="David"/>
          <w:sz w:val="24"/>
          <w:rtl/>
        </w:rPr>
        <w:tab/>
        <w:t xml:space="preserve"> </w:t>
      </w:r>
      <w:r>
        <w:rPr>
          <w:rFonts w:cs="David"/>
          <w:sz w:val="24"/>
          <w:rtl/>
        </w:rPr>
        <w:t xml:space="preserve">- רפרנט רווחה, אגף תקציבים, משרד האוצר </w:t>
      </w:r>
    </w:p>
    <w:p w:rsidR="00000000" w:rsidRDefault="003F72C2">
      <w:pPr>
        <w:ind w:left="1134" w:firstLine="567"/>
        <w:rPr>
          <w:rFonts w:cs="David"/>
          <w:sz w:val="24"/>
          <w:rtl/>
        </w:rPr>
      </w:pPr>
      <w:r>
        <w:rPr>
          <w:rFonts w:cs="David"/>
          <w:sz w:val="24"/>
          <w:rtl/>
        </w:rPr>
        <w:t xml:space="preserve">  שרונה עבר-הדני</w:t>
      </w:r>
      <w:r>
        <w:rPr>
          <w:rFonts w:cs="David"/>
          <w:sz w:val="24"/>
          <w:rtl/>
        </w:rPr>
        <w:tab/>
      </w:r>
      <w:r>
        <w:rPr>
          <w:rFonts w:cs="David"/>
          <w:sz w:val="24"/>
          <w:rtl/>
        </w:rPr>
        <w:tab/>
        <w:t xml:space="preserve"> - משרד הבריאות</w:t>
      </w:r>
    </w:p>
    <w:p w:rsidR="00000000" w:rsidRDefault="003F72C2">
      <w:pPr>
        <w:ind w:left="1134" w:firstLine="567"/>
        <w:rPr>
          <w:rFonts w:cs="David"/>
          <w:sz w:val="24"/>
          <w:rtl/>
        </w:rPr>
      </w:pPr>
      <w:r>
        <w:rPr>
          <w:rFonts w:cs="David"/>
          <w:sz w:val="24"/>
          <w:rtl/>
        </w:rPr>
        <w:t xml:space="preserve">  הילה קרנר-סולימן</w:t>
      </w:r>
      <w:r>
        <w:rPr>
          <w:rFonts w:cs="David"/>
          <w:sz w:val="24"/>
          <w:rtl/>
        </w:rPr>
        <w:tab/>
        <w:t xml:space="preserve"> - מנכ"ל איגוד מרכזי סיוע לנפגעות תקיפה מינית</w:t>
      </w:r>
    </w:p>
    <w:p w:rsidR="00000000" w:rsidRDefault="003F72C2">
      <w:pPr>
        <w:ind w:left="1134" w:firstLine="567"/>
        <w:rPr>
          <w:rFonts w:cs="David"/>
          <w:sz w:val="24"/>
          <w:rtl/>
        </w:rPr>
      </w:pPr>
      <w:r>
        <w:rPr>
          <w:rFonts w:cs="David"/>
          <w:sz w:val="24"/>
          <w:rtl/>
        </w:rPr>
        <w:t xml:space="preserve">  עו"ד ורד וינדמן</w:t>
      </w:r>
      <w:r>
        <w:rPr>
          <w:rFonts w:cs="David"/>
          <w:sz w:val="24"/>
          <w:rtl/>
        </w:rPr>
        <w:tab/>
      </w:r>
      <w:r>
        <w:rPr>
          <w:rFonts w:cs="David"/>
          <w:sz w:val="24"/>
          <w:rtl/>
        </w:rPr>
        <w:tab/>
        <w:t xml:space="preserve"> - מרכזת פרויקט ליווי ילדים נפגעי עבירה,</w:t>
      </w:r>
    </w:p>
    <w:p w:rsidR="00000000" w:rsidRDefault="003F72C2">
      <w:pPr>
        <w:ind w:left="1134" w:firstLine="567"/>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המועצה הלאומית לשלום הילד</w:t>
      </w:r>
    </w:p>
    <w:p w:rsidR="00000000" w:rsidRDefault="003F72C2">
      <w:pPr>
        <w:ind w:left="1134" w:firstLine="567"/>
        <w:rPr>
          <w:rFonts w:cs="David"/>
          <w:sz w:val="24"/>
          <w:rtl/>
        </w:rPr>
      </w:pPr>
      <w:r>
        <w:rPr>
          <w:rFonts w:cs="David"/>
          <w:sz w:val="24"/>
          <w:rtl/>
        </w:rPr>
        <w:t xml:space="preserve">  עו"ד לילה מרגלית</w:t>
      </w:r>
      <w:r>
        <w:rPr>
          <w:rFonts w:cs="David"/>
          <w:sz w:val="24"/>
          <w:rtl/>
        </w:rPr>
        <w:tab/>
      </w:r>
      <w:r>
        <w:rPr>
          <w:rFonts w:cs="David"/>
          <w:sz w:val="24"/>
          <w:rtl/>
        </w:rPr>
        <w:tab/>
        <w:t xml:space="preserve"> - ה</w:t>
      </w:r>
      <w:r>
        <w:rPr>
          <w:rFonts w:cs="David"/>
          <w:sz w:val="24"/>
          <w:rtl/>
        </w:rPr>
        <w:t>אגודה לזכויות האזרח</w:t>
      </w:r>
    </w:p>
    <w:p w:rsidR="00000000" w:rsidRDefault="003F72C2">
      <w:pPr>
        <w:rPr>
          <w:rFonts w:cs="David"/>
          <w:sz w:val="24"/>
          <w:rtl/>
        </w:rPr>
      </w:pPr>
      <w:r>
        <w:rPr>
          <w:rFonts w:cs="David"/>
          <w:sz w:val="24"/>
          <w:rtl/>
        </w:rPr>
        <w:tab/>
      </w:r>
      <w:r>
        <w:rPr>
          <w:rFonts w:cs="David"/>
          <w:sz w:val="24"/>
          <w:rtl/>
        </w:rPr>
        <w:tab/>
      </w:r>
      <w:r>
        <w:rPr>
          <w:rFonts w:cs="David"/>
          <w:sz w:val="24"/>
          <w:rtl/>
        </w:rPr>
        <w:tab/>
        <w:t xml:space="preserve">  חניתה כנען</w:t>
      </w:r>
      <w:r>
        <w:rPr>
          <w:rFonts w:cs="David"/>
          <w:sz w:val="24"/>
          <w:rtl/>
        </w:rPr>
        <w:tab/>
      </w:r>
      <w:r>
        <w:rPr>
          <w:rFonts w:cs="David"/>
          <w:sz w:val="24"/>
          <w:rtl/>
        </w:rPr>
        <w:tab/>
      </w:r>
      <w:r>
        <w:rPr>
          <w:rFonts w:cs="David"/>
          <w:sz w:val="24"/>
          <w:rtl/>
        </w:rPr>
        <w:tab/>
        <w:t xml:space="preserve"> - הקואליציה להגנה על קורבנות עבירה</w:t>
      </w:r>
    </w:p>
    <w:p w:rsidR="00000000" w:rsidRDefault="003F72C2">
      <w:pPr>
        <w:rPr>
          <w:rFonts w:cs="David"/>
          <w:sz w:val="24"/>
          <w:rtl/>
        </w:rPr>
      </w:pPr>
      <w:r>
        <w:rPr>
          <w:rFonts w:cs="David"/>
          <w:sz w:val="24"/>
          <w:rtl/>
        </w:rPr>
        <w:tab/>
      </w:r>
      <w:r>
        <w:rPr>
          <w:rFonts w:cs="David"/>
          <w:sz w:val="24"/>
          <w:rtl/>
        </w:rPr>
        <w:tab/>
      </w:r>
      <w:r>
        <w:rPr>
          <w:rFonts w:cs="David"/>
          <w:sz w:val="24"/>
          <w:rtl/>
        </w:rPr>
        <w:tab/>
        <w:t xml:space="preserve">   עו"ד נאוה דהן</w:t>
      </w:r>
      <w:r>
        <w:rPr>
          <w:rFonts w:cs="David"/>
          <w:sz w:val="24"/>
          <w:rtl/>
        </w:rPr>
        <w:tab/>
      </w:r>
      <w:r>
        <w:rPr>
          <w:rFonts w:cs="David"/>
          <w:sz w:val="24"/>
          <w:rtl/>
        </w:rPr>
        <w:tab/>
        <w:t xml:space="preserve"> - לשכת עורכי הדין</w:t>
      </w:r>
    </w:p>
    <w:p w:rsidR="00000000" w:rsidRDefault="003F72C2">
      <w:pPr>
        <w:rPr>
          <w:rFonts w:cs="David"/>
          <w:sz w:val="24"/>
          <w:rtl/>
        </w:rPr>
      </w:pPr>
      <w:r>
        <w:rPr>
          <w:rFonts w:cs="David"/>
          <w:sz w:val="24"/>
          <w:rtl/>
        </w:rPr>
        <w:tab/>
      </w:r>
      <w:r>
        <w:rPr>
          <w:rFonts w:cs="David"/>
          <w:sz w:val="24"/>
          <w:rtl/>
        </w:rPr>
        <w:tab/>
      </w:r>
      <w:r>
        <w:rPr>
          <w:rFonts w:cs="David"/>
          <w:sz w:val="24"/>
          <w:rtl/>
        </w:rPr>
        <w:tab/>
        <w:t xml:space="preserve">  ד"ר דוד וינר</w:t>
      </w:r>
      <w:r>
        <w:rPr>
          <w:rFonts w:cs="David"/>
          <w:sz w:val="24"/>
          <w:rtl/>
        </w:rPr>
        <w:tab/>
      </w:r>
      <w:r>
        <w:rPr>
          <w:rFonts w:cs="David"/>
          <w:sz w:val="24"/>
          <w:rtl/>
        </w:rPr>
        <w:tab/>
        <w:t xml:space="preserve"> - סגן הסנגור הציבורי</w:t>
      </w:r>
    </w:p>
    <w:p w:rsidR="00000000" w:rsidRDefault="003F72C2">
      <w:pPr>
        <w:rPr>
          <w:rFonts w:cs="David"/>
          <w:sz w:val="24"/>
          <w:rtl/>
        </w:rPr>
      </w:pPr>
      <w:r>
        <w:rPr>
          <w:rFonts w:cs="David"/>
          <w:sz w:val="24"/>
          <w:rtl/>
        </w:rPr>
        <w:tab/>
      </w:r>
      <w:r>
        <w:rPr>
          <w:rFonts w:cs="David"/>
          <w:sz w:val="24"/>
          <w:rtl/>
        </w:rPr>
        <w:tab/>
      </w:r>
      <w:r>
        <w:rPr>
          <w:rFonts w:cs="David"/>
          <w:sz w:val="24"/>
          <w:rtl/>
        </w:rPr>
        <w:tab/>
        <w:t xml:space="preserve">  שי צרפתי</w:t>
      </w:r>
      <w:r>
        <w:rPr>
          <w:rFonts w:cs="David"/>
          <w:sz w:val="24"/>
          <w:rtl/>
        </w:rPr>
        <w:tab/>
      </w:r>
      <w:r>
        <w:rPr>
          <w:rFonts w:cs="David"/>
          <w:sz w:val="24"/>
          <w:rtl/>
        </w:rPr>
        <w:tab/>
      </w:r>
      <w:r>
        <w:rPr>
          <w:rFonts w:cs="David"/>
          <w:sz w:val="24"/>
          <w:rtl/>
        </w:rPr>
        <w:tab/>
        <w:t xml:space="preserve"> - הנהלת בתי המשפט</w:t>
      </w:r>
    </w:p>
    <w:p w:rsidR="00000000" w:rsidRDefault="003F72C2">
      <w:pPr>
        <w:rPr>
          <w:rFonts w:cs="David"/>
          <w:sz w:val="24"/>
          <w:rtl/>
        </w:rPr>
      </w:pPr>
      <w:r>
        <w:rPr>
          <w:rFonts w:cs="David"/>
          <w:sz w:val="24"/>
          <w:rtl/>
        </w:rPr>
        <w:tab/>
      </w:r>
      <w:r>
        <w:rPr>
          <w:rFonts w:cs="David"/>
          <w:sz w:val="24"/>
          <w:rtl/>
        </w:rPr>
        <w:tab/>
      </w:r>
      <w:r>
        <w:rPr>
          <w:rFonts w:cs="David"/>
          <w:sz w:val="24"/>
          <w:rtl/>
        </w:rPr>
        <w:tab/>
        <w:t xml:space="preserve">  עמוס אולצוור</w:t>
      </w:r>
      <w:r>
        <w:rPr>
          <w:rFonts w:cs="David"/>
          <w:sz w:val="24"/>
          <w:rtl/>
        </w:rPr>
        <w:tab/>
      </w:r>
      <w:r>
        <w:rPr>
          <w:rFonts w:cs="David"/>
          <w:sz w:val="24"/>
          <w:rtl/>
        </w:rPr>
        <w:tab/>
        <w:t xml:space="preserve"> - ממ"מ</w:t>
      </w:r>
    </w:p>
    <w:p w:rsidR="00000000" w:rsidRDefault="003F72C2">
      <w:pPr>
        <w:rPr>
          <w:rFonts w:cs="David"/>
          <w:sz w:val="24"/>
          <w:rtl/>
        </w:rPr>
      </w:pPr>
    </w:p>
    <w:p w:rsidR="00000000" w:rsidRDefault="003F72C2">
      <w:pPr>
        <w:rPr>
          <w:rFonts w:cs="David"/>
          <w:sz w:val="24"/>
          <w:rtl/>
        </w:rPr>
      </w:pPr>
    </w:p>
    <w:p w:rsidR="00000000" w:rsidRDefault="003F72C2">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תמי סלע</w:t>
      </w:r>
    </w:p>
    <w:p w:rsidR="00000000" w:rsidRDefault="003F72C2">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w:t>
      </w:r>
      <w:r>
        <w:rPr>
          <w:rFonts w:cs="David"/>
          <w:sz w:val="24"/>
          <w:rtl/>
        </w:rPr>
        <w:t>ורית ואג</w:t>
      </w:r>
    </w:p>
    <w:p w:rsidR="00000000" w:rsidRDefault="003F72C2">
      <w:pPr>
        <w:tabs>
          <w:tab w:val="left" w:pos="1930"/>
        </w:tabs>
        <w:rPr>
          <w:rFonts w:cs="David"/>
          <w:sz w:val="24"/>
          <w:rtl/>
        </w:rPr>
      </w:pPr>
      <w:r>
        <w:rPr>
          <w:rFonts w:cs="David"/>
          <w:b/>
          <w:bCs/>
          <w:sz w:val="24"/>
          <w:u w:val="single"/>
          <w:rtl/>
        </w:rPr>
        <w:t>רשמו</w:t>
      </w:r>
      <w:r>
        <w:rPr>
          <w:rFonts w:cs="David"/>
          <w:sz w:val="24"/>
          <w:rtl/>
        </w:rPr>
        <w:t>:</w:t>
      </w:r>
      <w:r>
        <w:rPr>
          <w:rFonts w:cs="David"/>
          <w:sz w:val="24"/>
          <w:rtl/>
        </w:rPr>
        <w:tab/>
        <w:t>הדס דויטש, תמר שפנייר</w:t>
      </w:r>
    </w:p>
    <w:p w:rsidR="00000000" w:rsidRDefault="003F72C2">
      <w:pPr>
        <w:rPr>
          <w:rFonts w:cs="David"/>
          <w:b/>
          <w:bCs/>
          <w:sz w:val="24"/>
          <w:rtl/>
        </w:rPr>
      </w:pPr>
    </w:p>
    <w:p w:rsidR="00000000" w:rsidRDefault="003F72C2">
      <w:pPr>
        <w:jc w:val="center"/>
        <w:rPr>
          <w:rFonts w:cs="David"/>
          <w:b/>
          <w:bCs/>
          <w:sz w:val="24"/>
          <w:u w:val="single"/>
          <w:rtl/>
        </w:rPr>
      </w:pPr>
      <w:r>
        <w:rPr>
          <w:rFonts w:cs="David"/>
          <w:sz w:val="24"/>
          <w:rtl/>
        </w:rPr>
        <w:br w:type="page"/>
      </w:r>
      <w:r>
        <w:rPr>
          <w:rFonts w:cs="David"/>
          <w:b/>
          <w:bCs/>
          <w:sz w:val="24"/>
          <w:u w:val="single"/>
          <w:rtl/>
        </w:rPr>
        <w:lastRenderedPageBreak/>
        <w:t>הצעת חוק הגבלות על חזרתו של עבריין מין לסביבת נפגע העבירה, התשס"ד-2004</w:t>
      </w:r>
    </w:p>
    <w:p w:rsidR="00000000" w:rsidRDefault="003F72C2">
      <w:pPr>
        <w:jc w:val="center"/>
        <w:rPr>
          <w:rFonts w:cs="David"/>
          <w:b/>
          <w:bCs/>
          <w:sz w:val="24"/>
          <w:u w:val="single"/>
          <w:rtl/>
        </w:rPr>
      </w:pPr>
      <w:r>
        <w:rPr>
          <w:rFonts w:cs="David"/>
          <w:b/>
          <w:bCs/>
          <w:sz w:val="24"/>
          <w:u w:val="single"/>
          <w:rtl/>
        </w:rPr>
        <w:t>- הכנה לקריאה שנייה ושלישית</w:t>
      </w:r>
    </w:p>
    <w:p w:rsidR="00000000" w:rsidRDefault="003F72C2">
      <w:pPr>
        <w:jc w:val="center"/>
        <w:rPr>
          <w:rFonts w:cs="David"/>
          <w:b/>
          <w:bCs/>
          <w:sz w:val="24"/>
          <w:u w:val="single"/>
          <w:rtl/>
        </w:rPr>
      </w:pPr>
    </w:p>
    <w:p w:rsidR="00000000" w:rsidRDefault="003F72C2">
      <w:pPr>
        <w:rPr>
          <w:rFonts w:cs="David"/>
          <w:sz w:val="24"/>
          <w:rtl/>
        </w:rPr>
      </w:pP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 xml:space="preserve"> בוקר טוב, אני מתכבד לפתוח את הישיבה.</w:t>
      </w:r>
    </w:p>
    <w:p w:rsidR="00000000" w:rsidRDefault="003F72C2">
      <w:pPr>
        <w:rPr>
          <w:rFonts w:cs="David"/>
          <w:sz w:val="24"/>
          <w:rtl/>
        </w:rPr>
      </w:pPr>
    </w:p>
    <w:p w:rsidR="00000000" w:rsidRDefault="003F72C2">
      <w:pPr>
        <w:rPr>
          <w:rFonts w:cs="David"/>
          <w:sz w:val="24"/>
          <w:rtl/>
        </w:rPr>
      </w:pPr>
      <w:r>
        <w:rPr>
          <w:rFonts w:cs="David"/>
          <w:sz w:val="24"/>
          <w:u w:val="single"/>
          <w:rtl/>
        </w:rPr>
        <w:t>חניתה כנען:</w:t>
      </w:r>
    </w:p>
    <w:p w:rsidR="00000000" w:rsidRDefault="003F72C2">
      <w:pPr>
        <w:rPr>
          <w:rFonts w:cs="David"/>
          <w:sz w:val="24"/>
          <w:rtl/>
        </w:rPr>
      </w:pPr>
    </w:p>
    <w:p w:rsidR="00000000" w:rsidRDefault="003F72C2">
      <w:pPr>
        <w:rPr>
          <w:rFonts w:cs="David"/>
          <w:sz w:val="24"/>
          <w:rtl/>
        </w:rPr>
      </w:pPr>
      <w:r>
        <w:rPr>
          <w:rFonts w:cs="David"/>
          <w:sz w:val="24"/>
          <w:rtl/>
        </w:rPr>
        <w:tab/>
        <w:t>לגבי ההחלטה על דוח מומחה במקום תסקיר קורבן</w:t>
      </w:r>
      <w:r>
        <w:rPr>
          <w:rFonts w:cs="David"/>
          <w:sz w:val="24"/>
          <w:rtl/>
        </w:rPr>
        <w:t>; זה הדיר שינה מעיניי בלילות האחרונים. אני חושבת שקרתה כאן נסיגה עצומה מזכויות הקורבן. אני חושבת שזה פוגע בקורבנות, ומרוב איזון- -</w:t>
      </w:r>
    </w:p>
    <w:p w:rsidR="00000000" w:rsidRDefault="003F72C2">
      <w:pPr>
        <w:rPr>
          <w:rFonts w:cs="David"/>
          <w:sz w:val="24"/>
          <w:rtl/>
        </w:rPr>
      </w:pP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 xml:space="preserve"> למה זה פוגע?</w:t>
      </w:r>
    </w:p>
    <w:p w:rsidR="00000000" w:rsidRDefault="003F72C2">
      <w:pPr>
        <w:rPr>
          <w:rFonts w:cs="David"/>
          <w:sz w:val="24"/>
          <w:rtl/>
        </w:rPr>
      </w:pPr>
    </w:p>
    <w:p w:rsidR="00000000" w:rsidRDefault="003F72C2">
      <w:pPr>
        <w:rPr>
          <w:rFonts w:cs="David"/>
          <w:sz w:val="24"/>
          <w:rtl/>
        </w:rPr>
      </w:pPr>
      <w:r>
        <w:rPr>
          <w:rFonts w:cs="David"/>
          <w:sz w:val="24"/>
          <w:u w:val="single"/>
          <w:rtl/>
        </w:rPr>
        <w:t>חניתה כנען:</w:t>
      </w:r>
    </w:p>
    <w:p w:rsidR="00000000" w:rsidRDefault="003F72C2">
      <w:pPr>
        <w:rPr>
          <w:rFonts w:cs="David"/>
          <w:sz w:val="24"/>
          <w:rtl/>
        </w:rPr>
      </w:pPr>
    </w:p>
    <w:p w:rsidR="00000000" w:rsidRDefault="003F72C2">
      <w:pPr>
        <w:rPr>
          <w:rFonts w:cs="David"/>
          <w:sz w:val="24"/>
          <w:rtl/>
        </w:rPr>
      </w:pPr>
      <w:r>
        <w:rPr>
          <w:rFonts w:cs="David"/>
          <w:sz w:val="24"/>
          <w:rtl/>
        </w:rPr>
        <w:tab/>
        <w:t xml:space="preserve">בפעם הקודמת החליטו להחליף את תסקיר הקורבן בחוות דעת מומחה, שחוות דעת מומחה </w:t>
      </w:r>
      <w:r>
        <w:rPr>
          <w:rFonts w:cs="David"/>
          <w:sz w:val="24"/>
          <w:rtl/>
        </w:rPr>
        <w:t>תהיה חשופה לחקירה נגדית מפה ועד הודעה חדשה. נכון שהנפגעת לא תידרש להעיד, אך גם דרך חוות הדעת הזאת החיים הפרטיים שלה יכולים להיחשף, ויכולים לשאול שאלות שתי וערב. אני הייתי רוצה לבקש לשקול זאת שוב.</w:t>
      </w:r>
    </w:p>
    <w:p w:rsidR="00000000" w:rsidRDefault="003F72C2">
      <w:pPr>
        <w:rPr>
          <w:rFonts w:cs="David"/>
          <w:sz w:val="24"/>
          <w:rtl/>
        </w:rPr>
      </w:pPr>
    </w:p>
    <w:p w:rsidR="00000000" w:rsidRDefault="003F72C2">
      <w:pPr>
        <w:rPr>
          <w:rFonts w:cs="David"/>
          <w:sz w:val="24"/>
          <w:rtl/>
        </w:rPr>
      </w:pPr>
      <w:r>
        <w:rPr>
          <w:rFonts w:cs="David"/>
          <w:sz w:val="24"/>
          <w:rtl/>
        </w:rPr>
        <w:tab/>
        <w:t>שנית, במקרה שהבקשה מוגשת מייד בתום הדיון, נגיד שמישהו הולך</w:t>
      </w:r>
      <w:r>
        <w:rPr>
          <w:rFonts w:cs="David"/>
          <w:sz w:val="24"/>
          <w:rtl/>
        </w:rPr>
        <w:t xml:space="preserve"> לעבודות שירות או משהו כזה, ואז יש כבר תסקיר קורבן, כי תסקיר קורבן נערך והוגש לבית המשפט, ואז פתאום יגידו: פוס, עכשיו אנו רוצים חוות דעת מומחה. זה גם כסף, ולדעתי, גם מיותר. אני מאוד מבקשת לשקול את ההחלטה הזאת שוב.</w:t>
      </w:r>
    </w:p>
    <w:p w:rsidR="00000000" w:rsidRDefault="003F72C2">
      <w:pPr>
        <w:rPr>
          <w:rFonts w:cs="David"/>
          <w:sz w:val="24"/>
          <w:rtl/>
        </w:rPr>
      </w:pP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 xml:space="preserve"> יש לנו בעיות כספיות </w:t>
      </w:r>
      <w:r>
        <w:rPr>
          <w:rFonts w:cs="David"/>
          <w:sz w:val="24"/>
          <w:rtl/>
        </w:rPr>
        <w:t>ותקציביות. אם אתם רוצים שהחוק הזה לא יתקיים בכלל, אתם צריכים להביא את זה בחשבון, שאתם צריכים להסתדר עם האוצר. עלות החוק הזה לא יכולה לעבור 5 מיליון ש"ח, גג. אם היא תעבור, החוק לא יהיה. כדאי שנבין את זה.</w:t>
      </w:r>
    </w:p>
    <w:p w:rsidR="00000000" w:rsidRDefault="003F72C2">
      <w:pPr>
        <w:rPr>
          <w:rFonts w:cs="David"/>
          <w:sz w:val="24"/>
          <w:rtl/>
        </w:rPr>
      </w:pPr>
    </w:p>
    <w:p w:rsidR="00000000" w:rsidRDefault="003F72C2">
      <w:pPr>
        <w:rPr>
          <w:rFonts w:cs="David"/>
          <w:sz w:val="24"/>
          <w:rtl/>
        </w:rPr>
      </w:pPr>
      <w:r>
        <w:rPr>
          <w:rFonts w:cs="David"/>
          <w:sz w:val="24"/>
          <w:rtl/>
        </w:rPr>
        <w:tab/>
        <w:t>שנית, ואולי זה הדבר הראשון, עם כל הכבוד לנפגעי העבי</w:t>
      </w:r>
      <w:r>
        <w:rPr>
          <w:rFonts w:cs="David"/>
          <w:sz w:val="24"/>
          <w:rtl/>
        </w:rPr>
        <w:t xml:space="preserve">רה, אנו הולכים בחוק הזה לקראתם, אבל גם נפגעי העבירה צריכים להבין שהתוצאה של החלטה על הרחקת עבריין שהוא מבחינתו ריצה עונש, ויכול להיות שהוא גם חזר באמת בתשובה, וזה לא מעניין אף אחד, כי החוק לא מתייחס לזה. מספיק שמבחינה סובייקטיבית קורבן העבירה אומר: אני לא </w:t>
      </w:r>
      <w:r>
        <w:rPr>
          <w:rFonts w:cs="David"/>
          <w:sz w:val="24"/>
          <w:rtl/>
        </w:rPr>
        <w:t xml:space="preserve">יכול לסבול אותו במחיצתי, אז מרחיקים אותו. אנו מוכנים גם לזה. </w:t>
      </w:r>
    </w:p>
    <w:p w:rsidR="00000000" w:rsidRDefault="003F72C2">
      <w:pPr>
        <w:rPr>
          <w:rFonts w:cs="David"/>
          <w:sz w:val="24"/>
          <w:rtl/>
        </w:rPr>
      </w:pPr>
    </w:p>
    <w:p w:rsidR="00000000" w:rsidRDefault="003F72C2">
      <w:pPr>
        <w:ind w:firstLine="567"/>
        <w:rPr>
          <w:rFonts w:cs="David"/>
          <w:sz w:val="24"/>
          <w:rtl/>
        </w:rPr>
      </w:pPr>
      <w:r>
        <w:rPr>
          <w:rFonts w:cs="David"/>
          <w:sz w:val="24"/>
          <w:rtl/>
        </w:rPr>
        <w:t>אבל יש לאותו אדם זכות מלאה לומר, עם כל הכבוד לקורבן העבירה: הוא לא מייצג את רגשותיו האמיתיים, הוא חושב שהעונש שקיבלתי לא מספיק. מדוע אסור לו לטעון את זה? מדוע אסור לו לברר את השאלה הזאת בבית המ</w:t>
      </w:r>
      <w:r>
        <w:rPr>
          <w:rFonts w:cs="David"/>
          <w:sz w:val="24"/>
          <w:rtl/>
        </w:rPr>
        <w:t>שפט, לפני שבית המשפט קיבל את ההחלטה שאומרת: אני מוכן לשלוח אותו רק בגלל שזה מפריע לקורבן העבירה? קורבן העבירה אומר: תשמעו, אני יודע שזה מעבר לעונש, שהאדם הזה יצטרך לשלם מחיר כבד מאוד בהעתקת מקום מגורים או מקום עבודה, אלא שבמקום שאני אצטרך לעזוב, הוא צריך ל</w:t>
      </w:r>
      <w:r>
        <w:rPr>
          <w:rFonts w:cs="David"/>
          <w:sz w:val="24"/>
          <w:rtl/>
        </w:rPr>
        <w:t>עזוב. אז אנו הולכים עם קורבן העבירה בטענה הזאת. אבל הוא חייב להראות שאכן מצבו כזה, שהוא נאלץ לעזוב. גם בין קורבנות העבירה יהיו כאלה, בהכרח מהטבע האנושי, שיהיו שקרנים ורמאים ונוטרי טינה. למה אנו צריכים לקבל את דבריהם ללא שום היסוס? אז אנו מתחשבים בהם, ואומר</w:t>
      </w:r>
      <w:r>
        <w:rPr>
          <w:rFonts w:cs="David"/>
          <w:sz w:val="24"/>
          <w:rtl/>
        </w:rPr>
        <w:t>ים: לא צריכים להעיד. אבל משהו חייב להיות.</w:t>
      </w:r>
    </w:p>
    <w:p w:rsidR="00000000" w:rsidRDefault="003F72C2">
      <w:pPr>
        <w:rPr>
          <w:rFonts w:cs="David"/>
          <w:sz w:val="24"/>
          <w:rtl/>
        </w:rPr>
      </w:pPr>
    </w:p>
    <w:p w:rsidR="00000000" w:rsidRDefault="003F72C2">
      <w:pPr>
        <w:rPr>
          <w:rFonts w:cs="David"/>
          <w:sz w:val="24"/>
          <w:rtl/>
        </w:rPr>
      </w:pPr>
      <w:r>
        <w:rPr>
          <w:rFonts w:cs="David"/>
          <w:sz w:val="24"/>
          <w:u w:val="single"/>
          <w:rtl/>
        </w:rPr>
        <w:br w:type="page"/>
      </w:r>
      <w:r>
        <w:rPr>
          <w:rFonts w:cs="David"/>
          <w:sz w:val="24"/>
          <w:u w:val="single"/>
          <w:rtl/>
        </w:rPr>
        <w:lastRenderedPageBreak/>
        <w:t>חניתה כנען:</w:t>
      </w:r>
    </w:p>
    <w:p w:rsidR="00000000" w:rsidRDefault="003F72C2">
      <w:pPr>
        <w:rPr>
          <w:rFonts w:cs="David"/>
          <w:sz w:val="24"/>
          <w:rtl/>
        </w:rPr>
      </w:pPr>
    </w:p>
    <w:p w:rsidR="00000000" w:rsidRDefault="003F72C2">
      <w:pPr>
        <w:rPr>
          <w:rFonts w:cs="David"/>
          <w:sz w:val="24"/>
          <w:rtl/>
        </w:rPr>
      </w:pPr>
      <w:r>
        <w:rPr>
          <w:rFonts w:cs="David"/>
          <w:sz w:val="24"/>
          <w:rtl/>
        </w:rPr>
        <w:tab/>
        <w:t>מגיש התסקיר עונה על שאלות.</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בעניין החיסיון; העובדה שזאת תהיה חוות דעת מומחה, זה לא גורע מההוראות לפי פקודת הראיות, שיש חיסיון של פסיכולוג ושל עובד סוציאלי, ואם יהיו דברים שהם תחת החיסיון,</w:t>
      </w:r>
      <w:r>
        <w:rPr>
          <w:rFonts w:cs="David"/>
          <w:sz w:val="24"/>
          <w:rtl/>
        </w:rPr>
        <w:t xml:space="preserve"> הוא יוכל לטעון לחיסיון, ולא להגיד אותם. </w:t>
      </w:r>
    </w:p>
    <w:p w:rsidR="00000000" w:rsidRDefault="003F72C2">
      <w:pPr>
        <w:rPr>
          <w:rFonts w:cs="David"/>
          <w:sz w:val="24"/>
          <w:rtl/>
        </w:rPr>
      </w:pPr>
    </w:p>
    <w:p w:rsidR="00000000" w:rsidRDefault="003F72C2">
      <w:pPr>
        <w:ind w:firstLine="567"/>
        <w:rPr>
          <w:rFonts w:cs="David"/>
          <w:sz w:val="24"/>
          <w:rtl/>
        </w:rPr>
      </w:pPr>
      <w:r>
        <w:rPr>
          <w:rFonts w:cs="David"/>
          <w:sz w:val="24"/>
          <w:rtl/>
        </w:rPr>
        <w:t xml:space="preserve">לעניין תסקיר הנפגע; נכון שיש מצבים שניתן תסקיר. הפוקוס של תסקיר הנפגע, נכון שהוא יושב ובודק את הנפגע, והוא עובר תהליך, ויש לזה חסרונות, אנו מודעים גם לזה, אך עדיין הפוקוס הוא שונה, הוא לא פוקוס על הנזק הנפשי, הוא </w:t>
      </w:r>
      <w:r>
        <w:rPr>
          <w:rFonts w:cs="David"/>
          <w:sz w:val="24"/>
          <w:rtl/>
        </w:rPr>
        <w:t>יותר על המצב שלו באופן כללי.</w:t>
      </w:r>
    </w:p>
    <w:p w:rsidR="00000000" w:rsidRDefault="003F72C2">
      <w:pPr>
        <w:rPr>
          <w:rFonts w:cs="David"/>
          <w:sz w:val="24"/>
          <w:rtl/>
        </w:rPr>
      </w:pPr>
    </w:p>
    <w:p w:rsidR="00000000" w:rsidRDefault="003F72C2">
      <w:pPr>
        <w:rPr>
          <w:rFonts w:cs="David"/>
          <w:sz w:val="24"/>
          <w:rtl/>
        </w:rPr>
      </w:pPr>
      <w:r>
        <w:rPr>
          <w:rFonts w:cs="David"/>
          <w:sz w:val="24"/>
          <w:u w:val="single"/>
          <w:rtl/>
        </w:rPr>
        <w:t>חנה סלוצקי:</w:t>
      </w:r>
    </w:p>
    <w:p w:rsidR="00000000" w:rsidRDefault="003F72C2">
      <w:pPr>
        <w:rPr>
          <w:rFonts w:cs="David"/>
          <w:sz w:val="24"/>
          <w:rtl/>
        </w:rPr>
      </w:pPr>
    </w:p>
    <w:p w:rsidR="00000000" w:rsidRDefault="003F72C2">
      <w:pPr>
        <w:rPr>
          <w:rFonts w:cs="David"/>
          <w:sz w:val="24"/>
          <w:rtl/>
        </w:rPr>
      </w:pPr>
      <w:r>
        <w:rPr>
          <w:rFonts w:cs="David"/>
          <w:sz w:val="24"/>
          <w:rtl/>
        </w:rPr>
        <w:tab/>
        <w:t>לפי סעיף 187, זה הנזק הנפשי שנגרם לקורבנות עבירה.</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זה, כנראה, מה שבפועל בודקים בעיקר. השאלה שלי; אני לא יודעת למה, וזה גם עלה בדיון הקודם, לא יוכל אותו פסיכולוג או עובד סוציאלי קליני, נניח, שעשה את תסק</w:t>
      </w:r>
      <w:r>
        <w:rPr>
          <w:rFonts w:cs="David"/>
          <w:sz w:val="24"/>
          <w:rtl/>
        </w:rPr>
        <w:t>יר הנפגע להתמנות- -</w:t>
      </w:r>
    </w:p>
    <w:p w:rsidR="00000000" w:rsidRDefault="003F72C2">
      <w:pPr>
        <w:rPr>
          <w:rFonts w:cs="David"/>
          <w:sz w:val="24"/>
          <w:rtl/>
        </w:rPr>
      </w:pP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 xml:space="preserve"> הם לא רוצים שיחקרו אותו, זה הכל.</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לא יוכל להתמנות על ידי בית המשפט כמומחה על-פי ההוראות שבחוק הזה חלות על המומחה ולא על פי ההוראות שחלות- -</w:t>
      </w:r>
    </w:p>
    <w:p w:rsidR="00000000" w:rsidRDefault="003F72C2">
      <w:pPr>
        <w:rPr>
          <w:rFonts w:cs="David"/>
          <w:sz w:val="24"/>
          <w:rtl/>
        </w:rPr>
      </w:pPr>
    </w:p>
    <w:p w:rsidR="00000000" w:rsidRDefault="003F72C2">
      <w:pPr>
        <w:rPr>
          <w:rFonts w:cs="David"/>
          <w:sz w:val="24"/>
          <w:rtl/>
        </w:rPr>
      </w:pPr>
      <w:r>
        <w:rPr>
          <w:rFonts w:cs="David"/>
          <w:sz w:val="24"/>
          <w:u w:val="single"/>
          <w:rtl/>
        </w:rPr>
        <w:t>הילה קרנר-סולימן:</w:t>
      </w:r>
    </w:p>
    <w:p w:rsidR="00000000" w:rsidRDefault="003F72C2">
      <w:pPr>
        <w:rPr>
          <w:rFonts w:cs="David"/>
          <w:sz w:val="24"/>
          <w:rtl/>
        </w:rPr>
      </w:pPr>
    </w:p>
    <w:p w:rsidR="00000000" w:rsidRDefault="003F72C2">
      <w:pPr>
        <w:rPr>
          <w:rFonts w:cs="David"/>
          <w:sz w:val="24"/>
          <w:rtl/>
        </w:rPr>
      </w:pPr>
      <w:r>
        <w:rPr>
          <w:rFonts w:cs="David"/>
          <w:sz w:val="24"/>
          <w:rtl/>
        </w:rPr>
        <w:tab/>
        <w:t>גם רופאים בחדרי מיון לא אוהבים בנפגעות אונ</w:t>
      </w:r>
      <w:r>
        <w:rPr>
          <w:rFonts w:cs="David"/>
          <w:sz w:val="24"/>
          <w:rtl/>
        </w:rPr>
        <w:t>ס- -</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אם הטענה היא שלא תהיה חקירה של המומחה, זאת טענה שאותי לא משכנעת. אם הטענה היא שמישהו כבר ישב עם הנפגע, ועכשיו יצטרך לעבור את כל התהליך שוב, יכול להיות שיש לזה פתרון בכך שבית המשפט יוכל למנות גם את אותו מומחה שעשה את תסקיר הנפגע על-פי הוראו</w:t>
      </w:r>
      <w:r>
        <w:rPr>
          <w:rFonts w:cs="David"/>
          <w:sz w:val="24"/>
          <w:rtl/>
        </w:rPr>
        <w:t>ת החוק הזה- -</w:t>
      </w:r>
    </w:p>
    <w:p w:rsidR="00000000" w:rsidRDefault="003F72C2">
      <w:pPr>
        <w:rPr>
          <w:rFonts w:cs="David"/>
          <w:sz w:val="24"/>
          <w:rtl/>
        </w:rPr>
      </w:pPr>
    </w:p>
    <w:p w:rsidR="00000000" w:rsidRDefault="003F72C2">
      <w:pPr>
        <w:rPr>
          <w:rFonts w:cs="David"/>
          <w:sz w:val="24"/>
          <w:rtl/>
        </w:rPr>
      </w:pPr>
      <w:r>
        <w:rPr>
          <w:rFonts w:cs="David"/>
          <w:sz w:val="24"/>
          <w:u w:val="single"/>
          <w:rtl/>
        </w:rPr>
        <w:t>דפנה בינוולד:</w:t>
      </w:r>
    </w:p>
    <w:p w:rsidR="00000000" w:rsidRDefault="003F72C2">
      <w:pPr>
        <w:rPr>
          <w:rFonts w:cs="David"/>
          <w:sz w:val="24"/>
          <w:rtl/>
        </w:rPr>
      </w:pPr>
    </w:p>
    <w:p w:rsidR="00000000" w:rsidRDefault="003F72C2">
      <w:pPr>
        <w:ind w:left="570"/>
        <w:rPr>
          <w:rFonts w:cs="David"/>
          <w:sz w:val="24"/>
          <w:rtl/>
        </w:rPr>
      </w:pPr>
      <w:r>
        <w:rPr>
          <w:rFonts w:cs="David"/>
          <w:sz w:val="24"/>
          <w:rtl/>
        </w:rPr>
        <w:t>- - -</w:t>
      </w:r>
    </w:p>
    <w:p w:rsidR="00000000" w:rsidRDefault="003F72C2">
      <w:pPr>
        <w:rPr>
          <w:rFonts w:cs="David"/>
          <w:sz w:val="24"/>
          <w:rtl/>
        </w:rPr>
      </w:pPr>
      <w:r>
        <w:rPr>
          <w:rFonts w:cs="David"/>
          <w:sz w:val="24"/>
          <w:rtl/>
        </w:rPr>
        <w:tab/>
      </w: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אם הוא חושש כי הוא כבר פעם אחת עבר תהליך- -</w:t>
      </w:r>
    </w:p>
    <w:p w:rsidR="00000000" w:rsidRDefault="003F72C2">
      <w:pPr>
        <w:rPr>
          <w:rFonts w:cs="David"/>
          <w:sz w:val="24"/>
          <w:rtl/>
        </w:rPr>
      </w:pPr>
    </w:p>
    <w:p w:rsidR="00000000" w:rsidRDefault="003F72C2">
      <w:pPr>
        <w:rPr>
          <w:rFonts w:cs="David"/>
          <w:sz w:val="24"/>
          <w:rtl/>
        </w:rPr>
      </w:pPr>
      <w:r>
        <w:rPr>
          <w:rFonts w:cs="David"/>
          <w:sz w:val="24"/>
          <w:u w:val="single"/>
          <w:rtl/>
        </w:rPr>
        <w:br w:type="page"/>
        <w:t>דפנה בינוולד:</w:t>
      </w:r>
    </w:p>
    <w:p w:rsidR="00000000" w:rsidRDefault="003F72C2">
      <w:pPr>
        <w:rPr>
          <w:rFonts w:cs="David"/>
          <w:sz w:val="24"/>
          <w:rtl/>
        </w:rPr>
      </w:pPr>
    </w:p>
    <w:p w:rsidR="00000000" w:rsidRDefault="003F72C2">
      <w:pPr>
        <w:rPr>
          <w:rFonts w:cs="David"/>
          <w:sz w:val="24"/>
          <w:rtl/>
        </w:rPr>
      </w:pPr>
      <w:r>
        <w:rPr>
          <w:rFonts w:cs="David"/>
          <w:sz w:val="24"/>
          <w:rtl/>
        </w:rPr>
        <w:tab/>
        <w:t>לא יסכימו לעמוד בחקירה נגדית בבית משפט. זה מערער את כל הקונספציה של קצין מבחן. על זה דיברנו שעתיים בפעם הקודמת.</w:t>
      </w:r>
    </w:p>
    <w:p w:rsidR="00000000" w:rsidRDefault="003F72C2">
      <w:pPr>
        <w:rPr>
          <w:rFonts w:cs="David"/>
          <w:sz w:val="24"/>
          <w:rtl/>
        </w:rPr>
      </w:pP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 xml:space="preserve"> הוויכוח בענ</w:t>
      </w:r>
      <w:r>
        <w:rPr>
          <w:rFonts w:cs="David"/>
          <w:sz w:val="24"/>
          <w:rtl/>
        </w:rPr>
        <w:t>יין הזה הסתיים.</w:t>
      </w:r>
    </w:p>
    <w:p w:rsidR="00000000" w:rsidRDefault="003F72C2">
      <w:pPr>
        <w:rPr>
          <w:rFonts w:cs="David"/>
          <w:sz w:val="24"/>
          <w:rtl/>
        </w:rPr>
      </w:pPr>
    </w:p>
    <w:p w:rsidR="00000000" w:rsidRDefault="003F72C2">
      <w:pPr>
        <w:rPr>
          <w:rFonts w:cs="David"/>
          <w:sz w:val="24"/>
          <w:rtl/>
        </w:rPr>
      </w:pPr>
      <w:r>
        <w:rPr>
          <w:rFonts w:cs="David"/>
          <w:sz w:val="24"/>
          <w:u w:val="single"/>
          <w:rtl/>
        </w:rPr>
        <w:t>הילה קרנר-סולימן:</w:t>
      </w:r>
    </w:p>
    <w:p w:rsidR="00000000" w:rsidRDefault="003F72C2">
      <w:pPr>
        <w:rPr>
          <w:rFonts w:cs="David"/>
          <w:sz w:val="24"/>
          <w:rtl/>
        </w:rPr>
      </w:pPr>
    </w:p>
    <w:p w:rsidR="00000000" w:rsidRDefault="003F72C2">
      <w:pPr>
        <w:rPr>
          <w:rFonts w:cs="David"/>
          <w:sz w:val="24"/>
          <w:rtl/>
        </w:rPr>
      </w:pPr>
      <w:r>
        <w:rPr>
          <w:rFonts w:cs="David"/>
          <w:sz w:val="24"/>
          <w:rtl/>
        </w:rPr>
        <w:tab/>
        <w:t>וגם בעניין העלויות, חוות דעת מומחה עולה במקרה הטוב 1,000 שקל. איך זה מקטין את העלויות של החוק הזה?</w:t>
      </w:r>
    </w:p>
    <w:p w:rsidR="00000000" w:rsidRDefault="003F72C2">
      <w:pPr>
        <w:rPr>
          <w:rFonts w:cs="David"/>
          <w:sz w:val="24"/>
          <w:rtl/>
        </w:rPr>
      </w:pP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אני מסכים עם ההערה, אבל אין לנו אפשרות. חשבתי ששירות המבחן יקבל על עצמו את העבודה הזאת. הם לא רוצים</w:t>
      </w:r>
      <w:r>
        <w:rPr>
          <w:rFonts w:cs="David"/>
          <w:sz w:val="24"/>
          <w:rtl/>
        </w:rPr>
        <w:t>, הסיבה לא משנה. אז אין לי בררה, כי את זכות החקירה אני מאפשר במקרה הזה, אי אפשר לא לאפשר. מאחר שזה לא מתאים במסלול של התסקירים, עברנו לחוות דעת מומחה. אני מודע לזה שזה עולה יותר, אבל אין לי מוצא אחר. מאוד רציתי שזה יהיה בשירות המבחן.</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בעניין העל</w:t>
      </w:r>
      <w:r>
        <w:rPr>
          <w:rFonts w:cs="David"/>
          <w:sz w:val="24"/>
          <w:rtl/>
        </w:rPr>
        <w:t>ויות; נכון שכשמשלמים למומחה בשוק הפרטי, אדם הולך לפסיכולוג, זה עלויות גבהות יותר, אך כשאוצר המדינה משלם למומחה, ניסינו לברר, היה מאוד קשה לברר את הנתונים, יש תעריפים שהם לפי החוק, לפי תקנות סדר הדין האזרחי וסדר הדין הפלילי, שזה סכומים מגוחכים של עד 500 שקל</w:t>
      </w:r>
      <w:r>
        <w:rPr>
          <w:rFonts w:cs="David"/>
          <w:sz w:val="24"/>
          <w:rtl/>
        </w:rPr>
        <w:t xml:space="preserve">, אך הבנו שכשהפרקליטות לוקחת מומחה, זה כן מה שמשלמים, כך אמרה לנו גזברית של בית משפט שלום ועליון בירושלים. </w:t>
      </w:r>
    </w:p>
    <w:p w:rsidR="00000000" w:rsidRDefault="003F72C2">
      <w:pPr>
        <w:rPr>
          <w:rFonts w:cs="David"/>
          <w:sz w:val="24"/>
          <w:rtl/>
        </w:rPr>
      </w:pPr>
    </w:p>
    <w:p w:rsidR="00000000" w:rsidRDefault="003F72C2">
      <w:pPr>
        <w:ind w:firstLine="567"/>
        <w:rPr>
          <w:rFonts w:cs="David"/>
          <w:sz w:val="24"/>
          <w:rtl/>
        </w:rPr>
      </w:pPr>
      <w:r>
        <w:rPr>
          <w:rFonts w:cs="David"/>
          <w:sz w:val="24"/>
          <w:rtl/>
        </w:rPr>
        <w:t xml:space="preserve">יש גם כל מיני תעריפים בבתי הדין לעבודה, שזה בסביבות 900 שקל. מהסיוע המשפטי אמרו לנו שיש השתתפות של 2,000 שקל. זה לא מסודר, אך עדיין כשהמדינה משלמת </w:t>
      </w:r>
      <w:r>
        <w:rPr>
          <w:rFonts w:cs="David"/>
          <w:sz w:val="24"/>
          <w:rtl/>
        </w:rPr>
        <w:t>את זה, זה לא אותם סכומים שמטילים על צדדים.</w:t>
      </w:r>
    </w:p>
    <w:p w:rsidR="00000000" w:rsidRDefault="003F72C2">
      <w:pPr>
        <w:rPr>
          <w:rFonts w:cs="David"/>
          <w:sz w:val="24"/>
          <w:rtl/>
        </w:rPr>
      </w:pP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 xml:space="preserve"> אני מניח שחוות דעת של מומחה זה עניין של מינימום 1,000 דולר. הבעיה היא לא כספית. אין לנו אפשרות אחרת. אין לנו מוצא אחר.</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 xml:space="preserve">הגענו לסעיף 4, שהכנסנו בו תיקונים כדי להתאים אותו לפרוצדורה </w:t>
      </w:r>
      <w:r>
        <w:rPr>
          <w:rFonts w:cs="David"/>
          <w:sz w:val="24"/>
          <w:rtl/>
        </w:rPr>
        <w:t>של חוות דעת מומחה. קוראת סעיף 4.</w:t>
      </w:r>
    </w:p>
    <w:p w:rsidR="00000000" w:rsidRDefault="003F72C2">
      <w:pPr>
        <w:rPr>
          <w:rFonts w:cs="David"/>
          <w:sz w:val="24"/>
          <w:rtl/>
        </w:rPr>
      </w:pP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לא משאירים שיקול דעת לגבי העדות של נפגע העבירה?</w:t>
      </w:r>
    </w:p>
    <w:p w:rsidR="00000000" w:rsidRDefault="003F72C2">
      <w:pPr>
        <w:rPr>
          <w:rFonts w:cs="David"/>
          <w:sz w:val="24"/>
          <w:rtl/>
        </w:rPr>
      </w:pPr>
    </w:p>
    <w:p w:rsidR="00000000" w:rsidRDefault="003F72C2">
      <w:pPr>
        <w:rPr>
          <w:rFonts w:cs="David"/>
          <w:sz w:val="24"/>
          <w:rtl/>
        </w:rPr>
      </w:pPr>
      <w:r>
        <w:rPr>
          <w:rFonts w:cs="David"/>
          <w:sz w:val="24"/>
          <w:u w:val="single"/>
          <w:rtl/>
        </w:rPr>
        <w:t>חנה סלוצקי:</w:t>
      </w:r>
    </w:p>
    <w:p w:rsidR="00000000" w:rsidRDefault="003F72C2">
      <w:pPr>
        <w:rPr>
          <w:rFonts w:cs="David"/>
          <w:sz w:val="24"/>
          <w:rtl/>
        </w:rPr>
      </w:pPr>
    </w:p>
    <w:p w:rsidR="00000000" w:rsidRDefault="003F72C2">
      <w:pPr>
        <w:rPr>
          <w:rFonts w:cs="David"/>
          <w:sz w:val="24"/>
          <w:rtl/>
        </w:rPr>
      </w:pPr>
      <w:r>
        <w:rPr>
          <w:rFonts w:cs="David"/>
          <w:sz w:val="24"/>
          <w:rtl/>
        </w:rPr>
        <w:tab/>
        <w:t>הוא יכול בכלל להתנגד לחוות הדעת. גם מבוגר יכול.</w:t>
      </w:r>
    </w:p>
    <w:p w:rsidR="00000000" w:rsidRDefault="003F72C2">
      <w:pPr>
        <w:rPr>
          <w:rFonts w:cs="David"/>
          <w:sz w:val="24"/>
          <w:rtl/>
        </w:rPr>
      </w:pPr>
      <w:r>
        <w:rPr>
          <w:rFonts w:cs="David"/>
          <w:sz w:val="24"/>
          <w:rtl/>
        </w:rPr>
        <w:tab/>
      </w: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 xml:space="preserve"> אם נפגע העבירה רוצה להעיד?</w:t>
      </w:r>
    </w:p>
    <w:p w:rsidR="00000000" w:rsidRDefault="003F72C2">
      <w:pPr>
        <w:rPr>
          <w:rFonts w:cs="David"/>
          <w:sz w:val="24"/>
          <w:rtl/>
        </w:rPr>
      </w:pPr>
    </w:p>
    <w:p w:rsidR="00000000" w:rsidRDefault="003F72C2">
      <w:pPr>
        <w:rPr>
          <w:rFonts w:cs="David"/>
          <w:sz w:val="24"/>
          <w:rtl/>
        </w:rPr>
      </w:pPr>
      <w:r>
        <w:rPr>
          <w:rFonts w:cs="David"/>
          <w:sz w:val="24"/>
          <w:u w:val="single"/>
          <w:rtl/>
        </w:rPr>
        <w:t>הילה קרנר-סולימן:</w:t>
      </w:r>
    </w:p>
    <w:p w:rsidR="00000000" w:rsidRDefault="003F72C2">
      <w:pPr>
        <w:rPr>
          <w:rFonts w:cs="David"/>
          <w:sz w:val="24"/>
          <w:rtl/>
        </w:rPr>
      </w:pPr>
    </w:p>
    <w:p w:rsidR="00000000" w:rsidRDefault="003F72C2">
      <w:pPr>
        <w:rPr>
          <w:rFonts w:cs="David"/>
          <w:sz w:val="24"/>
          <w:rtl/>
        </w:rPr>
      </w:pPr>
      <w:r>
        <w:rPr>
          <w:rFonts w:cs="David"/>
          <w:sz w:val="24"/>
          <w:rtl/>
        </w:rPr>
        <w:tab/>
        <w:t>אני חוששת שהסנגור יש</w:t>
      </w:r>
      <w:r>
        <w:rPr>
          <w:rFonts w:cs="David"/>
          <w:sz w:val="24"/>
          <w:rtl/>
        </w:rPr>
        <w:t xml:space="preserve">תמש בזה לחובתו, בזה שהוא לא מסכים להעיד. </w:t>
      </w:r>
    </w:p>
    <w:p w:rsidR="00000000" w:rsidRDefault="003F72C2">
      <w:pPr>
        <w:rPr>
          <w:rFonts w:cs="David"/>
          <w:sz w:val="24"/>
          <w:rtl/>
        </w:rPr>
      </w:pP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 xml:space="preserve"> הכוונה היא לא לאפשר לקרוא לו אלא במקרה שבית המשפט סבור שיש צורך בכך. נשאיר את זה כך.</w:t>
      </w:r>
    </w:p>
    <w:p w:rsidR="00000000" w:rsidRDefault="003F72C2">
      <w:pPr>
        <w:rPr>
          <w:rFonts w:cs="David"/>
          <w:sz w:val="24"/>
          <w:rtl/>
        </w:rPr>
      </w:pPr>
    </w:p>
    <w:p w:rsidR="00000000" w:rsidRDefault="003F72C2">
      <w:pPr>
        <w:rPr>
          <w:rFonts w:cs="David"/>
          <w:sz w:val="24"/>
          <w:rtl/>
        </w:rPr>
      </w:pPr>
      <w:r>
        <w:rPr>
          <w:rFonts w:cs="David"/>
          <w:sz w:val="24"/>
          <w:rtl/>
        </w:rPr>
        <w:tab/>
        <w:t>רבותי, היתה לי פגישה עם נציגי האוצר אתמול. תאמר מה הצעתי כדי לצמצם את העלויות, וזה בתנאי שהאוצר לא יעלה ט</w:t>
      </w:r>
      <w:r>
        <w:rPr>
          <w:rFonts w:cs="David"/>
          <w:sz w:val="24"/>
          <w:rtl/>
        </w:rPr>
        <w:t>ענה של הצעת חוק תקציבית. תציג את הבעיה ואת הפתרונות.</w:t>
      </w:r>
    </w:p>
    <w:p w:rsidR="00000000" w:rsidRDefault="003F72C2">
      <w:pPr>
        <w:rPr>
          <w:rFonts w:cs="David"/>
          <w:sz w:val="24"/>
          <w:rtl/>
        </w:rPr>
      </w:pPr>
    </w:p>
    <w:p w:rsidR="00000000" w:rsidRDefault="003F72C2">
      <w:pPr>
        <w:rPr>
          <w:rFonts w:cs="David"/>
          <w:sz w:val="24"/>
          <w:rtl/>
        </w:rPr>
      </w:pPr>
      <w:r>
        <w:rPr>
          <w:rFonts w:cs="David"/>
          <w:sz w:val="24"/>
          <w:u w:val="single"/>
          <w:rtl/>
        </w:rPr>
        <w:t>משה בר-סימנטוב:</w:t>
      </w:r>
    </w:p>
    <w:p w:rsidR="00000000" w:rsidRDefault="003F72C2">
      <w:pPr>
        <w:rPr>
          <w:rFonts w:cs="David"/>
          <w:sz w:val="24"/>
          <w:rtl/>
        </w:rPr>
      </w:pPr>
    </w:p>
    <w:p w:rsidR="00000000" w:rsidRDefault="003F72C2">
      <w:pPr>
        <w:rPr>
          <w:rFonts w:cs="David"/>
          <w:sz w:val="24"/>
          <w:rtl/>
        </w:rPr>
      </w:pPr>
      <w:r>
        <w:rPr>
          <w:rFonts w:cs="David"/>
          <w:sz w:val="24"/>
          <w:rtl/>
        </w:rPr>
        <w:tab/>
        <w:t>הבעיה היא שיש עלות גבוהה לחוות הדעת – המסמך של הממ"מ לעומת העלויות שאנחנו מכירים. אמרנו שהטלת המגבלות תיעשה על ידי פנייה לבית המשפט.</w:t>
      </w:r>
    </w:p>
    <w:p w:rsidR="00000000" w:rsidRDefault="003F72C2">
      <w:pPr>
        <w:rPr>
          <w:rFonts w:cs="David"/>
          <w:sz w:val="24"/>
          <w:rtl/>
        </w:rPr>
      </w:pP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 xml:space="preserve"> על כמה מקרים דיברנו?</w:t>
      </w:r>
    </w:p>
    <w:p w:rsidR="00000000" w:rsidRDefault="003F72C2">
      <w:pPr>
        <w:rPr>
          <w:rFonts w:cs="David"/>
          <w:sz w:val="24"/>
          <w:rtl/>
        </w:rPr>
      </w:pPr>
    </w:p>
    <w:p w:rsidR="00000000" w:rsidRDefault="003F72C2">
      <w:pPr>
        <w:rPr>
          <w:rFonts w:cs="David"/>
          <w:sz w:val="24"/>
          <w:rtl/>
        </w:rPr>
      </w:pPr>
      <w:r>
        <w:rPr>
          <w:rFonts w:cs="David"/>
          <w:sz w:val="24"/>
          <w:u w:val="single"/>
          <w:rtl/>
        </w:rPr>
        <w:t>משה בר-</w:t>
      </w:r>
      <w:r>
        <w:rPr>
          <w:rFonts w:cs="David"/>
          <w:sz w:val="24"/>
          <w:u w:val="single"/>
          <w:rtl/>
        </w:rPr>
        <w:t>סימנטוב:</w:t>
      </w:r>
    </w:p>
    <w:p w:rsidR="00000000" w:rsidRDefault="003F72C2">
      <w:pPr>
        <w:rPr>
          <w:rFonts w:cs="David"/>
          <w:sz w:val="24"/>
          <w:rtl/>
        </w:rPr>
      </w:pPr>
    </w:p>
    <w:p w:rsidR="00000000" w:rsidRDefault="003F72C2">
      <w:pPr>
        <w:rPr>
          <w:rFonts w:cs="David"/>
          <w:sz w:val="24"/>
          <w:rtl/>
        </w:rPr>
      </w:pPr>
      <w:r>
        <w:rPr>
          <w:rFonts w:cs="David"/>
          <w:sz w:val="24"/>
          <w:rtl/>
        </w:rPr>
        <w:tab/>
        <w:t>על פי ההערכות שלכם, שאימצנו אותן לצורך הדיון, מדובר ב-1,500 נפגעים בשנה.</w:t>
      </w:r>
    </w:p>
    <w:p w:rsidR="00000000" w:rsidRDefault="003F72C2">
      <w:pPr>
        <w:rPr>
          <w:rFonts w:cs="David"/>
          <w:sz w:val="24"/>
          <w:rtl/>
        </w:rPr>
      </w:pPr>
    </w:p>
    <w:p w:rsidR="00000000" w:rsidRDefault="003F72C2">
      <w:pPr>
        <w:rPr>
          <w:rFonts w:cs="David"/>
          <w:sz w:val="24"/>
          <w:rtl/>
        </w:rPr>
      </w:pPr>
      <w:r>
        <w:rPr>
          <w:rFonts w:cs="David"/>
          <w:sz w:val="24"/>
          <w:u w:val="single"/>
          <w:rtl/>
        </w:rPr>
        <w:t>חנה אטקס:</w:t>
      </w:r>
    </w:p>
    <w:p w:rsidR="00000000" w:rsidRDefault="003F72C2">
      <w:pPr>
        <w:rPr>
          <w:rFonts w:cs="David"/>
          <w:sz w:val="24"/>
          <w:rtl/>
        </w:rPr>
      </w:pPr>
    </w:p>
    <w:p w:rsidR="00000000" w:rsidRDefault="003F72C2">
      <w:pPr>
        <w:rPr>
          <w:rFonts w:cs="David"/>
          <w:sz w:val="24"/>
          <w:rtl/>
        </w:rPr>
      </w:pPr>
      <w:r>
        <w:rPr>
          <w:rFonts w:cs="David"/>
          <w:sz w:val="24"/>
          <w:rtl/>
        </w:rPr>
        <w:tab/>
        <w:t>אם מורידים את העבריינים הקטינים, זה 1,000.</w:t>
      </w:r>
    </w:p>
    <w:p w:rsidR="00000000" w:rsidRDefault="003F72C2">
      <w:pPr>
        <w:rPr>
          <w:rFonts w:cs="David"/>
          <w:sz w:val="24"/>
          <w:rtl/>
        </w:rPr>
      </w:pPr>
    </w:p>
    <w:p w:rsidR="00000000" w:rsidRDefault="003F72C2">
      <w:pPr>
        <w:rPr>
          <w:rFonts w:cs="David"/>
          <w:sz w:val="24"/>
          <w:rtl/>
        </w:rPr>
      </w:pPr>
      <w:r>
        <w:rPr>
          <w:rFonts w:cs="David"/>
          <w:sz w:val="24"/>
          <w:u w:val="single"/>
          <w:rtl/>
        </w:rPr>
        <w:t>משה בר-סימנטוב:</w:t>
      </w:r>
    </w:p>
    <w:p w:rsidR="00000000" w:rsidRDefault="003F72C2">
      <w:pPr>
        <w:rPr>
          <w:rFonts w:cs="David"/>
          <w:sz w:val="24"/>
          <w:rtl/>
        </w:rPr>
      </w:pPr>
    </w:p>
    <w:p w:rsidR="00000000" w:rsidRDefault="003F72C2">
      <w:pPr>
        <w:rPr>
          <w:rFonts w:cs="David"/>
          <w:sz w:val="24"/>
          <w:rtl/>
        </w:rPr>
      </w:pPr>
      <w:r>
        <w:rPr>
          <w:rFonts w:cs="David"/>
          <w:sz w:val="24"/>
          <w:rtl/>
        </w:rPr>
        <w:tab/>
        <w:t>אחרי שהורדנו את הקטינים, זה 1,500 נפגעים בשנה. זה הערכה שהיא בניגוד לדעתה של גברת חנה אטקס, שאומר</w:t>
      </w:r>
      <w:r>
        <w:rPr>
          <w:rFonts w:cs="David"/>
          <w:sz w:val="24"/>
          <w:rtl/>
        </w:rPr>
        <w:t>ת שכל עבריין פוגע בממוצע ב-2.5. זה נתון במחלוקת.</w:t>
      </w:r>
    </w:p>
    <w:p w:rsidR="00000000" w:rsidRDefault="003F72C2">
      <w:pPr>
        <w:rPr>
          <w:rFonts w:cs="David"/>
          <w:sz w:val="24"/>
          <w:rtl/>
        </w:rPr>
      </w:pPr>
    </w:p>
    <w:p w:rsidR="00000000" w:rsidRDefault="003F72C2">
      <w:pPr>
        <w:rPr>
          <w:rFonts w:cs="David"/>
          <w:sz w:val="24"/>
          <w:rtl/>
        </w:rPr>
      </w:pPr>
      <w:r>
        <w:rPr>
          <w:rFonts w:cs="David"/>
          <w:sz w:val="24"/>
          <w:u w:val="single"/>
          <w:rtl/>
        </w:rPr>
        <w:t>הילה קרנר-סולימן:</w:t>
      </w:r>
    </w:p>
    <w:p w:rsidR="00000000" w:rsidRDefault="003F72C2">
      <w:pPr>
        <w:rPr>
          <w:rFonts w:cs="David"/>
          <w:sz w:val="24"/>
          <w:rtl/>
        </w:rPr>
      </w:pPr>
    </w:p>
    <w:p w:rsidR="00000000" w:rsidRDefault="003F72C2">
      <w:pPr>
        <w:rPr>
          <w:rFonts w:cs="David"/>
          <w:sz w:val="24"/>
          <w:rtl/>
        </w:rPr>
      </w:pPr>
      <w:r>
        <w:rPr>
          <w:rFonts w:cs="David"/>
          <w:sz w:val="24"/>
          <w:rtl/>
        </w:rPr>
        <w:tab/>
        <w:t>בדרך כלל ההרשעות הן על עבירה בקורבן אחד, ההרשעות שאנו מלווים.</w:t>
      </w:r>
    </w:p>
    <w:p w:rsidR="00000000" w:rsidRDefault="003F72C2">
      <w:pPr>
        <w:rPr>
          <w:rFonts w:cs="David"/>
          <w:sz w:val="24"/>
          <w:rtl/>
        </w:rPr>
      </w:pPr>
    </w:p>
    <w:p w:rsidR="00000000" w:rsidRDefault="003F72C2">
      <w:pPr>
        <w:rPr>
          <w:rFonts w:cs="David"/>
          <w:sz w:val="24"/>
          <w:rtl/>
        </w:rPr>
      </w:pPr>
      <w:r>
        <w:rPr>
          <w:rFonts w:cs="David"/>
          <w:sz w:val="24"/>
          <w:u w:val="single"/>
          <w:rtl/>
        </w:rPr>
        <w:t>חנה אטקס:</w:t>
      </w:r>
    </w:p>
    <w:p w:rsidR="00000000" w:rsidRDefault="003F72C2">
      <w:pPr>
        <w:rPr>
          <w:rFonts w:cs="David"/>
          <w:sz w:val="24"/>
          <w:rtl/>
        </w:rPr>
      </w:pPr>
    </w:p>
    <w:p w:rsidR="00000000" w:rsidRDefault="003F72C2">
      <w:pPr>
        <w:rPr>
          <w:rFonts w:cs="David"/>
          <w:sz w:val="24"/>
          <w:rtl/>
        </w:rPr>
      </w:pPr>
      <w:r>
        <w:rPr>
          <w:rFonts w:cs="David"/>
          <w:sz w:val="24"/>
          <w:rtl/>
        </w:rPr>
        <w:tab/>
        <w:t>עם כל הכבוד, המרכז לנפגעי תקיפה מינית רואים במוקד את הנפגעת, ולא יודעים כמה נפגעות נוספות יש על ידי אותו עבריין</w:t>
      </w:r>
      <w:r>
        <w:rPr>
          <w:rFonts w:cs="David"/>
          <w:sz w:val="24"/>
          <w:rtl/>
        </w:rPr>
        <w:t>. מתוך היכרות את כתבי האישום על עברייני מין אני אומרת: יש תיקים שבהם יש מספר עבריינים ונפגע אחד. ברוב התיקים אנו מוצאים הרבה יותר מנפגעת אחת על ידי עבריין אחד. לכן ההערכה שלי היתה שבממוצע כ-2.5 נפגעים/נפגעות על ידי אותו עבריין.</w:t>
      </w:r>
    </w:p>
    <w:p w:rsidR="00000000" w:rsidRDefault="003F72C2">
      <w:pPr>
        <w:rPr>
          <w:rFonts w:cs="David"/>
          <w:sz w:val="24"/>
          <w:rtl/>
        </w:rPr>
      </w:pP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 xml:space="preserve"> אני מק</w:t>
      </w:r>
      <w:r>
        <w:rPr>
          <w:rFonts w:cs="David"/>
          <w:sz w:val="24"/>
          <w:rtl/>
        </w:rPr>
        <w:t>בל את הדעה הזאת.</w:t>
      </w:r>
    </w:p>
    <w:p w:rsidR="00000000" w:rsidRDefault="003F72C2">
      <w:pPr>
        <w:rPr>
          <w:rFonts w:cs="David"/>
          <w:sz w:val="24"/>
          <w:rtl/>
        </w:rPr>
      </w:pPr>
    </w:p>
    <w:p w:rsidR="00000000" w:rsidRDefault="003F72C2">
      <w:pPr>
        <w:rPr>
          <w:rFonts w:cs="David"/>
          <w:sz w:val="24"/>
          <w:rtl/>
        </w:rPr>
      </w:pPr>
      <w:r>
        <w:rPr>
          <w:rFonts w:cs="David"/>
          <w:sz w:val="24"/>
          <w:u w:val="single"/>
          <w:rtl/>
        </w:rPr>
        <w:br w:type="page"/>
        <w:t>תמי סלע:</w:t>
      </w:r>
    </w:p>
    <w:p w:rsidR="00000000" w:rsidRDefault="003F72C2">
      <w:pPr>
        <w:rPr>
          <w:rFonts w:cs="David"/>
          <w:sz w:val="24"/>
          <w:rtl/>
        </w:rPr>
      </w:pPr>
    </w:p>
    <w:p w:rsidR="00000000" w:rsidRDefault="003F72C2">
      <w:pPr>
        <w:rPr>
          <w:rFonts w:cs="David"/>
          <w:sz w:val="24"/>
          <w:rtl/>
        </w:rPr>
      </w:pPr>
      <w:r>
        <w:rPr>
          <w:rFonts w:cs="David"/>
          <w:sz w:val="24"/>
          <w:rtl/>
        </w:rPr>
        <w:tab/>
        <w:t xml:space="preserve">יש דעות אחרות.  </w:t>
      </w:r>
    </w:p>
    <w:p w:rsidR="00000000" w:rsidRDefault="003F72C2">
      <w:pPr>
        <w:rPr>
          <w:rFonts w:cs="David"/>
          <w:sz w:val="24"/>
          <w:rtl/>
        </w:rPr>
      </w:pPr>
    </w:p>
    <w:p w:rsidR="00000000" w:rsidRDefault="003F72C2">
      <w:pPr>
        <w:rPr>
          <w:rFonts w:cs="David"/>
          <w:sz w:val="24"/>
          <w:rtl/>
        </w:rPr>
      </w:pPr>
      <w:r>
        <w:rPr>
          <w:rFonts w:cs="David"/>
          <w:sz w:val="24"/>
          <w:u w:val="single"/>
          <w:rtl/>
        </w:rPr>
        <w:t>דוד וינר:</w:t>
      </w:r>
    </w:p>
    <w:p w:rsidR="00000000" w:rsidRDefault="003F72C2">
      <w:pPr>
        <w:rPr>
          <w:rFonts w:cs="David"/>
          <w:sz w:val="24"/>
          <w:rtl/>
        </w:rPr>
      </w:pPr>
    </w:p>
    <w:p w:rsidR="00000000" w:rsidRDefault="003F72C2">
      <w:pPr>
        <w:rPr>
          <w:rFonts w:cs="David"/>
          <w:sz w:val="24"/>
          <w:rtl/>
        </w:rPr>
      </w:pPr>
      <w:r>
        <w:rPr>
          <w:rFonts w:cs="David"/>
          <w:sz w:val="24"/>
          <w:rtl/>
        </w:rPr>
        <w:tab/>
        <w:t>אנו מדברים בכלל על כתבי אישום בעברות מין?</w:t>
      </w:r>
    </w:p>
    <w:p w:rsidR="00000000" w:rsidRDefault="003F72C2">
      <w:pPr>
        <w:rPr>
          <w:rFonts w:cs="David"/>
          <w:sz w:val="24"/>
          <w:rtl/>
        </w:rPr>
      </w:pP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 xml:space="preserve"> ככלל. השאלה שלנו היא כאשר נתפס עבריין מין ומגישים נגדו כתב אישום, האם בתיק הזה יהיה נפגע אחד, או כשתופסים אותו, מעמידים אותו על יותר</w:t>
      </w:r>
      <w:r>
        <w:rPr>
          <w:rFonts w:cs="David"/>
          <w:sz w:val="24"/>
          <w:rtl/>
        </w:rPr>
        <w:t xml:space="preserve"> מאחד - כתב האישום?</w:t>
      </w:r>
    </w:p>
    <w:p w:rsidR="00000000" w:rsidRDefault="003F72C2">
      <w:pPr>
        <w:rPr>
          <w:rFonts w:cs="David"/>
          <w:sz w:val="24"/>
          <w:rtl/>
        </w:rPr>
      </w:pPr>
    </w:p>
    <w:p w:rsidR="00000000" w:rsidRDefault="003F72C2">
      <w:pPr>
        <w:rPr>
          <w:rFonts w:cs="David"/>
          <w:sz w:val="24"/>
          <w:rtl/>
        </w:rPr>
      </w:pPr>
      <w:r>
        <w:rPr>
          <w:rFonts w:cs="David"/>
          <w:sz w:val="24"/>
          <w:u w:val="single"/>
          <w:rtl/>
        </w:rPr>
        <w:t>דוד וינר:</w:t>
      </w:r>
    </w:p>
    <w:p w:rsidR="00000000" w:rsidRDefault="003F72C2">
      <w:pPr>
        <w:rPr>
          <w:rFonts w:cs="David"/>
          <w:sz w:val="24"/>
          <w:rtl/>
        </w:rPr>
      </w:pPr>
    </w:p>
    <w:p w:rsidR="00000000" w:rsidRDefault="003F72C2">
      <w:pPr>
        <w:rPr>
          <w:rFonts w:cs="David"/>
          <w:sz w:val="24"/>
          <w:rtl/>
        </w:rPr>
      </w:pPr>
      <w:r>
        <w:rPr>
          <w:rFonts w:cs="David"/>
          <w:sz w:val="24"/>
          <w:rtl/>
        </w:rPr>
        <w:tab/>
        <w:t>זה נורא קשה. יש המון תיקים עם נפגע אחד.</w:t>
      </w:r>
    </w:p>
    <w:p w:rsidR="00000000" w:rsidRDefault="003F72C2">
      <w:pPr>
        <w:rPr>
          <w:rFonts w:cs="David"/>
          <w:sz w:val="24"/>
          <w:rtl/>
        </w:rPr>
      </w:pP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 xml:space="preserve"> אבל מה הממוצע?</w:t>
      </w:r>
    </w:p>
    <w:p w:rsidR="00000000" w:rsidRDefault="003F72C2">
      <w:pPr>
        <w:rPr>
          <w:rFonts w:cs="David"/>
          <w:sz w:val="24"/>
          <w:rtl/>
        </w:rPr>
      </w:pPr>
      <w:r>
        <w:rPr>
          <w:rFonts w:cs="David"/>
          <w:sz w:val="24"/>
          <w:rtl/>
        </w:rPr>
        <w:tab/>
      </w:r>
    </w:p>
    <w:p w:rsidR="00000000" w:rsidRDefault="003F72C2">
      <w:pPr>
        <w:rPr>
          <w:rFonts w:cs="David"/>
          <w:sz w:val="24"/>
          <w:rtl/>
        </w:rPr>
      </w:pPr>
      <w:r>
        <w:rPr>
          <w:rFonts w:cs="David"/>
          <w:sz w:val="24"/>
          <w:u w:val="single"/>
          <w:rtl/>
        </w:rPr>
        <w:t>עודד בוק:</w:t>
      </w:r>
    </w:p>
    <w:p w:rsidR="00000000" w:rsidRDefault="003F72C2">
      <w:pPr>
        <w:rPr>
          <w:rFonts w:cs="David"/>
          <w:sz w:val="24"/>
          <w:rtl/>
        </w:rPr>
      </w:pPr>
    </w:p>
    <w:p w:rsidR="00000000" w:rsidRDefault="003F72C2">
      <w:pPr>
        <w:rPr>
          <w:rFonts w:cs="David"/>
          <w:sz w:val="24"/>
          <w:rtl/>
        </w:rPr>
      </w:pPr>
      <w:r>
        <w:rPr>
          <w:rFonts w:cs="David"/>
          <w:sz w:val="24"/>
          <w:rtl/>
        </w:rPr>
        <w:tab/>
        <w:t>ההערכה שלנו היא גם שמדובר על 1,500-1,600 מקרים בשנה, וזאת על בסיס כך- -</w:t>
      </w:r>
    </w:p>
    <w:p w:rsidR="00000000" w:rsidRDefault="003F72C2">
      <w:pPr>
        <w:rPr>
          <w:rFonts w:cs="David"/>
          <w:sz w:val="24"/>
          <w:rtl/>
        </w:rPr>
      </w:pP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 xml:space="preserve"> אך כמה נפגעים בכל תיק?</w:t>
      </w:r>
    </w:p>
    <w:p w:rsidR="00000000" w:rsidRDefault="003F72C2">
      <w:pPr>
        <w:rPr>
          <w:rFonts w:cs="David"/>
          <w:sz w:val="24"/>
          <w:rtl/>
        </w:rPr>
      </w:pPr>
    </w:p>
    <w:p w:rsidR="00000000" w:rsidRDefault="003F72C2">
      <w:pPr>
        <w:rPr>
          <w:rFonts w:cs="David"/>
          <w:sz w:val="24"/>
          <w:rtl/>
        </w:rPr>
      </w:pPr>
      <w:r>
        <w:rPr>
          <w:rFonts w:cs="David"/>
          <w:sz w:val="24"/>
          <w:u w:val="single"/>
          <w:rtl/>
        </w:rPr>
        <w:t>עודד בוק:</w:t>
      </w:r>
    </w:p>
    <w:p w:rsidR="00000000" w:rsidRDefault="003F72C2">
      <w:pPr>
        <w:rPr>
          <w:rFonts w:cs="David"/>
          <w:sz w:val="24"/>
          <w:rtl/>
        </w:rPr>
      </w:pPr>
    </w:p>
    <w:p w:rsidR="00000000" w:rsidRDefault="003F72C2">
      <w:pPr>
        <w:rPr>
          <w:rFonts w:cs="David"/>
          <w:sz w:val="24"/>
          <w:rtl/>
        </w:rPr>
      </w:pPr>
      <w:r>
        <w:rPr>
          <w:rFonts w:cs="David"/>
          <w:sz w:val="24"/>
          <w:rtl/>
        </w:rPr>
        <w:tab/>
        <w:t>אנ</w:t>
      </w:r>
      <w:r>
        <w:rPr>
          <w:rFonts w:cs="David"/>
          <w:sz w:val="24"/>
          <w:rtl/>
        </w:rPr>
        <w:t>ו לא יודעים.</w:t>
      </w:r>
    </w:p>
    <w:p w:rsidR="00000000" w:rsidRDefault="003F72C2">
      <w:pPr>
        <w:rPr>
          <w:rFonts w:cs="David"/>
          <w:sz w:val="24"/>
          <w:rtl/>
        </w:rPr>
      </w:pPr>
    </w:p>
    <w:p w:rsidR="00000000" w:rsidRDefault="003F72C2">
      <w:pPr>
        <w:rPr>
          <w:rFonts w:cs="David"/>
          <w:sz w:val="24"/>
          <w:rtl/>
        </w:rPr>
      </w:pPr>
      <w:r>
        <w:rPr>
          <w:rFonts w:cs="David"/>
          <w:sz w:val="24"/>
          <w:u w:val="single"/>
          <w:rtl/>
        </w:rPr>
        <w:t>שי צרפתי:</w:t>
      </w:r>
    </w:p>
    <w:p w:rsidR="00000000" w:rsidRDefault="003F72C2">
      <w:pPr>
        <w:rPr>
          <w:rFonts w:cs="David"/>
          <w:sz w:val="24"/>
          <w:rtl/>
        </w:rPr>
      </w:pPr>
    </w:p>
    <w:p w:rsidR="00000000" w:rsidRDefault="003F72C2">
      <w:pPr>
        <w:rPr>
          <w:rFonts w:cs="David"/>
          <w:sz w:val="24"/>
          <w:rtl/>
        </w:rPr>
      </w:pPr>
      <w:r>
        <w:rPr>
          <w:rFonts w:cs="David"/>
          <w:sz w:val="24"/>
          <w:rtl/>
        </w:rPr>
        <w:tab/>
        <w:t>אין לנו חלוקה כזאת, אך לפי הערכה שלנו, 600 בקשות בשנה, וחוות דעת מומחה – בערך 5,000 ש"ח, צריך להכפיל את זה, והעלות הזאת לא צריכה ליפול על מערכת בתי המשפט- -</w:t>
      </w:r>
    </w:p>
    <w:p w:rsidR="00000000" w:rsidRDefault="003F72C2">
      <w:pPr>
        <w:rPr>
          <w:rFonts w:cs="David"/>
          <w:sz w:val="24"/>
          <w:rtl/>
        </w:rPr>
      </w:pP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 xml:space="preserve"> לא שאלתי על מי היא צריכה ליפול. ההערכה שלכם – 3 מיל</w:t>
      </w:r>
      <w:r>
        <w:rPr>
          <w:rFonts w:cs="David"/>
          <w:sz w:val="24"/>
          <w:rtl/>
        </w:rPr>
        <w:t>יון שקל.</w:t>
      </w:r>
    </w:p>
    <w:p w:rsidR="00000000" w:rsidRDefault="003F72C2">
      <w:pPr>
        <w:rPr>
          <w:rFonts w:cs="David"/>
          <w:sz w:val="24"/>
          <w:rtl/>
        </w:rPr>
      </w:pPr>
    </w:p>
    <w:p w:rsidR="00000000" w:rsidRDefault="003F72C2">
      <w:pPr>
        <w:rPr>
          <w:rFonts w:cs="David"/>
          <w:sz w:val="24"/>
          <w:rtl/>
        </w:rPr>
      </w:pPr>
      <w:r>
        <w:rPr>
          <w:rFonts w:cs="David"/>
          <w:sz w:val="24"/>
          <w:u w:val="single"/>
          <w:rtl/>
        </w:rPr>
        <w:t>שי צרפתי:</w:t>
      </w:r>
    </w:p>
    <w:p w:rsidR="00000000" w:rsidRDefault="003F72C2">
      <w:pPr>
        <w:rPr>
          <w:rFonts w:cs="David"/>
          <w:sz w:val="24"/>
          <w:rtl/>
        </w:rPr>
      </w:pPr>
    </w:p>
    <w:p w:rsidR="00000000" w:rsidRDefault="003F72C2">
      <w:pPr>
        <w:rPr>
          <w:rFonts w:cs="David"/>
          <w:sz w:val="24"/>
          <w:rtl/>
        </w:rPr>
      </w:pPr>
      <w:r>
        <w:rPr>
          <w:rFonts w:cs="David"/>
          <w:sz w:val="24"/>
          <w:rtl/>
        </w:rPr>
        <w:tab/>
        <w:t>כן. מה ההערכה הכספית שלכם?</w:t>
      </w:r>
    </w:p>
    <w:p w:rsidR="00000000" w:rsidRDefault="003F72C2">
      <w:pPr>
        <w:rPr>
          <w:rFonts w:cs="David"/>
          <w:sz w:val="24"/>
          <w:rtl/>
        </w:rPr>
      </w:pPr>
    </w:p>
    <w:p w:rsidR="00000000" w:rsidRDefault="003F72C2">
      <w:pPr>
        <w:rPr>
          <w:rFonts w:cs="David"/>
          <w:sz w:val="24"/>
          <w:rtl/>
        </w:rPr>
      </w:pPr>
      <w:r>
        <w:rPr>
          <w:rFonts w:cs="David"/>
          <w:sz w:val="24"/>
          <w:u w:val="single"/>
          <w:rtl/>
        </w:rPr>
        <w:t>משה בר-סימנטוב:</w:t>
      </w:r>
    </w:p>
    <w:p w:rsidR="00000000" w:rsidRDefault="003F72C2">
      <w:pPr>
        <w:rPr>
          <w:rFonts w:cs="David"/>
          <w:sz w:val="24"/>
          <w:rtl/>
        </w:rPr>
      </w:pPr>
    </w:p>
    <w:p w:rsidR="00000000" w:rsidRDefault="003F72C2">
      <w:pPr>
        <w:rPr>
          <w:rFonts w:cs="David"/>
          <w:sz w:val="24"/>
          <w:rtl/>
        </w:rPr>
      </w:pPr>
      <w:r>
        <w:rPr>
          <w:rFonts w:cs="David"/>
          <w:sz w:val="24"/>
          <w:rtl/>
        </w:rPr>
        <w:tab/>
        <w:t xml:space="preserve">אם ניקח את הנתון שלכם, ההערכה שלכם מבוססת על עלות חוות דעת של 900 שקל. פה אנו מכירים דברים של כ-5,000 ש"ח. </w:t>
      </w:r>
    </w:p>
    <w:p w:rsidR="00000000" w:rsidRDefault="003F72C2">
      <w:pPr>
        <w:rPr>
          <w:rFonts w:cs="David"/>
          <w:sz w:val="24"/>
          <w:rtl/>
        </w:rPr>
      </w:pPr>
    </w:p>
    <w:p w:rsidR="00000000" w:rsidRDefault="003F72C2">
      <w:pPr>
        <w:rPr>
          <w:rFonts w:cs="David"/>
          <w:sz w:val="24"/>
          <w:rtl/>
        </w:rPr>
      </w:pPr>
      <w:r>
        <w:rPr>
          <w:rFonts w:cs="David"/>
          <w:sz w:val="24"/>
          <w:u w:val="single"/>
          <w:rtl/>
        </w:rPr>
        <w:br w:type="page"/>
        <w:t>תמי סלע:</w:t>
      </w:r>
    </w:p>
    <w:p w:rsidR="00000000" w:rsidRDefault="003F72C2">
      <w:pPr>
        <w:rPr>
          <w:rFonts w:cs="David"/>
          <w:sz w:val="24"/>
          <w:rtl/>
        </w:rPr>
      </w:pPr>
    </w:p>
    <w:p w:rsidR="00000000" w:rsidRDefault="003F72C2">
      <w:pPr>
        <w:rPr>
          <w:rFonts w:cs="David"/>
          <w:sz w:val="24"/>
          <w:rtl/>
        </w:rPr>
      </w:pPr>
      <w:r>
        <w:rPr>
          <w:rFonts w:cs="David"/>
          <w:sz w:val="24"/>
          <w:rtl/>
        </w:rPr>
        <w:tab/>
        <w:t>אני דיברתי עם גורמים בהנהלת בתי המשפט. אמרו לי שהמדינה לא משלמת סכו</w:t>
      </w:r>
      <w:r>
        <w:rPr>
          <w:rFonts w:cs="David"/>
          <w:sz w:val="24"/>
          <w:rtl/>
        </w:rPr>
        <w:t>מים כאלה למומחים.</w:t>
      </w:r>
    </w:p>
    <w:p w:rsidR="00000000" w:rsidRDefault="003F72C2">
      <w:pPr>
        <w:rPr>
          <w:rFonts w:cs="David"/>
          <w:sz w:val="24"/>
          <w:rtl/>
        </w:rPr>
      </w:pP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תמי, עם כל הכבוד לך, את לא מתמצאת. דיברת עם הרבה גורמים. ב-900 שקל לא תקבלי חוות דעת של מומחה פרטי שצריך לשלם גם מע"מ והכל.</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 xml:space="preserve">אנשים נתנו לי הערכות. כמו ששירות המבחן נתן הערכה, כך גם אנשים אחרים נתנו הערכות, </w:t>
      </w:r>
      <w:r>
        <w:rPr>
          <w:rFonts w:cs="David"/>
          <w:sz w:val="24"/>
          <w:rtl/>
        </w:rPr>
        <w:t>למשל פרקליט בשם עידו דרוויאן. הוא לא פה כרגע, זה הכל הערכות, צריך לשמוע מעוד גורמים. אתה לא רוצה לשמוע- -</w:t>
      </w:r>
    </w:p>
    <w:p w:rsidR="00000000" w:rsidRDefault="003F72C2">
      <w:pPr>
        <w:rPr>
          <w:rFonts w:cs="David"/>
          <w:sz w:val="24"/>
          <w:rtl/>
        </w:rPr>
      </w:pP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 xml:space="preserve"> אני אומר לך שהערכות שלך אינן מבוססות. אם את אומרת לי שמומחה יוציא לך חוות דעת על מצב נפשי של קורבן ב-900 שקל, אני אומר לך שזה מס</w:t>
      </w:r>
      <w:r>
        <w:rPr>
          <w:rFonts w:cs="David"/>
          <w:sz w:val="24"/>
          <w:rtl/>
        </w:rPr>
        <w:t xml:space="preserve">פר לא ריאלי. </w:t>
      </w:r>
    </w:p>
    <w:p w:rsidR="00000000" w:rsidRDefault="003F72C2">
      <w:pPr>
        <w:rPr>
          <w:rFonts w:cs="David"/>
          <w:sz w:val="24"/>
          <w:rtl/>
        </w:rPr>
      </w:pPr>
    </w:p>
    <w:p w:rsidR="00000000" w:rsidRDefault="003F72C2">
      <w:pPr>
        <w:rPr>
          <w:rFonts w:cs="David"/>
          <w:sz w:val="24"/>
          <w:rtl/>
        </w:rPr>
      </w:pPr>
      <w:r>
        <w:rPr>
          <w:rFonts w:cs="David"/>
          <w:sz w:val="24"/>
          <w:u w:val="single"/>
          <w:rtl/>
        </w:rPr>
        <w:t>עמוס אולצוור:</w:t>
      </w:r>
    </w:p>
    <w:p w:rsidR="00000000" w:rsidRDefault="003F72C2">
      <w:pPr>
        <w:rPr>
          <w:rFonts w:cs="David"/>
          <w:sz w:val="24"/>
          <w:rtl/>
        </w:rPr>
      </w:pPr>
    </w:p>
    <w:p w:rsidR="00000000" w:rsidRDefault="003F72C2">
      <w:pPr>
        <w:rPr>
          <w:rFonts w:cs="David"/>
          <w:sz w:val="24"/>
          <w:rtl/>
        </w:rPr>
      </w:pPr>
      <w:r>
        <w:rPr>
          <w:rFonts w:cs="David"/>
          <w:sz w:val="24"/>
          <w:rtl/>
        </w:rPr>
        <w:tab/>
        <w:t>אני הכלכלן מהממ"מ שכתב את ההערכה. אני דיברתי ביומיים האחרונים עם הרבה גורמים. לעניין העלות של חוות הדעת, דיברתי עם גזברית שאחראית לתשלומים בהנהלת בתי המשפט.</w:t>
      </w:r>
    </w:p>
    <w:p w:rsidR="00000000" w:rsidRDefault="003F72C2">
      <w:pPr>
        <w:rPr>
          <w:rFonts w:cs="David"/>
          <w:sz w:val="24"/>
          <w:rtl/>
        </w:rPr>
      </w:pP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 xml:space="preserve"> כמה שעות צריך להשקיע בהכנת חוות דעת?</w:t>
      </w:r>
    </w:p>
    <w:p w:rsidR="00000000" w:rsidRDefault="003F72C2">
      <w:pPr>
        <w:rPr>
          <w:rFonts w:cs="David"/>
          <w:sz w:val="24"/>
          <w:rtl/>
        </w:rPr>
      </w:pPr>
    </w:p>
    <w:p w:rsidR="00000000" w:rsidRDefault="003F72C2">
      <w:pPr>
        <w:rPr>
          <w:rFonts w:cs="David"/>
          <w:sz w:val="24"/>
          <w:rtl/>
        </w:rPr>
      </w:pPr>
      <w:r>
        <w:rPr>
          <w:rFonts w:cs="David"/>
          <w:sz w:val="24"/>
          <w:u w:val="single"/>
          <w:rtl/>
        </w:rPr>
        <w:t>חנה סלוצ</w:t>
      </w:r>
      <w:r>
        <w:rPr>
          <w:rFonts w:cs="David"/>
          <w:sz w:val="24"/>
          <w:u w:val="single"/>
          <w:rtl/>
        </w:rPr>
        <w:t>קי:</w:t>
      </w:r>
    </w:p>
    <w:p w:rsidR="00000000" w:rsidRDefault="003F72C2">
      <w:pPr>
        <w:rPr>
          <w:rFonts w:cs="David"/>
          <w:sz w:val="24"/>
          <w:rtl/>
        </w:rPr>
      </w:pPr>
    </w:p>
    <w:p w:rsidR="00000000" w:rsidRDefault="003F72C2">
      <w:pPr>
        <w:rPr>
          <w:rFonts w:cs="David"/>
          <w:sz w:val="24"/>
          <w:rtl/>
        </w:rPr>
      </w:pPr>
      <w:r>
        <w:rPr>
          <w:rFonts w:cs="David"/>
          <w:sz w:val="24"/>
          <w:rtl/>
        </w:rPr>
        <w:tab/>
        <w:t>תסקיר שאנו עושים - 30 שעות.</w:t>
      </w:r>
    </w:p>
    <w:p w:rsidR="00000000" w:rsidRDefault="003F72C2">
      <w:pPr>
        <w:rPr>
          <w:rFonts w:cs="David"/>
          <w:sz w:val="24"/>
          <w:rtl/>
        </w:rPr>
      </w:pP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 xml:space="preserve"> כמה עולה שעת עבודה של פסיכולוג פרטי?</w:t>
      </w:r>
    </w:p>
    <w:p w:rsidR="00000000" w:rsidRDefault="003F72C2">
      <w:pPr>
        <w:rPr>
          <w:rFonts w:cs="David"/>
          <w:sz w:val="24"/>
          <w:rtl/>
        </w:rPr>
      </w:pPr>
    </w:p>
    <w:p w:rsidR="00000000" w:rsidRDefault="003F72C2">
      <w:pPr>
        <w:rPr>
          <w:rFonts w:cs="David"/>
          <w:sz w:val="24"/>
          <w:rtl/>
        </w:rPr>
      </w:pPr>
      <w:r>
        <w:rPr>
          <w:rFonts w:cs="David"/>
          <w:sz w:val="24"/>
          <w:u w:val="single"/>
          <w:rtl/>
        </w:rPr>
        <w:t>הילה קרנר-סולימן:</w:t>
      </w:r>
    </w:p>
    <w:p w:rsidR="00000000" w:rsidRDefault="003F72C2">
      <w:pPr>
        <w:rPr>
          <w:rFonts w:cs="David"/>
          <w:sz w:val="24"/>
          <w:rtl/>
        </w:rPr>
      </w:pPr>
    </w:p>
    <w:p w:rsidR="00000000" w:rsidRDefault="003F72C2">
      <w:pPr>
        <w:rPr>
          <w:rFonts w:cs="David"/>
          <w:sz w:val="24"/>
          <w:rtl/>
        </w:rPr>
      </w:pPr>
      <w:r>
        <w:rPr>
          <w:rFonts w:cs="David"/>
          <w:sz w:val="24"/>
          <w:rtl/>
        </w:rPr>
        <w:tab/>
        <w:t>250-350 שקל.</w:t>
      </w:r>
    </w:p>
    <w:p w:rsidR="00000000" w:rsidRDefault="003F72C2">
      <w:pPr>
        <w:rPr>
          <w:rFonts w:cs="David"/>
          <w:sz w:val="24"/>
          <w:rtl/>
        </w:rPr>
      </w:pP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300 שקל, נאמר. 30 כפול 300 זה 9,000.</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זה קריטי להצעה; בסנגורים, למשל- -</w:t>
      </w:r>
    </w:p>
    <w:p w:rsidR="00000000" w:rsidRDefault="003F72C2">
      <w:pPr>
        <w:rPr>
          <w:rFonts w:cs="David"/>
          <w:sz w:val="24"/>
          <w:rtl/>
        </w:rPr>
      </w:pPr>
      <w:r>
        <w:rPr>
          <w:rFonts w:cs="David"/>
          <w:sz w:val="24"/>
          <w:rtl/>
        </w:rPr>
        <w:tab/>
      </w:r>
    </w:p>
    <w:p w:rsidR="00000000" w:rsidRDefault="003F72C2">
      <w:pPr>
        <w:rPr>
          <w:rFonts w:cs="David"/>
          <w:sz w:val="24"/>
          <w:u w:val="single"/>
          <w:rtl/>
        </w:rPr>
      </w:pPr>
      <w:r>
        <w:rPr>
          <w:rFonts w:cs="David"/>
          <w:sz w:val="24"/>
          <w:u w:val="single"/>
          <w:rtl/>
        </w:rPr>
        <w:br w:type="page"/>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 xml:space="preserve"> א</w:t>
      </w:r>
      <w:r>
        <w:rPr>
          <w:rFonts w:cs="David"/>
          <w:sz w:val="24"/>
          <w:rtl/>
        </w:rPr>
        <w:t>ין לך מושג על מה שאת מדברת. חוות דעת לבדיקה אישית, את לא יכולה להשוות לעורכי דין שעובדים בסניגוריה הציבורית בכמות התיקים, וגם שם על איזה מחיר לשעה זה מבוסס, של שעת עבודה?</w:t>
      </w:r>
    </w:p>
    <w:p w:rsidR="00000000" w:rsidRDefault="003F72C2">
      <w:pPr>
        <w:rPr>
          <w:rFonts w:cs="David"/>
          <w:sz w:val="24"/>
          <w:rtl/>
        </w:rPr>
      </w:pPr>
    </w:p>
    <w:p w:rsidR="00000000" w:rsidRDefault="003F72C2">
      <w:pPr>
        <w:rPr>
          <w:rFonts w:cs="David"/>
          <w:sz w:val="24"/>
          <w:rtl/>
        </w:rPr>
      </w:pPr>
      <w:r>
        <w:rPr>
          <w:rFonts w:cs="David"/>
          <w:sz w:val="24"/>
          <w:u w:val="single"/>
          <w:rtl/>
        </w:rPr>
        <w:t>דוד וינר:</w:t>
      </w:r>
    </w:p>
    <w:p w:rsidR="00000000" w:rsidRDefault="003F72C2">
      <w:pPr>
        <w:rPr>
          <w:rFonts w:cs="David"/>
          <w:sz w:val="24"/>
          <w:rtl/>
        </w:rPr>
      </w:pPr>
    </w:p>
    <w:p w:rsidR="00000000" w:rsidRDefault="003F72C2">
      <w:pPr>
        <w:rPr>
          <w:rFonts w:cs="David"/>
          <w:sz w:val="24"/>
          <w:rtl/>
        </w:rPr>
      </w:pPr>
      <w:r>
        <w:rPr>
          <w:rFonts w:cs="David"/>
          <w:sz w:val="24"/>
          <w:rtl/>
        </w:rPr>
        <w:tab/>
        <w:t>זה לא לפי שעה.</w:t>
      </w:r>
    </w:p>
    <w:p w:rsidR="00000000" w:rsidRDefault="003F72C2">
      <w:pPr>
        <w:rPr>
          <w:rFonts w:cs="David"/>
          <w:sz w:val="24"/>
          <w:rtl/>
        </w:rPr>
      </w:pP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 xml:space="preserve"> אין שחר לדברים שלך. הוויכוח שלך הוא</w:t>
      </w:r>
      <w:r>
        <w:rPr>
          <w:rFonts w:cs="David"/>
          <w:sz w:val="24"/>
          <w:rtl/>
        </w:rPr>
        <w:t xml:space="preserve"> לא ענייני. אם את אומרת שאפשר לקבל 30 שעות עבודה של מומחה ב-900 שקל, את לא יודעת על מה את מדברת. את זה יקבל מומחה פרטי שילך להכין חוות דעת? את מתווכחת? אין גבול לעקשנות. אני מסכים שזה לא יהיה 30 שעות. יהיה 15, 10 שעות. זה יהיה בערך 2,000 שקל.</w:t>
      </w:r>
    </w:p>
    <w:p w:rsidR="00000000" w:rsidRDefault="003F72C2">
      <w:pPr>
        <w:rPr>
          <w:rFonts w:cs="David"/>
          <w:sz w:val="24"/>
          <w:rtl/>
        </w:rPr>
      </w:pPr>
    </w:p>
    <w:p w:rsidR="00000000" w:rsidRDefault="003F72C2">
      <w:pPr>
        <w:rPr>
          <w:rFonts w:cs="David"/>
          <w:sz w:val="24"/>
          <w:rtl/>
        </w:rPr>
      </w:pPr>
      <w:r>
        <w:rPr>
          <w:rFonts w:cs="David"/>
          <w:sz w:val="24"/>
          <w:u w:val="single"/>
          <w:rtl/>
        </w:rPr>
        <w:t>עמוס אולצוור</w:t>
      </w:r>
      <w:r>
        <w:rPr>
          <w:rFonts w:cs="David"/>
          <w:sz w:val="24"/>
          <w:u w:val="single"/>
          <w:rtl/>
        </w:rPr>
        <w:t>:</w:t>
      </w:r>
    </w:p>
    <w:p w:rsidR="00000000" w:rsidRDefault="003F72C2">
      <w:pPr>
        <w:rPr>
          <w:rFonts w:cs="David"/>
          <w:sz w:val="24"/>
          <w:rtl/>
        </w:rPr>
      </w:pPr>
    </w:p>
    <w:p w:rsidR="00000000" w:rsidRDefault="003F72C2">
      <w:pPr>
        <w:rPr>
          <w:rFonts w:cs="David"/>
          <w:sz w:val="24"/>
          <w:rtl/>
        </w:rPr>
      </w:pPr>
      <w:r>
        <w:rPr>
          <w:rFonts w:cs="David"/>
          <w:sz w:val="24"/>
          <w:rtl/>
        </w:rPr>
        <w:tab/>
        <w:t>אני דיברתי ביומיים האחרונים עם מומחים. דיברתי עם גזברית של בתי המשפט השלום והעליון בירושלים, שמשלמת בפועל לפסיכולוגים שבאים להופיע בבתי המשפט לחוות דעת וכו'. היא אמרה שמדובר בהליך אזרחי שבסוף מוטל על הצדדים. הסכומים נעו בין 1,750 ל-3,400 שקל, כשזה מוטל</w:t>
      </w:r>
      <w:r>
        <w:rPr>
          <w:rFonts w:cs="David"/>
          <w:sz w:val="24"/>
          <w:rtl/>
        </w:rPr>
        <w:t xml:space="preserve"> על הצדדים, וזה לא בתור רשימה קבועה.</w:t>
      </w:r>
    </w:p>
    <w:p w:rsidR="00000000" w:rsidRDefault="003F72C2">
      <w:pPr>
        <w:rPr>
          <w:rFonts w:cs="David"/>
          <w:sz w:val="24"/>
          <w:rtl/>
        </w:rPr>
      </w:pP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 xml:space="preserve"> מה זה "מוטל על הצדדים"?</w:t>
      </w:r>
    </w:p>
    <w:p w:rsidR="00000000" w:rsidRDefault="003F72C2">
      <w:pPr>
        <w:rPr>
          <w:rFonts w:cs="David"/>
          <w:sz w:val="24"/>
          <w:rtl/>
        </w:rPr>
      </w:pPr>
    </w:p>
    <w:p w:rsidR="00000000" w:rsidRDefault="003F72C2">
      <w:pPr>
        <w:rPr>
          <w:rFonts w:cs="David"/>
          <w:sz w:val="24"/>
          <w:rtl/>
        </w:rPr>
      </w:pPr>
      <w:r>
        <w:rPr>
          <w:rFonts w:cs="David"/>
          <w:sz w:val="24"/>
          <w:u w:val="single"/>
          <w:rtl/>
        </w:rPr>
        <w:t>עמוס אולצוור:</w:t>
      </w:r>
    </w:p>
    <w:p w:rsidR="00000000" w:rsidRDefault="003F72C2">
      <w:pPr>
        <w:rPr>
          <w:rFonts w:cs="David"/>
          <w:sz w:val="24"/>
          <w:rtl/>
        </w:rPr>
      </w:pPr>
    </w:p>
    <w:p w:rsidR="00000000" w:rsidRDefault="003F72C2">
      <w:pPr>
        <w:rPr>
          <w:rFonts w:cs="David"/>
          <w:sz w:val="24"/>
          <w:rtl/>
        </w:rPr>
      </w:pPr>
      <w:r>
        <w:rPr>
          <w:rFonts w:cs="David"/>
          <w:sz w:val="24"/>
          <w:rtl/>
        </w:rPr>
        <w:tab/>
        <w:t xml:space="preserve">דיברתי עם ד"ר יעקב מאיר, פסיכולוג מומחה בתחום הזה. הוא אמר שבאופן פרטי הוא לוקח על חוות דעת שלו לבתי המשפט 5,000 שקל ויותר. </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אבל זה פרטי.</w:t>
      </w:r>
    </w:p>
    <w:p w:rsidR="00000000" w:rsidRDefault="003F72C2">
      <w:pPr>
        <w:rPr>
          <w:rFonts w:cs="David"/>
          <w:sz w:val="24"/>
          <w:rtl/>
        </w:rPr>
      </w:pPr>
    </w:p>
    <w:p w:rsidR="00000000" w:rsidRDefault="003F72C2">
      <w:pPr>
        <w:rPr>
          <w:rFonts w:cs="David"/>
          <w:sz w:val="24"/>
          <w:u w:val="single"/>
          <w:rtl/>
        </w:rPr>
      </w:pPr>
      <w:r>
        <w:rPr>
          <w:rFonts w:cs="David"/>
          <w:sz w:val="24"/>
          <w:u w:val="single"/>
          <w:rtl/>
        </w:rPr>
        <w:t>היו"ר</w:t>
      </w:r>
      <w:r>
        <w:rPr>
          <w:rFonts w:cs="David"/>
          <w:sz w:val="24"/>
          <w:u w:val="single"/>
          <w:rtl/>
        </w:rPr>
        <w:t xml:space="preserve">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אז מה? אין לך מושג על מה את מדברת. עומדים פה אנשי מקצוע, החישוב הוא פשוט. אומרים לך 30 שעות עבודה, אני אומר 15. זה מינימום שבמינימום. 10 שעות עבודה. יש כאן מישהו שאומר שפסיכולוג יבוא בפחות מ-200 שקל בשעה כולל מע"מ וכולל הכל? אין כאן אחד שאומ</w:t>
      </w:r>
      <w:r>
        <w:rPr>
          <w:rFonts w:cs="David"/>
          <w:sz w:val="24"/>
          <w:rtl/>
        </w:rPr>
        <w:t>ר את זה. 10 כפול 200 זה 2,000. אני אומר לך שגם ב-2,000 לא תשיגי. מה עוד אני צריך לומר לך? אין פה אחד שאומר אחרת. למה את מספרת לי מעשיות על הגזבר בבית המשפט שאומר לך: בין 3,500 ל-5,000. זה התעריף. איפה תשיגי פסיכולוג לעשר שעות עבודה ב-900 שקל כולל מע"מ, ותק</w:t>
      </w:r>
      <w:r>
        <w:rPr>
          <w:rFonts w:cs="David"/>
          <w:sz w:val="24"/>
          <w:rtl/>
        </w:rPr>
        <w:t>ראי לו מומחה? יש תעריף, מסתכלים מה התעריף שהמדינה נותנת, מה התעריף שהכנסת נותנת. יש חוברת לכך.</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הנה - עד 545 שקל. זה לכל החוות דעת.</w:t>
      </w:r>
    </w:p>
    <w:p w:rsidR="00000000" w:rsidRDefault="003F72C2">
      <w:pPr>
        <w:rPr>
          <w:rFonts w:cs="David"/>
          <w:sz w:val="24"/>
          <w:rtl/>
        </w:rPr>
      </w:pPr>
    </w:p>
    <w:p w:rsidR="00000000" w:rsidRDefault="003F72C2">
      <w:pPr>
        <w:rPr>
          <w:rFonts w:cs="David"/>
          <w:sz w:val="24"/>
          <w:u w:val="single"/>
          <w:rtl/>
        </w:rPr>
      </w:pPr>
      <w:r>
        <w:rPr>
          <w:rFonts w:cs="David"/>
          <w:sz w:val="24"/>
          <w:u w:val="single"/>
          <w:rtl/>
        </w:rPr>
        <w:br w:type="page"/>
        <w:t>היו"ר מיכאל איתן:</w:t>
      </w:r>
    </w:p>
    <w:p w:rsidR="00000000" w:rsidRDefault="003F72C2">
      <w:pPr>
        <w:rPr>
          <w:rFonts w:cs="David"/>
          <w:sz w:val="24"/>
          <w:u w:val="single"/>
          <w:rtl/>
        </w:rPr>
      </w:pPr>
    </w:p>
    <w:p w:rsidR="00000000" w:rsidRDefault="003F72C2">
      <w:pPr>
        <w:pStyle w:val="a8"/>
        <w:rPr>
          <w:rFonts w:cs="David"/>
          <w:sz w:val="24"/>
          <w:rtl/>
        </w:rPr>
      </w:pPr>
      <w:r>
        <w:rPr>
          <w:rFonts w:cs="David"/>
          <w:sz w:val="24"/>
          <w:rtl/>
        </w:rPr>
        <w:tab/>
        <w:t>חבל שנשלה את עצמנו. חוות דעת כזאת תעלה לא פחות מ-3,000 שקל, בין 2,000 ל-3,000 שקל. לא פחות.</w:t>
      </w:r>
    </w:p>
    <w:p w:rsidR="00000000" w:rsidRDefault="003F72C2">
      <w:pPr>
        <w:rPr>
          <w:rFonts w:cs="David"/>
          <w:sz w:val="24"/>
          <w:rtl/>
        </w:rPr>
      </w:pPr>
    </w:p>
    <w:p w:rsidR="00000000" w:rsidRDefault="003F72C2">
      <w:pPr>
        <w:rPr>
          <w:rFonts w:cs="David"/>
          <w:sz w:val="24"/>
          <w:u w:val="single"/>
          <w:rtl/>
        </w:rPr>
      </w:pPr>
      <w:r>
        <w:rPr>
          <w:rFonts w:cs="David"/>
          <w:sz w:val="24"/>
          <w:u w:val="single"/>
          <w:rtl/>
        </w:rPr>
        <w:t>תמי סלע:</w:t>
      </w:r>
    </w:p>
    <w:p w:rsidR="00000000" w:rsidRDefault="003F72C2">
      <w:pPr>
        <w:rPr>
          <w:rFonts w:cs="David"/>
          <w:sz w:val="24"/>
          <w:u w:val="single"/>
          <w:rtl/>
        </w:rPr>
      </w:pPr>
    </w:p>
    <w:p w:rsidR="00000000" w:rsidRDefault="003F72C2">
      <w:pPr>
        <w:rPr>
          <w:rFonts w:cs="David"/>
          <w:sz w:val="24"/>
          <w:rtl/>
        </w:rPr>
      </w:pPr>
      <w:r>
        <w:rPr>
          <w:rFonts w:cs="David"/>
          <w:sz w:val="24"/>
          <w:rtl/>
        </w:rPr>
        <w:tab/>
        <w:t>כשהסיוע המשפטי מייצג אדם, וזה גם מוטל על אוצר המדינה, הם משתתפים – ואת זה הצלחתי לברר היום בבוקר – עד סך של 2,000 שקל. לפי החוק הם כפופים לזה, אך בגלל שזה לא פרקטי, זה מה שהם קבעו.</w:t>
      </w:r>
    </w:p>
    <w:p w:rsidR="00000000" w:rsidRDefault="003F72C2">
      <w:pPr>
        <w:rPr>
          <w:rFonts w:cs="David"/>
          <w:sz w:val="24"/>
          <w:rtl/>
        </w:rPr>
      </w:pPr>
    </w:p>
    <w:p w:rsidR="00000000" w:rsidRDefault="003F72C2">
      <w:pPr>
        <w:rPr>
          <w:rFonts w:cs="David"/>
          <w:sz w:val="24"/>
          <w:rtl/>
        </w:rPr>
      </w:pPr>
      <w:r>
        <w:rPr>
          <w:rFonts w:cs="David"/>
          <w:sz w:val="24"/>
          <w:u w:val="single"/>
          <w:rtl/>
        </w:rPr>
        <w:t>חנה סלוצקי:</w:t>
      </w:r>
    </w:p>
    <w:p w:rsidR="00000000" w:rsidRDefault="003F72C2">
      <w:pPr>
        <w:rPr>
          <w:rFonts w:cs="David"/>
          <w:sz w:val="24"/>
          <w:rtl/>
        </w:rPr>
      </w:pPr>
    </w:p>
    <w:p w:rsidR="00000000" w:rsidRDefault="003F72C2">
      <w:pPr>
        <w:rPr>
          <w:rFonts w:cs="David"/>
          <w:sz w:val="24"/>
          <w:rtl/>
        </w:rPr>
      </w:pPr>
      <w:r>
        <w:rPr>
          <w:rFonts w:cs="David"/>
          <w:sz w:val="24"/>
          <w:rtl/>
        </w:rPr>
        <w:tab/>
        <w:t xml:space="preserve">מומחה שמגיע לבית המשפט, בנוסף לעלות שכבר עולה, </w:t>
      </w:r>
      <w:r>
        <w:rPr>
          <w:rFonts w:cs="David"/>
          <w:sz w:val="24"/>
          <w:rtl/>
        </w:rPr>
        <w:t>אנו משלמים לו עבור הנסיעות, בזבוז הזמן, החקירה והזמן שהוא מחכה בבית המשפט. יש הבדל בין- -</w:t>
      </w:r>
    </w:p>
    <w:p w:rsidR="00000000" w:rsidRDefault="003F72C2">
      <w:pPr>
        <w:rPr>
          <w:rFonts w:cs="David"/>
          <w:sz w:val="24"/>
          <w:rtl/>
        </w:rPr>
      </w:pPr>
    </w:p>
    <w:p w:rsidR="00000000" w:rsidRDefault="003F72C2">
      <w:pPr>
        <w:rPr>
          <w:rFonts w:cs="David"/>
          <w:sz w:val="24"/>
          <w:rtl/>
        </w:rPr>
      </w:pPr>
      <w:r>
        <w:rPr>
          <w:rFonts w:cs="David"/>
          <w:sz w:val="24"/>
          <w:u w:val="single"/>
          <w:rtl/>
        </w:rPr>
        <w:t>עמוס אולצוור:</w:t>
      </w:r>
    </w:p>
    <w:p w:rsidR="00000000" w:rsidRDefault="003F72C2">
      <w:pPr>
        <w:rPr>
          <w:rFonts w:cs="David"/>
          <w:sz w:val="24"/>
          <w:rtl/>
        </w:rPr>
      </w:pPr>
    </w:p>
    <w:p w:rsidR="00000000" w:rsidRDefault="003F72C2">
      <w:pPr>
        <w:rPr>
          <w:rFonts w:cs="David"/>
          <w:sz w:val="24"/>
          <w:rtl/>
        </w:rPr>
      </w:pPr>
      <w:r>
        <w:rPr>
          <w:rFonts w:cs="David"/>
          <w:sz w:val="24"/>
          <w:rtl/>
        </w:rPr>
        <w:tab/>
        <w:t>זה כלול.</w:t>
      </w:r>
    </w:p>
    <w:p w:rsidR="00000000" w:rsidRDefault="003F72C2">
      <w:pPr>
        <w:rPr>
          <w:rFonts w:cs="David"/>
          <w:sz w:val="24"/>
          <w:rtl/>
        </w:rPr>
      </w:pP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900 ש"ח זה בדיחה. אף אחד לא יעבוד ב-900 שקל. לצורך העבודה שלנו כאן נצטרך לעשות הערכות. 1,500 זה נתון שמסכימים עליו. מספ</w:t>
      </w:r>
      <w:r>
        <w:rPr>
          <w:rFonts w:cs="David"/>
          <w:sz w:val="24"/>
          <w:rtl/>
        </w:rPr>
        <w:t>ר הנפגעים - אתה אומר 2.5, נרד לשניים. הממוצע.</w:t>
      </w:r>
    </w:p>
    <w:p w:rsidR="00000000" w:rsidRDefault="003F72C2">
      <w:pPr>
        <w:rPr>
          <w:rFonts w:cs="David"/>
          <w:sz w:val="24"/>
          <w:rtl/>
        </w:rPr>
      </w:pPr>
    </w:p>
    <w:p w:rsidR="00000000" w:rsidRDefault="003F72C2">
      <w:pPr>
        <w:rPr>
          <w:rFonts w:cs="David"/>
          <w:sz w:val="24"/>
          <w:rtl/>
        </w:rPr>
      </w:pPr>
      <w:r>
        <w:rPr>
          <w:rFonts w:cs="David"/>
          <w:sz w:val="24"/>
          <w:u w:val="single"/>
          <w:rtl/>
        </w:rPr>
        <w:t>משה בר-סימנטוב:</w:t>
      </w:r>
    </w:p>
    <w:p w:rsidR="00000000" w:rsidRDefault="003F72C2">
      <w:pPr>
        <w:rPr>
          <w:rFonts w:cs="David"/>
          <w:sz w:val="24"/>
          <w:rtl/>
        </w:rPr>
      </w:pPr>
    </w:p>
    <w:p w:rsidR="00000000" w:rsidRDefault="003F72C2">
      <w:pPr>
        <w:rPr>
          <w:rFonts w:cs="David"/>
          <w:sz w:val="24"/>
          <w:rtl/>
        </w:rPr>
      </w:pPr>
      <w:r>
        <w:rPr>
          <w:rFonts w:cs="David"/>
          <w:sz w:val="24"/>
          <w:rtl/>
        </w:rPr>
        <w:tab/>
        <w:t>1,700 נפגעים בשנה, ואנחנו- -</w:t>
      </w:r>
    </w:p>
    <w:p w:rsidR="00000000" w:rsidRDefault="003F72C2">
      <w:pPr>
        <w:rPr>
          <w:rFonts w:cs="David"/>
          <w:sz w:val="24"/>
          <w:rtl/>
        </w:rPr>
      </w:pP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 xml:space="preserve"> הבעיה עכשיו היא כזאת: יש 1,700 מקרים של נפגעים. לא כל הנפגעים, בכלל יש מצב כזה שצריכים את כל הסיפור. לכן הצעתי, על מנת לשכנע את האוצר, שנעשה</w:t>
      </w:r>
      <w:r>
        <w:rPr>
          <w:rFonts w:cs="David"/>
          <w:sz w:val="24"/>
          <w:rtl/>
        </w:rPr>
        <w:t xml:space="preserve"> איזה הליך שיקל עלינו. הצעתי שההליך הזה יתחיל בכך שנפגע העבירה שיבקש את זה, השופט יהיה רשאי לתת בלי תסקיר בכלל. על ידי זה אנו חוסכים הרבה כסף, כי הוא מבקש. אם העבריין בכלל לא גר שם, הוא בכלל לא מגיש התנגדות. אם העבריין יגיד: אני מתנגד, אני מוכן לקבל שיהיה </w:t>
      </w:r>
      <w:r>
        <w:rPr>
          <w:rFonts w:cs="David"/>
          <w:sz w:val="24"/>
          <w:rtl/>
        </w:rPr>
        <w:t>תסקיר על חשבון המדינה. אבל אם יסתבר שהעבריין הגיש סתם בקשת סרק, הוא גם יממן את זה, יוטלו עליו ההוצאות. אז אני מפחית את כמות המקרים בצורה דרסטית, כי ברוב המקרים לא תהיה שום מוטיבציה להתחיל לגלגל את העניין.</w:t>
      </w:r>
    </w:p>
    <w:p w:rsidR="00000000" w:rsidRDefault="003F72C2">
      <w:pPr>
        <w:rPr>
          <w:rFonts w:cs="David"/>
          <w:sz w:val="24"/>
          <w:rtl/>
        </w:rPr>
      </w:pPr>
    </w:p>
    <w:p w:rsidR="00000000" w:rsidRDefault="003F72C2">
      <w:pPr>
        <w:rPr>
          <w:rFonts w:cs="David"/>
          <w:sz w:val="24"/>
          <w:rtl/>
        </w:rPr>
      </w:pPr>
      <w:r>
        <w:rPr>
          <w:rFonts w:cs="David"/>
          <w:sz w:val="24"/>
          <w:rtl/>
        </w:rPr>
        <w:tab/>
        <w:t>נפגע עבירה מגיש את הבקשה, ואומר: אני שומע שהאדם ה</w:t>
      </w:r>
      <w:r>
        <w:rPr>
          <w:rFonts w:cs="David"/>
          <w:sz w:val="24"/>
          <w:rtl/>
        </w:rPr>
        <w:t xml:space="preserve">זה עומד להשתחרר מבית הסהר, אני עדין בטראומה, אני לא יכול שהוא יגור לידי. השופט ייתן לו את הצו כמבוקש. אם השופט ישתכנע בלי תסקיר, בלי שום דבר. נפגע העבירה יגיד: מה פתאום? זה סתם המצאה. ברוב המקרים הוא לא יגיד כלום, כי זה לא פוגע בו. מה אכפת לו שהוא לא יגור </w:t>
      </w:r>
      <w:r>
        <w:rPr>
          <w:rFonts w:cs="David"/>
          <w:sz w:val="24"/>
          <w:rtl/>
        </w:rPr>
        <w:t xml:space="preserve">בחיפה כשהוא גר בתל אביב? אך אם הוא רוצה לחזור לגור שם, הוא יפנה לבית המשפט ויגיד: זה נגדי, אין לזה שום קשר, אני מבקש שיבדקו את הטענות על ידי חוות דעת מומחה. ואז יתקיים ההליך. אם בשלב מסוים השופט יגיע למסקנה שהבקשה הזאת הוגשה ללא צורך, יהיה רשאי לחייב אותו </w:t>
      </w:r>
      <w:r>
        <w:rPr>
          <w:rFonts w:cs="David"/>
          <w:sz w:val="24"/>
          <w:rtl/>
        </w:rPr>
        <w:t>בהוצאות על עלות התסקיר.</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לקחנו בחשבון שהכל ממומן מאוצר המדינה, צריך להגיד שבהליכים אזרחיים, גם בהליכים שהם בבית משפט למשפחה והליכים שיש בהם היבטים רגישים ויש בהם נפגע או קטין, בהליכים אזרחיים, לא פליליים, ברוב המכריע של המקרים הצדדים נושאים בעלו</w:t>
      </w:r>
      <w:r>
        <w:rPr>
          <w:rFonts w:cs="David"/>
          <w:sz w:val="24"/>
          <w:rtl/>
        </w:rPr>
        <w:t>ת. אוצר המדינה מממן עלות של חוות דעת מומחה במקרים מאוד מועטים.</w:t>
      </w:r>
    </w:p>
    <w:p w:rsidR="00000000" w:rsidRDefault="003F72C2">
      <w:pPr>
        <w:rPr>
          <w:rFonts w:cs="David"/>
          <w:sz w:val="24"/>
          <w:rtl/>
        </w:rPr>
      </w:pPr>
    </w:p>
    <w:p w:rsidR="00000000" w:rsidRDefault="003F72C2">
      <w:pPr>
        <w:rPr>
          <w:rFonts w:cs="David"/>
          <w:sz w:val="24"/>
          <w:rtl/>
        </w:rPr>
      </w:pPr>
      <w:r>
        <w:rPr>
          <w:rFonts w:cs="David"/>
          <w:sz w:val="24"/>
          <w:u w:val="single"/>
          <w:rtl/>
        </w:rPr>
        <w:t>רינת וייגלר:</w:t>
      </w:r>
    </w:p>
    <w:p w:rsidR="00000000" w:rsidRDefault="003F72C2">
      <w:pPr>
        <w:rPr>
          <w:rFonts w:cs="David"/>
          <w:sz w:val="24"/>
          <w:rtl/>
        </w:rPr>
      </w:pPr>
    </w:p>
    <w:p w:rsidR="00000000" w:rsidRDefault="003F72C2">
      <w:pPr>
        <w:rPr>
          <w:rFonts w:cs="David"/>
          <w:sz w:val="24"/>
          <w:rtl/>
        </w:rPr>
      </w:pPr>
      <w:r>
        <w:rPr>
          <w:rFonts w:cs="David"/>
          <w:sz w:val="24"/>
          <w:rtl/>
        </w:rPr>
        <w:tab/>
        <w:t>זה לא נכון.</w:t>
      </w:r>
    </w:p>
    <w:p w:rsidR="00000000" w:rsidRDefault="003F72C2">
      <w:pPr>
        <w:rPr>
          <w:rFonts w:cs="David"/>
          <w:sz w:val="24"/>
          <w:rtl/>
        </w:rPr>
      </w:pP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 xml:space="preserve"> הדבר הזה נשקל, אני גם שקלתי את זה. אמרתי לעצמי: בעצם מדובר פה בהליך אזרחי של שני צדדים. אבל כרגע זה רק הליך אזרחי שקובע מי יישא בנזק שנגרם כתוצ</w:t>
      </w:r>
      <w:r>
        <w:rPr>
          <w:rFonts w:cs="David"/>
          <w:sz w:val="24"/>
          <w:rtl/>
        </w:rPr>
        <w:t>אה ממצב בלתי אפשרי, ששני אנשים לא יכולים לגור אחד ליד השני, ומי יישא בהוצאות של ההליך האזרחי, של לברר מי יגור איפה. זה כל הבירור. יש שני אנשים - אחד היה עבריין אך הוא חזר למוטב, השני נפגע בעבירה, ועכשיו הוא בהליך משפטי, שאחד אומר: אני לא יודע אם הוא בסדר א</w:t>
      </w:r>
      <w:r>
        <w:rPr>
          <w:rFonts w:cs="David"/>
          <w:sz w:val="24"/>
          <w:rtl/>
        </w:rPr>
        <w:t>ו לא, אני אצטרך לעזוב, והשני אומר: אני בסדר, אין לי שום בעיות. אמרתי, שאם כך, למה זה לא יהיה בהליך אזרחי? אך הפתרון שלי הוא לא כזה, כי למדינה יש אחריות מוסרית כלפי האדם שנפגע והוא נפגע עבירה, כי המדינה לא חינכה טוב או לא שמה מספיק שוטרים, אך היא לא יכולה ל</w:t>
      </w:r>
      <w:r>
        <w:rPr>
          <w:rFonts w:cs="David"/>
          <w:sz w:val="24"/>
          <w:rtl/>
        </w:rPr>
        <w:t>התעלם מהחובה המוסרית שלה לנפגעי העבירה. היא חייבת ללכת אתם. ברגע שאני אומר את זה, אני אומר כלפי נפגע העבירה: אם יצטרכו תסקיר, המדינה תגיד: אני מממנת לך את זה. זה לא נורא, זה בסדר. לא יהיו הרבה מקרים כאלה.</w:t>
      </w:r>
    </w:p>
    <w:p w:rsidR="00000000" w:rsidRDefault="003F72C2">
      <w:pPr>
        <w:rPr>
          <w:rFonts w:cs="David"/>
          <w:sz w:val="24"/>
          <w:rtl/>
        </w:rPr>
      </w:pPr>
    </w:p>
    <w:p w:rsidR="00000000" w:rsidRDefault="003F72C2">
      <w:pPr>
        <w:rPr>
          <w:rFonts w:cs="David"/>
          <w:sz w:val="24"/>
          <w:rtl/>
        </w:rPr>
      </w:pPr>
      <w:r>
        <w:rPr>
          <w:rFonts w:cs="David"/>
          <w:sz w:val="24"/>
          <w:rtl/>
        </w:rPr>
        <w:tab/>
        <w:t>לגבי העבריין; אם הוא רוצה לתקוף את ההחלטה, הוא הו</w:t>
      </w:r>
      <w:r>
        <w:rPr>
          <w:rFonts w:cs="David"/>
          <w:sz w:val="24"/>
          <w:rtl/>
        </w:rPr>
        <w:t>לך לבית המשפט, בית המשפט יבקש חוות דעת. מי ישלם אותה? באופן עקרוני המדינה תשלם. כדי למנוע מצב שעבריינים ירוצו לשגע שוב את נפגעי העבירה, על מנת שלא על חשבון המדינה אותו אדם יעשה את הפעילות הזאת, כלפיו אין לו שום חובה, אני אומר: אתה תגיש, תהיה חוות דעת. אם ב</w:t>
      </w:r>
      <w:r>
        <w:rPr>
          <w:rFonts w:cs="David"/>
          <w:sz w:val="24"/>
          <w:rtl/>
        </w:rPr>
        <w:t>ית המשפט ימצא לנכון, הוא יחייב אותך. זה יעלה לך גם כסף. אתה לא יכול להגיש סתם כך, בלי שום סיכון. אין לזה שום הצדקה.</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אי אפשר להגיד שבכל מקרה אם העבריין לא מבקש, בית המשפט לא יבקש חוות דעת. צריך להשאיר לו את שיקול הדעת, גם אם אנו אומרים שהוא לא ח</w:t>
      </w:r>
      <w:r>
        <w:rPr>
          <w:rFonts w:cs="David"/>
          <w:sz w:val="24"/>
          <w:rtl/>
        </w:rPr>
        <w:t>ייב.</w:t>
      </w:r>
    </w:p>
    <w:p w:rsidR="00000000" w:rsidRDefault="003F72C2">
      <w:pPr>
        <w:rPr>
          <w:rFonts w:cs="David"/>
          <w:sz w:val="24"/>
          <w:rtl/>
        </w:rPr>
      </w:pP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 xml:space="preserve">יש לי בעיה עם האוצר. אז לא יהיה חוק. </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זה הנחות מוגזמות, בפרט שאתה יודע שעל חלק מהמקרים כבר יש תסקיר.</w:t>
      </w:r>
    </w:p>
    <w:p w:rsidR="00000000" w:rsidRDefault="003F72C2">
      <w:pPr>
        <w:rPr>
          <w:rFonts w:cs="David"/>
          <w:sz w:val="24"/>
          <w:rtl/>
        </w:rPr>
      </w:pPr>
    </w:p>
    <w:p w:rsidR="00000000" w:rsidRDefault="003F72C2">
      <w:pPr>
        <w:rPr>
          <w:rFonts w:cs="David"/>
          <w:sz w:val="24"/>
          <w:rtl/>
        </w:rPr>
      </w:pPr>
      <w:r>
        <w:rPr>
          <w:rFonts w:cs="David"/>
          <w:sz w:val="24"/>
          <w:u w:val="single"/>
          <w:rtl/>
        </w:rPr>
        <w:t>משה בר-סימנטוב:</w:t>
      </w:r>
    </w:p>
    <w:p w:rsidR="00000000" w:rsidRDefault="003F72C2">
      <w:pPr>
        <w:rPr>
          <w:rFonts w:cs="David"/>
          <w:sz w:val="24"/>
          <w:rtl/>
        </w:rPr>
      </w:pPr>
    </w:p>
    <w:p w:rsidR="00000000" w:rsidRDefault="003F72C2">
      <w:pPr>
        <w:rPr>
          <w:rFonts w:cs="David"/>
          <w:sz w:val="24"/>
          <w:rtl/>
        </w:rPr>
      </w:pPr>
      <w:r>
        <w:rPr>
          <w:rFonts w:cs="David"/>
          <w:sz w:val="24"/>
          <w:rtl/>
        </w:rPr>
        <w:tab/>
        <w:t>על 100 מקרים.</w:t>
      </w:r>
    </w:p>
    <w:p w:rsidR="00000000" w:rsidRDefault="003F72C2">
      <w:pPr>
        <w:rPr>
          <w:rFonts w:cs="David"/>
          <w:sz w:val="24"/>
          <w:rtl/>
        </w:rPr>
      </w:pPr>
    </w:p>
    <w:p w:rsidR="00000000" w:rsidRDefault="003F72C2">
      <w:pPr>
        <w:rPr>
          <w:rFonts w:cs="David"/>
          <w:sz w:val="24"/>
          <w:rtl/>
        </w:rPr>
      </w:pPr>
      <w:r>
        <w:rPr>
          <w:rFonts w:cs="David"/>
          <w:sz w:val="24"/>
          <w:u w:val="single"/>
          <w:rtl/>
        </w:rPr>
        <w:t>חנה אטקס:</w:t>
      </w:r>
    </w:p>
    <w:p w:rsidR="00000000" w:rsidRDefault="003F72C2">
      <w:pPr>
        <w:rPr>
          <w:rFonts w:cs="David"/>
          <w:sz w:val="24"/>
          <w:rtl/>
        </w:rPr>
      </w:pPr>
    </w:p>
    <w:p w:rsidR="00000000" w:rsidRDefault="003F72C2">
      <w:pPr>
        <w:rPr>
          <w:rFonts w:cs="David"/>
          <w:sz w:val="24"/>
          <w:rtl/>
        </w:rPr>
      </w:pPr>
      <w:r>
        <w:rPr>
          <w:rFonts w:cs="David"/>
          <w:sz w:val="24"/>
          <w:rtl/>
        </w:rPr>
        <w:tab/>
        <w:t>יותר.</w:t>
      </w:r>
    </w:p>
    <w:p w:rsidR="00000000" w:rsidRDefault="003F72C2">
      <w:pPr>
        <w:rPr>
          <w:rFonts w:cs="David"/>
          <w:sz w:val="24"/>
          <w:rtl/>
        </w:rPr>
      </w:pPr>
    </w:p>
    <w:p w:rsidR="00000000" w:rsidRDefault="003F72C2">
      <w:pPr>
        <w:rPr>
          <w:rFonts w:cs="David"/>
          <w:sz w:val="24"/>
          <w:rtl/>
        </w:rPr>
      </w:pPr>
      <w:r>
        <w:rPr>
          <w:rFonts w:cs="David"/>
          <w:sz w:val="24"/>
          <w:u w:val="single"/>
          <w:rtl/>
        </w:rPr>
        <w:t>רחל גרשוני:</w:t>
      </w:r>
    </w:p>
    <w:p w:rsidR="00000000" w:rsidRDefault="003F72C2">
      <w:pPr>
        <w:rPr>
          <w:rFonts w:cs="David"/>
          <w:sz w:val="24"/>
          <w:rtl/>
        </w:rPr>
      </w:pPr>
    </w:p>
    <w:p w:rsidR="00000000" w:rsidRDefault="003F72C2">
      <w:pPr>
        <w:rPr>
          <w:rFonts w:cs="David"/>
          <w:sz w:val="24"/>
          <w:rtl/>
        </w:rPr>
      </w:pPr>
      <w:r>
        <w:rPr>
          <w:rFonts w:cs="David"/>
          <w:sz w:val="24"/>
          <w:rtl/>
        </w:rPr>
        <w:tab/>
        <w:t>האם ההצעה היא שכשהדיון מתקיים בהתחלה, בית המשפט ככ</w:t>
      </w:r>
      <w:r>
        <w:rPr>
          <w:rFonts w:cs="David"/>
          <w:sz w:val="24"/>
          <w:rtl/>
        </w:rPr>
        <w:t>לל לא ימנה מומחה כדי לקבוע לגבי הנזק, הוא יקבע לגבי הנזק בלי חוות דעת מומחה?</w:t>
      </w:r>
    </w:p>
    <w:p w:rsidR="00000000" w:rsidRDefault="003F72C2">
      <w:pPr>
        <w:rPr>
          <w:rFonts w:cs="David"/>
          <w:sz w:val="24"/>
          <w:rtl/>
        </w:rPr>
      </w:pPr>
    </w:p>
    <w:p w:rsidR="00000000" w:rsidRDefault="003F72C2">
      <w:pPr>
        <w:rPr>
          <w:rFonts w:cs="David"/>
          <w:sz w:val="24"/>
          <w:u w:val="single"/>
          <w:rtl/>
        </w:rPr>
      </w:pPr>
      <w:r>
        <w:rPr>
          <w:rFonts w:cs="David"/>
          <w:sz w:val="24"/>
          <w:u w:val="single"/>
          <w:rtl/>
        </w:rPr>
        <w:br w:type="page"/>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 xml:space="preserve"> הוא לא יקבע שום דבר על הנזק הנפשי. את הולכת בכיוון הלא נכון במחשבה. תלכי עם הלוגיקה שלי. את מסתכלת על השלבים, אני הולך לכיוון שאין התנגדות. בא המבקש בבית המ</w:t>
      </w:r>
      <w:r>
        <w:rPr>
          <w:rFonts w:cs="David"/>
          <w:sz w:val="24"/>
          <w:rtl/>
        </w:rPr>
        <w:t>שפט ואומר: אני מבקש שהשופט יגיד לו שהוא לא יבוא למקום העבודה שלו. הוא אומר לו: אני עובד בחיפה והוא עובד בתל אביב. נפגע העבירה יגיש. הוא רוצה הגנה. מי ישלם את חוות הדעת? אם נפגע העבירה - בכל מקרה המדינה תשלם. אך לשופט יש שיקול דעת, הוא יכול להחליט שהוא ישלם</w:t>
      </w:r>
      <w:r>
        <w:rPr>
          <w:rFonts w:cs="David"/>
          <w:sz w:val="24"/>
          <w:rtl/>
        </w:rPr>
        <w:t xml:space="preserve"> עבורה. </w:t>
      </w:r>
    </w:p>
    <w:p w:rsidR="00000000" w:rsidRDefault="003F72C2">
      <w:pPr>
        <w:rPr>
          <w:rFonts w:cs="David"/>
          <w:sz w:val="24"/>
          <w:rtl/>
        </w:rPr>
      </w:pPr>
    </w:p>
    <w:p w:rsidR="00000000" w:rsidRDefault="003F72C2">
      <w:pPr>
        <w:rPr>
          <w:rFonts w:cs="David"/>
          <w:sz w:val="24"/>
          <w:rtl/>
        </w:rPr>
      </w:pPr>
      <w:r>
        <w:rPr>
          <w:rFonts w:cs="David"/>
          <w:sz w:val="24"/>
          <w:u w:val="single"/>
          <w:rtl/>
        </w:rPr>
        <w:t>רחל גרשוני:</w:t>
      </w:r>
    </w:p>
    <w:p w:rsidR="00000000" w:rsidRDefault="003F72C2">
      <w:pPr>
        <w:rPr>
          <w:rFonts w:cs="David"/>
          <w:sz w:val="24"/>
          <w:rtl/>
        </w:rPr>
      </w:pPr>
    </w:p>
    <w:p w:rsidR="00000000" w:rsidRDefault="003F72C2">
      <w:pPr>
        <w:rPr>
          <w:rFonts w:cs="David"/>
          <w:sz w:val="24"/>
          <w:rtl/>
        </w:rPr>
      </w:pPr>
      <w:r>
        <w:rPr>
          <w:rFonts w:cs="David"/>
          <w:sz w:val="24"/>
          <w:rtl/>
        </w:rPr>
        <w:tab/>
        <w:t xml:space="preserve">אלה מקרים מעטים ביותר. בדרך כלל- - </w:t>
      </w:r>
    </w:p>
    <w:p w:rsidR="00000000" w:rsidRDefault="003F72C2">
      <w:pPr>
        <w:rPr>
          <w:rFonts w:cs="David"/>
          <w:sz w:val="24"/>
          <w:rtl/>
        </w:rPr>
      </w:pP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 xml:space="preserve"> אני משאיר את זה לשיקול דעת. </w:t>
      </w:r>
    </w:p>
    <w:p w:rsidR="00000000" w:rsidRDefault="003F72C2">
      <w:pPr>
        <w:rPr>
          <w:rFonts w:cs="David"/>
          <w:sz w:val="24"/>
          <w:rtl/>
        </w:rPr>
      </w:pPr>
    </w:p>
    <w:p w:rsidR="00000000" w:rsidRDefault="003F72C2">
      <w:pPr>
        <w:rPr>
          <w:rFonts w:cs="David"/>
          <w:sz w:val="24"/>
          <w:u w:val="single"/>
          <w:rtl/>
        </w:rPr>
      </w:pPr>
      <w:r>
        <w:rPr>
          <w:rFonts w:cs="David"/>
          <w:sz w:val="24"/>
          <w:u w:val="single"/>
          <w:rtl/>
        </w:rPr>
        <w:t>תמי סלע:</w:t>
      </w:r>
    </w:p>
    <w:p w:rsidR="00000000" w:rsidRDefault="003F72C2">
      <w:pPr>
        <w:rPr>
          <w:rFonts w:cs="David"/>
          <w:sz w:val="24"/>
          <w:u w:val="single"/>
          <w:rtl/>
        </w:rPr>
      </w:pPr>
    </w:p>
    <w:p w:rsidR="00000000" w:rsidRDefault="003F72C2">
      <w:pPr>
        <w:ind w:left="570"/>
        <w:rPr>
          <w:rFonts w:cs="David"/>
          <w:sz w:val="24"/>
          <w:rtl/>
        </w:rPr>
      </w:pPr>
      <w:r>
        <w:rPr>
          <w:rFonts w:cs="David"/>
          <w:sz w:val="24"/>
          <w:rtl/>
        </w:rPr>
        <w:t>- - -</w:t>
      </w:r>
    </w:p>
    <w:p w:rsidR="00000000" w:rsidRDefault="003F72C2">
      <w:pPr>
        <w:rPr>
          <w:rFonts w:cs="David"/>
          <w:sz w:val="24"/>
          <w:u w:val="single"/>
          <w:rtl/>
        </w:rPr>
      </w:pP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u w:val="single"/>
          <w:rtl/>
        </w:rPr>
      </w:pPr>
    </w:p>
    <w:p w:rsidR="00000000" w:rsidRDefault="003F72C2">
      <w:pPr>
        <w:ind w:firstLine="567"/>
        <w:rPr>
          <w:rFonts w:cs="David"/>
          <w:sz w:val="24"/>
          <w:rtl/>
        </w:rPr>
      </w:pPr>
      <w:r>
        <w:rPr>
          <w:rFonts w:cs="David"/>
          <w:sz w:val="24"/>
          <w:rtl/>
        </w:rPr>
        <w:t>לא נשמע לך? לי זה נשמע.</w:t>
      </w:r>
    </w:p>
    <w:p w:rsidR="00000000" w:rsidRDefault="003F72C2">
      <w:pPr>
        <w:rPr>
          <w:rFonts w:cs="David"/>
          <w:sz w:val="24"/>
          <w:rtl/>
        </w:rPr>
      </w:pPr>
    </w:p>
    <w:p w:rsidR="00000000" w:rsidRDefault="003F72C2">
      <w:pPr>
        <w:rPr>
          <w:rFonts w:cs="David"/>
          <w:sz w:val="24"/>
          <w:rtl/>
        </w:rPr>
      </w:pPr>
      <w:r>
        <w:rPr>
          <w:rFonts w:cs="David"/>
          <w:sz w:val="24"/>
          <w:u w:val="single"/>
          <w:rtl/>
        </w:rPr>
        <w:t>לילה מרגלית:</w:t>
      </w:r>
    </w:p>
    <w:p w:rsidR="00000000" w:rsidRDefault="003F72C2">
      <w:pPr>
        <w:rPr>
          <w:rFonts w:cs="David"/>
          <w:sz w:val="24"/>
          <w:rtl/>
        </w:rPr>
      </w:pPr>
    </w:p>
    <w:p w:rsidR="00000000" w:rsidRDefault="003F72C2">
      <w:pPr>
        <w:rPr>
          <w:rFonts w:cs="David"/>
          <w:sz w:val="24"/>
          <w:rtl/>
        </w:rPr>
      </w:pPr>
      <w:r>
        <w:rPr>
          <w:rFonts w:cs="David"/>
          <w:sz w:val="24"/>
          <w:rtl/>
        </w:rPr>
        <w:tab/>
        <w:t>יש הבדל מאוד גדול בי לומר לעבריין: אם תסכים להטלת המגבלות, נדרוש חוו</w:t>
      </w:r>
      <w:r>
        <w:rPr>
          <w:rFonts w:cs="David"/>
          <w:sz w:val="24"/>
          <w:rtl/>
        </w:rPr>
        <w:t>ת דעת, לבין מצב שבו אומרים: אנו נאפשר הטלת המגבלות ללא בסיס ראייתי כלשהו.</w:t>
      </w:r>
    </w:p>
    <w:p w:rsidR="00000000" w:rsidRDefault="003F72C2">
      <w:pPr>
        <w:rPr>
          <w:rFonts w:cs="David"/>
          <w:sz w:val="24"/>
          <w:rtl/>
        </w:rPr>
      </w:pP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 xml:space="preserve"> יש בסיס: בא אדם נפגע עבירה, מסביר לשופט כמיטב יכולתו מדוע הוא מבקש שהעבריין לא יבוא לגור לידו.</w:t>
      </w:r>
    </w:p>
    <w:p w:rsidR="00000000" w:rsidRDefault="003F72C2">
      <w:pPr>
        <w:rPr>
          <w:rFonts w:cs="David"/>
          <w:sz w:val="24"/>
          <w:rtl/>
        </w:rPr>
      </w:pPr>
    </w:p>
    <w:p w:rsidR="00000000" w:rsidRDefault="003F72C2">
      <w:pPr>
        <w:rPr>
          <w:rFonts w:cs="David"/>
          <w:sz w:val="24"/>
          <w:rtl/>
        </w:rPr>
      </w:pPr>
      <w:r>
        <w:rPr>
          <w:rFonts w:cs="David"/>
          <w:sz w:val="24"/>
          <w:u w:val="single"/>
          <w:rtl/>
        </w:rPr>
        <w:t>לילה מרגלית:</w:t>
      </w:r>
    </w:p>
    <w:p w:rsidR="00000000" w:rsidRDefault="003F72C2">
      <w:pPr>
        <w:rPr>
          <w:rFonts w:cs="David"/>
          <w:sz w:val="24"/>
          <w:rtl/>
        </w:rPr>
      </w:pPr>
    </w:p>
    <w:p w:rsidR="00000000" w:rsidRDefault="003F72C2">
      <w:pPr>
        <w:rPr>
          <w:rFonts w:cs="David"/>
          <w:sz w:val="24"/>
          <w:rtl/>
        </w:rPr>
      </w:pPr>
      <w:r>
        <w:rPr>
          <w:rFonts w:cs="David"/>
          <w:sz w:val="24"/>
          <w:rtl/>
        </w:rPr>
        <w:tab/>
        <w:t xml:space="preserve">אי אפשר להטיל מגבלות על אדם שפוגעות בזכויות יסוד </w:t>
      </w:r>
      <w:r>
        <w:rPr>
          <w:rFonts w:cs="David"/>
          <w:sz w:val="24"/>
          <w:rtl/>
        </w:rPr>
        <w:t>שלו, ולומר לו: עליך הנטל להתגונן, ואם אתה מתגונן ונמצא שלא היתה הצדקה להתגוננות שלך, אנו עוד נטיל עליך הוצאות. העבריין לא יכול לדעת אם יש בסיס להתנגדות שלו או לא לפני שיש חוות דעת. הוא לא יודע אם זה יגרום נזק או לא.</w:t>
      </w:r>
    </w:p>
    <w:p w:rsidR="00000000" w:rsidRDefault="003F72C2">
      <w:pPr>
        <w:rPr>
          <w:rFonts w:cs="David"/>
          <w:sz w:val="24"/>
          <w:rtl/>
        </w:rPr>
      </w:pP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 xml:space="preserve"> אני מקבל את מה שאת</w:t>
      </w:r>
      <w:r>
        <w:rPr>
          <w:rFonts w:cs="David"/>
          <w:sz w:val="24"/>
          <w:rtl/>
        </w:rPr>
        <w:t xml:space="preserve"> אומרת, אך אני עדיין מחפש פתרון.</w:t>
      </w:r>
    </w:p>
    <w:p w:rsidR="00000000" w:rsidRDefault="003F72C2">
      <w:pPr>
        <w:rPr>
          <w:rFonts w:cs="David"/>
          <w:sz w:val="24"/>
          <w:rtl/>
        </w:rPr>
      </w:pPr>
    </w:p>
    <w:p w:rsidR="00000000" w:rsidRDefault="003F72C2">
      <w:pPr>
        <w:rPr>
          <w:rFonts w:cs="David"/>
          <w:sz w:val="24"/>
          <w:rtl/>
        </w:rPr>
      </w:pPr>
      <w:r>
        <w:rPr>
          <w:rFonts w:cs="David"/>
          <w:sz w:val="24"/>
          <w:u w:val="single"/>
          <w:rtl/>
        </w:rPr>
        <w:t>לילה מרגלית:</w:t>
      </w:r>
    </w:p>
    <w:p w:rsidR="00000000" w:rsidRDefault="003F72C2">
      <w:pPr>
        <w:rPr>
          <w:rFonts w:cs="David"/>
          <w:sz w:val="24"/>
          <w:rtl/>
        </w:rPr>
      </w:pPr>
    </w:p>
    <w:p w:rsidR="00000000" w:rsidRDefault="003F72C2">
      <w:pPr>
        <w:rPr>
          <w:rFonts w:cs="David"/>
          <w:sz w:val="24"/>
          <w:rtl/>
        </w:rPr>
      </w:pPr>
      <w:r>
        <w:rPr>
          <w:rFonts w:cs="David"/>
          <w:sz w:val="24"/>
          <w:rtl/>
        </w:rPr>
        <w:tab/>
        <w:t>יש סעיף שאומר שבית המשפט יכול מטעמים מיוחדים שיירשמו לקבל החלטה ללא חוות דעת. אפשר לכתוב שאם העבריין מסכים, זה יכול להיות, למשל, נסיבה שמצדיקה את זה. אך יש הבדל בין זה לבין להטיל את נטל ההתגוננות על הנאשם.</w:t>
      </w:r>
    </w:p>
    <w:p w:rsidR="00000000" w:rsidRDefault="003F72C2">
      <w:pPr>
        <w:rPr>
          <w:rFonts w:cs="David"/>
          <w:sz w:val="24"/>
          <w:rtl/>
        </w:rPr>
      </w:pP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 xml:space="preserve"> אני לא צריך שהוא יסכים, אני צריך שהוא לא יתנגד. אם ישאלו אותו- -</w:t>
      </w:r>
    </w:p>
    <w:p w:rsidR="00000000" w:rsidRDefault="003F72C2">
      <w:pPr>
        <w:rPr>
          <w:rFonts w:cs="David"/>
          <w:sz w:val="24"/>
          <w:rtl/>
        </w:rPr>
      </w:pPr>
    </w:p>
    <w:p w:rsidR="00000000" w:rsidRDefault="003F72C2">
      <w:pPr>
        <w:rPr>
          <w:rFonts w:cs="David"/>
          <w:sz w:val="24"/>
          <w:rtl/>
        </w:rPr>
      </w:pPr>
      <w:r>
        <w:rPr>
          <w:rFonts w:cs="David"/>
          <w:sz w:val="24"/>
          <w:u w:val="single"/>
          <w:rtl/>
        </w:rPr>
        <w:t>דפנה בינוולד:</w:t>
      </w:r>
    </w:p>
    <w:p w:rsidR="00000000" w:rsidRDefault="003F72C2">
      <w:pPr>
        <w:rPr>
          <w:rFonts w:cs="David"/>
          <w:sz w:val="24"/>
          <w:rtl/>
        </w:rPr>
      </w:pPr>
    </w:p>
    <w:p w:rsidR="00000000" w:rsidRDefault="003F72C2">
      <w:pPr>
        <w:rPr>
          <w:rFonts w:cs="David"/>
          <w:sz w:val="24"/>
          <w:rtl/>
        </w:rPr>
      </w:pPr>
      <w:r>
        <w:rPr>
          <w:rFonts w:cs="David"/>
          <w:sz w:val="24"/>
          <w:rtl/>
        </w:rPr>
        <w:tab/>
        <w:t>חייבים לשאול אותו.</w:t>
      </w:r>
    </w:p>
    <w:p w:rsidR="00000000" w:rsidRDefault="003F72C2">
      <w:pPr>
        <w:rPr>
          <w:rFonts w:cs="David"/>
          <w:sz w:val="24"/>
          <w:rtl/>
        </w:rPr>
      </w:pP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אני לא חייב לשאול אותו, אני לא חייב לקבוע שתנאי זה הסכמתו, כי אני נותן לו מעמד שוב לגבי גורל של נפגע עבירה.</w:t>
      </w:r>
    </w:p>
    <w:p w:rsidR="00000000" w:rsidRDefault="003F72C2">
      <w:pPr>
        <w:rPr>
          <w:rFonts w:cs="David"/>
          <w:sz w:val="24"/>
          <w:rtl/>
        </w:rPr>
      </w:pPr>
    </w:p>
    <w:p w:rsidR="00000000" w:rsidRDefault="003F72C2">
      <w:pPr>
        <w:rPr>
          <w:rFonts w:cs="David"/>
          <w:sz w:val="24"/>
          <w:rtl/>
        </w:rPr>
      </w:pPr>
      <w:r>
        <w:rPr>
          <w:rFonts w:cs="David"/>
          <w:sz w:val="24"/>
          <w:u w:val="single"/>
          <w:rtl/>
        </w:rPr>
        <w:t>לילה</w:t>
      </w:r>
      <w:r>
        <w:rPr>
          <w:rFonts w:cs="David"/>
          <w:sz w:val="24"/>
          <w:u w:val="single"/>
          <w:rtl/>
        </w:rPr>
        <w:t xml:space="preserve"> מרגלית:</w:t>
      </w:r>
    </w:p>
    <w:p w:rsidR="00000000" w:rsidRDefault="003F72C2">
      <w:pPr>
        <w:rPr>
          <w:rFonts w:cs="David"/>
          <w:sz w:val="24"/>
          <w:rtl/>
        </w:rPr>
      </w:pPr>
    </w:p>
    <w:p w:rsidR="00000000" w:rsidRDefault="003F72C2">
      <w:pPr>
        <w:rPr>
          <w:rFonts w:cs="David"/>
          <w:sz w:val="24"/>
          <w:rtl/>
        </w:rPr>
      </w:pPr>
      <w:r>
        <w:rPr>
          <w:rFonts w:cs="David"/>
          <w:sz w:val="24"/>
          <w:rtl/>
        </w:rPr>
        <w:tab/>
        <w:t xml:space="preserve">הוא יכול להתנגד. </w:t>
      </w:r>
    </w:p>
    <w:p w:rsidR="00000000" w:rsidRDefault="003F72C2">
      <w:pPr>
        <w:rPr>
          <w:rFonts w:cs="David"/>
          <w:sz w:val="24"/>
          <w:rtl/>
        </w:rPr>
      </w:pP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אבל אני לא דורש את הסכמתו. אני מציע שנתקן את זה כך: המשמעות מבחינת ההצעה תהיה שסעיף 4 (א)- -</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להשאיר את זה בשיקול דעת ולא כחובה מוחלטת, כי אם, למשל, יש תסקיר והוא רואה שזה ראיה מספקת לעניין הנזק</w:t>
      </w:r>
      <w:r>
        <w:rPr>
          <w:rFonts w:cs="David"/>
          <w:sz w:val="24"/>
          <w:rtl/>
        </w:rPr>
        <w:t>, אולי הוא לא ימנה.</w:t>
      </w:r>
    </w:p>
    <w:p w:rsidR="00000000" w:rsidRDefault="003F72C2">
      <w:pPr>
        <w:rPr>
          <w:rFonts w:cs="David"/>
          <w:sz w:val="24"/>
          <w:rtl/>
        </w:rPr>
      </w:pPr>
    </w:p>
    <w:p w:rsidR="00000000" w:rsidRDefault="003F72C2">
      <w:pPr>
        <w:rPr>
          <w:rFonts w:cs="David"/>
          <w:sz w:val="24"/>
          <w:rtl/>
        </w:rPr>
      </w:pPr>
      <w:r>
        <w:rPr>
          <w:rFonts w:cs="David"/>
          <w:sz w:val="24"/>
          <w:u w:val="single"/>
          <w:rtl/>
        </w:rPr>
        <w:t>רחל גרשוני:</w:t>
      </w:r>
    </w:p>
    <w:p w:rsidR="00000000" w:rsidRDefault="003F72C2">
      <w:pPr>
        <w:rPr>
          <w:rFonts w:cs="David"/>
          <w:sz w:val="24"/>
          <w:rtl/>
        </w:rPr>
      </w:pPr>
    </w:p>
    <w:p w:rsidR="00000000" w:rsidRDefault="003F72C2">
      <w:pPr>
        <w:rPr>
          <w:rFonts w:cs="David"/>
          <w:sz w:val="24"/>
          <w:rtl/>
        </w:rPr>
      </w:pPr>
      <w:r>
        <w:rPr>
          <w:rFonts w:cs="David"/>
          <w:sz w:val="24"/>
          <w:rtl/>
        </w:rPr>
        <w:tab/>
        <w:t>הנאשם לא יוכל להתגונן אם יש רק תסקיר.</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 xml:space="preserve">אם אפשרנו במצבים מסוימים- - </w:t>
      </w:r>
    </w:p>
    <w:p w:rsidR="00000000" w:rsidRDefault="003F72C2">
      <w:pPr>
        <w:rPr>
          <w:rFonts w:cs="David"/>
          <w:sz w:val="24"/>
          <w:rtl/>
        </w:rPr>
      </w:pPr>
    </w:p>
    <w:p w:rsidR="00000000" w:rsidRDefault="003F72C2">
      <w:pPr>
        <w:rPr>
          <w:rFonts w:cs="David"/>
          <w:sz w:val="24"/>
          <w:rtl/>
        </w:rPr>
      </w:pPr>
      <w:r>
        <w:rPr>
          <w:rFonts w:cs="David"/>
          <w:sz w:val="24"/>
          <w:u w:val="single"/>
          <w:rtl/>
        </w:rPr>
        <w:t>דוד וינר:</w:t>
      </w:r>
    </w:p>
    <w:p w:rsidR="00000000" w:rsidRDefault="003F72C2">
      <w:pPr>
        <w:rPr>
          <w:rFonts w:cs="David"/>
          <w:sz w:val="24"/>
          <w:rtl/>
        </w:rPr>
      </w:pPr>
    </w:p>
    <w:p w:rsidR="00000000" w:rsidRDefault="003F72C2">
      <w:pPr>
        <w:rPr>
          <w:rFonts w:cs="David"/>
          <w:sz w:val="24"/>
          <w:rtl/>
        </w:rPr>
      </w:pPr>
      <w:r>
        <w:rPr>
          <w:rFonts w:cs="David"/>
          <w:sz w:val="24"/>
          <w:rtl/>
        </w:rPr>
        <w:tab/>
        <w:t xml:space="preserve">אנו לא החלטנו אם זה הליך פלילי או אזרחי. מצד שני יש לנו האוצר ששם לנו את הבעיה. החוק הזה, כבר הבעתי את דעתי עליו, והבנתי שהפסדתי </w:t>
      </w:r>
      <w:r>
        <w:rPr>
          <w:rFonts w:cs="David"/>
          <w:sz w:val="24"/>
          <w:rtl/>
        </w:rPr>
        <w:t>בקרב הזה. אני מבקש דבר אחד; בואו לא נוותר על עקרונות יסוד, אי אפשר כרגע להמציא הליכים חדשים, לא פליליים, לא אזרחיים, אוטומטיים, כל מיני דברים כאלה. זה פגיעה יותר מדי קשה. אם צריך לצמצם את כמות העבירות שזה יחול עליהן בדרך הזאת, שלפחות לא נשחק עם המשפט הפליל</w:t>
      </w:r>
      <w:r>
        <w:rPr>
          <w:rFonts w:cs="David"/>
          <w:sz w:val="24"/>
          <w:rtl/>
        </w:rPr>
        <w:t>י הדיוני והמשפט האזרחי הדיוני, לפחות זה יהיה הרע במיעוטו.</w:t>
      </w:r>
    </w:p>
    <w:p w:rsidR="00000000" w:rsidRDefault="003F72C2">
      <w:pPr>
        <w:rPr>
          <w:rFonts w:cs="David"/>
          <w:sz w:val="24"/>
          <w:rtl/>
        </w:rPr>
      </w:pP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 xml:space="preserve"> אני לא משחק בשום דבר. החוק הזה הוא חוק שאנו החלטנו לאמץ אותו. אנו רוצים שהוא גם יתבצע. אנו חושבים שיש לו הצדקה. עכשיו באה הנקודה שהאוצר אומר: יש בעיות תקציביות, צריך לבדוק מה ל</w:t>
      </w:r>
      <w:r>
        <w:rPr>
          <w:rFonts w:cs="David"/>
          <w:sz w:val="24"/>
          <w:rtl/>
        </w:rPr>
        <w:t xml:space="preserve">עשות עם הכסף. יש לי כמה אפשרויות, לומר: יש בעיות של כסף, אני לא מקיים את החוק. יש לי אפשרות לחשוב איך לפתור את הבעיה. אני מחזיר אותך כל הזמן לסיטואציה הבסיסית שאתה החוק הזה התחיל ואתה הוא הולך לאורך כל הדרך; אדם שלא יכול להמשיך לעבוד, אשה, ילד, נפגע עבירה </w:t>
      </w:r>
      <w:r>
        <w:rPr>
          <w:rFonts w:cs="David"/>
          <w:sz w:val="24"/>
          <w:rtl/>
        </w:rPr>
        <w:t>שלא יכולים להמשיך לגור באותו בניין, אני לא מוכן לעבור לסדר היום עם הסיטואציה הזאת, שזה עלה על שולחני, ואני אומר: לך עכשיו, אחרי שאתה נפגע עבירה, תקנה לך בית במקום אחר. אני לא מוכן.</w:t>
      </w:r>
    </w:p>
    <w:p w:rsidR="00000000" w:rsidRDefault="003F72C2">
      <w:pPr>
        <w:rPr>
          <w:rFonts w:cs="David"/>
          <w:sz w:val="24"/>
          <w:rtl/>
        </w:rPr>
      </w:pPr>
    </w:p>
    <w:p w:rsidR="00000000" w:rsidRDefault="003F72C2">
      <w:pPr>
        <w:ind w:firstLine="567"/>
        <w:rPr>
          <w:rFonts w:cs="David"/>
          <w:sz w:val="24"/>
          <w:rtl/>
        </w:rPr>
      </w:pPr>
      <w:r>
        <w:rPr>
          <w:rFonts w:cs="David"/>
          <w:sz w:val="24"/>
          <w:rtl/>
        </w:rPr>
        <w:t xml:space="preserve">עכשיו בוא נראה מה אני מציע. אני רוצה: אנו הולכים לבית המשפט. יהיה דיון גם </w:t>
      </w:r>
      <w:r>
        <w:rPr>
          <w:rFonts w:cs="David"/>
          <w:sz w:val="24"/>
          <w:rtl/>
        </w:rPr>
        <w:t>בשאלה הזאת. זה יכול להיות בצמוד, זה יכול להיות גם לאחר השחרור מבית הסוהר, אחרי שנים ארוכות. יופיע אדם, יעלה את הטענה שלו. מצד אחד אני רוצה לשמור על הזכויות של האדם שנגדו טוענים. אני לא רוצה להשאיר אותו נטול הגנה. אני מאפשר לו את כל הכלים להגן על עצמו. עכשי</w:t>
      </w:r>
      <w:r>
        <w:rPr>
          <w:rFonts w:cs="David"/>
          <w:sz w:val="24"/>
          <w:rtl/>
        </w:rPr>
        <w:t>ו השאלה היא רק מי ישלם. הבעיה היא לא שהוא נטול הגנה, הבעיה היא שאני לא מוותר כאן על התסקיר, על חוות הדעת ועל החקירה, והלכתי שהוא יוכל למצוא את האמת. אני אומר: בואו נהיה הגיוניים. דבר ראשון – למה לנו להסתבך בלחייב אוטומטית, שהפסיכולוגים ירוויחו בחינם כסף, כ</w:t>
      </w:r>
      <w:r>
        <w:rPr>
          <w:rFonts w:cs="David"/>
          <w:sz w:val="24"/>
          <w:rtl/>
        </w:rPr>
        <w:t>שבכלל אין בזה צורך, כשהוא בכלל לא מתנגד?</w:t>
      </w:r>
    </w:p>
    <w:p w:rsidR="00000000" w:rsidRDefault="003F72C2">
      <w:pPr>
        <w:rPr>
          <w:rFonts w:cs="David"/>
          <w:sz w:val="24"/>
          <w:rtl/>
        </w:rPr>
      </w:pPr>
    </w:p>
    <w:p w:rsidR="00000000" w:rsidRDefault="003F72C2">
      <w:pPr>
        <w:rPr>
          <w:rFonts w:cs="David"/>
          <w:sz w:val="24"/>
          <w:u w:val="single"/>
          <w:rtl/>
        </w:rPr>
      </w:pPr>
      <w:r>
        <w:rPr>
          <w:rFonts w:cs="David"/>
          <w:sz w:val="24"/>
          <w:u w:val="single"/>
          <w:rtl/>
        </w:rPr>
        <w:t>קריאה:</w:t>
      </w:r>
    </w:p>
    <w:p w:rsidR="00000000" w:rsidRDefault="003F72C2">
      <w:pPr>
        <w:rPr>
          <w:rFonts w:cs="David"/>
          <w:sz w:val="24"/>
          <w:rtl/>
        </w:rPr>
      </w:pPr>
    </w:p>
    <w:p w:rsidR="00000000" w:rsidRDefault="003F72C2">
      <w:pPr>
        <w:rPr>
          <w:rFonts w:cs="David"/>
          <w:sz w:val="24"/>
          <w:rtl/>
        </w:rPr>
      </w:pPr>
      <w:r>
        <w:rPr>
          <w:rFonts w:cs="David"/>
          <w:sz w:val="24"/>
          <w:rtl/>
        </w:rPr>
        <w:tab/>
        <w:t>למה היא תגיש?</w:t>
      </w:r>
    </w:p>
    <w:p w:rsidR="00000000" w:rsidRDefault="003F72C2">
      <w:pPr>
        <w:rPr>
          <w:rFonts w:cs="David"/>
          <w:sz w:val="24"/>
          <w:rtl/>
        </w:rPr>
      </w:pP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 xml:space="preserve"> היא מגישה, הוא לא מתנגד. למה אני צריך סתם לבזבז את הכסף של המדינה? זה צריך לבוא לידי ביטוי בשינוי הנוסח. כשזה יקרה, וגם האוצר ישתכנע שבמקום 3,000 מקרים, יהיו אולי 200 או</w:t>
      </w:r>
      <w:r>
        <w:rPr>
          <w:rFonts w:cs="David"/>
          <w:sz w:val="24"/>
          <w:rtl/>
        </w:rPr>
        <w:t xml:space="preserve"> 300, כי ברוב המקרים או שהעבירה לא תתבצע באותו מקום. הוא ספר שמונה נפגעים, אך כשעבריין המין פגע באחד בחיפה, באחד בתל אביב, באחד בהרצליה, יכול להיות שכל השמונה יגישו בקשה, אבל הוא גר רק במקום אחד. הוא לא הולך לגור בשמונה מקומות, אז המקרה יצטמצם למינימום. </w:t>
      </w:r>
    </w:p>
    <w:p w:rsidR="00000000" w:rsidRDefault="003F72C2">
      <w:pPr>
        <w:rPr>
          <w:rFonts w:cs="David"/>
          <w:sz w:val="24"/>
          <w:rtl/>
        </w:rPr>
      </w:pPr>
    </w:p>
    <w:p w:rsidR="00000000" w:rsidRDefault="003F72C2">
      <w:pPr>
        <w:ind w:firstLine="567"/>
        <w:rPr>
          <w:rFonts w:cs="David"/>
          <w:sz w:val="24"/>
          <w:rtl/>
        </w:rPr>
      </w:pPr>
      <w:r>
        <w:rPr>
          <w:rFonts w:cs="David"/>
          <w:sz w:val="24"/>
          <w:rtl/>
        </w:rPr>
        <w:t>גם הצעתי לאוצר לקחת מאה מקרים שאנו נעשה, למקומות עבודה- -</w:t>
      </w:r>
    </w:p>
    <w:p w:rsidR="00000000" w:rsidRDefault="003F72C2">
      <w:pPr>
        <w:rPr>
          <w:rFonts w:cs="David"/>
          <w:sz w:val="24"/>
          <w:rtl/>
        </w:rPr>
      </w:pPr>
    </w:p>
    <w:p w:rsidR="00000000" w:rsidRDefault="003F72C2">
      <w:pPr>
        <w:rPr>
          <w:rFonts w:cs="David"/>
          <w:sz w:val="24"/>
          <w:rtl/>
        </w:rPr>
      </w:pPr>
      <w:r>
        <w:rPr>
          <w:rFonts w:cs="David"/>
          <w:sz w:val="24"/>
          <w:u w:val="single"/>
          <w:rtl/>
        </w:rPr>
        <w:t>דפנה בינוולד:</w:t>
      </w:r>
    </w:p>
    <w:p w:rsidR="00000000" w:rsidRDefault="003F72C2">
      <w:pPr>
        <w:rPr>
          <w:rFonts w:cs="David"/>
          <w:sz w:val="24"/>
          <w:rtl/>
        </w:rPr>
      </w:pPr>
    </w:p>
    <w:p w:rsidR="00000000" w:rsidRDefault="003F72C2">
      <w:pPr>
        <w:rPr>
          <w:rFonts w:cs="David"/>
          <w:sz w:val="24"/>
          <w:rtl/>
        </w:rPr>
      </w:pPr>
      <w:r>
        <w:rPr>
          <w:rFonts w:cs="David"/>
          <w:sz w:val="24"/>
          <w:rtl/>
        </w:rPr>
        <w:tab/>
        <w:t>שם יש יותר מקרים שאדם אחד עבר עבירה עם שלושה או ארבעה אנשים.</w:t>
      </w:r>
    </w:p>
    <w:p w:rsidR="00000000" w:rsidRDefault="003F72C2">
      <w:pPr>
        <w:rPr>
          <w:rFonts w:cs="David"/>
          <w:sz w:val="24"/>
          <w:rtl/>
        </w:rPr>
      </w:pP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rtl/>
        </w:rPr>
      </w:pPr>
    </w:p>
    <w:p w:rsidR="00000000" w:rsidRDefault="003F72C2">
      <w:pPr>
        <w:rPr>
          <w:rFonts w:cs="David"/>
          <w:sz w:val="24"/>
          <w:rtl/>
        </w:rPr>
      </w:pPr>
      <w:r>
        <w:rPr>
          <w:rFonts w:cs="David"/>
          <w:sz w:val="24"/>
          <w:rtl/>
        </w:rPr>
        <w:tab/>
        <w:t xml:space="preserve"> זה עדיין מקום אחד, כי זה מקום עבודה אחד. מספיק שאחד יפנה. כך חסכתי חלק גדול מהמקרים. </w:t>
      </w:r>
    </w:p>
    <w:p w:rsidR="00000000" w:rsidRDefault="003F72C2">
      <w:pPr>
        <w:rPr>
          <w:rFonts w:cs="David"/>
          <w:sz w:val="24"/>
          <w:rtl/>
        </w:rPr>
      </w:pPr>
    </w:p>
    <w:p w:rsidR="00000000" w:rsidRDefault="003F72C2">
      <w:pPr>
        <w:ind w:firstLine="567"/>
        <w:rPr>
          <w:rFonts w:cs="David"/>
          <w:sz w:val="24"/>
          <w:rtl/>
        </w:rPr>
      </w:pPr>
      <w:r>
        <w:rPr>
          <w:rFonts w:cs="David"/>
          <w:sz w:val="24"/>
          <w:rtl/>
        </w:rPr>
        <w:t>לגבי הזכויו</w:t>
      </w:r>
      <w:r>
        <w:rPr>
          <w:rFonts w:cs="David"/>
          <w:sz w:val="24"/>
          <w:rtl/>
        </w:rPr>
        <w:t>ת; בא עבריין, ואומר: אני רוצה את הצדק שלי גם כן. הוא מבקש שיתקיים הליך, ואז כן צריך את חוות הדעת. אני נותן לו את האפשרות להיות מיוצג ולחקור. אני מגן גם על זכויותיו. יש לי שתי בעיות; ראשית, אני לא רוצה ליצור מעמד שצריך לשאול את הסכמתו, אם להביא את התסקיר או</w:t>
      </w:r>
      <w:r>
        <w:rPr>
          <w:rFonts w:cs="David"/>
          <w:sz w:val="24"/>
          <w:rtl/>
        </w:rPr>
        <w:t xml:space="preserve"> לא. אני לא רוצה שתהיה לו איזה נגיעה לגבי גורל נפגע העבירה. מצד שני אני רוצה לשמור על זכויותיו. זה אחרת כשבאים לבקש את הסכמתו וכשהוא אומר: אני חושב שאני כן זכאי לגור באותו מקום. ואז בית המשפט יבקש להכין את התסקיר או את חוות הדעת. זה הפרוצדורה שתוריד את מספ</w:t>
      </w:r>
      <w:r>
        <w:rPr>
          <w:rFonts w:cs="David"/>
          <w:sz w:val="24"/>
          <w:rtl/>
        </w:rPr>
        <w:t>ר המקרים בצורה מאוד משמעותית. היא לא פוגעת באף אחד.</w:t>
      </w:r>
    </w:p>
    <w:p w:rsidR="00000000" w:rsidRDefault="003F72C2">
      <w:pPr>
        <w:rPr>
          <w:rFonts w:cs="David"/>
          <w:sz w:val="24"/>
          <w:rtl/>
        </w:rPr>
      </w:pPr>
    </w:p>
    <w:p w:rsidR="00000000" w:rsidRDefault="003F72C2">
      <w:pPr>
        <w:rPr>
          <w:rFonts w:cs="David"/>
          <w:sz w:val="24"/>
          <w:rtl/>
        </w:rPr>
      </w:pPr>
      <w:r>
        <w:rPr>
          <w:rFonts w:cs="David"/>
          <w:sz w:val="24"/>
          <w:rtl/>
        </w:rPr>
        <w:tab/>
        <w:t>נשאלה שאלה אחרונה; מדוע אני מציע – אני מוכן לחזור בי מההצעה הזאת - שלבית המשפט תהיה אפשרות לחייב אותו בהוצאות חוות הדעת. אני מוכן כך: או המדינה תיקח את זה עליה, או על שני הצדדים.</w:t>
      </w:r>
    </w:p>
    <w:p w:rsidR="00000000" w:rsidRDefault="003F72C2">
      <w:pPr>
        <w:rPr>
          <w:rFonts w:cs="David"/>
          <w:sz w:val="24"/>
          <w:rtl/>
        </w:rPr>
      </w:pPr>
    </w:p>
    <w:p w:rsidR="00000000" w:rsidRDefault="003F72C2">
      <w:pPr>
        <w:rPr>
          <w:rFonts w:cs="David"/>
          <w:sz w:val="24"/>
          <w:rtl/>
        </w:rPr>
      </w:pPr>
      <w:r>
        <w:rPr>
          <w:rFonts w:cs="David"/>
          <w:sz w:val="24"/>
          <w:u w:val="single"/>
          <w:rtl/>
        </w:rPr>
        <w:t>חנה סלוצקי:</w:t>
      </w:r>
    </w:p>
    <w:p w:rsidR="00000000" w:rsidRDefault="003F72C2">
      <w:pPr>
        <w:rPr>
          <w:rFonts w:cs="David"/>
          <w:sz w:val="24"/>
          <w:rtl/>
        </w:rPr>
      </w:pPr>
    </w:p>
    <w:p w:rsidR="00000000" w:rsidRDefault="003F72C2">
      <w:pPr>
        <w:rPr>
          <w:rFonts w:cs="David"/>
          <w:sz w:val="24"/>
          <w:rtl/>
        </w:rPr>
      </w:pPr>
      <w:r>
        <w:rPr>
          <w:rFonts w:cs="David"/>
          <w:sz w:val="24"/>
          <w:rtl/>
        </w:rPr>
        <w:tab/>
        <w:t>קטינים ו</w:t>
      </w:r>
      <w:r>
        <w:rPr>
          <w:rFonts w:cs="David"/>
          <w:sz w:val="24"/>
          <w:rtl/>
        </w:rPr>
        <w:t xml:space="preserve">דאי לא יגישו בקשות הרחקה. ההורים יצטרכו לשאת בנזק, בכסף? </w:t>
      </w:r>
    </w:p>
    <w:p w:rsidR="00000000" w:rsidRDefault="003F72C2">
      <w:pPr>
        <w:rPr>
          <w:rFonts w:cs="David"/>
          <w:sz w:val="24"/>
          <w:u w:val="single"/>
          <w:rtl/>
        </w:rPr>
      </w:pP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rtl/>
        </w:rPr>
      </w:pPr>
      <w:r>
        <w:rPr>
          <w:rFonts w:cs="David"/>
          <w:sz w:val="24"/>
          <w:rtl/>
        </w:rPr>
        <w:tab/>
      </w:r>
    </w:p>
    <w:p w:rsidR="00000000" w:rsidRDefault="003F72C2">
      <w:pPr>
        <w:ind w:firstLine="567"/>
        <w:rPr>
          <w:rFonts w:cs="David"/>
          <w:sz w:val="24"/>
          <w:rtl/>
        </w:rPr>
      </w:pPr>
      <w:r>
        <w:rPr>
          <w:rFonts w:cs="David"/>
          <w:sz w:val="24"/>
          <w:rtl/>
        </w:rPr>
        <w:t>הם לא מבקשים את חוות הדעת. רק העבריין מבקש. למה הם צריכים לבקש? השופט יקבע.</w:t>
      </w:r>
    </w:p>
    <w:p w:rsidR="00000000" w:rsidRDefault="003F72C2">
      <w:pPr>
        <w:ind w:firstLine="567"/>
        <w:rPr>
          <w:rFonts w:cs="David"/>
          <w:sz w:val="24"/>
          <w:rtl/>
        </w:rPr>
      </w:pPr>
    </w:p>
    <w:p w:rsidR="00000000" w:rsidRDefault="003F72C2">
      <w:pPr>
        <w:rPr>
          <w:rFonts w:cs="David"/>
          <w:sz w:val="24"/>
          <w:rtl/>
        </w:rPr>
      </w:pPr>
      <w:r>
        <w:rPr>
          <w:rFonts w:cs="David"/>
          <w:sz w:val="24"/>
          <w:u w:val="single"/>
          <w:rtl/>
        </w:rPr>
        <w:br w:type="page"/>
        <w:t>תמי סלע:</w:t>
      </w:r>
    </w:p>
    <w:p w:rsidR="00000000" w:rsidRDefault="003F72C2">
      <w:pPr>
        <w:rPr>
          <w:rFonts w:cs="David"/>
          <w:sz w:val="24"/>
          <w:rtl/>
        </w:rPr>
      </w:pPr>
    </w:p>
    <w:p w:rsidR="00000000" w:rsidRDefault="003F72C2">
      <w:pPr>
        <w:rPr>
          <w:rFonts w:cs="David"/>
          <w:sz w:val="24"/>
          <w:rtl/>
        </w:rPr>
      </w:pPr>
      <w:r>
        <w:rPr>
          <w:rFonts w:cs="David"/>
          <w:sz w:val="24"/>
          <w:rtl/>
        </w:rPr>
        <w:tab/>
        <w:t>בסעיף 4 (א) במקום שזה יהיה מוחלט, שהוא לא יחליט אלא אם הוגשה לו אז הוא רשאי למנות מומחה,</w:t>
      </w:r>
      <w:r>
        <w:rPr>
          <w:rFonts w:cs="David"/>
          <w:sz w:val="24"/>
          <w:rtl/>
        </w:rPr>
        <w:t xml:space="preserve"> ואם עבריין המין ביקש, הוא חייב, ובשכר, בררת המחדל שאוצר המדינה נושא בזה, ובית המשפט רשאי להטיל את העלות על הצדדים לפי שיקול דעת. </w:t>
      </w:r>
    </w:p>
    <w:p w:rsidR="00000000" w:rsidRDefault="003F72C2">
      <w:pPr>
        <w:rPr>
          <w:rFonts w:cs="David"/>
          <w:sz w:val="24"/>
          <w:rtl/>
        </w:rPr>
      </w:pPr>
    </w:p>
    <w:p w:rsidR="00000000" w:rsidRDefault="003F72C2">
      <w:pPr>
        <w:rPr>
          <w:rFonts w:cs="David"/>
          <w:sz w:val="24"/>
          <w:u w:val="single"/>
          <w:rtl/>
        </w:rPr>
      </w:pPr>
      <w:r>
        <w:rPr>
          <w:rFonts w:cs="David"/>
          <w:sz w:val="24"/>
          <w:u w:val="single"/>
          <w:rtl/>
        </w:rPr>
        <w:t>קריאה:</w:t>
      </w:r>
    </w:p>
    <w:p w:rsidR="00000000" w:rsidRDefault="003F72C2">
      <w:pPr>
        <w:rPr>
          <w:rFonts w:cs="David"/>
          <w:sz w:val="24"/>
          <w:u w:val="single"/>
          <w:rtl/>
        </w:rPr>
      </w:pPr>
    </w:p>
    <w:p w:rsidR="00000000" w:rsidRDefault="003F72C2">
      <w:pPr>
        <w:rPr>
          <w:rFonts w:cs="David"/>
          <w:sz w:val="24"/>
          <w:rtl/>
        </w:rPr>
      </w:pPr>
      <w:r>
        <w:rPr>
          <w:rFonts w:cs="David"/>
          <w:sz w:val="24"/>
          <w:rtl/>
        </w:rPr>
        <w:tab/>
        <w:t>אז כן עבריין קובע אם תהיה חוות דעת- -</w:t>
      </w:r>
    </w:p>
    <w:p w:rsidR="00000000" w:rsidRDefault="003F72C2">
      <w:pPr>
        <w:rPr>
          <w:rFonts w:cs="David"/>
          <w:sz w:val="24"/>
          <w:rtl/>
        </w:rPr>
      </w:pPr>
    </w:p>
    <w:p w:rsidR="00000000" w:rsidRDefault="003F72C2">
      <w:pPr>
        <w:rPr>
          <w:rFonts w:cs="David"/>
          <w:sz w:val="24"/>
          <w:u w:val="single"/>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p>
    <w:p w:rsidR="00000000" w:rsidRDefault="003F72C2">
      <w:pPr>
        <w:ind w:firstLine="567"/>
        <w:rPr>
          <w:rFonts w:cs="David"/>
          <w:sz w:val="24"/>
          <w:rtl/>
        </w:rPr>
      </w:pPr>
      <w:r>
        <w:rPr>
          <w:rFonts w:cs="David"/>
          <w:sz w:val="24"/>
          <w:rtl/>
        </w:rPr>
        <w:t>אם הוא מבקש פוזיטיבית, תהיה.</w:t>
      </w:r>
    </w:p>
    <w:p w:rsidR="00000000" w:rsidRDefault="003F72C2">
      <w:pPr>
        <w:rPr>
          <w:rFonts w:cs="David"/>
          <w:sz w:val="24"/>
          <w:rtl/>
        </w:rPr>
      </w:pPr>
    </w:p>
    <w:p w:rsidR="00000000" w:rsidRDefault="003F72C2">
      <w:pPr>
        <w:rPr>
          <w:rFonts w:cs="David"/>
          <w:sz w:val="24"/>
          <w:rtl/>
        </w:rPr>
      </w:pPr>
      <w:r>
        <w:rPr>
          <w:rFonts w:cs="David"/>
          <w:sz w:val="24"/>
          <w:u w:val="single"/>
          <w:rtl/>
        </w:rPr>
        <w:t>הילה קרנר-סולימן:</w:t>
      </w:r>
    </w:p>
    <w:p w:rsidR="00000000" w:rsidRDefault="003F72C2">
      <w:pPr>
        <w:rPr>
          <w:rFonts w:cs="David"/>
          <w:sz w:val="24"/>
          <w:rtl/>
        </w:rPr>
      </w:pPr>
    </w:p>
    <w:p w:rsidR="00000000" w:rsidRDefault="003F72C2">
      <w:pPr>
        <w:rPr>
          <w:rFonts w:cs="David"/>
          <w:sz w:val="24"/>
          <w:rtl/>
        </w:rPr>
      </w:pPr>
      <w:r>
        <w:rPr>
          <w:rFonts w:cs="David"/>
          <w:sz w:val="24"/>
          <w:rtl/>
        </w:rPr>
        <w:tab/>
        <w:t>לנתק את זה, אפי</w:t>
      </w:r>
      <w:r>
        <w:rPr>
          <w:rFonts w:cs="David"/>
          <w:sz w:val="24"/>
          <w:rtl/>
        </w:rPr>
        <w:t>לו בנוסח- -</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יש לבית המשפט שיקול דעת, והוא יביא בחשבון בהחלטה אם למנות מומחה את עמדת עבריין המין, אני חושבת שזה עונה על הרצון להתחשב מצד אחד בעבריין המין, ומצד שני במקרים שזה מופרך, כשיש, נניח, תסקיר שהוא כל כך ברור, שגם בלי לזמן לחקירה ברור לו.</w:t>
      </w:r>
      <w:r>
        <w:rPr>
          <w:rFonts w:cs="David"/>
          <w:sz w:val="24"/>
          <w:rtl/>
        </w:rPr>
        <w:t xml:space="preserve"> יכול להיות שאחת הראיות תהיה תסקיר.</w:t>
      </w:r>
    </w:p>
    <w:p w:rsidR="00000000" w:rsidRDefault="003F72C2">
      <w:pPr>
        <w:rPr>
          <w:rFonts w:cs="David"/>
          <w:sz w:val="24"/>
          <w:rtl/>
        </w:rPr>
      </w:pPr>
      <w:r>
        <w:rPr>
          <w:rFonts w:cs="David"/>
          <w:sz w:val="24"/>
          <w:rtl/>
        </w:rPr>
        <w:tab/>
      </w:r>
    </w:p>
    <w:p w:rsidR="00000000" w:rsidRDefault="003F72C2">
      <w:pPr>
        <w:rPr>
          <w:rFonts w:cs="David"/>
          <w:sz w:val="24"/>
          <w:rtl/>
        </w:rPr>
      </w:pPr>
      <w:r>
        <w:rPr>
          <w:rFonts w:cs="David"/>
          <w:sz w:val="24"/>
          <w:u w:val="single"/>
          <w:rtl/>
        </w:rPr>
        <w:t>רחל גרשוני:</w:t>
      </w:r>
    </w:p>
    <w:p w:rsidR="00000000" w:rsidRDefault="003F72C2">
      <w:pPr>
        <w:rPr>
          <w:rFonts w:cs="David"/>
          <w:sz w:val="24"/>
          <w:rtl/>
        </w:rPr>
      </w:pPr>
    </w:p>
    <w:p w:rsidR="00000000" w:rsidRDefault="003F72C2">
      <w:pPr>
        <w:rPr>
          <w:rFonts w:cs="David"/>
          <w:sz w:val="24"/>
          <w:rtl/>
        </w:rPr>
      </w:pPr>
      <w:r>
        <w:rPr>
          <w:rFonts w:cs="David"/>
          <w:sz w:val="24"/>
          <w:rtl/>
        </w:rPr>
        <w:tab/>
        <w:t xml:space="preserve">לגבי סעיף 4 (א) (1), "בעלי הדין יהיו רשאים להזמין את המומחה לבית המשפט  לחקירה" – לא צריך את זה, יש פרק של חוות דעת מומחים בפקודת הראיות, וכתוב שם במפורש שאפשר להזמין. זה לא נכון לעשות את זה. </w:t>
      </w:r>
    </w:p>
    <w:p w:rsidR="00000000" w:rsidRDefault="003F72C2">
      <w:pPr>
        <w:rPr>
          <w:rFonts w:cs="David"/>
          <w:sz w:val="24"/>
          <w:rtl/>
        </w:rPr>
      </w:pPr>
    </w:p>
    <w:p w:rsidR="00000000" w:rsidRDefault="003F72C2">
      <w:pPr>
        <w:ind w:firstLine="567"/>
        <w:rPr>
          <w:rFonts w:cs="David"/>
          <w:sz w:val="24"/>
          <w:rtl/>
        </w:rPr>
      </w:pPr>
      <w:r>
        <w:rPr>
          <w:rFonts w:cs="David"/>
          <w:sz w:val="24"/>
          <w:rtl/>
        </w:rPr>
        <w:t xml:space="preserve">אני חושבת </w:t>
      </w:r>
      <w:r>
        <w:rPr>
          <w:rFonts w:cs="David"/>
          <w:sz w:val="24"/>
          <w:rtl/>
        </w:rPr>
        <w:t>ש-(2) לא נחוץ כאן בכלל, כי הוא לקוח מהסדר של תסקיר- -</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זה לא לקוח מהתסקיר, זה לקוח מהמומחה הרפואי שלפי חוק הפיצויים לנפגעי תאונות דרכים, שזה דומה. לא אכפת לי להוריד את זה. גם אם זה לא יהיה כתוב, יגישו שאלות הבהרה.</w:t>
      </w:r>
    </w:p>
    <w:p w:rsidR="00000000" w:rsidRDefault="003F72C2">
      <w:pPr>
        <w:rPr>
          <w:rFonts w:cs="David"/>
          <w:sz w:val="24"/>
          <w:rtl/>
        </w:rPr>
      </w:pPr>
    </w:p>
    <w:p w:rsidR="00000000" w:rsidRDefault="003F72C2">
      <w:pPr>
        <w:rPr>
          <w:rFonts w:cs="David"/>
          <w:sz w:val="24"/>
          <w:rtl/>
        </w:rPr>
      </w:pPr>
      <w:r>
        <w:rPr>
          <w:rFonts w:cs="David"/>
          <w:sz w:val="24"/>
          <w:rtl/>
        </w:rPr>
        <w:tab/>
        <w:t>הסיכום הוא שמינוי המומחה יהיה</w:t>
      </w:r>
      <w:r>
        <w:rPr>
          <w:rFonts w:cs="David"/>
          <w:sz w:val="24"/>
          <w:rtl/>
        </w:rPr>
        <w:t xml:space="preserve"> בשיקול הדעת של בית המשפט, אם למנות מומחה או לא, זה לא דבר אוטומטי, וודאי שאם הוא רואה שאין שום צורך בחוות דעת מומחה כי לא תיגרם פגיעה לעבריין, אז יכול להיות שאלה יהיו חלק מהטעמים שלו.</w:t>
      </w:r>
    </w:p>
    <w:p w:rsidR="00000000" w:rsidRDefault="003F72C2">
      <w:pPr>
        <w:rPr>
          <w:rFonts w:cs="David"/>
          <w:sz w:val="24"/>
          <w:rtl/>
        </w:rPr>
      </w:pPr>
    </w:p>
    <w:p w:rsidR="00000000" w:rsidRDefault="003F72C2">
      <w:pPr>
        <w:rPr>
          <w:rFonts w:cs="David"/>
          <w:sz w:val="24"/>
          <w:rtl/>
        </w:rPr>
      </w:pPr>
      <w:r>
        <w:rPr>
          <w:rFonts w:cs="David"/>
          <w:sz w:val="24"/>
          <w:rtl/>
        </w:rPr>
        <w:tab/>
        <w:t xml:space="preserve">מבחינת השכר וההוצאות, בררת המחדל תהיה על אוצר המדינה, אבל יהיה שיקול </w:t>
      </w:r>
      <w:r>
        <w:rPr>
          <w:rFonts w:cs="David"/>
          <w:sz w:val="24"/>
          <w:rtl/>
        </w:rPr>
        <w:t>דעת לבית המשפט להטיל את זה על בעלי הדין לפי שיקול דעתו ולחלק את ההשתתפות. לא נגיד בגלל מה, יכולות להיות כל מיני עילות.</w:t>
      </w:r>
    </w:p>
    <w:p w:rsidR="00000000" w:rsidRDefault="003F72C2">
      <w:pPr>
        <w:rPr>
          <w:rFonts w:cs="David"/>
          <w:sz w:val="24"/>
          <w:rtl/>
        </w:rPr>
      </w:pPr>
    </w:p>
    <w:p w:rsidR="00000000" w:rsidRDefault="003F72C2">
      <w:pPr>
        <w:rPr>
          <w:rFonts w:cs="David"/>
          <w:sz w:val="24"/>
          <w:rtl/>
        </w:rPr>
      </w:pPr>
      <w:r>
        <w:rPr>
          <w:rFonts w:cs="David"/>
          <w:sz w:val="24"/>
          <w:u w:val="single"/>
          <w:rtl/>
        </w:rPr>
        <w:t>שי צרפתי:</w:t>
      </w:r>
    </w:p>
    <w:p w:rsidR="00000000" w:rsidRDefault="003F72C2">
      <w:pPr>
        <w:rPr>
          <w:rFonts w:cs="David"/>
          <w:sz w:val="24"/>
          <w:rtl/>
        </w:rPr>
      </w:pPr>
    </w:p>
    <w:p w:rsidR="00000000" w:rsidRDefault="003F72C2">
      <w:pPr>
        <w:rPr>
          <w:rFonts w:cs="David"/>
          <w:sz w:val="24"/>
          <w:rtl/>
        </w:rPr>
      </w:pPr>
      <w:r>
        <w:rPr>
          <w:rFonts w:cs="David"/>
          <w:sz w:val="24"/>
          <w:rtl/>
        </w:rPr>
        <w:tab/>
        <w:t>מערכת בתי המשפט לא נושאת בנטל הזה.</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קוראת סעיף 4 (ב).</w:t>
      </w:r>
    </w:p>
    <w:p w:rsidR="00000000" w:rsidRDefault="003F72C2">
      <w:pPr>
        <w:rPr>
          <w:rFonts w:cs="David"/>
          <w:sz w:val="24"/>
          <w:rtl/>
        </w:rPr>
      </w:pPr>
    </w:p>
    <w:p w:rsidR="00000000" w:rsidRDefault="003F72C2">
      <w:pPr>
        <w:rPr>
          <w:rFonts w:cs="David"/>
          <w:sz w:val="24"/>
          <w:rtl/>
        </w:rPr>
      </w:pPr>
      <w:r>
        <w:rPr>
          <w:rFonts w:cs="David"/>
          <w:sz w:val="24"/>
          <w:u w:val="single"/>
          <w:rtl/>
        </w:rPr>
        <w:t>שרונה עבר-הדני:</w:t>
      </w:r>
    </w:p>
    <w:p w:rsidR="00000000" w:rsidRDefault="003F72C2">
      <w:pPr>
        <w:rPr>
          <w:rFonts w:cs="David"/>
          <w:sz w:val="24"/>
          <w:rtl/>
        </w:rPr>
      </w:pPr>
    </w:p>
    <w:p w:rsidR="00000000" w:rsidRDefault="003F72C2">
      <w:pPr>
        <w:rPr>
          <w:rFonts w:cs="David"/>
          <w:sz w:val="24"/>
          <w:rtl/>
        </w:rPr>
      </w:pPr>
      <w:r>
        <w:rPr>
          <w:rFonts w:cs="David"/>
          <w:sz w:val="24"/>
          <w:rtl/>
        </w:rPr>
        <w:tab/>
        <w:t>רוב רובם של החסויים שממונים להם אפוטרופו</w:t>
      </w:r>
      <w:r>
        <w:rPr>
          <w:rFonts w:cs="David"/>
          <w:sz w:val="24"/>
          <w:rtl/>
        </w:rPr>
        <w:t>סים הם לא פסולי דין.</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חסוי שמונה לו אפוטרופוס.</w:t>
      </w:r>
    </w:p>
    <w:p w:rsidR="00000000" w:rsidRDefault="003F72C2">
      <w:pPr>
        <w:rPr>
          <w:rFonts w:cs="David"/>
          <w:sz w:val="24"/>
          <w:rtl/>
        </w:rPr>
      </w:pPr>
    </w:p>
    <w:p w:rsidR="00000000" w:rsidRDefault="003F72C2">
      <w:pPr>
        <w:ind w:firstLine="567"/>
        <w:rPr>
          <w:rFonts w:cs="David"/>
          <w:sz w:val="24"/>
          <w:rtl/>
        </w:rPr>
      </w:pPr>
      <w:r>
        <w:rPr>
          <w:rFonts w:cs="David"/>
          <w:sz w:val="24"/>
          <w:rtl/>
        </w:rPr>
        <w:t xml:space="preserve">קוראת סעיף 4 (ג). </w:t>
      </w:r>
    </w:p>
    <w:p w:rsidR="00000000" w:rsidRDefault="003F72C2">
      <w:pPr>
        <w:ind w:firstLine="567"/>
        <w:rPr>
          <w:rFonts w:cs="David"/>
          <w:sz w:val="24"/>
          <w:rtl/>
        </w:rPr>
      </w:pP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u w:val="single"/>
          <w:rtl/>
        </w:rPr>
      </w:pPr>
    </w:p>
    <w:p w:rsidR="00000000" w:rsidRDefault="003F72C2">
      <w:pPr>
        <w:ind w:firstLine="567"/>
        <w:rPr>
          <w:rFonts w:cs="David"/>
          <w:sz w:val="24"/>
          <w:rtl/>
        </w:rPr>
      </w:pPr>
      <w:r>
        <w:rPr>
          <w:rFonts w:cs="David"/>
          <w:sz w:val="24"/>
          <w:rtl/>
        </w:rPr>
        <w:t xml:space="preserve">אני לא יודע, אם (ג) עובר, למה צריך את (ב)? אם אנו משאירים את המנגנון של (ג), שבית המשפט קובע בניגוד לדעת האפוטרופוס, למה אנו צריכים את (ב)? ב-(ב) הקטין יגיד: </w:t>
      </w:r>
      <w:r>
        <w:rPr>
          <w:rFonts w:cs="David"/>
          <w:sz w:val="24"/>
          <w:rtl/>
        </w:rPr>
        <w:t xml:space="preserve">אני מוכן, השופט יגיד: נעשה שיקול דעת, האפוטרופוס יגיד: לא, הקטין יגיד: אני מוכן, מעל גיל 14, ואז ייכנס בתוך (ג). </w:t>
      </w:r>
    </w:p>
    <w:p w:rsidR="00000000" w:rsidRDefault="003F72C2">
      <w:pPr>
        <w:rPr>
          <w:rFonts w:cs="David"/>
          <w:sz w:val="24"/>
          <w:rtl/>
        </w:rPr>
      </w:pPr>
    </w:p>
    <w:p w:rsidR="00000000" w:rsidRDefault="003F72C2">
      <w:pPr>
        <w:rPr>
          <w:rFonts w:cs="David"/>
          <w:sz w:val="24"/>
          <w:rtl/>
        </w:rPr>
      </w:pPr>
      <w:r>
        <w:rPr>
          <w:rFonts w:cs="David"/>
          <w:sz w:val="24"/>
          <w:u w:val="single"/>
          <w:rtl/>
        </w:rPr>
        <w:t>שרונה עבר-הדני:</w:t>
      </w:r>
    </w:p>
    <w:p w:rsidR="00000000" w:rsidRDefault="003F72C2">
      <w:pPr>
        <w:rPr>
          <w:rFonts w:cs="David"/>
          <w:sz w:val="24"/>
          <w:rtl/>
        </w:rPr>
      </w:pPr>
    </w:p>
    <w:p w:rsidR="00000000" w:rsidRDefault="003F72C2">
      <w:pPr>
        <w:rPr>
          <w:rFonts w:cs="David"/>
          <w:sz w:val="24"/>
          <w:rtl/>
        </w:rPr>
      </w:pPr>
      <w:r>
        <w:rPr>
          <w:rFonts w:cs="David"/>
          <w:sz w:val="24"/>
          <w:rtl/>
        </w:rPr>
        <w:tab/>
        <w:t>קשה לי להניח מצב שבו בית משפט יכריז על קטין פסול דין ולא ימנה לו אפוטרופוס. כלומר ההורים הם האפוטרופוסים הטבעיים של קטינים</w:t>
      </w:r>
      <w:r>
        <w:rPr>
          <w:rFonts w:cs="David"/>
          <w:sz w:val="24"/>
          <w:rtl/>
        </w:rPr>
        <w:t>, זה בררת המחדל. מקום שנשללת האפוטרופסות, בית המשפט כנראה ירד מדעתו אם הוא שלל את האפוטרופסות הטבעית של ההורים ולא מינה אפוטרופוס אחר. אבל אפשר למנות אפוטרופוס נוסף על ההורים. זה יהיה בדרך כלל במצב שההורים לא זמינים.</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הקטין הוא בן 15, לכאורה לפי</w:t>
      </w:r>
      <w:r>
        <w:rPr>
          <w:rFonts w:cs="David"/>
          <w:sz w:val="24"/>
          <w:rtl/>
        </w:rPr>
        <w:t xml:space="preserve"> סעיף (ב) הוא יכול לתת את ההסכמה, אבל הקטין הוא פסול דין. האם הוא נכנס לחסוי שמונה לו אפוטרופוס?</w:t>
      </w:r>
    </w:p>
    <w:p w:rsidR="00000000" w:rsidRDefault="003F72C2">
      <w:pPr>
        <w:rPr>
          <w:rFonts w:cs="David"/>
          <w:sz w:val="24"/>
          <w:rtl/>
        </w:rPr>
      </w:pPr>
    </w:p>
    <w:p w:rsidR="00000000" w:rsidRDefault="003F72C2">
      <w:pPr>
        <w:rPr>
          <w:rFonts w:cs="David"/>
          <w:sz w:val="24"/>
          <w:rtl/>
        </w:rPr>
      </w:pPr>
      <w:r>
        <w:rPr>
          <w:rFonts w:cs="David"/>
          <w:sz w:val="24"/>
          <w:u w:val="single"/>
          <w:rtl/>
        </w:rPr>
        <w:t>שרונה עבר-הדני:</w:t>
      </w:r>
    </w:p>
    <w:p w:rsidR="00000000" w:rsidRDefault="003F72C2">
      <w:pPr>
        <w:rPr>
          <w:rFonts w:cs="David"/>
          <w:sz w:val="24"/>
          <w:rtl/>
        </w:rPr>
      </w:pPr>
    </w:p>
    <w:p w:rsidR="00000000" w:rsidRDefault="003F72C2">
      <w:pPr>
        <w:rPr>
          <w:rFonts w:cs="David"/>
          <w:sz w:val="24"/>
          <w:rtl/>
        </w:rPr>
      </w:pPr>
      <w:r>
        <w:rPr>
          <w:rFonts w:cs="David"/>
          <w:sz w:val="24"/>
          <w:rtl/>
        </w:rPr>
        <w:tab/>
        <w:t>אם הוא פסול דין, כן. תיאורטית ייתכן מצב שלמרות שהוא קטין, מישהו טרח להכריז עליו פסול דין בלי שיש צורך בשלילת האפוטרופסות של הוריו, ואז הוא ל</w:t>
      </w:r>
      <w:r>
        <w:rPr>
          <w:rFonts w:cs="David"/>
          <w:sz w:val="24"/>
          <w:rtl/>
        </w:rPr>
        <w:t>א ייכנס להגדרה של חסוי שמונה לו אפוטרופוס. הסיטואציה הזאת אינה סבירה בעיניי.</w:t>
      </w:r>
    </w:p>
    <w:p w:rsidR="00000000" w:rsidRDefault="003F72C2">
      <w:pPr>
        <w:rPr>
          <w:rFonts w:cs="David"/>
          <w:sz w:val="24"/>
          <w:rtl/>
        </w:rPr>
      </w:pPr>
    </w:p>
    <w:p w:rsidR="00000000" w:rsidRDefault="003F72C2">
      <w:pPr>
        <w:rPr>
          <w:rFonts w:cs="David"/>
          <w:sz w:val="24"/>
          <w:rtl/>
        </w:rPr>
      </w:pPr>
      <w:r>
        <w:rPr>
          <w:rFonts w:cs="David"/>
          <w:sz w:val="24"/>
          <w:u w:val="single"/>
          <w:rtl/>
        </w:rPr>
        <w:t>חנה סלוצקי:</w:t>
      </w:r>
    </w:p>
    <w:p w:rsidR="00000000" w:rsidRDefault="003F72C2">
      <w:pPr>
        <w:rPr>
          <w:rFonts w:cs="David"/>
          <w:sz w:val="24"/>
          <w:rtl/>
        </w:rPr>
      </w:pPr>
    </w:p>
    <w:p w:rsidR="00000000" w:rsidRDefault="003F72C2">
      <w:pPr>
        <w:rPr>
          <w:rFonts w:cs="David"/>
          <w:sz w:val="24"/>
          <w:rtl/>
        </w:rPr>
      </w:pPr>
      <w:r>
        <w:rPr>
          <w:rFonts w:cs="David"/>
          <w:sz w:val="24"/>
          <w:rtl/>
        </w:rPr>
        <w:tab/>
        <w:t>לגבי תסקיר נפגע, גם מדובר בפקיד סעד שניגש אל הקטין ומסביר לו את המשמעויות ואת הכל של התסקיר שהוא צריך להגיש. פה אתם רוצים שקטין בן 14, שהוא קורבן של העבירה ואנו מכי</w:t>
      </w:r>
      <w:r>
        <w:rPr>
          <w:rFonts w:cs="David"/>
          <w:sz w:val="24"/>
          <w:rtl/>
        </w:rPr>
        <w:t>רים את מצבו, שהוא יבוא לבית המשפט, אפילו אם הוא לא פסול דין, וייתן את חוות דעתו, שהוא מסכים ללכת למומחה או לא? שהוא יבוא לבד?</w:t>
      </w:r>
    </w:p>
    <w:p w:rsidR="00000000" w:rsidRDefault="003F72C2">
      <w:pPr>
        <w:rPr>
          <w:rFonts w:cs="David"/>
          <w:sz w:val="24"/>
          <w:rtl/>
        </w:rPr>
      </w:pPr>
    </w:p>
    <w:p w:rsidR="00000000" w:rsidRDefault="003F72C2">
      <w:pPr>
        <w:rPr>
          <w:rFonts w:cs="David"/>
          <w:sz w:val="24"/>
          <w:u w:val="single"/>
          <w:rtl/>
        </w:rPr>
      </w:pPr>
      <w:r>
        <w:rPr>
          <w:rFonts w:cs="David"/>
          <w:sz w:val="24"/>
          <w:u w:val="single"/>
          <w:rtl/>
        </w:rPr>
        <w:t>תמי סלע:</w:t>
      </w:r>
    </w:p>
    <w:p w:rsidR="00000000" w:rsidRDefault="003F72C2">
      <w:pPr>
        <w:rPr>
          <w:rFonts w:cs="David"/>
          <w:sz w:val="24"/>
          <w:u w:val="single"/>
          <w:rtl/>
        </w:rPr>
      </w:pPr>
    </w:p>
    <w:p w:rsidR="00000000" w:rsidRDefault="003F72C2">
      <w:pPr>
        <w:rPr>
          <w:rFonts w:cs="David"/>
          <w:sz w:val="24"/>
          <w:rtl/>
        </w:rPr>
      </w:pPr>
      <w:r>
        <w:rPr>
          <w:rFonts w:cs="David"/>
          <w:sz w:val="24"/>
          <w:rtl/>
        </w:rPr>
        <w:tab/>
        <w:t>ההורים שלו- -</w:t>
      </w:r>
    </w:p>
    <w:p w:rsidR="00000000" w:rsidRDefault="003F72C2">
      <w:pPr>
        <w:rPr>
          <w:rFonts w:cs="David"/>
          <w:sz w:val="24"/>
          <w:rtl/>
        </w:rPr>
      </w:pPr>
    </w:p>
    <w:p w:rsidR="00000000" w:rsidRDefault="003F72C2">
      <w:pPr>
        <w:rPr>
          <w:rFonts w:cs="David"/>
          <w:sz w:val="24"/>
          <w:u w:val="single"/>
          <w:rtl/>
        </w:rPr>
      </w:pPr>
      <w:r>
        <w:rPr>
          <w:rFonts w:cs="David"/>
          <w:sz w:val="24"/>
          <w:u w:val="single"/>
          <w:rtl/>
        </w:rPr>
        <w:t>חנה סלוצקי:</w:t>
      </w:r>
    </w:p>
    <w:p w:rsidR="00000000" w:rsidRDefault="003F72C2">
      <w:pPr>
        <w:rPr>
          <w:rFonts w:cs="David"/>
          <w:sz w:val="24"/>
          <w:u w:val="single"/>
          <w:rtl/>
        </w:rPr>
      </w:pPr>
    </w:p>
    <w:p w:rsidR="00000000" w:rsidRDefault="003F72C2">
      <w:pPr>
        <w:rPr>
          <w:rFonts w:cs="David"/>
          <w:sz w:val="24"/>
          <w:rtl/>
        </w:rPr>
      </w:pPr>
      <w:r>
        <w:rPr>
          <w:rFonts w:cs="David"/>
          <w:sz w:val="24"/>
          <w:rtl/>
        </w:rPr>
        <w:tab/>
        <w:t>ואם ההורים פגעו בו? אם האב הוא הפוגע?</w:t>
      </w:r>
    </w:p>
    <w:p w:rsidR="00000000" w:rsidRDefault="003F72C2">
      <w:pPr>
        <w:rPr>
          <w:rFonts w:cs="David"/>
          <w:sz w:val="24"/>
          <w:rtl/>
        </w:rPr>
      </w:pPr>
    </w:p>
    <w:p w:rsidR="00000000" w:rsidRDefault="003F72C2">
      <w:pPr>
        <w:rPr>
          <w:rFonts w:cs="David"/>
          <w:sz w:val="24"/>
          <w:rtl/>
        </w:rPr>
      </w:pPr>
      <w:r>
        <w:rPr>
          <w:rFonts w:cs="David"/>
          <w:sz w:val="24"/>
          <w:u w:val="single"/>
          <w:rtl/>
        </w:rPr>
        <w:br w:type="page"/>
        <w:t>יצחק לוי:</w:t>
      </w:r>
    </w:p>
    <w:p w:rsidR="00000000" w:rsidRDefault="003F72C2">
      <w:pPr>
        <w:rPr>
          <w:rFonts w:cs="David"/>
          <w:sz w:val="24"/>
          <w:rtl/>
        </w:rPr>
      </w:pPr>
    </w:p>
    <w:p w:rsidR="00000000" w:rsidRDefault="003F72C2">
      <w:pPr>
        <w:rPr>
          <w:rFonts w:cs="David"/>
          <w:sz w:val="24"/>
          <w:rtl/>
        </w:rPr>
      </w:pPr>
      <w:r>
        <w:rPr>
          <w:rFonts w:cs="David"/>
          <w:sz w:val="24"/>
          <w:rtl/>
        </w:rPr>
        <w:tab/>
        <w:t xml:space="preserve"> ב-(3) קבענו שנפגע העבירה לא ייקרא לה</w:t>
      </w:r>
      <w:r>
        <w:rPr>
          <w:rFonts w:cs="David"/>
          <w:sz w:val="24"/>
          <w:rtl/>
        </w:rPr>
        <w:t>עיד בקשר לחוות הדעת, ופה אנו מביאים אותו לבית המשפט בדלת האחורית.</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 - -</w:t>
      </w:r>
    </w:p>
    <w:p w:rsidR="00000000" w:rsidRDefault="003F72C2">
      <w:pPr>
        <w:rPr>
          <w:rFonts w:cs="David"/>
          <w:sz w:val="24"/>
          <w:rtl/>
        </w:rPr>
      </w:pPr>
    </w:p>
    <w:p w:rsidR="00000000" w:rsidRDefault="003F72C2">
      <w:pPr>
        <w:rPr>
          <w:rFonts w:cs="David"/>
          <w:sz w:val="24"/>
          <w:rtl/>
        </w:rPr>
      </w:pPr>
      <w:r>
        <w:rPr>
          <w:rFonts w:cs="David"/>
          <w:sz w:val="24"/>
          <w:u w:val="single"/>
          <w:rtl/>
        </w:rPr>
        <w:t>יצחק לוי:</w:t>
      </w:r>
    </w:p>
    <w:p w:rsidR="00000000" w:rsidRDefault="003F72C2">
      <w:pPr>
        <w:rPr>
          <w:rFonts w:cs="David"/>
          <w:sz w:val="24"/>
          <w:rtl/>
        </w:rPr>
      </w:pPr>
    </w:p>
    <w:p w:rsidR="00000000" w:rsidRDefault="003F72C2">
      <w:pPr>
        <w:rPr>
          <w:rFonts w:cs="David"/>
          <w:sz w:val="24"/>
          <w:rtl/>
        </w:rPr>
      </w:pPr>
      <w:r>
        <w:rPr>
          <w:rFonts w:cs="David"/>
          <w:sz w:val="24"/>
          <w:rtl/>
        </w:rPr>
        <w:tab/>
        <w:t>אין פה פקידת סעד. את מדברת על השוואה לתסקיר. פקידת סעד נמצאת עוד לפני התסקיר. היא נמצאת במקום, היא רואה, היא יודעת, היא מדברת. מי ידבר פה עם הקטין? השופט? העור</w:t>
      </w:r>
      <w:r>
        <w:rPr>
          <w:rFonts w:cs="David"/>
          <w:sz w:val="24"/>
          <w:rtl/>
        </w:rPr>
        <w:t xml:space="preserve">ך דין? </w:t>
      </w:r>
    </w:p>
    <w:p w:rsidR="00000000" w:rsidRDefault="003F72C2">
      <w:pPr>
        <w:rPr>
          <w:rFonts w:cs="David"/>
          <w:sz w:val="24"/>
          <w:rtl/>
        </w:rPr>
      </w:pPr>
    </w:p>
    <w:p w:rsidR="00000000" w:rsidRDefault="003F72C2">
      <w:pPr>
        <w:ind w:firstLine="567"/>
        <w:rPr>
          <w:rFonts w:cs="David"/>
          <w:sz w:val="24"/>
          <w:rtl/>
        </w:rPr>
      </w:pPr>
      <w:r>
        <w:rPr>
          <w:rFonts w:cs="David"/>
          <w:sz w:val="24"/>
          <w:rtl/>
        </w:rPr>
        <w:t>אני רוצה להציע במקום שני הסעיפים האלה, לכתוב שבית המשפט רשאי להורות על אף התנגדות האפוטרופוס, ולמחוק את שני אלה. למה צריך להסתבך?</w:t>
      </w:r>
    </w:p>
    <w:p w:rsidR="00000000" w:rsidRDefault="003F72C2">
      <w:pPr>
        <w:rPr>
          <w:rFonts w:cs="David"/>
          <w:sz w:val="24"/>
          <w:rtl/>
        </w:rPr>
      </w:pPr>
    </w:p>
    <w:p w:rsidR="00000000" w:rsidRDefault="003F72C2">
      <w:pPr>
        <w:rPr>
          <w:rFonts w:cs="David"/>
          <w:sz w:val="24"/>
          <w:rtl/>
        </w:rPr>
      </w:pPr>
      <w:r>
        <w:rPr>
          <w:rFonts w:cs="David"/>
          <w:sz w:val="24"/>
          <w:u w:val="single"/>
          <w:rtl/>
        </w:rPr>
        <w:t>אליעזר כהן:</w:t>
      </w:r>
    </w:p>
    <w:p w:rsidR="00000000" w:rsidRDefault="003F72C2">
      <w:pPr>
        <w:rPr>
          <w:rFonts w:cs="David"/>
          <w:sz w:val="24"/>
          <w:rtl/>
        </w:rPr>
      </w:pPr>
    </w:p>
    <w:p w:rsidR="00000000" w:rsidRDefault="003F72C2">
      <w:pPr>
        <w:rPr>
          <w:rFonts w:cs="David"/>
          <w:sz w:val="24"/>
          <w:rtl/>
        </w:rPr>
      </w:pPr>
      <w:r>
        <w:rPr>
          <w:rFonts w:cs="David"/>
          <w:sz w:val="24"/>
          <w:rtl/>
        </w:rPr>
        <w:tab/>
        <w:t>אני בעד.</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בית המשפט יכול להורות בהסכמת הקטין.</w:t>
      </w:r>
    </w:p>
    <w:p w:rsidR="00000000" w:rsidRDefault="003F72C2">
      <w:pPr>
        <w:rPr>
          <w:rFonts w:cs="David"/>
          <w:sz w:val="24"/>
          <w:rtl/>
        </w:rPr>
      </w:pPr>
    </w:p>
    <w:p w:rsidR="00000000" w:rsidRDefault="003F72C2">
      <w:pPr>
        <w:rPr>
          <w:rFonts w:cs="David"/>
          <w:sz w:val="24"/>
          <w:rtl/>
        </w:rPr>
      </w:pPr>
      <w:r>
        <w:rPr>
          <w:rFonts w:cs="David"/>
          <w:sz w:val="24"/>
          <w:u w:val="single"/>
          <w:rtl/>
        </w:rPr>
        <w:t>יצחק לוי:</w:t>
      </w:r>
    </w:p>
    <w:p w:rsidR="00000000" w:rsidRDefault="003F72C2">
      <w:pPr>
        <w:rPr>
          <w:rFonts w:cs="David"/>
          <w:sz w:val="24"/>
          <w:rtl/>
        </w:rPr>
      </w:pPr>
    </w:p>
    <w:p w:rsidR="00000000" w:rsidRDefault="003F72C2">
      <w:pPr>
        <w:rPr>
          <w:rFonts w:cs="David"/>
          <w:sz w:val="24"/>
          <w:rtl/>
        </w:rPr>
      </w:pPr>
      <w:r>
        <w:rPr>
          <w:rFonts w:cs="David"/>
          <w:sz w:val="24"/>
          <w:rtl/>
        </w:rPr>
        <w:tab/>
        <w:t xml:space="preserve"> גם ללא ההסכמה. זה מה שכתבת פה.</w:t>
      </w:r>
    </w:p>
    <w:p w:rsidR="00000000" w:rsidRDefault="003F72C2">
      <w:pPr>
        <w:rPr>
          <w:rFonts w:cs="David"/>
          <w:sz w:val="24"/>
          <w:rtl/>
        </w:rPr>
      </w:pP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 xml:space="preserve"> כתוב פה שנפגע עבירה לא ייקרא להעיד.</w:t>
      </w:r>
    </w:p>
    <w:p w:rsidR="00000000" w:rsidRDefault="003F72C2">
      <w:pPr>
        <w:rPr>
          <w:rFonts w:cs="David"/>
          <w:sz w:val="24"/>
          <w:rtl/>
        </w:rPr>
      </w:pPr>
    </w:p>
    <w:p w:rsidR="00000000" w:rsidRDefault="003F72C2">
      <w:pPr>
        <w:rPr>
          <w:rFonts w:cs="David"/>
          <w:sz w:val="24"/>
          <w:rtl/>
        </w:rPr>
      </w:pPr>
      <w:r>
        <w:rPr>
          <w:rFonts w:cs="David"/>
          <w:sz w:val="24"/>
          <w:rtl/>
        </w:rPr>
        <w:tab/>
        <w:t>בואו נראה איפה אנחנו; קטין שאחד ההורים שלו או האפוטרופוס פוגע בו, ואחר כך מתנהל הליך של הפרדת מקום מדורים שיזם אותו כאילו הקטין, כי את מי מוציאים מהבית? את האפוטרופוס? כלומר הוא כבר לא יהיה אפוטרו</w:t>
      </w:r>
      <w:r>
        <w:rPr>
          <w:rFonts w:cs="David"/>
          <w:sz w:val="24"/>
          <w:rtl/>
        </w:rPr>
        <w:t>פוס בכלל. אני לא מכיר את הבעיות. מישהו צריך לבוא לבית המשפט ולהגן על זכויות הקטין.</w:t>
      </w:r>
    </w:p>
    <w:p w:rsidR="00000000" w:rsidRDefault="003F72C2">
      <w:pPr>
        <w:rPr>
          <w:rFonts w:cs="David"/>
          <w:sz w:val="24"/>
          <w:rtl/>
        </w:rPr>
      </w:pPr>
    </w:p>
    <w:p w:rsidR="00000000" w:rsidRDefault="003F72C2">
      <w:pPr>
        <w:rPr>
          <w:rFonts w:cs="David"/>
          <w:sz w:val="24"/>
          <w:rtl/>
        </w:rPr>
      </w:pPr>
      <w:r>
        <w:rPr>
          <w:rFonts w:cs="David"/>
          <w:sz w:val="24"/>
          <w:u w:val="single"/>
          <w:rtl/>
        </w:rPr>
        <w:t>דפנה בינוולד:</w:t>
      </w:r>
    </w:p>
    <w:p w:rsidR="00000000" w:rsidRDefault="003F72C2">
      <w:pPr>
        <w:rPr>
          <w:rFonts w:cs="David"/>
          <w:sz w:val="24"/>
          <w:rtl/>
        </w:rPr>
      </w:pPr>
    </w:p>
    <w:p w:rsidR="00000000" w:rsidRDefault="003F72C2">
      <w:pPr>
        <w:rPr>
          <w:rFonts w:cs="David"/>
          <w:sz w:val="24"/>
          <w:rtl/>
        </w:rPr>
      </w:pPr>
      <w:r>
        <w:rPr>
          <w:rFonts w:cs="David"/>
          <w:sz w:val="24"/>
          <w:rtl/>
        </w:rPr>
        <w:tab/>
        <w:t>פקיד הסעד, עד גיל 18.</w:t>
      </w:r>
    </w:p>
    <w:p w:rsidR="00000000" w:rsidRDefault="003F72C2">
      <w:pPr>
        <w:rPr>
          <w:rFonts w:cs="David"/>
          <w:sz w:val="24"/>
          <w:rtl/>
        </w:rPr>
      </w:pP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 xml:space="preserve"> אבל אין בחוק הזה שום זיקה עם פקיד סעד. אז צריך לתת לו מעמד בחוק.</w:t>
      </w:r>
    </w:p>
    <w:p w:rsidR="00000000" w:rsidRDefault="003F72C2">
      <w:pPr>
        <w:rPr>
          <w:rFonts w:cs="David"/>
          <w:sz w:val="24"/>
          <w:rtl/>
        </w:rPr>
      </w:pPr>
    </w:p>
    <w:p w:rsidR="00000000" w:rsidRDefault="003F72C2">
      <w:pPr>
        <w:rPr>
          <w:rFonts w:cs="David"/>
          <w:sz w:val="24"/>
          <w:rtl/>
        </w:rPr>
      </w:pPr>
      <w:r>
        <w:rPr>
          <w:rFonts w:cs="David"/>
          <w:sz w:val="24"/>
          <w:u w:val="single"/>
          <w:rtl/>
        </w:rPr>
        <w:t>רחל גרשוני:</w:t>
      </w:r>
    </w:p>
    <w:p w:rsidR="00000000" w:rsidRDefault="003F72C2">
      <w:pPr>
        <w:rPr>
          <w:rFonts w:cs="David"/>
          <w:sz w:val="24"/>
          <w:rtl/>
        </w:rPr>
      </w:pPr>
    </w:p>
    <w:p w:rsidR="00000000" w:rsidRDefault="003F72C2">
      <w:pPr>
        <w:rPr>
          <w:rFonts w:cs="David"/>
          <w:sz w:val="24"/>
          <w:rtl/>
        </w:rPr>
      </w:pPr>
      <w:r>
        <w:rPr>
          <w:rFonts w:cs="David"/>
          <w:sz w:val="24"/>
          <w:rtl/>
        </w:rPr>
        <w:tab/>
        <w:t xml:space="preserve">ב-3 (ב) (1) או ב-3 (ב) (4) אפשר </w:t>
      </w:r>
      <w:r>
        <w:rPr>
          <w:rFonts w:cs="David"/>
          <w:sz w:val="24"/>
          <w:rtl/>
        </w:rPr>
        <w:t>לעשות את זה – נפגע עבירה או אדם מטעמו לרבות פקיד סעד.</w:t>
      </w:r>
    </w:p>
    <w:p w:rsidR="00000000" w:rsidRDefault="003F72C2">
      <w:pPr>
        <w:rPr>
          <w:rFonts w:cs="David"/>
          <w:sz w:val="24"/>
          <w:rtl/>
        </w:rPr>
      </w:pPr>
    </w:p>
    <w:p w:rsidR="00000000" w:rsidRDefault="003F72C2">
      <w:pPr>
        <w:rPr>
          <w:rFonts w:cs="David"/>
          <w:sz w:val="24"/>
          <w:u w:val="single"/>
          <w:rtl/>
        </w:rPr>
      </w:pPr>
      <w:r>
        <w:rPr>
          <w:rFonts w:cs="David"/>
          <w:sz w:val="24"/>
          <w:u w:val="single"/>
          <w:rtl/>
        </w:rPr>
        <w:br w:type="page"/>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 xml:space="preserve"> לפני החוק הזה, נאמר שאין חוק; אב פגע בבנו, פקיד סעד מעורב בתהליך. האב נידון לשנה מאסר. פקיד הסעד אומר לבית המשפט: הוא לא יכול לחזור לשם, הוא יהרוג את הילד, אז פקיד הסעד מוציא את ה</w:t>
      </w:r>
      <w:r>
        <w:rPr>
          <w:rFonts w:cs="David"/>
          <w:sz w:val="24"/>
          <w:rtl/>
        </w:rPr>
        <w:t>ילד מהבית. אין היום בחוק אפשרות לומר לאב: אל תחזור הביתה. האם פקידי הסעד היו רוצים שיהיו מקרים כאלה?</w:t>
      </w:r>
    </w:p>
    <w:p w:rsidR="00000000" w:rsidRDefault="003F72C2">
      <w:pPr>
        <w:rPr>
          <w:rFonts w:cs="David"/>
          <w:sz w:val="24"/>
          <w:rtl/>
        </w:rPr>
      </w:pPr>
    </w:p>
    <w:p w:rsidR="00000000" w:rsidRDefault="003F72C2">
      <w:pPr>
        <w:rPr>
          <w:rFonts w:cs="David"/>
          <w:sz w:val="24"/>
          <w:rtl/>
        </w:rPr>
      </w:pPr>
      <w:r>
        <w:rPr>
          <w:rFonts w:cs="David"/>
          <w:sz w:val="24"/>
          <w:u w:val="single"/>
          <w:rtl/>
        </w:rPr>
        <w:t>חנה סלוצקי:</w:t>
      </w:r>
    </w:p>
    <w:p w:rsidR="00000000" w:rsidRDefault="003F72C2">
      <w:pPr>
        <w:rPr>
          <w:rFonts w:cs="David"/>
          <w:sz w:val="24"/>
          <w:rtl/>
        </w:rPr>
      </w:pPr>
    </w:p>
    <w:p w:rsidR="00000000" w:rsidRDefault="003F72C2">
      <w:pPr>
        <w:rPr>
          <w:rFonts w:cs="David"/>
          <w:sz w:val="24"/>
          <w:rtl/>
        </w:rPr>
      </w:pPr>
      <w:r>
        <w:rPr>
          <w:rFonts w:cs="David"/>
          <w:sz w:val="24"/>
          <w:rtl/>
        </w:rPr>
        <w:tab/>
        <w:t>ודאי.</w:t>
      </w:r>
    </w:p>
    <w:p w:rsidR="00000000" w:rsidRDefault="003F72C2">
      <w:pPr>
        <w:rPr>
          <w:rFonts w:cs="David"/>
          <w:sz w:val="24"/>
          <w:rtl/>
        </w:rPr>
      </w:pP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 xml:space="preserve">השאלה היא, אם זה לא יהפוך, מה כן ההשלכות על ההתנהגות אחר כך בחיים, גם של פקידי הסעד? היום פקידי הסעד יודעים - הם </w:t>
      </w:r>
      <w:r>
        <w:rPr>
          <w:rFonts w:cs="David"/>
          <w:sz w:val="24"/>
          <w:rtl/>
        </w:rPr>
        <w:t>חייבים להוציא את הילד, להעביר אותו למקום מוגן. יש סיטואציה שהאמא היא גם נגד הילד במידה מסוימת, היא אמביוולנטית. אם היא היתה לגמרי נגד הילד, היו מייד מוציאים. אך אנו נמצאים במצב שבו פקיד הסעד אומר: כשהאמא עם הילד זה בסדר, כשהפוגע פוגע, האמא כבר מפחדת גם ממנ</w:t>
      </w:r>
      <w:r>
        <w:rPr>
          <w:rFonts w:cs="David"/>
          <w:sz w:val="24"/>
          <w:rtl/>
        </w:rPr>
        <w:t>ו, והיא קשורה אליו, אז צריך להוציא את הילד. עכשיו תינתן הבררה להוציא את הפוגע. השאלה היא אם זה המצב העדיף, כי זה מה שיקרה עכשיו – יתחילו פניות של פקידת הסעד, ויותר ילדים יישארו בבית עם אמא שמאשימה את הילד בכך שאין לה בן זוגה. אני רק מצביע על דבר חדש שייפתח</w:t>
      </w:r>
      <w:r>
        <w:rPr>
          <w:rFonts w:cs="David"/>
          <w:sz w:val="24"/>
          <w:rtl/>
        </w:rPr>
        <w:t>, תהיה פרקטיקה חדשה, אני לא יודע אם טובה או רעה.</w:t>
      </w:r>
    </w:p>
    <w:p w:rsidR="00000000" w:rsidRDefault="003F72C2">
      <w:pPr>
        <w:rPr>
          <w:rFonts w:cs="David"/>
          <w:sz w:val="24"/>
          <w:rtl/>
        </w:rPr>
      </w:pPr>
    </w:p>
    <w:p w:rsidR="00000000" w:rsidRDefault="003F72C2">
      <w:pPr>
        <w:rPr>
          <w:rFonts w:cs="David"/>
          <w:sz w:val="24"/>
          <w:rtl/>
        </w:rPr>
      </w:pPr>
      <w:r>
        <w:rPr>
          <w:rFonts w:cs="David"/>
          <w:sz w:val="24"/>
          <w:u w:val="single"/>
          <w:rtl/>
        </w:rPr>
        <w:t>חנה סלוצקי:</w:t>
      </w:r>
    </w:p>
    <w:p w:rsidR="00000000" w:rsidRDefault="003F72C2">
      <w:pPr>
        <w:rPr>
          <w:rFonts w:cs="David"/>
          <w:sz w:val="24"/>
          <w:rtl/>
        </w:rPr>
      </w:pPr>
    </w:p>
    <w:p w:rsidR="00000000" w:rsidRDefault="003F72C2">
      <w:pPr>
        <w:rPr>
          <w:rFonts w:cs="David"/>
          <w:sz w:val="24"/>
          <w:rtl/>
        </w:rPr>
      </w:pPr>
      <w:r>
        <w:rPr>
          <w:rFonts w:cs="David"/>
          <w:sz w:val="24"/>
          <w:rtl/>
        </w:rPr>
        <w:tab/>
        <w:t xml:space="preserve"> הפתח שעכשיו החוק אפשר לפקיד הסעד ליזום הליך, יהיה עוד כלי שיהיה נתון לידי פקידי הסעד כדי להגן על ילדים. זה לא בא במקום.</w:t>
      </w:r>
    </w:p>
    <w:p w:rsidR="00000000" w:rsidRDefault="003F72C2">
      <w:pPr>
        <w:rPr>
          <w:rFonts w:cs="David"/>
          <w:sz w:val="24"/>
          <w:rtl/>
        </w:rPr>
      </w:pP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 xml:space="preserve">לא במקום. היום מוציאים, אין בררה. ברגע שיכריחו את </w:t>
      </w:r>
      <w:r>
        <w:rPr>
          <w:rFonts w:cs="David"/>
          <w:sz w:val="24"/>
          <w:rtl/>
        </w:rPr>
        <w:t>האב, יגידו: בעיות תקציביות, נגיד לכל אב שלא יבוא, ופתרנו את הבעיות של הילד. איך ההוא מהנהלת בתי המשפט אמר - הכל בסדר, רק אני לא משלם. משרד הרווחה, הדבר המרכזי – הוא רוצה הפרדה. תהיה לו אפשרות בכל תיק, עדיף להם, לא יהיה להם שיקול דעת- -</w:t>
      </w:r>
    </w:p>
    <w:p w:rsidR="00000000" w:rsidRDefault="003F72C2">
      <w:pPr>
        <w:rPr>
          <w:rFonts w:cs="David"/>
          <w:sz w:val="24"/>
          <w:rtl/>
        </w:rPr>
      </w:pPr>
    </w:p>
    <w:p w:rsidR="00000000" w:rsidRDefault="003F72C2">
      <w:pPr>
        <w:rPr>
          <w:rFonts w:cs="David"/>
          <w:sz w:val="24"/>
          <w:rtl/>
        </w:rPr>
      </w:pPr>
      <w:r>
        <w:rPr>
          <w:rFonts w:cs="David"/>
          <w:sz w:val="24"/>
          <w:u w:val="single"/>
          <w:rtl/>
        </w:rPr>
        <w:t>יצחק לוי:</w:t>
      </w:r>
    </w:p>
    <w:p w:rsidR="00000000" w:rsidRDefault="003F72C2">
      <w:pPr>
        <w:rPr>
          <w:rFonts w:cs="David"/>
          <w:sz w:val="24"/>
          <w:rtl/>
        </w:rPr>
      </w:pPr>
    </w:p>
    <w:p w:rsidR="00000000" w:rsidRDefault="003F72C2">
      <w:pPr>
        <w:rPr>
          <w:rFonts w:cs="David"/>
          <w:sz w:val="24"/>
          <w:rtl/>
        </w:rPr>
      </w:pPr>
      <w:r>
        <w:rPr>
          <w:rFonts w:cs="David"/>
          <w:sz w:val="24"/>
          <w:rtl/>
        </w:rPr>
        <w:tab/>
        <w:t>אבל אול</w:t>
      </w:r>
      <w:r>
        <w:rPr>
          <w:rFonts w:cs="David"/>
          <w:sz w:val="24"/>
          <w:rtl/>
        </w:rPr>
        <w:t>י זה אבא לעשרה ילדים, והמשפחה נופלת לעוני, ואם הוא לא עובד? יהיה להם שיקול דעת.</w:t>
      </w:r>
    </w:p>
    <w:p w:rsidR="00000000" w:rsidRDefault="003F72C2">
      <w:pPr>
        <w:rPr>
          <w:rFonts w:cs="David"/>
          <w:sz w:val="24"/>
          <w:rtl/>
        </w:rPr>
      </w:pP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אבל הנטייה שלהם תהיה בגלל בעיות מערכתיות ללכת כל הזמן- -</w:t>
      </w:r>
    </w:p>
    <w:p w:rsidR="00000000" w:rsidRDefault="003F72C2">
      <w:pPr>
        <w:rPr>
          <w:rFonts w:cs="David"/>
          <w:sz w:val="24"/>
          <w:rtl/>
        </w:rPr>
      </w:pPr>
    </w:p>
    <w:p w:rsidR="00000000" w:rsidRDefault="003F72C2">
      <w:pPr>
        <w:rPr>
          <w:rFonts w:cs="David"/>
          <w:sz w:val="24"/>
          <w:rtl/>
        </w:rPr>
      </w:pPr>
      <w:r>
        <w:rPr>
          <w:rFonts w:cs="David"/>
          <w:sz w:val="24"/>
          <w:u w:val="single"/>
          <w:rtl/>
        </w:rPr>
        <w:t>חנה סלוצקי:</w:t>
      </w:r>
    </w:p>
    <w:p w:rsidR="00000000" w:rsidRDefault="003F72C2">
      <w:pPr>
        <w:rPr>
          <w:rFonts w:cs="David"/>
          <w:sz w:val="24"/>
          <w:rtl/>
        </w:rPr>
      </w:pPr>
    </w:p>
    <w:p w:rsidR="00000000" w:rsidRDefault="003F72C2">
      <w:pPr>
        <w:rPr>
          <w:rFonts w:cs="David"/>
          <w:sz w:val="24"/>
          <w:rtl/>
        </w:rPr>
      </w:pPr>
      <w:r>
        <w:rPr>
          <w:rFonts w:cs="David"/>
          <w:sz w:val="24"/>
          <w:rtl/>
        </w:rPr>
        <w:tab/>
        <w:t>אני יודעת שפה לא כל כך אוהבים פקידי סעד- -</w:t>
      </w:r>
    </w:p>
    <w:p w:rsidR="00000000" w:rsidRDefault="003F72C2">
      <w:pPr>
        <w:rPr>
          <w:rFonts w:cs="David"/>
          <w:sz w:val="24"/>
          <w:rtl/>
        </w:rPr>
      </w:pPr>
    </w:p>
    <w:p w:rsidR="00000000" w:rsidRDefault="003F72C2">
      <w:pPr>
        <w:rPr>
          <w:rFonts w:cs="David"/>
          <w:sz w:val="24"/>
          <w:rtl/>
        </w:rPr>
      </w:pPr>
      <w:r>
        <w:rPr>
          <w:rFonts w:cs="David"/>
          <w:sz w:val="24"/>
          <w:u w:val="single"/>
          <w:rtl/>
        </w:rPr>
        <w:t>יצחק לוי:</w:t>
      </w:r>
    </w:p>
    <w:p w:rsidR="00000000" w:rsidRDefault="003F72C2">
      <w:pPr>
        <w:rPr>
          <w:rFonts w:cs="David"/>
          <w:sz w:val="24"/>
          <w:rtl/>
        </w:rPr>
      </w:pPr>
    </w:p>
    <w:p w:rsidR="00000000" w:rsidRDefault="003F72C2">
      <w:pPr>
        <w:rPr>
          <w:rFonts w:cs="David"/>
          <w:sz w:val="24"/>
          <w:rtl/>
        </w:rPr>
      </w:pPr>
      <w:r>
        <w:rPr>
          <w:rFonts w:cs="David"/>
          <w:sz w:val="24"/>
          <w:rtl/>
        </w:rPr>
        <w:tab/>
        <w:t xml:space="preserve"> אוהבים.</w:t>
      </w:r>
    </w:p>
    <w:p w:rsidR="00000000" w:rsidRDefault="003F72C2">
      <w:pPr>
        <w:rPr>
          <w:rFonts w:cs="David"/>
          <w:sz w:val="24"/>
          <w:rtl/>
        </w:rPr>
      </w:pPr>
    </w:p>
    <w:p w:rsidR="00000000" w:rsidRDefault="003F72C2">
      <w:pPr>
        <w:rPr>
          <w:rFonts w:cs="David"/>
          <w:sz w:val="24"/>
          <w:rtl/>
        </w:rPr>
      </w:pPr>
      <w:r>
        <w:rPr>
          <w:rFonts w:cs="David"/>
          <w:sz w:val="24"/>
          <w:u w:val="single"/>
          <w:rtl/>
        </w:rPr>
        <w:br w:type="page"/>
        <w:t>חנה סלוצקי:</w:t>
      </w:r>
    </w:p>
    <w:p w:rsidR="00000000" w:rsidRDefault="003F72C2">
      <w:pPr>
        <w:rPr>
          <w:rFonts w:cs="David"/>
          <w:sz w:val="24"/>
          <w:rtl/>
        </w:rPr>
      </w:pPr>
    </w:p>
    <w:p w:rsidR="00000000" w:rsidRDefault="003F72C2">
      <w:pPr>
        <w:rPr>
          <w:rFonts w:cs="David"/>
          <w:sz w:val="24"/>
          <w:rtl/>
        </w:rPr>
      </w:pPr>
      <w:r>
        <w:rPr>
          <w:rFonts w:cs="David"/>
          <w:sz w:val="24"/>
          <w:rtl/>
        </w:rPr>
        <w:tab/>
        <w:t>בש</w:t>
      </w:r>
      <w:r>
        <w:rPr>
          <w:rFonts w:cs="David"/>
          <w:sz w:val="24"/>
          <w:rtl/>
        </w:rPr>
        <w:t xml:space="preserve">נת 1991 נחקק חוק, וחשבו שיוציאו וירחיקו את הפוגע האלים מהבית, ונשאיר את הילד בקרבת מגוריו, בבית הספר ובכל המסגרת. דע לך שאנו כמעט לא משתמשים בסעיף הזה. במרבית המקרים אנו חייבים ונאלצים להוציא את הקטין מהבית. בכמה מקרים שאני אישית כפקידת סעד הרחקתי את האבא </w:t>
      </w:r>
      <w:r>
        <w:rPr>
          <w:rFonts w:cs="David"/>
          <w:sz w:val="24"/>
          <w:rtl/>
        </w:rPr>
        <w:t>מהבית, והאמא הכניסה אותו. אני הוצאתי אותו מהדלת, והיא הכניסה אותו מהחלון. בביקור שישי-שבת שעשינו ראינו את האב במסגרת הבית. אין מי שיאכוף את זה, שיעקוב ויראה מה קורה באמת.</w:t>
      </w:r>
    </w:p>
    <w:p w:rsidR="00000000" w:rsidRDefault="003F72C2">
      <w:pPr>
        <w:rPr>
          <w:rFonts w:cs="David"/>
          <w:sz w:val="24"/>
          <w:rtl/>
        </w:rPr>
      </w:pP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 xml:space="preserve"> את מכניסה אותי לסוגייה אחרת - אם לא אוכפים את החוק ההוא, למה שי</w:t>
      </w:r>
      <w:r>
        <w:rPr>
          <w:rFonts w:cs="David"/>
          <w:sz w:val="24"/>
          <w:rtl/>
        </w:rPr>
        <w:t>אכפו את זה?</w:t>
      </w:r>
    </w:p>
    <w:p w:rsidR="00000000" w:rsidRDefault="003F72C2">
      <w:pPr>
        <w:rPr>
          <w:rFonts w:cs="David"/>
          <w:sz w:val="24"/>
          <w:rtl/>
        </w:rPr>
      </w:pPr>
    </w:p>
    <w:p w:rsidR="00000000" w:rsidRDefault="003F72C2">
      <w:pPr>
        <w:rPr>
          <w:rFonts w:cs="David"/>
          <w:sz w:val="24"/>
          <w:rtl/>
        </w:rPr>
      </w:pPr>
      <w:r>
        <w:rPr>
          <w:rFonts w:cs="David"/>
          <w:sz w:val="24"/>
          <w:rtl/>
        </w:rPr>
        <w:tab/>
        <w:t>בואו נסכם את הדיון בנקודה הזאת; אנחנו רוצים לתת מעמד לפקיד סעד- -</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יש כבר. מגיש הבקשה הוא פקיד סעד.</w:t>
      </w:r>
    </w:p>
    <w:p w:rsidR="00000000" w:rsidRDefault="003F72C2">
      <w:pPr>
        <w:rPr>
          <w:rFonts w:cs="David"/>
          <w:sz w:val="24"/>
          <w:rtl/>
        </w:rPr>
      </w:pP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 xml:space="preserve">אך אנו נותנים לו מעמד עכשיו לעמוד מול האפוטרופוס, כשהאפוטרופוס היה הפוגע. </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צריך לכתוב את זה במפורש</w:t>
      </w:r>
      <w:r>
        <w:rPr>
          <w:rFonts w:cs="David"/>
          <w:sz w:val="24"/>
          <w:rtl/>
        </w:rPr>
        <w:t>, שפקיד הסעד הוא זה שייצג את הקטין בדיון הזה על אישור בית המשפט?</w:t>
      </w:r>
    </w:p>
    <w:p w:rsidR="00000000" w:rsidRDefault="003F72C2">
      <w:pPr>
        <w:rPr>
          <w:rFonts w:cs="David"/>
          <w:sz w:val="24"/>
          <w:rtl/>
        </w:rPr>
      </w:pPr>
    </w:p>
    <w:p w:rsidR="00000000" w:rsidRDefault="003F72C2">
      <w:pPr>
        <w:rPr>
          <w:rFonts w:cs="David"/>
          <w:sz w:val="24"/>
          <w:rtl/>
        </w:rPr>
      </w:pPr>
      <w:r>
        <w:rPr>
          <w:rFonts w:cs="David"/>
          <w:sz w:val="24"/>
          <w:u w:val="single"/>
          <w:rtl/>
        </w:rPr>
        <w:t>רינת וייגלר:</w:t>
      </w:r>
    </w:p>
    <w:p w:rsidR="00000000" w:rsidRDefault="003F72C2">
      <w:pPr>
        <w:rPr>
          <w:rFonts w:cs="David"/>
          <w:sz w:val="24"/>
          <w:rtl/>
        </w:rPr>
      </w:pPr>
    </w:p>
    <w:p w:rsidR="00000000" w:rsidRDefault="003F72C2">
      <w:pPr>
        <w:rPr>
          <w:rFonts w:cs="David"/>
          <w:sz w:val="24"/>
          <w:rtl/>
        </w:rPr>
      </w:pPr>
      <w:r>
        <w:rPr>
          <w:rFonts w:cs="David"/>
          <w:sz w:val="24"/>
          <w:rtl/>
        </w:rPr>
        <w:tab/>
        <w:t>השאלה היא מי מוסמך לתת הסכמה לבדיקה. צריך להפריד, מה אנו עושים במקרה שהפוגע הוא האפוטרופוס, או בסתם מקרה. יש על שולחן הוועדה הזאת גם דיונים שעניינם מתן הסכמה לטיפול רפואי לקטי</w:t>
      </w:r>
      <w:r>
        <w:rPr>
          <w:rFonts w:cs="David"/>
          <w:sz w:val="24"/>
          <w:rtl/>
        </w:rPr>
        <w:t>נים. בעיניי, זה לא המקום להכניס דרך הדלת האחורית את היכולת של קטינים לתת הסכמה בכל מיני מצבים. לכן בעיקרון צריך לומר שלגבי קטין שההורה שלו הוא בדרך כלל האפוטרופוס הטבעי שלו, ההורה מוסמך לתת הסכמה כמו בכל סיטואציה. הגיל, בעיניי, של 14 או יותר או פחות הוא לא</w:t>
      </w:r>
      <w:r>
        <w:rPr>
          <w:rFonts w:cs="David"/>
          <w:sz w:val="24"/>
          <w:rtl/>
        </w:rPr>
        <w:t xml:space="preserve"> רלוונטי. הוא נכון בהקשר של תסקיר קורבן, כי שם יש כבר פקיד סעד. לכן צריך שהאפוטרופוס יהיה צריך לתת הסכמה בהקשר של חוות דעת שנוגעת לקטין. זה ברור.</w:t>
      </w:r>
    </w:p>
    <w:p w:rsidR="00000000" w:rsidRDefault="003F72C2">
      <w:pPr>
        <w:rPr>
          <w:rFonts w:cs="David"/>
          <w:sz w:val="24"/>
          <w:rtl/>
        </w:rPr>
      </w:pPr>
    </w:p>
    <w:p w:rsidR="00000000" w:rsidRDefault="003F72C2">
      <w:pPr>
        <w:rPr>
          <w:rFonts w:cs="David"/>
          <w:sz w:val="24"/>
          <w:rtl/>
        </w:rPr>
      </w:pPr>
      <w:r>
        <w:rPr>
          <w:rFonts w:cs="David"/>
          <w:sz w:val="24"/>
          <w:rtl/>
        </w:rPr>
        <w:tab/>
        <w:t>לגבי המצבים שבהם האפוטרופוס הוא הפוגע- -</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יש פה עוד מצב, שבית המשפט חושב שהטעמים של הסירוב של האפ</w:t>
      </w:r>
      <w:r>
        <w:rPr>
          <w:rFonts w:cs="David"/>
          <w:sz w:val="24"/>
          <w:rtl/>
        </w:rPr>
        <w:t>וטרופוס הם לא- -</w:t>
      </w:r>
    </w:p>
    <w:p w:rsidR="00000000" w:rsidRDefault="003F72C2">
      <w:pPr>
        <w:rPr>
          <w:rFonts w:cs="David"/>
          <w:sz w:val="24"/>
          <w:rtl/>
        </w:rPr>
      </w:pPr>
    </w:p>
    <w:p w:rsidR="00000000" w:rsidRDefault="003F72C2">
      <w:pPr>
        <w:rPr>
          <w:rFonts w:cs="David"/>
          <w:sz w:val="24"/>
          <w:rtl/>
        </w:rPr>
      </w:pPr>
      <w:r>
        <w:rPr>
          <w:rFonts w:cs="David"/>
          <w:sz w:val="24"/>
          <w:u w:val="single"/>
          <w:rtl/>
        </w:rPr>
        <w:t>רינת וייגלר:</w:t>
      </w:r>
    </w:p>
    <w:p w:rsidR="00000000" w:rsidRDefault="003F72C2">
      <w:pPr>
        <w:rPr>
          <w:rFonts w:cs="David"/>
          <w:sz w:val="24"/>
          <w:rtl/>
        </w:rPr>
      </w:pPr>
    </w:p>
    <w:p w:rsidR="00000000" w:rsidRDefault="003F72C2">
      <w:pPr>
        <w:ind w:firstLine="567"/>
        <w:rPr>
          <w:rFonts w:cs="David"/>
          <w:sz w:val="24"/>
          <w:rtl/>
        </w:rPr>
      </w:pPr>
      <w:r>
        <w:rPr>
          <w:rFonts w:cs="David"/>
          <w:sz w:val="24"/>
          <w:rtl/>
        </w:rPr>
        <w:t>יוכל בית המשפט לאחר ששמע את פקידת הסעד ואת הקטין- -</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לא רצינו שהוא ישמע את הקטין.</w:t>
      </w:r>
    </w:p>
    <w:p w:rsidR="00000000" w:rsidRDefault="003F72C2">
      <w:pPr>
        <w:rPr>
          <w:rFonts w:cs="David"/>
          <w:sz w:val="24"/>
          <w:rtl/>
        </w:rPr>
      </w:pPr>
    </w:p>
    <w:p w:rsidR="00000000" w:rsidRDefault="003F72C2">
      <w:pPr>
        <w:rPr>
          <w:rFonts w:cs="David"/>
          <w:sz w:val="24"/>
          <w:rtl/>
        </w:rPr>
      </w:pPr>
      <w:r>
        <w:rPr>
          <w:rFonts w:cs="David"/>
          <w:sz w:val="24"/>
          <w:u w:val="single"/>
          <w:rtl/>
        </w:rPr>
        <w:br w:type="page"/>
        <w:t>רינת וייגלר:</w:t>
      </w:r>
    </w:p>
    <w:p w:rsidR="00000000" w:rsidRDefault="003F72C2">
      <w:pPr>
        <w:rPr>
          <w:rFonts w:cs="David"/>
          <w:sz w:val="24"/>
          <w:rtl/>
        </w:rPr>
      </w:pPr>
    </w:p>
    <w:p w:rsidR="00000000" w:rsidRDefault="003F72C2">
      <w:pPr>
        <w:rPr>
          <w:rFonts w:cs="David"/>
          <w:sz w:val="24"/>
          <w:rtl/>
        </w:rPr>
      </w:pPr>
      <w:r>
        <w:rPr>
          <w:rFonts w:cs="David"/>
          <w:sz w:val="24"/>
          <w:rtl/>
        </w:rPr>
        <w:tab/>
        <w:t>לאחר ששמע את פקיד הסעד ואת האפוטרופוס לתת את ההסכמה.</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כלומר לגבי קטין, כשהאפוטרופוס מסרב, בית המשפט רשא</w:t>
      </w:r>
      <w:r>
        <w:rPr>
          <w:rFonts w:cs="David"/>
          <w:sz w:val="24"/>
          <w:rtl/>
        </w:rPr>
        <w:t>י לאשר את זה, אם הוא משוכנע שזה לטובת הקטין, לאחר ששמע את פקיד הסעד.</w:t>
      </w:r>
    </w:p>
    <w:p w:rsidR="00000000" w:rsidRDefault="003F72C2">
      <w:pPr>
        <w:rPr>
          <w:rFonts w:cs="David"/>
          <w:sz w:val="24"/>
          <w:rtl/>
        </w:rPr>
      </w:pPr>
    </w:p>
    <w:p w:rsidR="00000000" w:rsidRDefault="003F72C2">
      <w:pPr>
        <w:rPr>
          <w:rFonts w:cs="David"/>
          <w:sz w:val="24"/>
          <w:rtl/>
        </w:rPr>
      </w:pPr>
      <w:r>
        <w:rPr>
          <w:rFonts w:cs="David"/>
          <w:sz w:val="24"/>
          <w:u w:val="single"/>
          <w:rtl/>
        </w:rPr>
        <w:t>חנה אטקס:</w:t>
      </w:r>
    </w:p>
    <w:p w:rsidR="00000000" w:rsidRDefault="003F72C2">
      <w:pPr>
        <w:rPr>
          <w:rFonts w:cs="David"/>
          <w:sz w:val="24"/>
          <w:rtl/>
        </w:rPr>
      </w:pPr>
    </w:p>
    <w:p w:rsidR="00000000" w:rsidRDefault="003F72C2">
      <w:pPr>
        <w:rPr>
          <w:rFonts w:cs="David"/>
          <w:sz w:val="24"/>
          <w:rtl/>
        </w:rPr>
      </w:pPr>
      <w:r>
        <w:rPr>
          <w:rFonts w:cs="David"/>
          <w:sz w:val="24"/>
          <w:rtl/>
        </w:rPr>
        <w:tab/>
        <w:t>אותם סייגים צריך להכניס לגבי חולי נפש ומפגרים.</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בסדר, או חסוי.</w:t>
      </w:r>
    </w:p>
    <w:p w:rsidR="00000000" w:rsidRDefault="003F72C2">
      <w:pPr>
        <w:rPr>
          <w:rFonts w:cs="David"/>
          <w:sz w:val="24"/>
          <w:rtl/>
        </w:rPr>
      </w:pPr>
    </w:p>
    <w:p w:rsidR="00000000" w:rsidRDefault="003F72C2">
      <w:pPr>
        <w:rPr>
          <w:rFonts w:cs="David"/>
          <w:sz w:val="24"/>
          <w:rtl/>
        </w:rPr>
      </w:pPr>
      <w:r>
        <w:rPr>
          <w:rFonts w:cs="David"/>
          <w:sz w:val="24"/>
          <w:u w:val="single"/>
          <w:rtl/>
        </w:rPr>
        <w:t>רחל גרשוני:</w:t>
      </w:r>
    </w:p>
    <w:p w:rsidR="00000000" w:rsidRDefault="003F72C2">
      <w:pPr>
        <w:rPr>
          <w:rFonts w:cs="David"/>
          <w:sz w:val="24"/>
          <w:rtl/>
        </w:rPr>
      </w:pPr>
    </w:p>
    <w:p w:rsidR="00000000" w:rsidRDefault="003F72C2">
      <w:pPr>
        <w:rPr>
          <w:rFonts w:cs="David"/>
          <w:sz w:val="24"/>
          <w:rtl/>
        </w:rPr>
      </w:pPr>
      <w:r>
        <w:rPr>
          <w:rFonts w:cs="David"/>
          <w:sz w:val="24"/>
          <w:rtl/>
        </w:rPr>
        <w:tab/>
        <w:t>אין לסעיף הזה משמעות אם אין לך סעיף כללי שקובע שיש צורך בהסכמה. אין לך סעיף כזה, יש ל</w:t>
      </w:r>
      <w:r>
        <w:rPr>
          <w:rFonts w:cs="David"/>
          <w:sz w:val="24"/>
          <w:rtl/>
        </w:rPr>
        <w:t>ך את בתסקיר ואין לך את זה פה.</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 xml:space="preserve">כלומר אם האפוטרופוס מסרב לעריכת בדיקה לצורך הכנת חוות דעת כשהנפגע הוא קטין או חסוי שמונה לו אפוטרופוס, בית המשפט רשאי לאשר בכל זאת את עריכת הבדיקה, אם הוא שוכנע שזה לטובת הקטין או החסוי, לאחר ששמע את פקיד הסעד ואת </w:t>
      </w:r>
      <w:r>
        <w:rPr>
          <w:rFonts w:cs="David"/>
          <w:sz w:val="24"/>
          <w:rtl/>
        </w:rPr>
        <w:t>האפוטרופוס.</w:t>
      </w:r>
    </w:p>
    <w:p w:rsidR="00000000" w:rsidRDefault="003F72C2">
      <w:pPr>
        <w:rPr>
          <w:rFonts w:cs="David"/>
          <w:sz w:val="24"/>
          <w:rtl/>
        </w:rPr>
      </w:pPr>
    </w:p>
    <w:p w:rsidR="00000000" w:rsidRDefault="003F72C2">
      <w:pPr>
        <w:rPr>
          <w:rFonts w:cs="David"/>
          <w:sz w:val="24"/>
          <w:rtl/>
        </w:rPr>
      </w:pPr>
      <w:r>
        <w:rPr>
          <w:rFonts w:cs="David"/>
          <w:sz w:val="24"/>
          <w:rtl/>
        </w:rPr>
        <w:tab/>
        <w:t>קוראת סעיף 4 (ד).</w:t>
      </w:r>
    </w:p>
    <w:p w:rsidR="00000000" w:rsidRDefault="003F72C2">
      <w:pPr>
        <w:rPr>
          <w:rFonts w:cs="David"/>
          <w:sz w:val="24"/>
          <w:rtl/>
        </w:rPr>
      </w:pPr>
    </w:p>
    <w:p w:rsidR="00000000" w:rsidRDefault="003F72C2">
      <w:pPr>
        <w:ind w:firstLine="567"/>
        <w:rPr>
          <w:rFonts w:cs="David"/>
          <w:sz w:val="24"/>
          <w:rtl/>
        </w:rPr>
      </w:pPr>
      <w:r>
        <w:rPr>
          <w:rFonts w:cs="David"/>
          <w:sz w:val="24"/>
          <w:rtl/>
        </w:rPr>
        <w:t>הרעיון הוא לכתוב שבית המשפט רשאי למנות מומחה, והוא יביא בחשבון את עמדת עבריין המין- -</w:t>
      </w:r>
    </w:p>
    <w:p w:rsidR="00000000" w:rsidRDefault="003F72C2">
      <w:pPr>
        <w:rPr>
          <w:rFonts w:cs="David"/>
          <w:sz w:val="24"/>
          <w:rtl/>
        </w:rPr>
      </w:pPr>
    </w:p>
    <w:p w:rsidR="00000000" w:rsidRDefault="003F72C2">
      <w:pPr>
        <w:rPr>
          <w:rFonts w:cs="David"/>
          <w:sz w:val="24"/>
          <w:rtl/>
        </w:rPr>
      </w:pPr>
      <w:r>
        <w:rPr>
          <w:rFonts w:cs="David"/>
          <w:sz w:val="24"/>
          <w:u w:val="single"/>
          <w:rtl/>
        </w:rPr>
        <w:t>ורד וינדמן:</w:t>
      </w:r>
    </w:p>
    <w:p w:rsidR="00000000" w:rsidRDefault="003F72C2">
      <w:pPr>
        <w:rPr>
          <w:rFonts w:cs="David"/>
          <w:sz w:val="24"/>
          <w:rtl/>
        </w:rPr>
      </w:pPr>
    </w:p>
    <w:p w:rsidR="00000000" w:rsidRDefault="003F72C2">
      <w:pPr>
        <w:rPr>
          <w:rFonts w:cs="David"/>
          <w:sz w:val="24"/>
          <w:rtl/>
        </w:rPr>
      </w:pPr>
      <w:r>
        <w:rPr>
          <w:rFonts w:cs="David"/>
          <w:sz w:val="24"/>
          <w:rtl/>
        </w:rPr>
        <w:tab/>
        <w:t xml:space="preserve">אם הנפגע לא רוצה שתיערך חוות דעת, לא תיערך חוות דעת. </w:t>
      </w:r>
    </w:p>
    <w:p w:rsidR="00000000" w:rsidRDefault="003F72C2">
      <w:pPr>
        <w:rPr>
          <w:rFonts w:cs="David"/>
          <w:sz w:val="24"/>
          <w:rtl/>
        </w:rPr>
      </w:pP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 xml:space="preserve"> אתם כל הזמן שוכחים שהמבקש זה נפגע עבירה, ואם ה</w:t>
      </w:r>
      <w:r>
        <w:rPr>
          <w:rFonts w:cs="David"/>
          <w:sz w:val="24"/>
          <w:rtl/>
        </w:rPr>
        <w:t>וא נמצא בסיטואציה שהוא לא יכול לעמוד בדרישות בית המשפט, הוא לוקח סיכון שבית המשפט לא יקבל את בקשתו.</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 xml:space="preserve">בית המשפט רשאי לא לקיים בכלל את הדיון, אם הוא נתבקש על ידי נפגע עבירה לא לקיים. צריכים להוסיף פה, לדעתי, שאם הקטין הוא מעל גיל 14, צריכים לשמוע </w:t>
      </w:r>
      <w:r>
        <w:rPr>
          <w:rFonts w:cs="David"/>
          <w:sz w:val="24"/>
          <w:rtl/>
        </w:rPr>
        <w:t>גם אותו.</w:t>
      </w:r>
    </w:p>
    <w:p w:rsidR="00000000" w:rsidRDefault="003F72C2">
      <w:pPr>
        <w:rPr>
          <w:rFonts w:cs="David"/>
          <w:sz w:val="24"/>
          <w:rtl/>
        </w:rPr>
      </w:pPr>
    </w:p>
    <w:p w:rsidR="00000000" w:rsidRDefault="003F72C2">
      <w:pPr>
        <w:rPr>
          <w:rFonts w:cs="David"/>
          <w:sz w:val="24"/>
          <w:rtl/>
        </w:rPr>
      </w:pPr>
      <w:r>
        <w:rPr>
          <w:rFonts w:cs="David"/>
          <w:sz w:val="24"/>
          <w:u w:val="single"/>
          <w:rtl/>
        </w:rPr>
        <w:t>ורד וינדמן:</w:t>
      </w:r>
    </w:p>
    <w:p w:rsidR="00000000" w:rsidRDefault="003F72C2">
      <w:pPr>
        <w:rPr>
          <w:rFonts w:cs="David"/>
          <w:sz w:val="24"/>
          <w:rtl/>
        </w:rPr>
      </w:pPr>
    </w:p>
    <w:p w:rsidR="00000000" w:rsidRDefault="003F72C2">
      <w:pPr>
        <w:rPr>
          <w:rFonts w:cs="David"/>
          <w:sz w:val="24"/>
          <w:rtl/>
        </w:rPr>
      </w:pPr>
      <w:r>
        <w:rPr>
          <w:rFonts w:cs="David"/>
          <w:sz w:val="24"/>
          <w:rtl/>
        </w:rPr>
        <w:tab/>
        <w:t>לא לשמוע, הוא צריך להסכים.</w:t>
      </w:r>
    </w:p>
    <w:p w:rsidR="00000000" w:rsidRDefault="003F72C2">
      <w:pPr>
        <w:rPr>
          <w:rFonts w:cs="David"/>
          <w:sz w:val="24"/>
          <w:rtl/>
        </w:rPr>
      </w:pPr>
    </w:p>
    <w:p w:rsidR="00000000" w:rsidRDefault="003F72C2">
      <w:pPr>
        <w:rPr>
          <w:rFonts w:cs="David"/>
          <w:sz w:val="24"/>
          <w:rtl/>
        </w:rPr>
      </w:pPr>
      <w:r>
        <w:rPr>
          <w:rFonts w:cs="David"/>
          <w:sz w:val="24"/>
          <w:u w:val="single"/>
          <w:rtl/>
        </w:rPr>
        <w:t>דפנה בינוולד:</w:t>
      </w:r>
    </w:p>
    <w:p w:rsidR="00000000" w:rsidRDefault="003F72C2">
      <w:pPr>
        <w:rPr>
          <w:rFonts w:cs="David"/>
          <w:sz w:val="24"/>
          <w:rtl/>
        </w:rPr>
      </w:pPr>
    </w:p>
    <w:p w:rsidR="00000000" w:rsidRDefault="003F72C2">
      <w:pPr>
        <w:rPr>
          <w:rFonts w:cs="David"/>
          <w:sz w:val="24"/>
          <w:rtl/>
        </w:rPr>
      </w:pPr>
      <w:r>
        <w:rPr>
          <w:rFonts w:cs="David"/>
          <w:sz w:val="24"/>
          <w:rtl/>
        </w:rPr>
        <w:tab/>
        <w:t>צריך פה סעיף הסכמה. אי אפשר לקחת את זה מחוקים אחרים.</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נחליט שלצורך הכנת הבדיקה לשם הכנת חוות דעת נדרשת הסכמת הנפגע.</w:t>
      </w:r>
    </w:p>
    <w:p w:rsidR="00000000" w:rsidRDefault="003F72C2">
      <w:pPr>
        <w:rPr>
          <w:rFonts w:cs="David"/>
          <w:sz w:val="24"/>
          <w:rtl/>
        </w:rPr>
      </w:pPr>
    </w:p>
    <w:p w:rsidR="00000000" w:rsidRDefault="003F72C2">
      <w:pPr>
        <w:rPr>
          <w:rFonts w:cs="David"/>
          <w:sz w:val="24"/>
          <w:rtl/>
        </w:rPr>
      </w:pPr>
      <w:r>
        <w:rPr>
          <w:rFonts w:cs="David"/>
          <w:sz w:val="24"/>
          <w:rtl/>
        </w:rPr>
        <w:tab/>
        <w:t>אנחנו בסעיף 5. פה לא היו שינויים חוץ מדברים שקשורים לבית הד</w:t>
      </w:r>
      <w:r>
        <w:rPr>
          <w:rFonts w:cs="David"/>
          <w:sz w:val="24"/>
          <w:rtl/>
        </w:rPr>
        <w:t xml:space="preserve">ין הצבאי. קוראת סעיף 5. </w:t>
      </w:r>
    </w:p>
    <w:p w:rsidR="00000000" w:rsidRDefault="003F72C2">
      <w:pPr>
        <w:rPr>
          <w:rFonts w:cs="David"/>
          <w:sz w:val="24"/>
          <w:rtl/>
        </w:rPr>
      </w:pPr>
    </w:p>
    <w:p w:rsidR="00000000" w:rsidRDefault="003F72C2">
      <w:pPr>
        <w:ind w:firstLine="567"/>
        <w:rPr>
          <w:rFonts w:cs="David"/>
          <w:sz w:val="24"/>
          <w:rtl/>
        </w:rPr>
      </w:pPr>
      <w:r>
        <w:rPr>
          <w:rFonts w:cs="David"/>
          <w:sz w:val="24"/>
          <w:rtl/>
        </w:rPr>
        <w:t>הרעיון הוא שבמקרה שבו בית המשפט שדן בעבירת המין היה בית דין צבאי, כשהעבריין היה עוד חייל, ועכשיו הדיון מתקיים כשהוא משתחרר ממאסר, הוא כבר לא חייל, זה לא רלוונטי לחזור לבית הדין הצבאי, למרות שהוא זה שדן בעבירת המין המקורית, אלא בבי</w:t>
      </w:r>
      <w:r>
        <w:rPr>
          <w:rFonts w:cs="David"/>
          <w:sz w:val="24"/>
          <w:rtl/>
        </w:rPr>
        <w:t xml:space="preserve">ת משפט רגיל. אם זה מתקיים כחלק מהדיון בגזר הדין, זה רלוונטי שאותו בית דין שדן בעבירת המין הוא גם ידון במגבלות. </w:t>
      </w:r>
    </w:p>
    <w:p w:rsidR="00000000" w:rsidRDefault="003F72C2">
      <w:pPr>
        <w:rPr>
          <w:rFonts w:cs="David"/>
          <w:sz w:val="24"/>
          <w:rtl/>
        </w:rPr>
      </w:pPr>
    </w:p>
    <w:p w:rsidR="00000000" w:rsidRDefault="003F72C2">
      <w:pPr>
        <w:rPr>
          <w:rFonts w:cs="David"/>
          <w:sz w:val="24"/>
          <w:rtl/>
        </w:rPr>
      </w:pPr>
      <w:r>
        <w:rPr>
          <w:rFonts w:cs="David"/>
          <w:sz w:val="24"/>
          <w:u w:val="single"/>
          <w:rtl/>
        </w:rPr>
        <w:t>רחל גרשוני:</w:t>
      </w:r>
    </w:p>
    <w:p w:rsidR="00000000" w:rsidRDefault="003F72C2">
      <w:pPr>
        <w:rPr>
          <w:rFonts w:cs="David"/>
          <w:sz w:val="24"/>
          <w:rtl/>
        </w:rPr>
      </w:pPr>
    </w:p>
    <w:p w:rsidR="00000000" w:rsidRDefault="003F72C2">
      <w:pPr>
        <w:rPr>
          <w:rFonts w:cs="David"/>
          <w:sz w:val="24"/>
          <w:rtl/>
        </w:rPr>
      </w:pPr>
      <w:r>
        <w:rPr>
          <w:rFonts w:cs="David"/>
          <w:sz w:val="24"/>
          <w:rtl/>
        </w:rPr>
        <w:tab/>
        <w:t>חסרות לי כמה מלים פה.</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 xml:space="preserve">כן, יש פה תוספת בעקבות הערות של הפרקליטות הצבאית, והמועד הזה חל לאחר גמר השירות הצבאי שבמסגרתו </w:t>
      </w:r>
      <w:r>
        <w:rPr>
          <w:rFonts w:cs="David"/>
          <w:sz w:val="24"/>
          <w:rtl/>
        </w:rPr>
        <w:t xml:space="preserve">הוא עבר את עבירת המין, אז הסמכות היא לבית המשפט האזרחי שהיה מוסמך לדון בעבירת המין, אם לא היה בבית הדין הצבאי. </w:t>
      </w:r>
    </w:p>
    <w:p w:rsidR="00000000" w:rsidRDefault="003F72C2">
      <w:pPr>
        <w:rPr>
          <w:rFonts w:cs="David"/>
          <w:sz w:val="24"/>
          <w:rtl/>
        </w:rPr>
      </w:pPr>
    </w:p>
    <w:p w:rsidR="00000000" w:rsidRDefault="003F72C2">
      <w:pPr>
        <w:ind w:firstLine="567"/>
        <w:rPr>
          <w:rFonts w:cs="David"/>
          <w:sz w:val="24"/>
          <w:rtl/>
        </w:rPr>
      </w:pPr>
      <w:r>
        <w:rPr>
          <w:rFonts w:cs="David"/>
          <w:sz w:val="24"/>
          <w:rtl/>
        </w:rPr>
        <w:t>הוספנו עוד הוראה לעניין בית דין צבאי שאומרת שאם הדיון מתקיים לא במסגרת הדיון בגזר הדין, יכול לדון גם שופט משפטאי צבאי אחד, לא בהכרח הרכב, שהרכב</w:t>
      </w:r>
      <w:r>
        <w:rPr>
          <w:rFonts w:cs="David"/>
          <w:sz w:val="24"/>
          <w:rtl/>
        </w:rPr>
        <w:t xml:space="preserve"> שם זה שופט משפטאי ועוד שני שופטים שהם קצינים, שהם לאו דווקא משפטנים. כמו שפה אפשרנו, גם שם, אם זה לא במעמד גזר הדין, זה לא חייב להיות אצל הרכב.</w:t>
      </w:r>
    </w:p>
    <w:p w:rsidR="00000000" w:rsidRDefault="003F72C2">
      <w:pPr>
        <w:rPr>
          <w:rFonts w:cs="David"/>
          <w:sz w:val="24"/>
          <w:rtl/>
        </w:rPr>
      </w:pPr>
    </w:p>
    <w:p w:rsidR="00000000" w:rsidRDefault="003F72C2">
      <w:pPr>
        <w:rPr>
          <w:rFonts w:cs="David"/>
          <w:sz w:val="24"/>
          <w:rtl/>
        </w:rPr>
      </w:pPr>
      <w:r>
        <w:rPr>
          <w:rFonts w:cs="David"/>
          <w:sz w:val="24"/>
          <w:rtl/>
        </w:rPr>
        <w:tab/>
        <w:t xml:space="preserve">קוראת סעיף 6. </w:t>
      </w:r>
    </w:p>
    <w:p w:rsidR="00000000" w:rsidRDefault="003F72C2">
      <w:pPr>
        <w:rPr>
          <w:rFonts w:cs="David"/>
          <w:sz w:val="24"/>
          <w:rtl/>
        </w:rPr>
      </w:pPr>
    </w:p>
    <w:p w:rsidR="00000000" w:rsidRDefault="003F72C2">
      <w:pPr>
        <w:rPr>
          <w:rFonts w:cs="David"/>
          <w:sz w:val="24"/>
          <w:rtl/>
        </w:rPr>
      </w:pPr>
      <w:r>
        <w:rPr>
          <w:rFonts w:cs="David"/>
          <w:sz w:val="24"/>
          <w:u w:val="single"/>
          <w:rtl/>
        </w:rPr>
        <w:t>רחל גרשוני:</w:t>
      </w:r>
    </w:p>
    <w:p w:rsidR="00000000" w:rsidRDefault="003F72C2">
      <w:pPr>
        <w:rPr>
          <w:rFonts w:cs="David"/>
          <w:sz w:val="24"/>
          <w:rtl/>
        </w:rPr>
      </w:pPr>
    </w:p>
    <w:p w:rsidR="00000000" w:rsidRDefault="003F72C2">
      <w:pPr>
        <w:rPr>
          <w:rFonts w:cs="David"/>
          <w:sz w:val="24"/>
          <w:rtl/>
        </w:rPr>
      </w:pPr>
      <w:r>
        <w:rPr>
          <w:rFonts w:cs="David"/>
          <w:sz w:val="24"/>
          <w:rtl/>
        </w:rPr>
        <w:tab/>
        <w:t>חשבתי שמיותר לומר "נפגע עבירה או אדם מטעמו", כי הוא בין אלה שביקשו לקיים דיון.</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הוא לא בהכרח זה שביקש. מי שביקש את הבקשה המקורית הוא יכול, הנפגע בכל מקרה רשאי. לא התכוונתי שכולם תמיד יכולים.</w:t>
      </w:r>
    </w:p>
    <w:p w:rsidR="00000000" w:rsidRDefault="003F72C2">
      <w:pPr>
        <w:rPr>
          <w:rFonts w:cs="David"/>
          <w:sz w:val="24"/>
          <w:rtl/>
        </w:rPr>
      </w:pPr>
    </w:p>
    <w:p w:rsidR="00000000" w:rsidRDefault="003F72C2">
      <w:pPr>
        <w:rPr>
          <w:rFonts w:cs="David"/>
          <w:sz w:val="24"/>
          <w:u w:val="single"/>
          <w:rtl/>
        </w:rPr>
      </w:pPr>
      <w:r>
        <w:rPr>
          <w:rFonts w:cs="David"/>
          <w:sz w:val="24"/>
          <w:u w:val="single"/>
          <w:rtl/>
        </w:rPr>
        <w:t>דוד וינר:</w:t>
      </w:r>
    </w:p>
    <w:p w:rsidR="00000000" w:rsidRDefault="003F72C2">
      <w:pPr>
        <w:rPr>
          <w:rFonts w:cs="David"/>
          <w:sz w:val="24"/>
          <w:u w:val="single"/>
          <w:rtl/>
        </w:rPr>
      </w:pPr>
    </w:p>
    <w:p w:rsidR="00000000" w:rsidRDefault="003F72C2">
      <w:pPr>
        <w:rPr>
          <w:rFonts w:cs="David"/>
          <w:sz w:val="24"/>
          <w:rtl/>
        </w:rPr>
      </w:pPr>
      <w:r>
        <w:rPr>
          <w:rFonts w:cs="David"/>
          <w:sz w:val="24"/>
          <w:rtl/>
        </w:rPr>
        <w:tab/>
        <w:t>למי התכוונת? כבר הגדרנו מי הצדדים- -</w:t>
      </w:r>
    </w:p>
    <w:p w:rsidR="00000000" w:rsidRDefault="003F72C2">
      <w:pPr>
        <w:rPr>
          <w:rFonts w:cs="David"/>
          <w:sz w:val="24"/>
          <w:rtl/>
        </w:rPr>
      </w:pPr>
    </w:p>
    <w:p w:rsidR="00000000" w:rsidRDefault="003F72C2">
      <w:pPr>
        <w:rPr>
          <w:rFonts w:cs="David"/>
          <w:sz w:val="24"/>
          <w:rtl/>
        </w:rPr>
      </w:pPr>
      <w:r>
        <w:rPr>
          <w:rFonts w:cs="David"/>
          <w:sz w:val="24"/>
          <w:u w:val="single"/>
          <w:rtl/>
        </w:rPr>
        <w:t>יצחק לוי:</w:t>
      </w:r>
    </w:p>
    <w:p w:rsidR="00000000" w:rsidRDefault="003F72C2">
      <w:pPr>
        <w:rPr>
          <w:rFonts w:cs="David"/>
          <w:sz w:val="24"/>
          <w:rtl/>
        </w:rPr>
      </w:pPr>
    </w:p>
    <w:p w:rsidR="00000000" w:rsidRDefault="003F72C2">
      <w:pPr>
        <w:rPr>
          <w:rFonts w:cs="David"/>
          <w:sz w:val="24"/>
          <w:rtl/>
        </w:rPr>
      </w:pPr>
      <w:r>
        <w:rPr>
          <w:rFonts w:cs="David"/>
          <w:sz w:val="24"/>
          <w:rtl/>
        </w:rPr>
        <w:tab/>
        <w:t xml:space="preserve"> אני מציע למחוק את המלים "אדם מטעמו". זה מסבך את העניין.</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ז</w:t>
      </w:r>
      <w:r>
        <w:rPr>
          <w:rFonts w:cs="David"/>
          <w:sz w:val="24"/>
          <w:rtl/>
        </w:rPr>
        <w:t>ה לא המצאה. בחוקים הדומים הגורמים שמגישים את הבקשות, למשל בחוק מניעת אלימות במשפחה או בחוק הטרדה מאיימת, גם יש אדם מטעמו. יש פה הנחה שהנפגע הוא הרבה פעמים במצב של חולשה שמקשה עליו, ואדם מטעמו – ברור שלא יתנו לאדם שלא קשור, שלא בקרבה הגדולה לנפגע להיות האדם</w:t>
      </w:r>
      <w:r>
        <w:rPr>
          <w:rFonts w:cs="David"/>
          <w:sz w:val="24"/>
          <w:rtl/>
        </w:rPr>
        <w:t xml:space="preserve"> מטעמו. </w:t>
      </w:r>
    </w:p>
    <w:p w:rsidR="00000000" w:rsidRDefault="003F72C2">
      <w:pPr>
        <w:rPr>
          <w:rFonts w:cs="David"/>
          <w:sz w:val="24"/>
          <w:rtl/>
        </w:rPr>
      </w:pPr>
    </w:p>
    <w:p w:rsidR="00000000" w:rsidRDefault="003F72C2">
      <w:pPr>
        <w:rPr>
          <w:rFonts w:cs="David"/>
          <w:sz w:val="24"/>
          <w:rtl/>
        </w:rPr>
      </w:pPr>
      <w:r>
        <w:rPr>
          <w:rFonts w:cs="David"/>
          <w:sz w:val="24"/>
          <w:u w:val="single"/>
          <w:rtl/>
        </w:rPr>
        <w:t>דפנה בינוולד:</w:t>
      </w:r>
    </w:p>
    <w:p w:rsidR="00000000" w:rsidRDefault="003F72C2">
      <w:pPr>
        <w:rPr>
          <w:rFonts w:cs="David"/>
          <w:sz w:val="24"/>
          <w:rtl/>
        </w:rPr>
      </w:pPr>
    </w:p>
    <w:p w:rsidR="00000000" w:rsidRDefault="003F72C2">
      <w:pPr>
        <w:rPr>
          <w:rFonts w:cs="David"/>
          <w:sz w:val="24"/>
          <w:rtl/>
        </w:rPr>
      </w:pPr>
      <w:r>
        <w:rPr>
          <w:rFonts w:cs="David"/>
          <w:sz w:val="24"/>
          <w:rtl/>
        </w:rPr>
        <w:tab/>
        <w:t>אל תיקחי בחשבון ששום דבר הוא ברור. ברגע שאמרת "אדם מטעמו", יקום אדם ויאמר: אני מטעמו. החוק הזה הוא כל כך מיוחד ואחר מחוקים אחרים, שיש להיזהר במלים.</w:t>
      </w:r>
    </w:p>
    <w:p w:rsidR="00000000" w:rsidRDefault="003F72C2">
      <w:pPr>
        <w:rPr>
          <w:rFonts w:cs="David"/>
          <w:sz w:val="24"/>
          <w:rtl/>
        </w:rPr>
      </w:pPr>
    </w:p>
    <w:p w:rsidR="00000000" w:rsidRDefault="003F72C2">
      <w:pPr>
        <w:rPr>
          <w:rFonts w:cs="David"/>
          <w:sz w:val="24"/>
          <w:rtl/>
        </w:rPr>
      </w:pPr>
      <w:r>
        <w:rPr>
          <w:rFonts w:cs="David"/>
          <w:sz w:val="24"/>
          <w:u w:val="single"/>
          <w:rtl/>
        </w:rPr>
        <w:t>אליעזר כהן:</w:t>
      </w:r>
    </w:p>
    <w:p w:rsidR="00000000" w:rsidRDefault="003F72C2">
      <w:pPr>
        <w:rPr>
          <w:rFonts w:cs="David"/>
          <w:sz w:val="24"/>
          <w:rtl/>
        </w:rPr>
      </w:pPr>
    </w:p>
    <w:p w:rsidR="00000000" w:rsidRDefault="003F72C2">
      <w:pPr>
        <w:rPr>
          <w:rFonts w:cs="David"/>
          <w:sz w:val="24"/>
          <w:rtl/>
        </w:rPr>
      </w:pPr>
      <w:r>
        <w:rPr>
          <w:rFonts w:cs="David"/>
          <w:sz w:val="24"/>
          <w:rtl/>
        </w:rPr>
        <w:tab/>
        <w:t>גילה אמרה שזה חוק מיוחד, כמה שזה שונה מהחוק המקורי שלה.</w:t>
      </w:r>
    </w:p>
    <w:p w:rsidR="00000000" w:rsidRDefault="003F72C2">
      <w:pPr>
        <w:rPr>
          <w:rFonts w:cs="David"/>
          <w:sz w:val="24"/>
          <w:rtl/>
        </w:rPr>
      </w:pPr>
    </w:p>
    <w:p w:rsidR="00000000" w:rsidRDefault="003F72C2">
      <w:pPr>
        <w:rPr>
          <w:rFonts w:cs="David"/>
          <w:sz w:val="24"/>
          <w:rtl/>
        </w:rPr>
      </w:pPr>
      <w:r>
        <w:rPr>
          <w:rFonts w:cs="David"/>
          <w:sz w:val="24"/>
          <w:u w:val="single"/>
          <w:rtl/>
        </w:rPr>
        <w:t>דפנה בינוו</w:t>
      </w:r>
      <w:r>
        <w:rPr>
          <w:rFonts w:cs="David"/>
          <w:sz w:val="24"/>
          <w:u w:val="single"/>
          <w:rtl/>
        </w:rPr>
        <w:t>לד:</w:t>
      </w:r>
    </w:p>
    <w:p w:rsidR="00000000" w:rsidRDefault="003F72C2">
      <w:pPr>
        <w:rPr>
          <w:rFonts w:cs="David"/>
          <w:sz w:val="24"/>
          <w:rtl/>
        </w:rPr>
      </w:pPr>
    </w:p>
    <w:p w:rsidR="00000000" w:rsidRDefault="003F72C2">
      <w:pPr>
        <w:rPr>
          <w:rFonts w:cs="David"/>
          <w:sz w:val="24"/>
          <w:rtl/>
        </w:rPr>
      </w:pPr>
      <w:r>
        <w:rPr>
          <w:rFonts w:cs="David"/>
          <w:sz w:val="24"/>
          <w:rtl/>
        </w:rPr>
        <w:tab/>
        <w:t>החוק באמת בעייתי ביותר, תקדימי לחלוטין.</w:t>
      </w:r>
    </w:p>
    <w:p w:rsidR="00000000" w:rsidRDefault="003F72C2">
      <w:pPr>
        <w:rPr>
          <w:rFonts w:cs="David"/>
          <w:sz w:val="24"/>
          <w:rtl/>
        </w:rPr>
      </w:pPr>
    </w:p>
    <w:p w:rsidR="00000000" w:rsidRDefault="003F72C2">
      <w:pPr>
        <w:rPr>
          <w:rFonts w:cs="David"/>
          <w:sz w:val="24"/>
          <w:u w:val="single"/>
          <w:rtl/>
        </w:rPr>
      </w:pPr>
      <w:r>
        <w:rPr>
          <w:rFonts w:cs="David"/>
          <w:sz w:val="24"/>
          <w:u w:val="single"/>
          <w:rtl/>
        </w:rPr>
        <w:t>רחל גרשוני:</w:t>
      </w:r>
    </w:p>
    <w:p w:rsidR="00000000" w:rsidRDefault="003F72C2">
      <w:pPr>
        <w:rPr>
          <w:rFonts w:cs="David"/>
          <w:sz w:val="24"/>
          <w:u w:val="single"/>
          <w:rtl/>
        </w:rPr>
      </w:pPr>
    </w:p>
    <w:p w:rsidR="00000000" w:rsidRDefault="003F72C2">
      <w:pPr>
        <w:rPr>
          <w:rFonts w:cs="David"/>
          <w:sz w:val="24"/>
          <w:rtl/>
        </w:rPr>
      </w:pPr>
      <w:r>
        <w:rPr>
          <w:rFonts w:cs="David"/>
          <w:sz w:val="24"/>
          <w:rtl/>
        </w:rPr>
        <w:tab/>
        <w:t>אין מניעה לפרט, אבל יש בחוק הטרדה מאיימת – כתוב "אדם מטעמו".</w:t>
      </w:r>
      <w:r>
        <w:rPr>
          <w:rFonts w:cs="David"/>
          <w:sz w:val="24"/>
          <w:rtl/>
        </w:rPr>
        <w:tab/>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וגם במניעת אלימות במשפחה, ששניהם זה מודלים דומים מבחינת הגורמים שמגישים את הבקשה.</w:t>
      </w:r>
    </w:p>
    <w:p w:rsidR="00000000" w:rsidRDefault="003F72C2">
      <w:pPr>
        <w:rPr>
          <w:rFonts w:cs="David"/>
          <w:sz w:val="24"/>
          <w:rtl/>
        </w:rPr>
      </w:pPr>
    </w:p>
    <w:p w:rsidR="00000000" w:rsidRDefault="003F72C2">
      <w:pPr>
        <w:rPr>
          <w:rFonts w:cs="David"/>
          <w:sz w:val="24"/>
          <w:rtl/>
        </w:rPr>
      </w:pPr>
      <w:r>
        <w:rPr>
          <w:rFonts w:cs="David"/>
          <w:sz w:val="24"/>
          <w:u w:val="single"/>
          <w:rtl/>
        </w:rPr>
        <w:t>יצחק לוי:</w:t>
      </w:r>
    </w:p>
    <w:p w:rsidR="00000000" w:rsidRDefault="003F72C2">
      <w:pPr>
        <w:rPr>
          <w:rFonts w:cs="David"/>
          <w:sz w:val="24"/>
          <w:rtl/>
        </w:rPr>
      </w:pPr>
    </w:p>
    <w:p w:rsidR="00000000" w:rsidRDefault="003F72C2">
      <w:pPr>
        <w:rPr>
          <w:rFonts w:cs="David"/>
          <w:sz w:val="24"/>
          <w:rtl/>
        </w:rPr>
      </w:pPr>
      <w:r>
        <w:rPr>
          <w:rFonts w:cs="David"/>
          <w:sz w:val="24"/>
          <w:rtl/>
        </w:rPr>
        <w:tab/>
        <w:t xml:space="preserve"> סעיף 6 (ב) הוא יוצא דופן.</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 xml:space="preserve">בית משפט החליט לא להטיל מגבלות או החליט לבטל מגבלות, והנפגע רוצה עיון חוזר בהחלטה. </w:t>
      </w:r>
    </w:p>
    <w:p w:rsidR="00000000" w:rsidRDefault="003F72C2">
      <w:pPr>
        <w:rPr>
          <w:rFonts w:cs="David"/>
          <w:sz w:val="24"/>
          <w:rtl/>
        </w:rPr>
      </w:pP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 xml:space="preserve"> מוכרח להיות אדם מטעמו.</w:t>
      </w:r>
    </w:p>
    <w:p w:rsidR="00000000" w:rsidRDefault="003F72C2">
      <w:pPr>
        <w:rPr>
          <w:rFonts w:cs="David"/>
          <w:sz w:val="24"/>
          <w:rtl/>
        </w:rPr>
      </w:pPr>
    </w:p>
    <w:p w:rsidR="00000000" w:rsidRDefault="003F72C2">
      <w:pPr>
        <w:rPr>
          <w:rFonts w:cs="David"/>
          <w:sz w:val="24"/>
          <w:rtl/>
        </w:rPr>
      </w:pPr>
      <w:r>
        <w:rPr>
          <w:rFonts w:cs="David"/>
          <w:sz w:val="24"/>
          <w:u w:val="single"/>
          <w:rtl/>
        </w:rPr>
        <w:t>אליעזר כהן:</w:t>
      </w:r>
    </w:p>
    <w:p w:rsidR="00000000" w:rsidRDefault="003F72C2">
      <w:pPr>
        <w:rPr>
          <w:rFonts w:cs="David"/>
          <w:sz w:val="24"/>
          <w:rtl/>
        </w:rPr>
      </w:pPr>
    </w:p>
    <w:p w:rsidR="00000000" w:rsidRDefault="003F72C2">
      <w:pPr>
        <w:rPr>
          <w:rFonts w:cs="David"/>
          <w:sz w:val="24"/>
          <w:rtl/>
        </w:rPr>
      </w:pPr>
      <w:r>
        <w:rPr>
          <w:rFonts w:cs="David"/>
          <w:sz w:val="24"/>
          <w:rtl/>
        </w:rPr>
        <w:tab/>
        <w:t>אך מי? כל אחד? עיתונאי שיגיד שהוא מטעמו - זה טוב?</w:t>
      </w:r>
    </w:p>
    <w:p w:rsidR="00000000" w:rsidRDefault="003F72C2">
      <w:pPr>
        <w:rPr>
          <w:rFonts w:cs="David"/>
          <w:sz w:val="24"/>
          <w:rtl/>
        </w:rPr>
      </w:pP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לא, צריך לתת לו אישור.</w:t>
      </w:r>
    </w:p>
    <w:p w:rsidR="00000000" w:rsidRDefault="003F72C2">
      <w:pPr>
        <w:rPr>
          <w:rFonts w:cs="David"/>
          <w:sz w:val="24"/>
          <w:rtl/>
        </w:rPr>
      </w:pPr>
    </w:p>
    <w:p w:rsidR="00000000" w:rsidRDefault="003F72C2">
      <w:pPr>
        <w:rPr>
          <w:rFonts w:cs="David"/>
          <w:sz w:val="24"/>
          <w:rtl/>
        </w:rPr>
      </w:pPr>
      <w:r>
        <w:rPr>
          <w:rFonts w:cs="David"/>
          <w:sz w:val="24"/>
          <w:u w:val="single"/>
          <w:rtl/>
        </w:rPr>
        <w:t>נאוה</w:t>
      </w:r>
      <w:r>
        <w:rPr>
          <w:rFonts w:cs="David"/>
          <w:sz w:val="24"/>
          <w:u w:val="single"/>
          <w:rtl/>
        </w:rPr>
        <w:t xml:space="preserve">  דהן:</w:t>
      </w:r>
    </w:p>
    <w:p w:rsidR="00000000" w:rsidRDefault="003F72C2">
      <w:pPr>
        <w:rPr>
          <w:rFonts w:cs="David"/>
          <w:sz w:val="24"/>
          <w:rtl/>
        </w:rPr>
      </w:pPr>
    </w:p>
    <w:p w:rsidR="00000000" w:rsidRDefault="003F72C2">
      <w:pPr>
        <w:rPr>
          <w:rFonts w:cs="David"/>
          <w:sz w:val="24"/>
          <w:rtl/>
        </w:rPr>
      </w:pPr>
      <w:r>
        <w:rPr>
          <w:rFonts w:cs="David"/>
          <w:sz w:val="24"/>
          <w:rtl/>
        </w:rPr>
        <w:tab/>
        <w:t>אז בא כוחו.</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אני חושבת להשאיר את זה, בפרט שזה לא חידוש.</w:t>
      </w:r>
    </w:p>
    <w:p w:rsidR="00000000" w:rsidRDefault="003F72C2">
      <w:pPr>
        <w:rPr>
          <w:rFonts w:cs="David"/>
          <w:sz w:val="24"/>
          <w:rtl/>
        </w:rPr>
      </w:pPr>
    </w:p>
    <w:p w:rsidR="00000000" w:rsidRDefault="003F72C2">
      <w:pPr>
        <w:rPr>
          <w:rFonts w:cs="David"/>
          <w:sz w:val="24"/>
          <w:rtl/>
        </w:rPr>
      </w:pPr>
      <w:r>
        <w:rPr>
          <w:rFonts w:cs="David"/>
          <w:sz w:val="24"/>
          <w:u w:val="single"/>
          <w:rtl/>
        </w:rPr>
        <w:t>יצחק לוי:</w:t>
      </w:r>
    </w:p>
    <w:p w:rsidR="00000000" w:rsidRDefault="003F72C2">
      <w:pPr>
        <w:rPr>
          <w:rFonts w:cs="David"/>
          <w:sz w:val="24"/>
          <w:rtl/>
        </w:rPr>
      </w:pPr>
    </w:p>
    <w:p w:rsidR="00000000" w:rsidRDefault="003F72C2">
      <w:pPr>
        <w:rPr>
          <w:rFonts w:cs="David"/>
          <w:sz w:val="24"/>
          <w:rtl/>
        </w:rPr>
      </w:pPr>
      <w:r>
        <w:rPr>
          <w:rFonts w:cs="David"/>
          <w:sz w:val="24"/>
          <w:rtl/>
        </w:rPr>
        <w:tab/>
        <w:t>"בא כוחו" יכול להיות כל אחד. יבוא נציג אחד הארגונים- -</w:t>
      </w:r>
    </w:p>
    <w:p w:rsidR="00000000" w:rsidRDefault="003F72C2">
      <w:pPr>
        <w:rPr>
          <w:rFonts w:cs="David"/>
          <w:sz w:val="24"/>
          <w:rtl/>
        </w:rPr>
      </w:pP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 xml:space="preserve"> אבל זה לא מטעמו. הוא חייב לתת לו הרשאה. אנו רוצים מצד אחד שזה לא חייב להיות בא כוח במובן ש</w:t>
      </w:r>
      <w:r>
        <w:rPr>
          <w:rFonts w:cs="David"/>
          <w:sz w:val="24"/>
          <w:rtl/>
        </w:rPr>
        <w:t>ל עורך דין עם ייפוי כוח. מצד שני אנו לא רוצים שכל אדם יכול להתייצב בבית המשפט ולהגיד: אני מדבר מטעמו. צריך שיהיה אישור בכתב, משהו. זה מה שצריך להיות.</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אני מסכימה, רק נראה לי מוזר שפה כן נכתוב את זה, ובחוקים- -</w:t>
      </w:r>
    </w:p>
    <w:p w:rsidR="00000000" w:rsidRDefault="003F72C2">
      <w:pPr>
        <w:rPr>
          <w:rFonts w:cs="David"/>
          <w:sz w:val="24"/>
          <w:rtl/>
        </w:rPr>
      </w:pP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 xml:space="preserve"> אני יודע מה א</w:t>
      </w:r>
      <w:r>
        <w:rPr>
          <w:rFonts w:cs="David"/>
          <w:sz w:val="24"/>
          <w:rtl/>
        </w:rPr>
        <w:t xml:space="preserve">ני רוצה שזה יהיה - שמספיק שנפגע עבירה כתב מכתב שאומר, למשל: אני מייפה את כוחה של בת דודתי שהיא תפעל בשמי ותטפל בעניין, או שארגון זה וזה יטפל לי בעניין.  </w:t>
      </w:r>
    </w:p>
    <w:p w:rsidR="00000000" w:rsidRDefault="003F72C2">
      <w:pPr>
        <w:rPr>
          <w:rFonts w:cs="David"/>
          <w:sz w:val="24"/>
          <w:rtl/>
        </w:rPr>
      </w:pPr>
    </w:p>
    <w:p w:rsidR="00000000" w:rsidRDefault="003F72C2">
      <w:pPr>
        <w:rPr>
          <w:rFonts w:cs="David"/>
          <w:sz w:val="24"/>
          <w:rtl/>
        </w:rPr>
      </w:pPr>
      <w:r>
        <w:rPr>
          <w:rFonts w:cs="David"/>
          <w:sz w:val="24"/>
          <w:u w:val="single"/>
          <w:rtl/>
        </w:rPr>
        <w:t>אליעזר כהן:</w:t>
      </w:r>
    </w:p>
    <w:p w:rsidR="00000000" w:rsidRDefault="003F72C2">
      <w:pPr>
        <w:rPr>
          <w:rFonts w:cs="David"/>
          <w:sz w:val="24"/>
          <w:rtl/>
        </w:rPr>
      </w:pPr>
    </w:p>
    <w:p w:rsidR="00000000" w:rsidRDefault="003F72C2">
      <w:pPr>
        <w:rPr>
          <w:rFonts w:cs="David"/>
          <w:sz w:val="24"/>
          <w:rtl/>
        </w:rPr>
      </w:pPr>
      <w:r>
        <w:rPr>
          <w:rFonts w:cs="David"/>
          <w:sz w:val="24"/>
          <w:rtl/>
        </w:rPr>
        <w:tab/>
        <w:t>אז המלים: והנפגע נתן הסכמתו לכך.</w:t>
      </w:r>
    </w:p>
    <w:p w:rsidR="00000000" w:rsidRDefault="003F72C2">
      <w:pPr>
        <w:rPr>
          <w:rFonts w:cs="David"/>
          <w:sz w:val="24"/>
          <w:rtl/>
        </w:rPr>
      </w:pP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 xml:space="preserve"> אגב, גם כחבר כנסת בכל פעם שאנשים</w:t>
      </w:r>
      <w:r>
        <w:rPr>
          <w:rFonts w:cs="David"/>
          <w:sz w:val="24"/>
          <w:rtl/>
        </w:rPr>
        <w:t xml:space="preserve"> פונים אליי, אני אומר: תכתבו לי מכתב שאתם מבקשים שאטפל. הרי בשם מי אני פונה? הרבה פעמים אני אומר: תנו לי מכתב, שאתם מרשים לי לטפל בעניינכם. </w:t>
      </w:r>
    </w:p>
    <w:p w:rsidR="00000000" w:rsidRDefault="003F72C2">
      <w:pPr>
        <w:rPr>
          <w:rFonts w:cs="David"/>
          <w:sz w:val="24"/>
          <w:rtl/>
        </w:rPr>
      </w:pPr>
    </w:p>
    <w:p w:rsidR="00000000" w:rsidRDefault="003F72C2">
      <w:pPr>
        <w:rPr>
          <w:rFonts w:cs="David"/>
          <w:sz w:val="24"/>
          <w:rtl/>
        </w:rPr>
      </w:pPr>
      <w:r>
        <w:rPr>
          <w:rFonts w:cs="David"/>
          <w:sz w:val="24"/>
          <w:rtl/>
        </w:rPr>
        <w:tab/>
        <w:t xml:space="preserve">יש שתי אפשרויות. אם תשכנעו אותי שהביטוי "מטעמו" מאפשר לכל אדם שהוא נתן לו אישור בכתב, אני אשאיר את המלה "מטעמו". </w:t>
      </w:r>
      <w:r>
        <w:rPr>
          <w:rFonts w:cs="David"/>
          <w:sz w:val="24"/>
          <w:rtl/>
        </w:rPr>
        <w:t>אם זה לא טוב, אנו נכתוב בחוק במפורש בהגדרה שהוא קיבל ממנו הרשאה בכתב.</w:t>
      </w:r>
    </w:p>
    <w:p w:rsidR="00000000" w:rsidRDefault="003F72C2">
      <w:pPr>
        <w:rPr>
          <w:rFonts w:cs="David"/>
          <w:sz w:val="24"/>
          <w:rtl/>
        </w:rPr>
      </w:pPr>
    </w:p>
    <w:p w:rsidR="00000000" w:rsidRDefault="003F72C2">
      <w:pPr>
        <w:rPr>
          <w:rFonts w:cs="David"/>
          <w:sz w:val="24"/>
          <w:rtl/>
        </w:rPr>
      </w:pPr>
      <w:r>
        <w:rPr>
          <w:rFonts w:cs="David"/>
          <w:sz w:val="24"/>
          <w:u w:val="single"/>
          <w:rtl/>
        </w:rPr>
        <w:t>עדי קומרינר-פלד:</w:t>
      </w:r>
    </w:p>
    <w:p w:rsidR="00000000" w:rsidRDefault="003F72C2">
      <w:pPr>
        <w:rPr>
          <w:rFonts w:cs="David"/>
          <w:sz w:val="24"/>
          <w:rtl/>
        </w:rPr>
      </w:pPr>
    </w:p>
    <w:p w:rsidR="00000000" w:rsidRDefault="003F72C2">
      <w:pPr>
        <w:rPr>
          <w:rFonts w:cs="David"/>
          <w:sz w:val="24"/>
          <w:rtl/>
        </w:rPr>
      </w:pPr>
      <w:r>
        <w:rPr>
          <w:rFonts w:cs="David"/>
          <w:sz w:val="24"/>
          <w:rtl/>
        </w:rPr>
        <w:tab/>
        <w:t>מי שמגיע אלינו חייב להיות הנפגע עצמו, ואז כשאנו מייצגים אותו זה לא על ידי מישהו מטעמו.</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נכתוב בהגדרות: נפגע עבירה לרבות אדם מטעמו שקיבל הרשאה.</w:t>
      </w:r>
      <w:r>
        <w:rPr>
          <w:rFonts w:cs="David"/>
          <w:sz w:val="24"/>
          <w:rtl/>
        </w:rPr>
        <w:tab/>
      </w:r>
    </w:p>
    <w:p w:rsidR="00000000" w:rsidRDefault="003F72C2">
      <w:pPr>
        <w:rPr>
          <w:rFonts w:cs="David"/>
          <w:sz w:val="24"/>
          <w:u w:val="single"/>
          <w:rtl/>
        </w:rPr>
      </w:pPr>
    </w:p>
    <w:p w:rsidR="00000000" w:rsidRDefault="003F72C2">
      <w:pPr>
        <w:rPr>
          <w:rFonts w:cs="David"/>
          <w:sz w:val="24"/>
          <w:rtl/>
        </w:rPr>
      </w:pPr>
      <w:r>
        <w:rPr>
          <w:rFonts w:cs="David"/>
          <w:sz w:val="24"/>
          <w:u w:val="single"/>
          <w:rtl/>
        </w:rPr>
        <w:t>לילה מרגלי</w:t>
      </w:r>
      <w:r>
        <w:rPr>
          <w:rFonts w:cs="David"/>
          <w:sz w:val="24"/>
          <w:u w:val="single"/>
          <w:rtl/>
        </w:rPr>
        <w:t>ת:</w:t>
      </w:r>
    </w:p>
    <w:p w:rsidR="00000000" w:rsidRDefault="003F72C2">
      <w:pPr>
        <w:rPr>
          <w:rFonts w:cs="David"/>
          <w:sz w:val="24"/>
          <w:rtl/>
        </w:rPr>
      </w:pPr>
    </w:p>
    <w:p w:rsidR="00000000" w:rsidRDefault="003F72C2">
      <w:pPr>
        <w:rPr>
          <w:rFonts w:cs="David"/>
          <w:sz w:val="24"/>
          <w:rtl/>
        </w:rPr>
      </w:pPr>
      <w:r>
        <w:rPr>
          <w:rFonts w:cs="David"/>
          <w:sz w:val="24"/>
          <w:rtl/>
        </w:rPr>
        <w:tab/>
        <w:t>אם הבנתי נכון את הנוסח היום, אם הנפגע מגיש בקשה והיא נדחית, כביכול אפשר להגיש עיון חוזר ללא מגבלת זמן. השאלה היא אם לא צריכה להיות מגבלת זמן- -</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זה דבר שבדרך כלל לא כותבים אותו. יש פה גם עניין של שיקול דעת.</w:t>
      </w:r>
    </w:p>
    <w:p w:rsidR="00000000" w:rsidRDefault="003F72C2">
      <w:pPr>
        <w:rPr>
          <w:rFonts w:cs="David"/>
          <w:sz w:val="24"/>
          <w:rtl/>
        </w:rPr>
      </w:pPr>
    </w:p>
    <w:p w:rsidR="00000000" w:rsidRDefault="003F72C2">
      <w:pPr>
        <w:rPr>
          <w:rFonts w:cs="David"/>
          <w:sz w:val="24"/>
          <w:rtl/>
        </w:rPr>
      </w:pPr>
      <w:r>
        <w:rPr>
          <w:rFonts w:cs="David"/>
          <w:sz w:val="24"/>
          <w:u w:val="single"/>
          <w:rtl/>
        </w:rPr>
        <w:t>נאוה  דהן:</w:t>
      </w:r>
    </w:p>
    <w:p w:rsidR="00000000" w:rsidRDefault="003F72C2">
      <w:pPr>
        <w:rPr>
          <w:rFonts w:cs="David"/>
          <w:sz w:val="24"/>
          <w:rtl/>
        </w:rPr>
      </w:pPr>
    </w:p>
    <w:p w:rsidR="00000000" w:rsidRDefault="003F72C2">
      <w:pPr>
        <w:rPr>
          <w:rFonts w:cs="David"/>
          <w:sz w:val="24"/>
          <w:rtl/>
        </w:rPr>
      </w:pPr>
      <w:r>
        <w:rPr>
          <w:rFonts w:cs="David"/>
          <w:sz w:val="24"/>
          <w:rtl/>
        </w:rPr>
        <w:tab/>
        <w:t>אני לא רוצה לומר את</w:t>
      </w:r>
      <w:r>
        <w:rPr>
          <w:rFonts w:cs="David"/>
          <w:sz w:val="24"/>
          <w:rtl/>
        </w:rPr>
        <w:t xml:space="preserve"> זה בסוף; יש מקום להוריד חלק מהעבירות כמו מעשים מגונים- -</w:t>
      </w:r>
    </w:p>
    <w:p w:rsidR="00000000" w:rsidRDefault="003F72C2">
      <w:pPr>
        <w:rPr>
          <w:rFonts w:cs="David"/>
          <w:sz w:val="24"/>
          <w:rtl/>
        </w:rPr>
      </w:pPr>
    </w:p>
    <w:p w:rsidR="00000000" w:rsidRDefault="003F72C2">
      <w:pPr>
        <w:rPr>
          <w:rFonts w:cs="David"/>
          <w:sz w:val="24"/>
          <w:u w:val="single"/>
          <w:rtl/>
        </w:rPr>
      </w:pPr>
      <w:r>
        <w:rPr>
          <w:rFonts w:cs="David"/>
          <w:sz w:val="24"/>
          <w:u w:val="single"/>
          <w:rtl/>
        </w:rPr>
        <w:br w:type="page"/>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 xml:space="preserve"> בסוף. </w:t>
      </w:r>
    </w:p>
    <w:p w:rsidR="00000000" w:rsidRDefault="003F72C2">
      <w:pPr>
        <w:rPr>
          <w:rFonts w:cs="David"/>
          <w:sz w:val="24"/>
          <w:rtl/>
        </w:rPr>
      </w:pPr>
    </w:p>
    <w:p w:rsidR="00000000" w:rsidRDefault="003F72C2">
      <w:pPr>
        <w:rPr>
          <w:rFonts w:cs="David"/>
          <w:sz w:val="24"/>
          <w:rtl/>
        </w:rPr>
      </w:pPr>
      <w:r>
        <w:rPr>
          <w:rFonts w:cs="David"/>
          <w:sz w:val="24"/>
          <w:u w:val="single"/>
          <w:rtl/>
        </w:rPr>
        <w:t>נאוה  דהן:</w:t>
      </w:r>
    </w:p>
    <w:p w:rsidR="00000000" w:rsidRDefault="003F72C2">
      <w:pPr>
        <w:rPr>
          <w:rFonts w:cs="David"/>
          <w:sz w:val="24"/>
          <w:rtl/>
        </w:rPr>
      </w:pPr>
    </w:p>
    <w:p w:rsidR="00000000" w:rsidRDefault="003F72C2">
      <w:pPr>
        <w:rPr>
          <w:rFonts w:cs="David"/>
          <w:sz w:val="24"/>
          <w:rtl/>
        </w:rPr>
      </w:pPr>
      <w:r>
        <w:rPr>
          <w:rFonts w:cs="David"/>
          <w:sz w:val="24"/>
          <w:rtl/>
        </w:rPr>
        <w:tab/>
        <w:t>יש מעשה מגונה בפומבי, יש בעילה אסורה בהסכמה, ששני בני הזוג מסכימים.</w:t>
      </w:r>
    </w:p>
    <w:p w:rsidR="00000000" w:rsidRDefault="003F72C2">
      <w:pPr>
        <w:rPr>
          <w:rFonts w:cs="David"/>
          <w:sz w:val="24"/>
          <w:rtl/>
        </w:rPr>
      </w:pP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 xml:space="preserve"> אנו לא בסעיף הזה, וזה ויכוח בשולים.</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קוראת 6 (ג).</w:t>
      </w:r>
    </w:p>
    <w:p w:rsidR="00000000" w:rsidRDefault="003F72C2">
      <w:pPr>
        <w:rPr>
          <w:rFonts w:cs="David"/>
          <w:sz w:val="24"/>
          <w:rtl/>
        </w:rPr>
      </w:pPr>
    </w:p>
    <w:p w:rsidR="00000000" w:rsidRDefault="003F72C2">
      <w:pPr>
        <w:rPr>
          <w:rFonts w:cs="David"/>
          <w:sz w:val="24"/>
          <w:rtl/>
        </w:rPr>
      </w:pPr>
      <w:r>
        <w:rPr>
          <w:rFonts w:cs="David"/>
          <w:sz w:val="24"/>
          <w:u w:val="single"/>
          <w:rtl/>
        </w:rPr>
        <w:t>רח</w:t>
      </w:r>
      <w:r>
        <w:rPr>
          <w:rFonts w:cs="David"/>
          <w:sz w:val="24"/>
          <w:u w:val="single"/>
          <w:rtl/>
        </w:rPr>
        <w:t>ל גרשוני:</w:t>
      </w:r>
    </w:p>
    <w:p w:rsidR="00000000" w:rsidRDefault="003F72C2">
      <w:pPr>
        <w:rPr>
          <w:rFonts w:cs="David"/>
          <w:sz w:val="24"/>
          <w:rtl/>
        </w:rPr>
      </w:pPr>
    </w:p>
    <w:p w:rsidR="00000000" w:rsidRDefault="003F72C2">
      <w:pPr>
        <w:rPr>
          <w:rFonts w:cs="David"/>
          <w:sz w:val="24"/>
          <w:rtl/>
        </w:rPr>
      </w:pPr>
      <w:r>
        <w:rPr>
          <w:rFonts w:cs="David"/>
          <w:sz w:val="24"/>
          <w:rtl/>
        </w:rPr>
        <w:tab/>
        <w:t>"מעמד פסק הדין" – המינוח היה מייד לאחר גזר הדין. אני יודעת שפסק הדין כולל את גזר הדין, אך לא הייתי רוצה להכניס את המינוח הזה פה, כי אני לא רוצה שום שייכות לפסק הדין. אני רוצה שכל הזמן יהיה ברור שזה לא חלק מההליך הפלילי. והוא הדין גם בסעיף (ד).</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בסדר.</w:t>
      </w:r>
    </w:p>
    <w:p w:rsidR="00000000" w:rsidRDefault="003F72C2">
      <w:pPr>
        <w:rPr>
          <w:rFonts w:cs="David"/>
          <w:sz w:val="24"/>
          <w:rtl/>
        </w:rPr>
      </w:pPr>
    </w:p>
    <w:p w:rsidR="00000000" w:rsidRDefault="003F72C2">
      <w:pPr>
        <w:rPr>
          <w:rFonts w:cs="David"/>
          <w:sz w:val="24"/>
          <w:rtl/>
        </w:rPr>
      </w:pPr>
      <w:r>
        <w:rPr>
          <w:rFonts w:cs="David"/>
          <w:sz w:val="24"/>
          <w:rtl/>
        </w:rPr>
        <w:tab/>
        <w:t>קוראת 6 (ד).</w:t>
      </w:r>
    </w:p>
    <w:p w:rsidR="00000000" w:rsidRDefault="003F72C2">
      <w:pPr>
        <w:rPr>
          <w:rFonts w:cs="David"/>
          <w:sz w:val="24"/>
          <w:rtl/>
        </w:rPr>
      </w:pPr>
    </w:p>
    <w:p w:rsidR="00000000" w:rsidRDefault="003F72C2">
      <w:pPr>
        <w:rPr>
          <w:rFonts w:cs="David"/>
          <w:sz w:val="24"/>
          <w:rtl/>
        </w:rPr>
      </w:pPr>
      <w:r>
        <w:rPr>
          <w:rFonts w:cs="David"/>
          <w:sz w:val="24"/>
          <w:rtl/>
        </w:rPr>
        <w:tab/>
        <w:t>החוק המקורי החיל הוראות של חוק סדר הדין הפלילי, אכיפה, מעצרים, לעניין זכות ערר שנייה. בהתחלה הוספנו בהתאם לזה את הסעיף הספציפי שמדבר על זכות ערר שנייה. במחשבה שנייה ואחרי הערות שקיבלנו אני לא בטוחה שנכון דווקא בהליך הזה ל</w:t>
      </w:r>
      <w:r>
        <w:rPr>
          <w:rFonts w:cs="David"/>
          <w:sz w:val="24"/>
          <w:rtl/>
        </w:rPr>
        <w:t>אפשר זכות ערר שנייה. יש מישהו שמתנגד לזה? אין ערר שני בזכות. ערר שני זה ברשות. אז את זה אני פשוט לא צריכה לכתוב.</w:t>
      </w:r>
    </w:p>
    <w:p w:rsidR="00000000" w:rsidRDefault="003F72C2">
      <w:pPr>
        <w:rPr>
          <w:rFonts w:cs="David"/>
          <w:sz w:val="24"/>
          <w:rtl/>
        </w:rPr>
      </w:pPr>
    </w:p>
    <w:p w:rsidR="00000000" w:rsidRDefault="003F72C2">
      <w:pPr>
        <w:rPr>
          <w:rFonts w:cs="David"/>
          <w:sz w:val="24"/>
          <w:rtl/>
        </w:rPr>
      </w:pPr>
      <w:r>
        <w:rPr>
          <w:rFonts w:cs="David"/>
          <w:sz w:val="24"/>
          <w:rtl/>
        </w:rPr>
        <w:tab/>
        <w:t>קוראת סעיפים 6 (ה), 7. זה סעיף שמבוסס על סעיף שקיים היום בחוק הסנגוריה הציבורית.</w:t>
      </w:r>
    </w:p>
    <w:p w:rsidR="00000000" w:rsidRDefault="003F72C2">
      <w:pPr>
        <w:rPr>
          <w:rFonts w:cs="David"/>
          <w:sz w:val="24"/>
          <w:rtl/>
        </w:rPr>
      </w:pPr>
    </w:p>
    <w:p w:rsidR="00000000" w:rsidRDefault="003F72C2">
      <w:pPr>
        <w:rPr>
          <w:rFonts w:cs="David"/>
          <w:sz w:val="24"/>
          <w:rtl/>
        </w:rPr>
      </w:pPr>
      <w:r>
        <w:rPr>
          <w:rFonts w:cs="David"/>
          <w:sz w:val="24"/>
          <w:u w:val="single"/>
          <w:rtl/>
        </w:rPr>
        <w:t>רחל גרשוני:</w:t>
      </w:r>
    </w:p>
    <w:p w:rsidR="00000000" w:rsidRDefault="003F72C2">
      <w:pPr>
        <w:rPr>
          <w:rFonts w:cs="David"/>
          <w:sz w:val="24"/>
          <w:rtl/>
        </w:rPr>
      </w:pPr>
    </w:p>
    <w:p w:rsidR="00000000" w:rsidRDefault="003F72C2">
      <w:pPr>
        <w:rPr>
          <w:rFonts w:cs="David"/>
          <w:sz w:val="24"/>
          <w:rtl/>
        </w:rPr>
      </w:pPr>
      <w:r>
        <w:rPr>
          <w:rFonts w:cs="David"/>
          <w:sz w:val="24"/>
          <w:rtl/>
        </w:rPr>
        <w:tab/>
        <w:t>מנכ"ל המשרד ביקש שאגיד משהו כאן: משרד המשפטים</w:t>
      </w:r>
      <w:r>
        <w:rPr>
          <w:rFonts w:cs="David"/>
          <w:sz w:val="24"/>
          <w:rtl/>
        </w:rPr>
        <w:t xml:space="preserve"> לא יוכל לשאת בהוצאות הדבר הזה.</w:t>
      </w:r>
    </w:p>
    <w:p w:rsidR="00000000" w:rsidRDefault="003F72C2">
      <w:pPr>
        <w:rPr>
          <w:rFonts w:cs="David"/>
          <w:sz w:val="24"/>
          <w:rtl/>
        </w:rPr>
      </w:pPr>
    </w:p>
    <w:p w:rsidR="00000000" w:rsidRDefault="003F72C2">
      <w:pPr>
        <w:rPr>
          <w:rFonts w:cs="David"/>
          <w:sz w:val="24"/>
          <w:rtl/>
        </w:rPr>
      </w:pPr>
      <w:r>
        <w:rPr>
          <w:rFonts w:cs="David"/>
          <w:sz w:val="24"/>
          <w:u w:val="single"/>
          <w:rtl/>
        </w:rPr>
        <w:t>דוד וינר:</w:t>
      </w:r>
    </w:p>
    <w:p w:rsidR="00000000" w:rsidRDefault="003F72C2">
      <w:pPr>
        <w:rPr>
          <w:rFonts w:cs="David"/>
          <w:sz w:val="24"/>
          <w:rtl/>
        </w:rPr>
      </w:pPr>
    </w:p>
    <w:p w:rsidR="00000000" w:rsidRDefault="003F72C2">
      <w:pPr>
        <w:rPr>
          <w:rFonts w:cs="David"/>
          <w:sz w:val="24"/>
          <w:rtl/>
        </w:rPr>
      </w:pPr>
      <w:r>
        <w:rPr>
          <w:rFonts w:cs="David"/>
          <w:sz w:val="24"/>
          <w:rtl/>
        </w:rPr>
        <w:tab/>
        <w:t>הנוסח של 18 ב פוקע ב-31.12.2004 וחוזר לנוסח הקודם, ואתם צריכים להיות מודעים לזה. הנוסח הקודם נמצא פה ב-18 ב. אנו חושבים שאם כבר מתקנים, שתהיה הרמוניה לנוסח שזה חוזר אליו ב-1 בינואר. זה לא שזה בנפשי, הדבר הזה. הנ</w:t>
      </w:r>
      <w:r>
        <w:rPr>
          <w:rFonts w:cs="David"/>
          <w:sz w:val="24"/>
          <w:rtl/>
        </w:rPr>
        <w:t>וסח הקודם היה כך: אין בהוראת סעיף זה כדי למנוע מבית המשפט למנות לנאשם סנגור אם הוא סבור שאינו יכול לנהל את המשפט כשהנאשם אינו מיוצג. היתה הצעה שצריך לצמצם את זה, והצמצום הזה הגיע ל-18 ב שהעתקת אותו. תדעי שזה פג מן העולם ב-31.12.2004.</w:t>
      </w:r>
    </w:p>
    <w:p w:rsidR="00000000" w:rsidRDefault="003F72C2">
      <w:pPr>
        <w:rPr>
          <w:rFonts w:cs="David"/>
          <w:sz w:val="24"/>
          <w:rtl/>
        </w:rPr>
      </w:pPr>
    </w:p>
    <w:p w:rsidR="00000000" w:rsidRDefault="003F72C2">
      <w:pPr>
        <w:rPr>
          <w:rFonts w:cs="David"/>
          <w:sz w:val="24"/>
          <w:u w:val="single"/>
          <w:rtl/>
        </w:rPr>
      </w:pPr>
      <w:r>
        <w:rPr>
          <w:rFonts w:cs="David"/>
          <w:sz w:val="24"/>
          <w:u w:val="single"/>
          <w:rtl/>
        </w:rPr>
        <w:t>תמי סלע:</w:t>
      </w:r>
    </w:p>
    <w:p w:rsidR="00000000" w:rsidRDefault="003F72C2">
      <w:pPr>
        <w:rPr>
          <w:rFonts w:cs="David"/>
          <w:sz w:val="24"/>
          <w:u w:val="single"/>
          <w:rtl/>
        </w:rPr>
      </w:pPr>
    </w:p>
    <w:p w:rsidR="00000000" w:rsidRDefault="003F72C2">
      <w:pPr>
        <w:rPr>
          <w:rFonts w:cs="David"/>
          <w:sz w:val="24"/>
          <w:rtl/>
        </w:rPr>
      </w:pPr>
      <w:r>
        <w:rPr>
          <w:rFonts w:cs="David"/>
          <w:sz w:val="24"/>
          <w:rtl/>
        </w:rPr>
        <w:tab/>
        <w:t>שם לא היתה</w:t>
      </w:r>
      <w:r>
        <w:rPr>
          <w:rFonts w:cs="David"/>
          <w:sz w:val="24"/>
          <w:rtl/>
        </w:rPr>
        <w:t xml:space="preserve"> המסננת של האמצעים.</w:t>
      </w:r>
    </w:p>
    <w:p w:rsidR="00000000" w:rsidRDefault="003F72C2">
      <w:pPr>
        <w:rPr>
          <w:rFonts w:cs="David"/>
          <w:sz w:val="24"/>
          <w:rtl/>
        </w:rPr>
      </w:pP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 xml:space="preserve"> טוב. אני רוצה לדעת מה ההערכות התקציביות.</w:t>
      </w:r>
    </w:p>
    <w:p w:rsidR="00000000" w:rsidRDefault="003F72C2">
      <w:pPr>
        <w:rPr>
          <w:rFonts w:cs="David"/>
          <w:sz w:val="24"/>
          <w:rtl/>
        </w:rPr>
      </w:pPr>
    </w:p>
    <w:p w:rsidR="00000000" w:rsidRDefault="003F72C2">
      <w:pPr>
        <w:rPr>
          <w:rFonts w:cs="David"/>
          <w:sz w:val="24"/>
          <w:rtl/>
        </w:rPr>
      </w:pPr>
      <w:r>
        <w:rPr>
          <w:rFonts w:cs="David"/>
          <w:sz w:val="24"/>
          <w:u w:val="single"/>
          <w:rtl/>
        </w:rPr>
        <w:t>עמוס אולצוור:</w:t>
      </w:r>
    </w:p>
    <w:p w:rsidR="00000000" w:rsidRDefault="003F72C2">
      <w:pPr>
        <w:rPr>
          <w:rFonts w:cs="David"/>
          <w:sz w:val="24"/>
          <w:rtl/>
        </w:rPr>
      </w:pPr>
    </w:p>
    <w:p w:rsidR="00000000" w:rsidRDefault="003F72C2">
      <w:pPr>
        <w:rPr>
          <w:rFonts w:cs="David"/>
          <w:sz w:val="24"/>
          <w:rtl/>
        </w:rPr>
      </w:pPr>
      <w:r>
        <w:rPr>
          <w:rFonts w:cs="David"/>
          <w:sz w:val="24"/>
          <w:rtl/>
        </w:rPr>
        <w:tab/>
        <w:t>בעקבות ההצעה של משה הכל השתנה, ההצעה שבית המשפט יחליט רק במקרים מסוימים לזמן את חוות הדעת.</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 xml:space="preserve">אנו מדברים על הסנגור. </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זה יצא בסביבות 2 מ</w:t>
      </w:r>
      <w:r>
        <w:rPr>
          <w:rFonts w:cs="David"/>
          <w:sz w:val="24"/>
          <w:rtl/>
        </w:rPr>
        <w:t xml:space="preserve">יליון לפי התעריפים שהיום קיימים בסנגוריה הציבורית, ב-80% מהמקרים, למרות שהסעיף הזה הוא הרבה יותר מצומצם. הוא לקח הנחה מאוד רחבה שימנו ב-80% מהמקרים סנגור. </w:t>
      </w:r>
    </w:p>
    <w:p w:rsidR="00000000" w:rsidRDefault="003F72C2">
      <w:pPr>
        <w:rPr>
          <w:rFonts w:cs="David"/>
          <w:sz w:val="24"/>
          <w:rtl/>
        </w:rPr>
      </w:pPr>
    </w:p>
    <w:p w:rsidR="00000000" w:rsidRDefault="003F72C2">
      <w:pPr>
        <w:rPr>
          <w:rFonts w:cs="David"/>
          <w:sz w:val="24"/>
          <w:rtl/>
        </w:rPr>
      </w:pPr>
      <w:r>
        <w:rPr>
          <w:rFonts w:cs="David"/>
          <w:sz w:val="24"/>
          <w:u w:val="single"/>
          <w:rtl/>
        </w:rPr>
        <w:t>עמוס אולצוור:</w:t>
      </w:r>
    </w:p>
    <w:p w:rsidR="00000000" w:rsidRDefault="003F72C2">
      <w:pPr>
        <w:rPr>
          <w:rFonts w:cs="David"/>
          <w:sz w:val="24"/>
          <w:rtl/>
        </w:rPr>
      </w:pPr>
    </w:p>
    <w:p w:rsidR="00000000" w:rsidRDefault="003F72C2">
      <w:pPr>
        <w:rPr>
          <w:rFonts w:cs="David"/>
          <w:sz w:val="24"/>
          <w:rtl/>
        </w:rPr>
      </w:pPr>
      <w:r>
        <w:rPr>
          <w:rFonts w:cs="David"/>
          <w:sz w:val="24"/>
          <w:rtl/>
        </w:rPr>
        <w:tab/>
        <w:t>בעקבות ההצעה שמשה העלה עכשיו, שהוא שינה את כל הנושא של חוות הדעת- -</w:t>
      </w:r>
    </w:p>
    <w:p w:rsidR="00000000" w:rsidRDefault="003F72C2">
      <w:pPr>
        <w:rPr>
          <w:rFonts w:cs="David"/>
          <w:sz w:val="24"/>
          <w:rtl/>
        </w:rPr>
      </w:pPr>
    </w:p>
    <w:p w:rsidR="00000000" w:rsidRDefault="003F72C2">
      <w:pPr>
        <w:rPr>
          <w:rFonts w:cs="David"/>
          <w:sz w:val="24"/>
          <w:u w:val="single"/>
          <w:rtl/>
        </w:rPr>
      </w:pPr>
      <w:r>
        <w:rPr>
          <w:rFonts w:cs="David"/>
          <w:sz w:val="24"/>
          <w:u w:val="single"/>
          <w:rtl/>
        </w:rPr>
        <w:t>היו"ר מיכאל אי</w:t>
      </w:r>
      <w:r>
        <w:rPr>
          <w:rFonts w:cs="David"/>
          <w:sz w:val="24"/>
          <w:u w:val="single"/>
          <w:rtl/>
        </w:rPr>
        <w:t>תן:</w:t>
      </w:r>
    </w:p>
    <w:p w:rsidR="00000000" w:rsidRDefault="003F72C2">
      <w:pPr>
        <w:rPr>
          <w:rFonts w:cs="David"/>
          <w:sz w:val="24"/>
          <w:u w:val="single"/>
          <w:rtl/>
        </w:rPr>
      </w:pPr>
    </w:p>
    <w:p w:rsidR="00000000" w:rsidRDefault="003F72C2">
      <w:pPr>
        <w:rPr>
          <w:rFonts w:cs="David"/>
          <w:sz w:val="24"/>
          <w:rtl/>
        </w:rPr>
      </w:pPr>
      <w:r>
        <w:rPr>
          <w:rFonts w:cs="David"/>
          <w:sz w:val="24"/>
          <w:rtl/>
        </w:rPr>
        <w:tab/>
        <w:t xml:space="preserve"> אני העליתי...</w:t>
      </w:r>
    </w:p>
    <w:p w:rsidR="00000000" w:rsidRDefault="003F72C2">
      <w:pPr>
        <w:rPr>
          <w:rFonts w:cs="David"/>
          <w:sz w:val="24"/>
          <w:rtl/>
        </w:rPr>
      </w:pPr>
    </w:p>
    <w:p w:rsidR="00000000" w:rsidRDefault="003F72C2">
      <w:pPr>
        <w:rPr>
          <w:rFonts w:cs="David"/>
          <w:sz w:val="24"/>
          <w:rtl/>
        </w:rPr>
      </w:pPr>
      <w:r>
        <w:rPr>
          <w:rFonts w:cs="David"/>
          <w:sz w:val="24"/>
          <w:u w:val="single"/>
          <w:rtl/>
        </w:rPr>
        <w:t>עמוס אולצוור:</w:t>
      </w:r>
    </w:p>
    <w:p w:rsidR="00000000" w:rsidRDefault="003F72C2">
      <w:pPr>
        <w:rPr>
          <w:rFonts w:cs="David"/>
          <w:sz w:val="24"/>
          <w:rtl/>
        </w:rPr>
      </w:pPr>
    </w:p>
    <w:p w:rsidR="00000000" w:rsidRDefault="003F72C2">
      <w:pPr>
        <w:rPr>
          <w:rFonts w:cs="David"/>
          <w:sz w:val="24"/>
          <w:rtl/>
        </w:rPr>
      </w:pPr>
      <w:r>
        <w:rPr>
          <w:rFonts w:cs="David"/>
          <w:sz w:val="24"/>
          <w:rtl/>
        </w:rPr>
        <w:tab/>
        <w:t xml:space="preserve">הנתון הזה השתנה. אני חישבתי כמה דיונים יהיו בכל התהליך. הנחתי שהדיון הזה שתהיה הטלת מגבלות בהתחלה, כלומר אחרי ההליך הפלילי, יהיו בממוצע שתי ישיבות בית משפט, ואותו דבר בהארכה. כלומר אחרי שלוש שנים כשיהיה דיון – גם, שתי </w:t>
      </w:r>
      <w:r>
        <w:rPr>
          <w:rFonts w:cs="David"/>
          <w:sz w:val="24"/>
          <w:rtl/>
        </w:rPr>
        <w:t>ישיבות. בערעור תהיה ישיבה אחת של בית משפט, כי זה בסך הכל ערעור. זה ההנחות. תעריפי שכר הטרחה – קיבלנו את זה- -</w:t>
      </w:r>
    </w:p>
    <w:p w:rsidR="00000000" w:rsidRDefault="003F72C2">
      <w:pPr>
        <w:rPr>
          <w:rFonts w:cs="David"/>
          <w:sz w:val="24"/>
          <w:rtl/>
        </w:rPr>
      </w:pP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 xml:space="preserve"> כמה זה יצא לתיק?</w:t>
      </w:r>
    </w:p>
    <w:p w:rsidR="00000000" w:rsidRDefault="003F72C2">
      <w:pPr>
        <w:rPr>
          <w:rFonts w:cs="David"/>
          <w:sz w:val="24"/>
          <w:rtl/>
        </w:rPr>
      </w:pPr>
    </w:p>
    <w:p w:rsidR="00000000" w:rsidRDefault="003F72C2">
      <w:pPr>
        <w:rPr>
          <w:rFonts w:cs="David"/>
          <w:sz w:val="24"/>
          <w:rtl/>
        </w:rPr>
      </w:pPr>
      <w:r>
        <w:rPr>
          <w:rFonts w:cs="David"/>
          <w:sz w:val="24"/>
          <w:u w:val="single"/>
          <w:rtl/>
        </w:rPr>
        <w:t>עמוס אולצוור:</w:t>
      </w:r>
    </w:p>
    <w:p w:rsidR="00000000" w:rsidRDefault="003F72C2">
      <w:pPr>
        <w:rPr>
          <w:rFonts w:cs="David"/>
          <w:sz w:val="24"/>
          <w:rtl/>
        </w:rPr>
      </w:pPr>
    </w:p>
    <w:p w:rsidR="00000000" w:rsidRDefault="003F72C2">
      <w:pPr>
        <w:rPr>
          <w:rFonts w:cs="David"/>
          <w:sz w:val="24"/>
          <w:rtl/>
        </w:rPr>
      </w:pPr>
      <w:r>
        <w:rPr>
          <w:rFonts w:cs="David"/>
          <w:sz w:val="24"/>
          <w:rtl/>
        </w:rPr>
        <w:tab/>
        <w:t>לא חישבתי את זה, תלוי אם זה דיון או ערעור. אי אפשר לדעת. במקרה שהוא לא נכנס למאסר, לקחנו ש</w:t>
      </w:r>
      <w:r>
        <w:rPr>
          <w:rFonts w:cs="David"/>
          <w:sz w:val="24"/>
          <w:rtl/>
        </w:rPr>
        <w:t>תי ישיבות בית המשפט, ובמקרה שהוא משתחרר ממאסר, אחרי ארבע שנים, למשל, לקחנו את זה כהליך עיקרי, הסנגור צריך ללמוד את התיק, פלוס דיון נוסף. זה ההנחות שיש פה באומדן. הטבלה בעמוד 12 מסכמת, אתם יכולים לראות בה.</w:t>
      </w:r>
    </w:p>
    <w:p w:rsidR="00000000" w:rsidRDefault="003F72C2">
      <w:pPr>
        <w:rPr>
          <w:rFonts w:cs="David"/>
          <w:sz w:val="24"/>
          <w:rtl/>
        </w:rPr>
      </w:pP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 xml:space="preserve"> גמרנו את הדיון הזה. העניין הת</w:t>
      </w:r>
      <w:r>
        <w:rPr>
          <w:rFonts w:cs="David"/>
          <w:sz w:val="24"/>
          <w:rtl/>
        </w:rPr>
        <w:t>קציבי נפתר, אנו מתחת ל-5 מיליון.</w:t>
      </w:r>
    </w:p>
    <w:p w:rsidR="00000000" w:rsidRDefault="003F72C2">
      <w:pPr>
        <w:rPr>
          <w:rFonts w:cs="David"/>
          <w:sz w:val="24"/>
          <w:rtl/>
        </w:rPr>
      </w:pPr>
    </w:p>
    <w:p w:rsidR="00000000" w:rsidRDefault="003F72C2">
      <w:pPr>
        <w:rPr>
          <w:rFonts w:cs="David"/>
          <w:sz w:val="24"/>
          <w:rtl/>
        </w:rPr>
      </w:pPr>
      <w:r>
        <w:rPr>
          <w:rFonts w:cs="David"/>
          <w:sz w:val="24"/>
          <w:u w:val="single"/>
          <w:rtl/>
        </w:rPr>
        <w:t>משה בר-סימנטוב:</w:t>
      </w:r>
    </w:p>
    <w:p w:rsidR="00000000" w:rsidRDefault="003F72C2">
      <w:pPr>
        <w:rPr>
          <w:rFonts w:cs="David"/>
          <w:sz w:val="24"/>
          <w:rtl/>
        </w:rPr>
      </w:pPr>
    </w:p>
    <w:p w:rsidR="00000000" w:rsidRDefault="003F72C2">
      <w:pPr>
        <w:rPr>
          <w:rFonts w:cs="David"/>
          <w:sz w:val="24"/>
          <w:rtl/>
        </w:rPr>
      </w:pPr>
      <w:r>
        <w:rPr>
          <w:rFonts w:cs="David"/>
          <w:sz w:val="24"/>
          <w:rtl/>
        </w:rPr>
        <w:tab/>
        <w:t>רק בסנגוריה אנו מתחת ל-5 מיליון, ועוד לא הסתכלנו על עלות שופטים.</w:t>
      </w:r>
    </w:p>
    <w:p w:rsidR="00000000" w:rsidRDefault="003F72C2">
      <w:pPr>
        <w:rPr>
          <w:rFonts w:cs="David"/>
          <w:sz w:val="24"/>
          <w:rtl/>
        </w:rPr>
      </w:pPr>
    </w:p>
    <w:p w:rsidR="00000000" w:rsidRDefault="003F72C2">
      <w:pPr>
        <w:rPr>
          <w:rFonts w:cs="David"/>
          <w:sz w:val="24"/>
          <w:u w:val="single"/>
          <w:rtl/>
        </w:rPr>
      </w:pPr>
      <w:r>
        <w:rPr>
          <w:rFonts w:cs="David"/>
          <w:sz w:val="24"/>
          <w:u w:val="single"/>
          <w:rtl/>
        </w:rPr>
        <w:t>היו"ר מיכאל איתן:</w:t>
      </w:r>
    </w:p>
    <w:p w:rsidR="00000000" w:rsidRDefault="003F72C2">
      <w:pPr>
        <w:rPr>
          <w:rFonts w:cs="David"/>
          <w:sz w:val="24"/>
          <w:u w:val="single"/>
          <w:rtl/>
        </w:rPr>
      </w:pPr>
    </w:p>
    <w:p w:rsidR="00000000" w:rsidRDefault="003F72C2">
      <w:pPr>
        <w:rPr>
          <w:rFonts w:cs="David"/>
          <w:sz w:val="24"/>
          <w:rtl/>
        </w:rPr>
      </w:pPr>
      <w:r>
        <w:rPr>
          <w:rFonts w:cs="David"/>
          <w:sz w:val="24"/>
          <w:rtl/>
        </w:rPr>
        <w:tab/>
        <w:t xml:space="preserve"> צריך ארבעה שופטים נוספים בשביל זה?</w:t>
      </w:r>
    </w:p>
    <w:p w:rsidR="00000000" w:rsidRDefault="003F72C2">
      <w:pPr>
        <w:rPr>
          <w:rFonts w:cs="David"/>
          <w:sz w:val="24"/>
          <w:rtl/>
        </w:rPr>
      </w:pPr>
    </w:p>
    <w:p w:rsidR="00000000" w:rsidRDefault="003F72C2">
      <w:pPr>
        <w:rPr>
          <w:rFonts w:cs="David"/>
          <w:sz w:val="24"/>
          <w:rtl/>
        </w:rPr>
      </w:pPr>
      <w:r>
        <w:rPr>
          <w:rFonts w:cs="David"/>
          <w:sz w:val="24"/>
          <w:u w:val="single"/>
          <w:rtl/>
        </w:rPr>
        <w:t>משה בר-סימנטוב:</w:t>
      </w:r>
    </w:p>
    <w:p w:rsidR="00000000" w:rsidRDefault="003F72C2">
      <w:pPr>
        <w:rPr>
          <w:rFonts w:cs="David"/>
          <w:sz w:val="24"/>
          <w:rtl/>
        </w:rPr>
      </w:pPr>
    </w:p>
    <w:p w:rsidR="00000000" w:rsidRDefault="003F72C2">
      <w:pPr>
        <w:rPr>
          <w:rFonts w:cs="David"/>
          <w:sz w:val="24"/>
          <w:rtl/>
        </w:rPr>
      </w:pPr>
      <w:r>
        <w:rPr>
          <w:rFonts w:cs="David"/>
          <w:sz w:val="24"/>
          <w:rtl/>
        </w:rPr>
        <w:tab/>
        <w:t xml:space="preserve">שופט עולה מיליון לשנה, זה גם הנתונים של הממ"מ. </w:t>
      </w:r>
    </w:p>
    <w:p w:rsidR="00000000" w:rsidRDefault="003F72C2">
      <w:pPr>
        <w:rPr>
          <w:rFonts w:cs="David"/>
          <w:sz w:val="24"/>
          <w:rtl/>
        </w:rPr>
      </w:pPr>
    </w:p>
    <w:p w:rsidR="00000000" w:rsidRDefault="003F72C2">
      <w:pPr>
        <w:rPr>
          <w:rFonts w:cs="David"/>
          <w:sz w:val="24"/>
          <w:u w:val="single"/>
          <w:rtl/>
        </w:rPr>
      </w:pPr>
      <w:r>
        <w:rPr>
          <w:rFonts w:cs="David"/>
          <w:sz w:val="24"/>
          <w:u w:val="single"/>
          <w:rtl/>
        </w:rPr>
        <w:t>היו"ר מיכאל אי</w:t>
      </w:r>
      <w:r>
        <w:rPr>
          <w:rFonts w:cs="David"/>
          <w:sz w:val="24"/>
          <w:u w:val="single"/>
          <w:rtl/>
        </w:rPr>
        <w:t>תן:</w:t>
      </w:r>
    </w:p>
    <w:p w:rsidR="00000000" w:rsidRDefault="003F72C2">
      <w:pPr>
        <w:rPr>
          <w:rFonts w:cs="David"/>
          <w:sz w:val="24"/>
          <w:u w:val="single"/>
          <w:rtl/>
        </w:rPr>
      </w:pPr>
    </w:p>
    <w:p w:rsidR="00000000" w:rsidRDefault="003F72C2">
      <w:pPr>
        <w:rPr>
          <w:rFonts w:cs="David"/>
          <w:sz w:val="24"/>
          <w:rtl/>
        </w:rPr>
      </w:pPr>
      <w:r>
        <w:rPr>
          <w:rFonts w:cs="David"/>
          <w:sz w:val="24"/>
          <w:rtl/>
        </w:rPr>
        <w:tab/>
        <w:t xml:space="preserve"> תכף נחזור לעניין התקציבי.</w:t>
      </w:r>
    </w:p>
    <w:p w:rsidR="00000000" w:rsidRDefault="003F72C2">
      <w:pPr>
        <w:rPr>
          <w:rFonts w:cs="David"/>
          <w:sz w:val="24"/>
          <w:rtl/>
        </w:rPr>
      </w:pPr>
    </w:p>
    <w:p w:rsidR="00000000" w:rsidRDefault="003F72C2">
      <w:pPr>
        <w:rPr>
          <w:rFonts w:cs="David"/>
          <w:sz w:val="24"/>
          <w:rtl/>
        </w:rPr>
      </w:pPr>
      <w:r>
        <w:rPr>
          <w:rFonts w:cs="David"/>
          <w:sz w:val="24"/>
          <w:u w:val="single"/>
          <w:rtl/>
        </w:rPr>
        <w:t>לילה מרגלית:</w:t>
      </w:r>
    </w:p>
    <w:p w:rsidR="00000000" w:rsidRDefault="003F72C2">
      <w:pPr>
        <w:rPr>
          <w:rFonts w:cs="David"/>
          <w:sz w:val="24"/>
          <w:rtl/>
        </w:rPr>
      </w:pPr>
    </w:p>
    <w:p w:rsidR="00000000" w:rsidRDefault="003F72C2">
      <w:pPr>
        <w:rPr>
          <w:rFonts w:cs="David"/>
          <w:sz w:val="24"/>
          <w:rtl/>
        </w:rPr>
      </w:pPr>
      <w:r>
        <w:rPr>
          <w:rFonts w:cs="David"/>
          <w:sz w:val="24"/>
          <w:rtl/>
        </w:rPr>
        <w:tab/>
        <w:t xml:space="preserve">אנו סבורים שבבעייתיות ובתקדימיות של החוק הזה צריך לקבוע שכל עבריין מחוסר אמצעים יהיה זכאי לסנגור, שזה לא יהיה כפוף לשיקול דעת בית המשפט. שלא בית המשפט ימנה סנגור, אלא שברגע שאדם, כפי שלגבי חלק גדול מהעבירות </w:t>
      </w:r>
      <w:r>
        <w:rPr>
          <w:rFonts w:cs="David"/>
          <w:sz w:val="24"/>
          <w:rtl/>
        </w:rPr>
        <w:t>הפליליות היום קבוע בחוק הסנגוריה הציבורית, ברגע שאדם מחוסר אמצעים ועומד בקריטריונים של חוסר אמצעים, יש לו זכות לסנגור. הרעיון הוא שברגע שאדם לא יכול לשכור שירותיו של עו"ד כי הוא עני מדי, צריכה להיות לו זכות לייצוג.</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 xml:space="preserve">גם אם הוא נאשם בעבירה פלילית </w:t>
      </w:r>
      <w:r>
        <w:rPr>
          <w:rFonts w:cs="David"/>
          <w:sz w:val="24"/>
          <w:rtl/>
        </w:rPr>
        <w:t>ואין לו אמצעים, אין היום זכות מוחלטת שימנו לו סנגור. אם הוא לא נופל בעבירה, הולכים לפי הסעיף סל- -</w:t>
      </w:r>
    </w:p>
    <w:p w:rsidR="00000000" w:rsidRDefault="003F72C2">
      <w:pPr>
        <w:rPr>
          <w:rFonts w:cs="David"/>
          <w:sz w:val="24"/>
          <w:rtl/>
        </w:rPr>
      </w:pPr>
    </w:p>
    <w:p w:rsidR="00000000" w:rsidRDefault="003F72C2">
      <w:pPr>
        <w:rPr>
          <w:rFonts w:cs="David"/>
          <w:sz w:val="24"/>
          <w:rtl/>
        </w:rPr>
      </w:pPr>
      <w:r>
        <w:rPr>
          <w:rFonts w:cs="David"/>
          <w:sz w:val="24"/>
          <w:u w:val="single"/>
          <w:rtl/>
        </w:rPr>
        <w:t>לילה מרגלית:</w:t>
      </w:r>
    </w:p>
    <w:p w:rsidR="00000000" w:rsidRDefault="003F72C2">
      <w:pPr>
        <w:rPr>
          <w:rFonts w:cs="David"/>
          <w:sz w:val="24"/>
          <w:rtl/>
        </w:rPr>
      </w:pPr>
    </w:p>
    <w:p w:rsidR="00000000" w:rsidRDefault="003F72C2">
      <w:pPr>
        <w:pStyle w:val="21"/>
        <w:rPr>
          <w:rFonts w:cs="David"/>
          <w:sz w:val="24"/>
          <w:rtl/>
        </w:rPr>
      </w:pPr>
      <w:r>
        <w:rPr>
          <w:rFonts w:cs="David"/>
          <w:sz w:val="24"/>
          <w:rtl/>
        </w:rPr>
        <w:tab/>
        <w:t>ההסדר שקיים כיום בחוק הסנגוריה הציבורית לגבי העבירות שהנאשם לא זכאי לייצוג הוא הסדר לא ראוי, ולא ראוי להעתיק אותו לכאן. אך יותר מזה, כאן מדוב</w:t>
      </w:r>
      <w:r>
        <w:rPr>
          <w:rFonts w:cs="David"/>
          <w:sz w:val="24"/>
          <w:rtl/>
        </w:rPr>
        <w:t>ר במשהו- -</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שהוא יותר מגביל מעבירה- -</w:t>
      </w:r>
    </w:p>
    <w:p w:rsidR="00000000" w:rsidRDefault="003F72C2">
      <w:pPr>
        <w:rPr>
          <w:rFonts w:cs="David"/>
          <w:sz w:val="24"/>
          <w:rtl/>
        </w:rPr>
      </w:pPr>
    </w:p>
    <w:p w:rsidR="00000000" w:rsidRDefault="003F72C2">
      <w:pPr>
        <w:rPr>
          <w:rFonts w:cs="David"/>
          <w:sz w:val="24"/>
          <w:rtl/>
        </w:rPr>
      </w:pPr>
      <w:r>
        <w:rPr>
          <w:rFonts w:cs="David"/>
          <w:sz w:val="24"/>
          <w:u w:val="single"/>
          <w:rtl/>
        </w:rPr>
        <w:t>לילה מרגלית:</w:t>
      </w:r>
    </w:p>
    <w:p w:rsidR="00000000" w:rsidRDefault="003F72C2">
      <w:pPr>
        <w:rPr>
          <w:rFonts w:cs="David"/>
          <w:sz w:val="24"/>
          <w:rtl/>
        </w:rPr>
      </w:pPr>
    </w:p>
    <w:p w:rsidR="00000000" w:rsidRDefault="003F72C2">
      <w:pPr>
        <w:rPr>
          <w:rFonts w:cs="David"/>
          <w:sz w:val="24"/>
          <w:rtl/>
        </w:rPr>
      </w:pPr>
      <w:r>
        <w:rPr>
          <w:rFonts w:cs="David"/>
          <w:sz w:val="24"/>
          <w:rtl/>
        </w:rPr>
        <w:tab/>
        <w:t>לפני שנחזור לעניין התקציבי, הם עשו הרי את התחשיב התקציבי על סמך ההנחה ב-80% מהמקרים ימנו סנגור, כי בחלק מהמקרים העבריין לא ירצה סנגור ציבורי כי יש לו מספיק אמצעים לשכור שירותיו של עורך-דין בע</w:t>
      </w:r>
      <w:r>
        <w:rPr>
          <w:rFonts w:cs="David"/>
          <w:sz w:val="24"/>
          <w:rtl/>
        </w:rPr>
        <w:t>צמו. אך אני לא חושבת שזה בהכרח משקף את המציאות. אם מסתכלים על מחוזות אחרים, למשל מחוז תל אביב, מחוז מרכז, נכון שכמעט תמיד כשנאשם מחוסר אמצעים, ממנים סנגור אלא אם הוא לא רוצה. אבל אם מסתכלים על מחוזות אחרים - מרכז, דרום, יש הרבה מאוד נאשמים שעד היום לא ממני</w:t>
      </w:r>
      <w:r>
        <w:rPr>
          <w:rFonts w:cs="David"/>
          <w:sz w:val="24"/>
          <w:rtl/>
        </w:rPr>
        <w:t xml:space="preserve">ם להם סנגור גם אם הם מחוסרי אמצעים. ייווצר מצב שזכותו של נאשם או של עבריין לייצוג יהיה תלוי במקום שהוא נופל בו. </w:t>
      </w:r>
    </w:p>
    <w:p w:rsidR="00000000" w:rsidRDefault="003F72C2">
      <w:pPr>
        <w:rPr>
          <w:rFonts w:cs="David"/>
          <w:sz w:val="24"/>
          <w:rtl/>
        </w:rPr>
      </w:pPr>
    </w:p>
    <w:p w:rsidR="00000000" w:rsidRDefault="003F72C2">
      <w:pPr>
        <w:rPr>
          <w:rFonts w:cs="David"/>
          <w:sz w:val="24"/>
          <w:rtl/>
        </w:rPr>
      </w:pPr>
      <w:r>
        <w:rPr>
          <w:rFonts w:cs="David"/>
          <w:sz w:val="24"/>
          <w:u w:val="single"/>
          <w:rtl/>
        </w:rPr>
        <w:t>קריאה:</w:t>
      </w:r>
    </w:p>
    <w:p w:rsidR="00000000" w:rsidRDefault="003F72C2">
      <w:pPr>
        <w:rPr>
          <w:rFonts w:cs="David"/>
          <w:sz w:val="24"/>
          <w:rtl/>
        </w:rPr>
      </w:pPr>
    </w:p>
    <w:p w:rsidR="00000000" w:rsidRDefault="003F72C2">
      <w:pPr>
        <w:rPr>
          <w:rFonts w:cs="David"/>
          <w:sz w:val="24"/>
          <w:rtl/>
        </w:rPr>
      </w:pPr>
      <w:r>
        <w:rPr>
          <w:rFonts w:cs="David"/>
          <w:sz w:val="24"/>
          <w:rtl/>
        </w:rPr>
        <w:tab/>
        <w:t xml:space="preserve">החוק נבנה בסופו של דבר כהוראת שעה. </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 xml:space="preserve"> אם יוחלט שהחוק יהיה הוראת שעה, זה יהיה רלוונטי לעניין העלות. כל עניין העלות יורד. אח</w:t>
      </w:r>
      <w:r>
        <w:rPr>
          <w:rFonts w:cs="David"/>
          <w:sz w:val="24"/>
          <w:rtl/>
        </w:rPr>
        <w:t xml:space="preserve">ר כך כשנרצה להאריך אותו, יהיה צריך לקחת את זה בחשבון. </w:t>
      </w:r>
    </w:p>
    <w:p w:rsidR="00000000" w:rsidRDefault="003F72C2">
      <w:pPr>
        <w:rPr>
          <w:rFonts w:cs="David"/>
          <w:sz w:val="24"/>
          <w:rtl/>
        </w:rPr>
      </w:pPr>
    </w:p>
    <w:p w:rsidR="00000000" w:rsidRDefault="003F72C2">
      <w:pPr>
        <w:rPr>
          <w:rFonts w:cs="David"/>
          <w:sz w:val="24"/>
          <w:rtl/>
        </w:rPr>
      </w:pPr>
      <w:r>
        <w:rPr>
          <w:rFonts w:cs="David"/>
          <w:sz w:val="24"/>
          <w:rtl/>
        </w:rPr>
        <w:tab/>
        <w:t>בסעיף 8, הדיווח לכנסת, יש כמה שינויים, ואקריא אותם. גם אם זה יהיה הוראת שעה וגם אם כן, המטרה היא שתהיה דרך לעקוב אחר יישום החוק, האטרקטיביות שלו, מכיוון שהוא חדשני. הורדנו את "שר הרווחה" בגלל שיש הור</w:t>
      </w:r>
      <w:r>
        <w:rPr>
          <w:rFonts w:cs="David"/>
          <w:sz w:val="24"/>
          <w:rtl/>
        </w:rPr>
        <w:t>אות תסקירים שעל זה אחראי שר המשפטים.</w:t>
      </w:r>
    </w:p>
    <w:p w:rsidR="00000000" w:rsidRDefault="003F72C2">
      <w:pPr>
        <w:rPr>
          <w:rFonts w:cs="David"/>
          <w:sz w:val="24"/>
          <w:rtl/>
        </w:rPr>
      </w:pPr>
    </w:p>
    <w:p w:rsidR="00000000" w:rsidRDefault="003F72C2">
      <w:pPr>
        <w:rPr>
          <w:rFonts w:cs="David"/>
          <w:sz w:val="24"/>
          <w:rtl/>
        </w:rPr>
      </w:pPr>
      <w:r>
        <w:rPr>
          <w:rFonts w:cs="David"/>
          <w:sz w:val="24"/>
          <w:rtl/>
        </w:rPr>
        <w:tab/>
        <w:t>אני קוראת: "שר המשפטים יגיש, מדי שנה, לוועדת חוקה חוק ומשפט של הכנסת חוות דעת בעניין יישומו של חוק זה אשר תכלול, בין היתר: (1) מספר הבקשות שהוגשו לפי סעיף 3, ומספר הצווים שבמסגרתם הטיל בית המשפט מגבלות; (2) סוג המגבלו</w:t>
      </w:r>
      <w:r>
        <w:rPr>
          <w:rFonts w:cs="David"/>
          <w:sz w:val="24"/>
          <w:rtl/>
        </w:rPr>
        <w:t>ת שהוטלו  והתקופה שנקבעה להן, לרבות הארכת התקופה; (3) מספר הדיונים שהתקיימו בהליכים לפי חוק זה וחלוקה לפי בקשות להטלת מגבלות, בקשות להארכת תקופת המגבלות, בקשות דיון חוזר, עררים וערעורים". זה יותר לעניין הערכת העלות אחר כך.</w:t>
      </w:r>
    </w:p>
    <w:p w:rsidR="00000000" w:rsidRDefault="003F72C2">
      <w:pPr>
        <w:rPr>
          <w:rFonts w:cs="David"/>
          <w:sz w:val="24"/>
          <w:rtl/>
        </w:rPr>
      </w:pPr>
    </w:p>
    <w:p w:rsidR="00000000" w:rsidRDefault="003F72C2">
      <w:pPr>
        <w:tabs>
          <w:tab w:val="left" w:pos="512"/>
        </w:tabs>
        <w:rPr>
          <w:rFonts w:cs="David"/>
          <w:sz w:val="24"/>
          <w:rtl/>
        </w:rPr>
      </w:pPr>
      <w:r>
        <w:rPr>
          <w:rFonts w:cs="David"/>
          <w:sz w:val="24"/>
          <w:u w:val="single"/>
          <w:rtl/>
        </w:rPr>
        <w:t>אליעזר כהן:</w:t>
      </w:r>
    </w:p>
    <w:p w:rsidR="00000000" w:rsidRDefault="003F72C2">
      <w:pPr>
        <w:tabs>
          <w:tab w:val="left" w:pos="512"/>
        </w:tabs>
        <w:rPr>
          <w:rFonts w:cs="David"/>
          <w:sz w:val="24"/>
          <w:rtl/>
        </w:rPr>
      </w:pPr>
    </w:p>
    <w:p w:rsidR="00000000" w:rsidRDefault="003F72C2">
      <w:pPr>
        <w:rPr>
          <w:rFonts w:cs="David"/>
          <w:sz w:val="24"/>
          <w:rtl/>
        </w:rPr>
      </w:pPr>
      <w:r>
        <w:rPr>
          <w:rFonts w:cs="David"/>
          <w:sz w:val="24"/>
          <w:rtl/>
        </w:rPr>
        <w:tab/>
        <w:t xml:space="preserve"> בשביל מה צריך הור</w:t>
      </w:r>
      <w:r>
        <w:rPr>
          <w:rFonts w:cs="David"/>
          <w:sz w:val="24"/>
          <w:rtl/>
        </w:rPr>
        <w:t>את שעה אם זה בתוקף?</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 xml:space="preserve"> אני ממשיכה לקרוא: "אמצעים שננקטו בעקבות הפרת מגבלות שהוטלו לפי סעיף 3" - זה לעניין האכיפה, כי הזכרנו בדיונים שיש הוראה כללית של עבירה פלילית על הפרת הוראות של בית משפט. מעניין לדעת מה יעשו בעקבות הפרות, האם באמת יעמידו לדין</w:t>
      </w:r>
      <w:r>
        <w:rPr>
          <w:rFonts w:cs="David"/>
          <w:sz w:val="24"/>
          <w:rtl/>
        </w:rPr>
        <w:t xml:space="preserve"> - "נתונים בדבר העלויות שהיו כרוכות בביצוע החוק במהלך אותה שנה ובהן בין היתר עלויות מינוי מומחה לפי סעיף 4 ככל ששכרו והוצאותיו יוטלו על אוצר המדינה, עלויות העסקת סניגורים ציבוריים לפי סעיף 7 לחוק".</w:t>
      </w:r>
    </w:p>
    <w:p w:rsidR="00000000" w:rsidRDefault="003F72C2">
      <w:pPr>
        <w:rPr>
          <w:rFonts w:cs="David"/>
          <w:sz w:val="24"/>
          <w:rtl/>
        </w:rPr>
      </w:pPr>
    </w:p>
    <w:p w:rsidR="00000000" w:rsidRDefault="003F72C2">
      <w:pPr>
        <w:rPr>
          <w:rFonts w:cs="David"/>
          <w:sz w:val="24"/>
          <w:rtl/>
        </w:rPr>
      </w:pPr>
      <w:r>
        <w:rPr>
          <w:rFonts w:cs="David"/>
          <w:sz w:val="24"/>
          <w:u w:val="single"/>
          <w:rtl/>
        </w:rPr>
        <w:t>קריאה:</w:t>
      </w:r>
    </w:p>
    <w:p w:rsidR="00000000" w:rsidRDefault="003F72C2">
      <w:pPr>
        <w:rPr>
          <w:rFonts w:cs="David"/>
          <w:sz w:val="24"/>
          <w:rtl/>
        </w:rPr>
      </w:pPr>
    </w:p>
    <w:p w:rsidR="00000000" w:rsidRDefault="003F72C2">
      <w:pPr>
        <w:rPr>
          <w:rFonts w:cs="David"/>
          <w:sz w:val="24"/>
          <w:rtl/>
        </w:rPr>
      </w:pPr>
      <w:r>
        <w:rPr>
          <w:rFonts w:cs="David"/>
          <w:sz w:val="24"/>
          <w:rtl/>
        </w:rPr>
        <w:tab/>
        <w:t>וסיוע משפטי.</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 xml:space="preserve"> אין כרגע זכות לסיוע מש</w:t>
      </w:r>
      <w:r>
        <w:rPr>
          <w:rFonts w:cs="David"/>
          <w:sz w:val="24"/>
          <w:rtl/>
        </w:rPr>
        <w:t>פטי.</w:t>
      </w:r>
    </w:p>
    <w:p w:rsidR="00000000" w:rsidRDefault="003F72C2">
      <w:pPr>
        <w:rPr>
          <w:rFonts w:cs="David"/>
          <w:sz w:val="24"/>
          <w:rtl/>
        </w:rPr>
      </w:pPr>
    </w:p>
    <w:p w:rsidR="00000000" w:rsidRDefault="003F72C2">
      <w:pPr>
        <w:rPr>
          <w:rFonts w:cs="David"/>
          <w:sz w:val="24"/>
          <w:rtl/>
        </w:rPr>
      </w:pPr>
      <w:r>
        <w:rPr>
          <w:rFonts w:cs="David"/>
          <w:sz w:val="24"/>
          <w:u w:val="single"/>
          <w:rtl/>
        </w:rPr>
        <w:t>יצחק לוי:</w:t>
      </w:r>
    </w:p>
    <w:p w:rsidR="00000000" w:rsidRDefault="003F72C2">
      <w:pPr>
        <w:rPr>
          <w:rFonts w:cs="David"/>
          <w:sz w:val="24"/>
          <w:rtl/>
        </w:rPr>
      </w:pPr>
    </w:p>
    <w:p w:rsidR="00000000" w:rsidRDefault="003F72C2">
      <w:pPr>
        <w:rPr>
          <w:rFonts w:cs="David"/>
          <w:sz w:val="24"/>
          <w:rtl/>
        </w:rPr>
      </w:pPr>
      <w:r>
        <w:rPr>
          <w:rFonts w:cs="David"/>
          <w:sz w:val="24"/>
          <w:rtl/>
        </w:rPr>
        <w:tab/>
        <w:t xml:space="preserve"> בנושא העלויות הייתי מצמצם, הייתי אומר: רק חוות דעת והסניגורים. לא הייתי עושה מזה סעיף סל.</w:t>
      </w:r>
    </w:p>
    <w:p w:rsidR="00000000" w:rsidRDefault="003F72C2">
      <w:pPr>
        <w:rPr>
          <w:rFonts w:cs="David"/>
          <w:sz w:val="24"/>
          <w:rtl/>
        </w:rPr>
      </w:pPr>
    </w:p>
    <w:p w:rsidR="00000000" w:rsidRDefault="003F72C2">
      <w:pPr>
        <w:rPr>
          <w:rFonts w:cs="David"/>
          <w:sz w:val="24"/>
          <w:rtl/>
        </w:rPr>
      </w:pPr>
      <w:r>
        <w:rPr>
          <w:rFonts w:cs="David"/>
          <w:sz w:val="24"/>
          <w:u w:val="single"/>
          <w:rtl/>
        </w:rPr>
        <w:t>רחל גרשוני:</w:t>
      </w:r>
    </w:p>
    <w:p w:rsidR="00000000" w:rsidRDefault="003F72C2">
      <w:pPr>
        <w:rPr>
          <w:rFonts w:cs="David"/>
          <w:sz w:val="24"/>
          <w:rtl/>
        </w:rPr>
      </w:pPr>
    </w:p>
    <w:p w:rsidR="00000000" w:rsidRDefault="003F72C2">
      <w:pPr>
        <w:rPr>
          <w:rFonts w:cs="David"/>
          <w:sz w:val="24"/>
          <w:rtl/>
        </w:rPr>
      </w:pPr>
      <w:r>
        <w:rPr>
          <w:rFonts w:cs="David"/>
          <w:sz w:val="24"/>
          <w:rtl/>
        </w:rPr>
        <w:tab/>
        <w:t>למה צריך את זה? ממילא יש סמכויות לכל ועדת כנסת לקבל מידע כפי שהיא רוצה.</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 xml:space="preserve"> אם לא קובעים דיווח שבועי ולא קובעים פרמטרים, אז</w:t>
      </w:r>
      <w:r>
        <w:rPr>
          <w:rFonts w:cs="David"/>
          <w:sz w:val="24"/>
          <w:rtl/>
        </w:rPr>
        <w:t xml:space="preserve"> את יכולה לקבל שורה על עשרים מקרים.</w:t>
      </w:r>
    </w:p>
    <w:p w:rsidR="00000000" w:rsidRDefault="003F72C2">
      <w:pPr>
        <w:rPr>
          <w:rFonts w:cs="David"/>
          <w:sz w:val="24"/>
          <w:rtl/>
        </w:rPr>
      </w:pPr>
    </w:p>
    <w:p w:rsidR="00000000" w:rsidRDefault="003F72C2">
      <w:pPr>
        <w:rPr>
          <w:rFonts w:cs="David"/>
          <w:sz w:val="24"/>
          <w:rtl/>
        </w:rPr>
      </w:pPr>
      <w:r>
        <w:rPr>
          <w:rFonts w:cs="David"/>
          <w:sz w:val="24"/>
          <w:u w:val="single"/>
          <w:rtl/>
        </w:rPr>
        <w:t>היו"ר מיכאל איתן:</w:t>
      </w:r>
    </w:p>
    <w:p w:rsidR="00000000" w:rsidRDefault="003F72C2">
      <w:pPr>
        <w:rPr>
          <w:rFonts w:cs="David"/>
          <w:sz w:val="24"/>
          <w:rtl/>
        </w:rPr>
      </w:pPr>
    </w:p>
    <w:p w:rsidR="00000000" w:rsidRDefault="003F72C2">
      <w:pPr>
        <w:rPr>
          <w:rFonts w:cs="David"/>
          <w:sz w:val="24"/>
          <w:rtl/>
        </w:rPr>
      </w:pPr>
      <w:r>
        <w:rPr>
          <w:rFonts w:cs="David"/>
          <w:sz w:val="24"/>
          <w:rtl/>
        </w:rPr>
        <w:tab/>
        <w:t xml:space="preserve"> מה קרה בחוק הזה? בכל חוק חדש נכניס את הסעיף הזה?</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 xml:space="preserve"> יש חוקים שבאמת מכניסים בהם את הסעיף הזה, וזה חוק שהוא חדשני.</w:t>
      </w:r>
    </w:p>
    <w:p w:rsidR="00000000" w:rsidRDefault="003F72C2">
      <w:pPr>
        <w:rPr>
          <w:rFonts w:cs="David"/>
          <w:sz w:val="24"/>
          <w:rtl/>
        </w:rPr>
      </w:pPr>
    </w:p>
    <w:p w:rsidR="00000000" w:rsidRDefault="003F72C2">
      <w:pPr>
        <w:tabs>
          <w:tab w:val="left" w:pos="512"/>
        </w:tabs>
        <w:rPr>
          <w:rFonts w:cs="David"/>
          <w:sz w:val="24"/>
          <w:rtl/>
        </w:rPr>
      </w:pPr>
      <w:r>
        <w:rPr>
          <w:rFonts w:cs="David"/>
          <w:sz w:val="24"/>
          <w:u w:val="single"/>
          <w:rtl/>
        </w:rPr>
        <w:br w:type="page"/>
        <w:t>אליעזר כהן:</w:t>
      </w:r>
    </w:p>
    <w:p w:rsidR="00000000" w:rsidRDefault="003F72C2">
      <w:pPr>
        <w:tabs>
          <w:tab w:val="left" w:pos="512"/>
        </w:tabs>
        <w:rPr>
          <w:rFonts w:cs="David"/>
          <w:sz w:val="24"/>
          <w:rtl/>
        </w:rPr>
      </w:pPr>
    </w:p>
    <w:p w:rsidR="00000000" w:rsidRDefault="003F72C2">
      <w:pPr>
        <w:rPr>
          <w:rFonts w:cs="David"/>
          <w:sz w:val="24"/>
          <w:rtl/>
        </w:rPr>
      </w:pPr>
      <w:r>
        <w:rPr>
          <w:rFonts w:cs="David"/>
          <w:sz w:val="24"/>
          <w:rtl/>
        </w:rPr>
        <w:tab/>
        <w:t xml:space="preserve"> אם לא יהיה הסעיף הזה, איך נבדוק את החוק אם הוא מתקדם כמו ש</w:t>
      </w:r>
      <w:r>
        <w:rPr>
          <w:rFonts w:cs="David"/>
          <w:sz w:val="24"/>
          <w:rtl/>
        </w:rPr>
        <w:t>התכוונו ולפי כוונת המחוקק? זאת דרך טובה לבדוק את החוק.</w:t>
      </w:r>
    </w:p>
    <w:p w:rsidR="00000000" w:rsidRDefault="003F72C2">
      <w:pPr>
        <w:rPr>
          <w:rFonts w:cs="David"/>
          <w:sz w:val="24"/>
          <w:rtl/>
        </w:rPr>
      </w:pPr>
    </w:p>
    <w:p w:rsidR="00000000" w:rsidRDefault="003F72C2">
      <w:pPr>
        <w:rPr>
          <w:rFonts w:cs="David"/>
          <w:sz w:val="24"/>
          <w:rtl/>
        </w:rPr>
      </w:pPr>
      <w:r>
        <w:rPr>
          <w:rFonts w:cs="David"/>
          <w:sz w:val="24"/>
          <w:u w:val="single"/>
          <w:rtl/>
        </w:rPr>
        <w:t>יצחק לוי:</w:t>
      </w:r>
    </w:p>
    <w:p w:rsidR="00000000" w:rsidRDefault="003F72C2">
      <w:pPr>
        <w:rPr>
          <w:rFonts w:cs="David"/>
          <w:sz w:val="24"/>
          <w:rtl/>
        </w:rPr>
      </w:pPr>
    </w:p>
    <w:p w:rsidR="00000000" w:rsidRDefault="003F72C2">
      <w:pPr>
        <w:rPr>
          <w:rFonts w:cs="David"/>
          <w:sz w:val="24"/>
          <w:rtl/>
        </w:rPr>
      </w:pPr>
      <w:r>
        <w:rPr>
          <w:rFonts w:cs="David"/>
          <w:sz w:val="24"/>
          <w:rtl/>
        </w:rPr>
        <w:tab/>
        <w:t xml:space="preserve"> אם לא עושים את החוק כהוראת שעה, אז הסעיף הזה צריך להיות הוראת שעה. אחרת עוד שבעים שנה נשמע דיווחים. אני מציע שהסעיף הזה יהיה הוראת שעה לשלוש שנים. </w:t>
      </w:r>
    </w:p>
    <w:p w:rsidR="00000000" w:rsidRDefault="003F72C2">
      <w:pPr>
        <w:rPr>
          <w:rFonts w:cs="David"/>
          <w:sz w:val="24"/>
          <w:rtl/>
        </w:rPr>
      </w:pPr>
    </w:p>
    <w:p w:rsidR="00000000" w:rsidRDefault="003F72C2">
      <w:pPr>
        <w:rPr>
          <w:rFonts w:cs="David"/>
          <w:sz w:val="24"/>
          <w:rtl/>
        </w:rPr>
      </w:pPr>
      <w:r>
        <w:rPr>
          <w:rFonts w:cs="David"/>
          <w:sz w:val="24"/>
          <w:u w:val="single"/>
          <w:rtl/>
        </w:rPr>
        <w:t>היו"ר מיכאל איתן:</w:t>
      </w:r>
    </w:p>
    <w:p w:rsidR="00000000" w:rsidRDefault="003F72C2">
      <w:pPr>
        <w:rPr>
          <w:rFonts w:cs="David"/>
          <w:sz w:val="24"/>
          <w:rtl/>
        </w:rPr>
      </w:pPr>
    </w:p>
    <w:p w:rsidR="00000000" w:rsidRDefault="003F72C2">
      <w:pPr>
        <w:rPr>
          <w:rFonts w:cs="David"/>
          <w:sz w:val="24"/>
          <w:rtl/>
        </w:rPr>
      </w:pPr>
      <w:r>
        <w:rPr>
          <w:rFonts w:cs="David"/>
          <w:sz w:val="24"/>
          <w:rtl/>
        </w:rPr>
        <w:tab/>
        <w:t xml:space="preserve"> לא יכול להיות שוו</w:t>
      </w:r>
      <w:r>
        <w:rPr>
          <w:rFonts w:cs="David"/>
          <w:sz w:val="24"/>
          <w:rtl/>
        </w:rPr>
        <w:t xml:space="preserve">עדת החוקה תקבל על כל חוק שהיא מחוקקת דו"ח פעם בשנה. אנחנו ניקח את כל ימי העבודה של וועדת החוקה. אני מקבל את ההצעה של חבר הכנסת יצחק לוי, נעשה את הסעיף הזה הוראת שעה לשלוש שנים. ואז נבין מה קורה עם החוק - שלוש שנים נעשה מעקב וגמרנו. </w:t>
      </w:r>
    </w:p>
    <w:p w:rsidR="00000000" w:rsidRDefault="003F72C2">
      <w:pPr>
        <w:rPr>
          <w:rFonts w:cs="David"/>
          <w:sz w:val="24"/>
          <w:rtl/>
        </w:rPr>
      </w:pPr>
    </w:p>
    <w:p w:rsidR="00000000" w:rsidRDefault="003F72C2">
      <w:pPr>
        <w:rPr>
          <w:rFonts w:cs="David"/>
          <w:sz w:val="24"/>
          <w:rtl/>
        </w:rPr>
      </w:pPr>
      <w:r>
        <w:rPr>
          <w:rFonts w:cs="David"/>
          <w:sz w:val="24"/>
          <w:u w:val="single"/>
          <w:rtl/>
        </w:rPr>
        <w:t>יצחק לוי:</w:t>
      </w:r>
    </w:p>
    <w:p w:rsidR="00000000" w:rsidRDefault="003F72C2">
      <w:pPr>
        <w:rPr>
          <w:rFonts w:cs="David"/>
          <w:sz w:val="24"/>
          <w:rtl/>
        </w:rPr>
      </w:pPr>
    </w:p>
    <w:p w:rsidR="00000000" w:rsidRDefault="003F72C2">
      <w:pPr>
        <w:rPr>
          <w:rFonts w:cs="David"/>
          <w:sz w:val="24"/>
          <w:rtl/>
        </w:rPr>
      </w:pPr>
      <w:r>
        <w:rPr>
          <w:rFonts w:cs="David"/>
          <w:sz w:val="24"/>
          <w:rtl/>
        </w:rPr>
        <w:tab/>
        <w:t xml:space="preserve"> אני הצעתי</w:t>
      </w:r>
      <w:r>
        <w:rPr>
          <w:rFonts w:cs="David"/>
          <w:sz w:val="24"/>
          <w:rtl/>
        </w:rPr>
        <w:t xml:space="preserve"> שהסעיף הזה יהיה הוראת שעה, בהנחה שהחוק הוא לא הוראת שעה.</w:t>
      </w:r>
    </w:p>
    <w:p w:rsidR="00000000" w:rsidRDefault="003F72C2">
      <w:pPr>
        <w:rPr>
          <w:rFonts w:cs="David"/>
          <w:sz w:val="24"/>
          <w:rtl/>
        </w:rPr>
      </w:pPr>
    </w:p>
    <w:p w:rsidR="00000000" w:rsidRDefault="003F72C2">
      <w:pPr>
        <w:rPr>
          <w:rFonts w:cs="David"/>
          <w:sz w:val="24"/>
          <w:rtl/>
        </w:rPr>
      </w:pPr>
      <w:r>
        <w:rPr>
          <w:rFonts w:cs="David"/>
          <w:sz w:val="24"/>
          <w:u w:val="single"/>
          <w:rtl/>
        </w:rPr>
        <w:t>היו"ר מיכאל איתן:</w:t>
      </w:r>
    </w:p>
    <w:p w:rsidR="00000000" w:rsidRDefault="003F72C2">
      <w:pPr>
        <w:rPr>
          <w:rFonts w:cs="David"/>
          <w:sz w:val="24"/>
          <w:rtl/>
        </w:rPr>
      </w:pPr>
    </w:p>
    <w:p w:rsidR="00000000" w:rsidRDefault="003F72C2">
      <w:pPr>
        <w:rPr>
          <w:rFonts w:cs="David"/>
          <w:sz w:val="24"/>
          <w:rtl/>
        </w:rPr>
      </w:pPr>
      <w:r>
        <w:rPr>
          <w:rFonts w:cs="David"/>
          <w:sz w:val="24"/>
          <w:rtl/>
        </w:rPr>
        <w:tab/>
        <w:t xml:space="preserve"> ההנחה היא שבסוף החוק לא יהיה הוראת שעה, רק הסעיף הזה יהיה הוראת שעה.</w:t>
      </w:r>
    </w:p>
    <w:p w:rsidR="00000000" w:rsidRDefault="003F72C2">
      <w:pPr>
        <w:rPr>
          <w:rFonts w:cs="David"/>
          <w:sz w:val="24"/>
          <w:rtl/>
        </w:rPr>
      </w:pPr>
    </w:p>
    <w:p w:rsidR="00000000" w:rsidRDefault="003F72C2">
      <w:pPr>
        <w:tabs>
          <w:tab w:val="left" w:pos="512"/>
        </w:tabs>
        <w:rPr>
          <w:rFonts w:cs="David"/>
          <w:sz w:val="24"/>
          <w:rtl/>
        </w:rPr>
      </w:pPr>
      <w:r>
        <w:rPr>
          <w:rFonts w:cs="David"/>
          <w:sz w:val="24"/>
          <w:u w:val="single"/>
          <w:rtl/>
        </w:rPr>
        <w:t>אליעזר כהן:</w:t>
      </w:r>
    </w:p>
    <w:p w:rsidR="00000000" w:rsidRDefault="003F72C2">
      <w:pPr>
        <w:tabs>
          <w:tab w:val="left" w:pos="512"/>
        </w:tabs>
        <w:rPr>
          <w:rFonts w:cs="David"/>
          <w:sz w:val="24"/>
          <w:rtl/>
        </w:rPr>
      </w:pPr>
    </w:p>
    <w:p w:rsidR="00000000" w:rsidRDefault="003F72C2">
      <w:pPr>
        <w:rPr>
          <w:rFonts w:cs="David"/>
          <w:sz w:val="24"/>
          <w:rtl/>
        </w:rPr>
      </w:pPr>
      <w:r>
        <w:rPr>
          <w:rFonts w:cs="David"/>
          <w:sz w:val="24"/>
          <w:rtl/>
        </w:rPr>
        <w:tab/>
        <w:t xml:space="preserve"> זה פותר את כל הבעיות בינתיים. זה מצוין.</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סעיף 9, ביצוע ותקנות: "שר המשפטים ממונה</w:t>
      </w:r>
      <w:r>
        <w:rPr>
          <w:rFonts w:cs="David"/>
          <w:sz w:val="24"/>
          <w:rtl/>
        </w:rPr>
        <w:t xml:space="preserve"> על ביצוע חוק זה והוא רשאי, באישור ועדת החוקה חוק ומשפט של הכנסת, להתקין תקנות בכל עניין הנוגע לביצועו, ובין היתר בעניינים אלה: (1) הדרכים והמועדים להגשת בקשה להטלת מגבלות, בקשה לעיון חוזר, ערר או ערעור; (2) הדרך והמועד ליידוע הגורמים המנויים בסעיף קטן 3(ב</w:t>
      </w:r>
      <w:r>
        <w:rPr>
          <w:rFonts w:cs="David"/>
          <w:sz w:val="24"/>
          <w:rtl/>
        </w:rPr>
        <w:t>) בדבר הגשת בקשה להטלת מגבלות" - ופה הוספנו: "3) מינוי מומחה מטעם בית המשפט, דרכי פעולתו, שכרו והוצאותיו". מבית הדין לעבודה מסרו לנו שהמדינה תשלם למומחים.</w:t>
      </w:r>
    </w:p>
    <w:p w:rsidR="00000000" w:rsidRDefault="003F72C2">
      <w:pPr>
        <w:rPr>
          <w:rFonts w:cs="David"/>
          <w:sz w:val="24"/>
          <w:rtl/>
        </w:rPr>
      </w:pPr>
    </w:p>
    <w:p w:rsidR="00000000" w:rsidRDefault="003F72C2">
      <w:pPr>
        <w:rPr>
          <w:rFonts w:cs="David"/>
          <w:sz w:val="24"/>
          <w:rtl/>
        </w:rPr>
      </w:pPr>
      <w:r>
        <w:rPr>
          <w:rFonts w:cs="David"/>
          <w:sz w:val="24"/>
          <w:u w:val="single"/>
          <w:rtl/>
        </w:rPr>
        <w:t>שי צרפתי:</w:t>
      </w:r>
    </w:p>
    <w:p w:rsidR="00000000" w:rsidRDefault="003F72C2">
      <w:pPr>
        <w:rPr>
          <w:rFonts w:cs="David"/>
          <w:sz w:val="24"/>
          <w:rtl/>
        </w:rPr>
      </w:pPr>
    </w:p>
    <w:p w:rsidR="00000000" w:rsidRDefault="003F72C2">
      <w:pPr>
        <w:rPr>
          <w:rFonts w:cs="David"/>
          <w:sz w:val="24"/>
          <w:rtl/>
        </w:rPr>
      </w:pPr>
      <w:r>
        <w:rPr>
          <w:rFonts w:cs="David"/>
          <w:sz w:val="24"/>
          <w:rtl/>
        </w:rPr>
        <w:tab/>
        <w:t xml:space="preserve">יש לנו הסתייגות לסעיף 8. </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 xml:space="preserve"> יש טענה של הנהלת בתי המשפט שיש להם קושי לספק את ה</w:t>
      </w:r>
      <w:r>
        <w:rPr>
          <w:rFonts w:cs="David"/>
          <w:sz w:val="24"/>
          <w:rtl/>
        </w:rPr>
        <w:t>נתונים שביקשנו, למשל סוג המגבלות שהוטלו והתקופה שנקבעה להם. אני חושבת שאפשר להיערך לזה וכן לדאוג שזה יהיה בחוק שהוא חדש יחסית.</w:t>
      </w:r>
    </w:p>
    <w:p w:rsidR="00000000" w:rsidRDefault="003F72C2">
      <w:pPr>
        <w:rPr>
          <w:rFonts w:cs="David"/>
          <w:sz w:val="24"/>
          <w:rtl/>
        </w:rPr>
      </w:pPr>
    </w:p>
    <w:p w:rsidR="00000000" w:rsidRDefault="003F72C2">
      <w:pPr>
        <w:rPr>
          <w:rFonts w:cs="David"/>
          <w:sz w:val="24"/>
          <w:rtl/>
        </w:rPr>
      </w:pPr>
      <w:r>
        <w:rPr>
          <w:rFonts w:cs="David"/>
          <w:sz w:val="24"/>
          <w:u w:val="single"/>
          <w:rtl/>
        </w:rPr>
        <w:t>שי צרפתי:</w:t>
      </w:r>
    </w:p>
    <w:p w:rsidR="00000000" w:rsidRDefault="003F72C2">
      <w:pPr>
        <w:rPr>
          <w:rFonts w:cs="David"/>
          <w:sz w:val="24"/>
          <w:rtl/>
        </w:rPr>
      </w:pPr>
    </w:p>
    <w:p w:rsidR="00000000" w:rsidRDefault="003F72C2">
      <w:pPr>
        <w:rPr>
          <w:rFonts w:cs="David"/>
          <w:sz w:val="24"/>
          <w:rtl/>
        </w:rPr>
      </w:pPr>
      <w:r>
        <w:rPr>
          <w:rFonts w:cs="David"/>
          <w:sz w:val="24"/>
          <w:rtl/>
        </w:rPr>
        <w:tab/>
        <w:t>אנחנו לא ערוכים לזה. זה עניין מחקרי, לדעתנו צריך להטיל את זה על גוף חיצוני שיערוך בדיקות אמפיריות. אנחנו מסוגלים לבצ</w:t>
      </w:r>
      <w:r>
        <w:rPr>
          <w:rFonts w:cs="David"/>
          <w:sz w:val="24"/>
          <w:rtl/>
        </w:rPr>
        <w:t>ע את סעיף 8(1) אבל לא את (2), (3) ו-(4) בנוסח המקורי. חבל שלא קיבלנו מראש את התיקון שהקראת עכשיו, כי אחרת היינו נערכים לזה.</w:t>
      </w:r>
    </w:p>
    <w:p w:rsidR="00000000" w:rsidRDefault="003F72C2">
      <w:pPr>
        <w:rPr>
          <w:rFonts w:cs="David"/>
          <w:sz w:val="24"/>
          <w:rtl/>
        </w:rPr>
      </w:pPr>
    </w:p>
    <w:p w:rsidR="00000000" w:rsidRDefault="003F72C2">
      <w:pPr>
        <w:rPr>
          <w:rFonts w:cs="David"/>
          <w:sz w:val="24"/>
          <w:rtl/>
        </w:rPr>
      </w:pPr>
      <w:r>
        <w:rPr>
          <w:rFonts w:cs="David"/>
          <w:sz w:val="24"/>
          <w:rtl/>
        </w:rPr>
        <w:br w:type="page"/>
      </w: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 xml:space="preserve"> אני רוצה להקריא לך מהתקנות החדשות של המחלקות לניתוב תיקים בבתי המשפט. אחד התפקידים שלהם לפי התקנות זה הקמה והפעלה של מ</w:t>
      </w:r>
      <w:r>
        <w:rPr>
          <w:rFonts w:cs="David"/>
          <w:sz w:val="24"/>
          <w:rtl/>
        </w:rPr>
        <w:t>נגנוני מעקב וביקורת בבתי המשפט על אופן הטיפול בתובענות, לרבות בהליכים חלופיים. גם בתי המשפט לקחו בחשבון שאחד התפקידים של המחלקות האלה הוא לקבוע מנגנוני מעקב על כל מיני סוגי של הליכים.</w:t>
      </w:r>
    </w:p>
    <w:p w:rsidR="00000000" w:rsidRDefault="003F72C2">
      <w:pPr>
        <w:rPr>
          <w:rFonts w:cs="David"/>
          <w:sz w:val="24"/>
          <w:rtl/>
        </w:rPr>
      </w:pPr>
    </w:p>
    <w:p w:rsidR="00000000" w:rsidRDefault="003F72C2">
      <w:pPr>
        <w:rPr>
          <w:rFonts w:cs="David"/>
          <w:sz w:val="24"/>
          <w:rtl/>
        </w:rPr>
      </w:pPr>
      <w:r>
        <w:rPr>
          <w:rFonts w:cs="David"/>
          <w:sz w:val="24"/>
          <w:u w:val="single"/>
          <w:rtl/>
        </w:rPr>
        <w:t>שי צרפתי:</w:t>
      </w:r>
    </w:p>
    <w:p w:rsidR="00000000" w:rsidRDefault="003F72C2">
      <w:pPr>
        <w:rPr>
          <w:rFonts w:cs="David"/>
          <w:sz w:val="24"/>
          <w:rtl/>
        </w:rPr>
      </w:pPr>
    </w:p>
    <w:p w:rsidR="00000000" w:rsidRDefault="003F72C2">
      <w:pPr>
        <w:rPr>
          <w:rFonts w:cs="David"/>
          <w:sz w:val="24"/>
          <w:rtl/>
        </w:rPr>
      </w:pPr>
      <w:r>
        <w:rPr>
          <w:rFonts w:cs="David"/>
          <w:sz w:val="24"/>
          <w:rtl/>
        </w:rPr>
        <w:tab/>
        <w:t xml:space="preserve">אנחנו צריכים תקצוב בהתאם לתוספת כוח אדם מפעלי, או שזה יוטל </w:t>
      </w:r>
      <w:r>
        <w:rPr>
          <w:rFonts w:cs="David"/>
          <w:sz w:val="24"/>
          <w:rtl/>
        </w:rPr>
        <w:t xml:space="preserve">על גוף חיצוני. </w:t>
      </w:r>
    </w:p>
    <w:p w:rsidR="00000000" w:rsidRDefault="003F72C2">
      <w:pPr>
        <w:rPr>
          <w:rFonts w:cs="David"/>
          <w:sz w:val="24"/>
          <w:rtl/>
        </w:rPr>
      </w:pPr>
    </w:p>
    <w:p w:rsidR="00000000" w:rsidRDefault="003F72C2">
      <w:pPr>
        <w:rPr>
          <w:rFonts w:cs="David"/>
          <w:sz w:val="24"/>
          <w:rtl/>
        </w:rPr>
      </w:pPr>
      <w:r>
        <w:rPr>
          <w:rFonts w:cs="David"/>
          <w:sz w:val="24"/>
          <w:u w:val="single"/>
          <w:rtl/>
        </w:rPr>
        <w:t>היו"ר מיכאל איתן:</w:t>
      </w:r>
    </w:p>
    <w:p w:rsidR="00000000" w:rsidRDefault="003F72C2">
      <w:pPr>
        <w:rPr>
          <w:rFonts w:cs="David"/>
          <w:sz w:val="24"/>
          <w:rtl/>
        </w:rPr>
      </w:pPr>
    </w:p>
    <w:p w:rsidR="00000000" w:rsidRDefault="003F72C2">
      <w:pPr>
        <w:rPr>
          <w:rFonts w:cs="David"/>
          <w:sz w:val="24"/>
          <w:rtl/>
        </w:rPr>
      </w:pPr>
      <w:r>
        <w:rPr>
          <w:rFonts w:cs="David"/>
          <w:sz w:val="24"/>
          <w:rtl/>
        </w:rPr>
        <w:tab/>
        <w:t xml:space="preserve"> אנחנו ממשיכים הלאה. </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 xml:space="preserve"> עכשיו יש כל מיני תיקונים עקיפים. תיקון אחד הוא לחוק הסניגוריה הציבורית, שיש בו סעיף שמונה את כל המקרים שבהם יש זכות לייצוג. רצינו להכניס שם גם "עבריין מין שבית המשפט החליט למנות לו סני</w:t>
      </w:r>
      <w:r>
        <w:rPr>
          <w:rFonts w:cs="David"/>
          <w:sz w:val="24"/>
          <w:rtl/>
        </w:rPr>
        <w:t xml:space="preserve">גור לפי סעיף 6 לחוק הזה". </w:t>
      </w:r>
    </w:p>
    <w:p w:rsidR="00000000" w:rsidRDefault="003F72C2">
      <w:pPr>
        <w:rPr>
          <w:rFonts w:cs="David"/>
          <w:sz w:val="24"/>
          <w:rtl/>
        </w:rPr>
      </w:pPr>
    </w:p>
    <w:p w:rsidR="00000000" w:rsidRDefault="003F72C2">
      <w:pPr>
        <w:ind w:firstLine="567"/>
        <w:rPr>
          <w:rFonts w:cs="David"/>
          <w:sz w:val="24"/>
          <w:rtl/>
        </w:rPr>
      </w:pPr>
      <w:r>
        <w:rPr>
          <w:rFonts w:cs="David"/>
          <w:sz w:val="24"/>
          <w:rtl/>
        </w:rPr>
        <w:t>יש תיקון עקיף לחוק שחרור על תנאי ממאסר, האומר שאם העבריין שוחרר בשחרור מוקדם - כלומר, הוא עדיין בפיקוח של ועדת שחרורים ויש לו רשיון של אדם ששוחרר על תנאי - מגבלות שהוטלו בבית משפט לפי החוק הזה ייכנסו כתנאים, ואם הוא מפר אותם הוא</w:t>
      </w:r>
      <w:r>
        <w:rPr>
          <w:rFonts w:cs="David"/>
          <w:sz w:val="24"/>
          <w:rtl/>
        </w:rPr>
        <w:t xml:space="preserve"> יכול להגיע לוועדת שחרורים על הפרת תנאי השחרור. התיקון אומר כך: "בסעיף 13 לחוק שחרור על תנאי מאסר, יבוא סעיף קטן (ה): מגבלות על עבריין מין שהוא משוחרר על תנאי ממאסר לפי חוק זה, אשר הוטלו בצו לפי סעיף 3 לחוק מגבלות על חזרת עבריין מין לסביבת נפגע העבירה - - </w:t>
      </w:r>
      <w:r>
        <w:rPr>
          <w:rFonts w:cs="David"/>
          <w:sz w:val="24"/>
          <w:rtl/>
        </w:rPr>
        <w:t>יהוו חלק מתנאי השחרור". בסעיף 21, שזה סעיף שאומר אלו שיקולים ועדת שחרורים לוקחת בחשבון כשהיא דנה בהפרה של תנאי שחרור, ויש שם פירוט של השיקולים שהיא לוקחת בחשבון, אנחנו נוסיף באותו סעיף "ובדיון על הפרה של מגבלות שהוטלו בצו לפי סעיף 3 לחוק מגבלות על עבריין מ</w:t>
      </w:r>
      <w:r>
        <w:rPr>
          <w:rFonts w:cs="David"/>
          <w:sz w:val="24"/>
          <w:rtl/>
        </w:rPr>
        <w:t>ין, תיתן הוועדה משקל לעניינו של נפגע העבירה".</w:t>
      </w:r>
    </w:p>
    <w:p w:rsidR="00000000" w:rsidRDefault="003F72C2">
      <w:pPr>
        <w:ind w:firstLine="567"/>
        <w:rPr>
          <w:rFonts w:cs="David"/>
          <w:sz w:val="24"/>
          <w:rtl/>
        </w:rPr>
      </w:pPr>
    </w:p>
    <w:p w:rsidR="00000000" w:rsidRDefault="003F72C2">
      <w:pPr>
        <w:rPr>
          <w:rFonts w:cs="David"/>
          <w:sz w:val="24"/>
          <w:rtl/>
        </w:rPr>
      </w:pPr>
      <w:r>
        <w:rPr>
          <w:rFonts w:cs="David"/>
          <w:sz w:val="24"/>
          <w:u w:val="single"/>
          <w:rtl/>
        </w:rPr>
        <w:t>רחל גרשוני:</w:t>
      </w:r>
    </w:p>
    <w:p w:rsidR="00000000" w:rsidRDefault="003F72C2">
      <w:pPr>
        <w:rPr>
          <w:rFonts w:cs="David"/>
          <w:sz w:val="24"/>
          <w:rtl/>
        </w:rPr>
      </w:pPr>
    </w:p>
    <w:p w:rsidR="00000000" w:rsidRDefault="003F72C2">
      <w:pPr>
        <w:ind w:firstLine="567"/>
        <w:rPr>
          <w:rFonts w:cs="David"/>
          <w:sz w:val="24"/>
          <w:rtl/>
        </w:rPr>
      </w:pPr>
      <w:r>
        <w:rPr>
          <w:rFonts w:cs="David"/>
          <w:sz w:val="24"/>
          <w:rtl/>
        </w:rPr>
        <w:t>אני התבקשתי מטעם המומחית במשרד לחוק שחרור על תנאי להגיד שהיא מתנגדת לזה, משום שהיא חושבת שזה כבר כלול בשיקולים שמנויים בסעיף קטן (ג). האמת היא שמה שכבר כתוב בסעיף קטן (ג) "ולצורך החלטה תשקול הוועד</w:t>
      </w:r>
      <w:r>
        <w:rPr>
          <w:rFonts w:cs="David"/>
          <w:sz w:val="24"/>
          <w:rtl/>
        </w:rPr>
        <w:t>ה בשיקול עיקרי את אינטרס הציבור לקיומם של תנאי השחרור על תנאי וכן תביא בחשבון את חומרתה של ההפרה, טיבה, תדירותה ומידת הסכנה הנשקפת לציבור בשלה". האמת היא שלא מוזכר שם נפגע עבירה באופן פרטני.</w:t>
      </w:r>
    </w:p>
    <w:p w:rsidR="00000000" w:rsidRDefault="003F72C2">
      <w:pPr>
        <w:ind w:firstLine="567"/>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ind w:firstLine="567"/>
        <w:rPr>
          <w:rFonts w:cs="David"/>
          <w:sz w:val="24"/>
          <w:rtl/>
        </w:rPr>
      </w:pPr>
      <w:r>
        <w:rPr>
          <w:rFonts w:cs="David"/>
          <w:sz w:val="24"/>
          <w:rtl/>
        </w:rPr>
        <w:t>לכן רצינו להוסיף את זה. להגיד שאינטרס הציבור זה עניינו</w:t>
      </w:r>
      <w:r>
        <w:rPr>
          <w:rFonts w:cs="David"/>
          <w:sz w:val="24"/>
          <w:rtl/>
        </w:rPr>
        <w:t xml:space="preserve"> הספציפי של נפגע עבירה זה לא נכון. גם בדרך כלל, אם מפרשים את זה כסיכון לנפגע, זה סיכון פיזי. </w:t>
      </w:r>
    </w:p>
    <w:p w:rsidR="00000000" w:rsidRDefault="003F72C2">
      <w:pPr>
        <w:ind w:firstLine="567"/>
        <w:rPr>
          <w:rFonts w:cs="David"/>
          <w:sz w:val="24"/>
          <w:rtl/>
        </w:rPr>
      </w:pPr>
    </w:p>
    <w:p w:rsidR="00000000" w:rsidRDefault="003F72C2">
      <w:pPr>
        <w:rPr>
          <w:rFonts w:cs="David"/>
          <w:sz w:val="24"/>
          <w:rtl/>
        </w:rPr>
      </w:pPr>
      <w:r>
        <w:rPr>
          <w:rFonts w:cs="David"/>
          <w:sz w:val="24"/>
          <w:u w:val="single"/>
          <w:rtl/>
        </w:rPr>
        <w:t>עודד ברוק:</w:t>
      </w:r>
    </w:p>
    <w:p w:rsidR="00000000" w:rsidRDefault="003F72C2">
      <w:pPr>
        <w:rPr>
          <w:rFonts w:cs="David"/>
          <w:sz w:val="24"/>
          <w:rtl/>
        </w:rPr>
      </w:pPr>
    </w:p>
    <w:p w:rsidR="00000000" w:rsidRDefault="003F72C2">
      <w:pPr>
        <w:rPr>
          <w:rFonts w:cs="David"/>
          <w:sz w:val="24"/>
          <w:rtl/>
        </w:rPr>
      </w:pPr>
      <w:r>
        <w:rPr>
          <w:rFonts w:cs="David"/>
          <w:sz w:val="24"/>
          <w:rtl/>
        </w:rPr>
        <w:tab/>
        <w:t>זה גם לא שיקול של הוועדה, היא מקבלת את זה כהנחיה של בית משפט.</w:t>
      </w:r>
    </w:p>
    <w:p w:rsidR="00000000" w:rsidRDefault="003F72C2">
      <w:pPr>
        <w:rPr>
          <w:rFonts w:cs="David"/>
          <w:sz w:val="24"/>
          <w:rtl/>
        </w:rPr>
      </w:pPr>
    </w:p>
    <w:p w:rsidR="00000000" w:rsidRDefault="003F72C2">
      <w:pPr>
        <w:rPr>
          <w:rFonts w:cs="David"/>
          <w:sz w:val="24"/>
          <w:rtl/>
        </w:rPr>
      </w:pPr>
      <w:r>
        <w:rPr>
          <w:rFonts w:cs="David"/>
          <w:sz w:val="24"/>
          <w:u w:val="single"/>
          <w:rtl/>
        </w:rPr>
        <w:t>יצחק לוי:</w:t>
      </w:r>
    </w:p>
    <w:p w:rsidR="00000000" w:rsidRDefault="003F72C2">
      <w:pPr>
        <w:rPr>
          <w:rFonts w:cs="David"/>
          <w:sz w:val="24"/>
          <w:rtl/>
        </w:rPr>
      </w:pPr>
    </w:p>
    <w:p w:rsidR="00000000" w:rsidRDefault="003F72C2">
      <w:pPr>
        <w:rPr>
          <w:rFonts w:cs="David"/>
          <w:sz w:val="24"/>
          <w:rtl/>
        </w:rPr>
      </w:pPr>
      <w:r>
        <w:rPr>
          <w:rFonts w:cs="David"/>
          <w:sz w:val="24"/>
          <w:rtl/>
        </w:rPr>
        <w:tab/>
        <w:t xml:space="preserve"> אני חושב שצריך למחוק את הסעיף הזה, מכיוון שטובת הנפגע לא צריכה להיות שיק</w:t>
      </w:r>
      <w:r>
        <w:rPr>
          <w:rFonts w:cs="David"/>
          <w:sz w:val="24"/>
          <w:rtl/>
        </w:rPr>
        <w:t xml:space="preserve">ול להארכת מאסר. </w:t>
      </w:r>
    </w:p>
    <w:p w:rsidR="00000000" w:rsidRDefault="003F72C2">
      <w:pPr>
        <w:rPr>
          <w:rFonts w:cs="David"/>
          <w:sz w:val="24"/>
          <w:rtl/>
        </w:rPr>
      </w:pPr>
    </w:p>
    <w:p w:rsidR="00000000" w:rsidRDefault="003F72C2">
      <w:pPr>
        <w:rPr>
          <w:rFonts w:cs="David"/>
          <w:sz w:val="24"/>
          <w:rtl/>
        </w:rPr>
      </w:pPr>
      <w:r>
        <w:rPr>
          <w:rFonts w:cs="David"/>
          <w:sz w:val="24"/>
          <w:u w:val="single"/>
          <w:rtl/>
        </w:rPr>
        <w:br w:type="page"/>
        <w:t>תמי סלע:</w:t>
      </w:r>
    </w:p>
    <w:p w:rsidR="00000000" w:rsidRDefault="003F72C2">
      <w:pPr>
        <w:rPr>
          <w:rFonts w:cs="David"/>
          <w:sz w:val="24"/>
          <w:rtl/>
        </w:rPr>
      </w:pPr>
    </w:p>
    <w:p w:rsidR="00000000" w:rsidRDefault="003F72C2">
      <w:pPr>
        <w:rPr>
          <w:rFonts w:cs="David"/>
          <w:sz w:val="24"/>
          <w:rtl/>
        </w:rPr>
      </w:pPr>
      <w:r>
        <w:rPr>
          <w:rFonts w:cs="David"/>
          <w:sz w:val="24"/>
          <w:rtl/>
        </w:rPr>
        <w:tab/>
        <w:t xml:space="preserve"> לא מדובר על הארכת מאסר. הוא קיבל שחרור מוקדם, עשו לו תנאים מסוימים. </w:t>
      </w:r>
    </w:p>
    <w:p w:rsidR="00000000" w:rsidRDefault="003F72C2">
      <w:pPr>
        <w:rPr>
          <w:rFonts w:cs="David"/>
          <w:sz w:val="24"/>
          <w:rtl/>
        </w:rPr>
      </w:pPr>
    </w:p>
    <w:p w:rsidR="00000000" w:rsidRDefault="003F72C2">
      <w:pPr>
        <w:rPr>
          <w:rFonts w:cs="David"/>
          <w:sz w:val="24"/>
          <w:rtl/>
        </w:rPr>
      </w:pPr>
      <w:r>
        <w:rPr>
          <w:rFonts w:cs="David"/>
          <w:sz w:val="24"/>
          <w:u w:val="single"/>
          <w:rtl/>
        </w:rPr>
        <w:t>עודד ברוק:</w:t>
      </w:r>
    </w:p>
    <w:p w:rsidR="00000000" w:rsidRDefault="003F72C2">
      <w:pPr>
        <w:rPr>
          <w:rFonts w:cs="David"/>
          <w:sz w:val="24"/>
          <w:rtl/>
        </w:rPr>
      </w:pPr>
    </w:p>
    <w:p w:rsidR="00000000" w:rsidRDefault="003F72C2">
      <w:pPr>
        <w:rPr>
          <w:rFonts w:cs="David"/>
          <w:sz w:val="24"/>
          <w:rtl/>
        </w:rPr>
      </w:pPr>
      <w:r>
        <w:rPr>
          <w:rFonts w:cs="David"/>
          <w:sz w:val="24"/>
          <w:rtl/>
        </w:rPr>
        <w:tab/>
        <w:t>במסגרת השחרור יחולו התנאים של בית המשפט, זה בכלל לא עניין של ועדת שחרורים.</w:t>
      </w:r>
    </w:p>
    <w:p w:rsidR="00000000" w:rsidRDefault="003F72C2">
      <w:pPr>
        <w:rPr>
          <w:rFonts w:cs="David"/>
          <w:sz w:val="24"/>
          <w:rtl/>
        </w:rPr>
      </w:pPr>
    </w:p>
    <w:p w:rsidR="00000000" w:rsidRDefault="003F72C2">
      <w:pPr>
        <w:rPr>
          <w:rFonts w:cs="David"/>
          <w:sz w:val="24"/>
          <w:rtl/>
        </w:rPr>
      </w:pPr>
      <w:r>
        <w:rPr>
          <w:rFonts w:cs="David"/>
          <w:sz w:val="24"/>
          <w:u w:val="single"/>
          <w:rtl/>
        </w:rPr>
        <w:t>יצחק לוי:</w:t>
      </w:r>
    </w:p>
    <w:p w:rsidR="00000000" w:rsidRDefault="003F72C2">
      <w:pPr>
        <w:rPr>
          <w:rFonts w:cs="David"/>
          <w:sz w:val="24"/>
          <w:rtl/>
        </w:rPr>
      </w:pPr>
    </w:p>
    <w:p w:rsidR="00000000" w:rsidRDefault="003F72C2">
      <w:pPr>
        <w:rPr>
          <w:rFonts w:cs="David"/>
          <w:sz w:val="24"/>
          <w:rtl/>
        </w:rPr>
      </w:pPr>
      <w:r>
        <w:rPr>
          <w:rFonts w:cs="David"/>
          <w:sz w:val="24"/>
          <w:rtl/>
        </w:rPr>
        <w:tab/>
        <w:t xml:space="preserve"> נכון, זה לא צריך להיות בתנאים לשחרור מוקדם. </w:t>
      </w:r>
    </w:p>
    <w:p w:rsidR="00000000" w:rsidRDefault="003F72C2">
      <w:pPr>
        <w:rPr>
          <w:rFonts w:cs="David"/>
          <w:sz w:val="24"/>
          <w:rtl/>
        </w:rPr>
      </w:pPr>
    </w:p>
    <w:p w:rsidR="00000000" w:rsidRDefault="003F72C2">
      <w:pPr>
        <w:rPr>
          <w:rFonts w:cs="David"/>
          <w:sz w:val="24"/>
          <w:rtl/>
        </w:rPr>
      </w:pPr>
      <w:r>
        <w:rPr>
          <w:rFonts w:cs="David"/>
          <w:sz w:val="24"/>
          <w:u w:val="single"/>
          <w:rtl/>
        </w:rPr>
        <w:t>יצחק לו</w:t>
      </w:r>
      <w:r>
        <w:rPr>
          <w:rFonts w:cs="David"/>
          <w:sz w:val="24"/>
          <w:u w:val="single"/>
          <w:rtl/>
        </w:rPr>
        <w:t>י:</w:t>
      </w:r>
    </w:p>
    <w:p w:rsidR="00000000" w:rsidRDefault="003F72C2">
      <w:pPr>
        <w:rPr>
          <w:rFonts w:cs="David"/>
          <w:sz w:val="24"/>
          <w:rtl/>
        </w:rPr>
      </w:pPr>
    </w:p>
    <w:p w:rsidR="00000000" w:rsidRDefault="003F72C2">
      <w:pPr>
        <w:rPr>
          <w:rFonts w:cs="David"/>
          <w:sz w:val="24"/>
          <w:rtl/>
        </w:rPr>
      </w:pPr>
      <w:r>
        <w:rPr>
          <w:rFonts w:cs="David"/>
          <w:sz w:val="24"/>
          <w:rtl/>
        </w:rPr>
        <w:tab/>
        <w:t xml:space="preserve"> ניקח שני מקרים. אחד שקיבל מאסר של שלוש שנים ואחד שקיבל שלושים שנה בבית סוהר. על הפרת התנאי, את זה מחזירים לבית הסוהר לשנה ואת זה מחזירים לעשר שנים. </w:t>
      </w:r>
    </w:p>
    <w:p w:rsidR="00000000" w:rsidRDefault="003F72C2">
      <w:pPr>
        <w:rPr>
          <w:rFonts w:cs="David"/>
          <w:sz w:val="24"/>
          <w:rtl/>
        </w:rPr>
      </w:pPr>
    </w:p>
    <w:p w:rsidR="00000000" w:rsidRDefault="003F72C2">
      <w:pPr>
        <w:rPr>
          <w:rFonts w:cs="David"/>
          <w:sz w:val="24"/>
          <w:rtl/>
        </w:rPr>
      </w:pPr>
      <w:r>
        <w:rPr>
          <w:rFonts w:cs="David"/>
          <w:sz w:val="24"/>
          <w:u w:val="single"/>
          <w:rtl/>
        </w:rPr>
        <w:t>היו"ר מיכאל איתן:</w:t>
      </w:r>
    </w:p>
    <w:p w:rsidR="00000000" w:rsidRDefault="003F72C2">
      <w:pPr>
        <w:rPr>
          <w:rFonts w:cs="David"/>
          <w:sz w:val="24"/>
          <w:rtl/>
        </w:rPr>
      </w:pPr>
    </w:p>
    <w:p w:rsidR="00000000" w:rsidRDefault="003F72C2">
      <w:pPr>
        <w:rPr>
          <w:rFonts w:cs="David"/>
          <w:sz w:val="24"/>
          <w:rtl/>
        </w:rPr>
      </w:pPr>
      <w:r>
        <w:rPr>
          <w:rFonts w:cs="David"/>
          <w:sz w:val="24"/>
          <w:rtl/>
        </w:rPr>
        <w:tab/>
        <w:t xml:space="preserve">זה לא כך. כשאדם משתחרר מהכלא ויש תנאים לשחרורו, בכל התקופה של השחרור המוקדם הוא </w:t>
      </w:r>
      <w:r>
        <w:rPr>
          <w:rFonts w:cs="David"/>
          <w:sz w:val="24"/>
          <w:rtl/>
        </w:rPr>
        <w:t>בעצם בסטטוס של אסיר על תנאי. בפילוסופיה של העניין, אחת הסיבות להכנסת אדם למעמד של אסיר זה הרחקתו, היא בידודו למניעת פגיעות נוספות. אנחנו עכשיו נמצאים בסיטואציה שבה הוא מקבל זכות להשתחרר לפני הזמן והזכות הזאת עלולה לפגוע בקורבן העבירה. בית המשפט קבע שכתוצאה</w:t>
      </w:r>
      <w:r>
        <w:rPr>
          <w:rFonts w:cs="David"/>
          <w:sz w:val="24"/>
          <w:rtl/>
        </w:rPr>
        <w:t xml:space="preserve"> מזה שהוא יחזור, קורבן העבירה ייפגע. אז אומרים לאסיר המשוחרר: אתה תקבל את הזכויות שלך, אבל בתנאי שאתה לא בא למקום שזה יפגע. בעקבות זה שבית המשפט ישלח את ההודעה לוועדת השחרורים, בטוח שוועדת השחרורים תקבע את זה בכתב השחרור. ההנחה שלנו היא שהוועדה תמיד תאמץ א</w:t>
      </w:r>
      <w:r>
        <w:rPr>
          <w:rFonts w:cs="David"/>
          <w:sz w:val="24"/>
          <w:rtl/>
        </w:rPr>
        <w:t xml:space="preserve">ת החלטות בית המשפט, רק פה אנחנו אומרים לה בחוק: במקום שתקבלו את ההוראה הזאת מבית המשפט, תעשו את זה באופן אוטומטי. </w:t>
      </w:r>
    </w:p>
    <w:p w:rsidR="00000000" w:rsidRDefault="003F72C2">
      <w:pPr>
        <w:rPr>
          <w:rFonts w:cs="David"/>
          <w:sz w:val="24"/>
          <w:rtl/>
        </w:rPr>
      </w:pPr>
    </w:p>
    <w:p w:rsidR="00000000" w:rsidRDefault="003F72C2">
      <w:pPr>
        <w:tabs>
          <w:tab w:val="left" w:pos="512"/>
        </w:tabs>
        <w:rPr>
          <w:rFonts w:cs="David"/>
          <w:sz w:val="24"/>
          <w:rtl/>
        </w:rPr>
      </w:pPr>
      <w:r>
        <w:rPr>
          <w:rFonts w:cs="David"/>
          <w:sz w:val="24"/>
          <w:u w:val="single"/>
          <w:rtl/>
        </w:rPr>
        <w:t>אליעזר כהן:</w:t>
      </w:r>
    </w:p>
    <w:p w:rsidR="00000000" w:rsidRDefault="003F72C2">
      <w:pPr>
        <w:tabs>
          <w:tab w:val="left" w:pos="512"/>
        </w:tabs>
        <w:rPr>
          <w:rFonts w:cs="David"/>
          <w:sz w:val="24"/>
          <w:rtl/>
        </w:rPr>
      </w:pPr>
    </w:p>
    <w:p w:rsidR="00000000" w:rsidRDefault="003F72C2">
      <w:pPr>
        <w:rPr>
          <w:rFonts w:cs="David"/>
          <w:sz w:val="24"/>
          <w:rtl/>
        </w:rPr>
      </w:pPr>
      <w:r>
        <w:rPr>
          <w:rFonts w:cs="David"/>
          <w:sz w:val="24"/>
          <w:rtl/>
        </w:rPr>
        <w:tab/>
        <w:t xml:space="preserve"> שיכנעת אותנו להשאיר את הסעיף כמו שהוא. </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 xml:space="preserve"> עכשיו יש פה סעיף שיש לו שני חלקים, אחד הוא הוראת שעה והשני הוא תחילה והו</w:t>
      </w:r>
      <w:r>
        <w:rPr>
          <w:rFonts w:cs="David"/>
          <w:sz w:val="24"/>
          <w:rtl/>
        </w:rPr>
        <w:t xml:space="preserve">ראות מעבר. השאלה בחלק השני היא על מי זה יחול, עד כמה זה יחול גם על עבריין מין שהורשע לפני שהחוק נכנס לתוקף אבל עכשיו הוא במאסר והוא משתחרר. </w:t>
      </w:r>
    </w:p>
    <w:p w:rsidR="00000000" w:rsidRDefault="003F72C2">
      <w:pPr>
        <w:rPr>
          <w:rFonts w:cs="David"/>
          <w:sz w:val="24"/>
          <w:rtl/>
        </w:rPr>
      </w:pPr>
    </w:p>
    <w:p w:rsidR="00000000" w:rsidRDefault="003F72C2">
      <w:pPr>
        <w:rPr>
          <w:rFonts w:cs="David"/>
          <w:sz w:val="24"/>
          <w:rtl/>
        </w:rPr>
      </w:pPr>
      <w:r>
        <w:rPr>
          <w:rFonts w:cs="David"/>
          <w:sz w:val="24"/>
          <w:rtl/>
        </w:rPr>
        <w:tab/>
        <w:t>האם החלטתם שזה לא יהיה הוראת שעה?</w:t>
      </w:r>
    </w:p>
    <w:p w:rsidR="00000000" w:rsidRDefault="003F72C2">
      <w:pPr>
        <w:rPr>
          <w:rFonts w:cs="David"/>
          <w:sz w:val="24"/>
          <w:rtl/>
        </w:rPr>
      </w:pPr>
    </w:p>
    <w:p w:rsidR="00000000" w:rsidRDefault="003F72C2">
      <w:pPr>
        <w:tabs>
          <w:tab w:val="left" w:pos="512"/>
        </w:tabs>
        <w:rPr>
          <w:rFonts w:cs="David"/>
          <w:sz w:val="24"/>
          <w:rtl/>
        </w:rPr>
      </w:pPr>
      <w:r>
        <w:rPr>
          <w:rFonts w:cs="David"/>
          <w:sz w:val="24"/>
          <w:u w:val="single"/>
          <w:rtl/>
        </w:rPr>
        <w:t>אליעזר כהן:</w:t>
      </w:r>
    </w:p>
    <w:p w:rsidR="00000000" w:rsidRDefault="003F72C2">
      <w:pPr>
        <w:tabs>
          <w:tab w:val="left" w:pos="512"/>
        </w:tabs>
        <w:rPr>
          <w:rFonts w:cs="David"/>
          <w:sz w:val="24"/>
          <w:rtl/>
        </w:rPr>
      </w:pPr>
    </w:p>
    <w:p w:rsidR="00000000" w:rsidRDefault="003F72C2">
      <w:pPr>
        <w:rPr>
          <w:rFonts w:cs="David"/>
          <w:sz w:val="24"/>
          <w:rtl/>
        </w:rPr>
      </w:pPr>
      <w:r>
        <w:rPr>
          <w:rFonts w:cs="David"/>
          <w:sz w:val="24"/>
          <w:rtl/>
        </w:rPr>
        <w:tab/>
        <w:t xml:space="preserve"> אני נגד שזה יהיה הוראת שעה. </w:t>
      </w:r>
    </w:p>
    <w:p w:rsidR="00000000" w:rsidRDefault="003F72C2">
      <w:pPr>
        <w:rPr>
          <w:rFonts w:cs="David"/>
          <w:sz w:val="24"/>
          <w:rtl/>
        </w:rPr>
      </w:pPr>
    </w:p>
    <w:p w:rsidR="00000000" w:rsidRDefault="003F72C2">
      <w:pPr>
        <w:rPr>
          <w:rFonts w:cs="David"/>
          <w:sz w:val="24"/>
          <w:rtl/>
        </w:rPr>
      </w:pPr>
      <w:r>
        <w:rPr>
          <w:rFonts w:cs="David"/>
          <w:sz w:val="24"/>
          <w:u w:val="single"/>
          <w:rtl/>
        </w:rPr>
        <w:t>יצחק לוי:</w:t>
      </w:r>
    </w:p>
    <w:p w:rsidR="00000000" w:rsidRDefault="003F72C2">
      <w:pPr>
        <w:rPr>
          <w:rFonts w:cs="David"/>
          <w:sz w:val="24"/>
          <w:rtl/>
        </w:rPr>
      </w:pPr>
    </w:p>
    <w:p w:rsidR="00000000" w:rsidRDefault="003F72C2">
      <w:pPr>
        <w:rPr>
          <w:rFonts w:cs="David"/>
          <w:sz w:val="24"/>
          <w:rtl/>
        </w:rPr>
      </w:pPr>
      <w:r>
        <w:rPr>
          <w:rFonts w:cs="David"/>
          <w:sz w:val="24"/>
          <w:rtl/>
        </w:rPr>
        <w:tab/>
        <w:t xml:space="preserve"> זה לא ראוי שזה יהיה </w:t>
      </w:r>
      <w:r>
        <w:rPr>
          <w:rFonts w:cs="David"/>
          <w:sz w:val="24"/>
          <w:rtl/>
        </w:rPr>
        <w:t xml:space="preserve">הוראת שעה. </w:t>
      </w:r>
    </w:p>
    <w:p w:rsidR="00000000" w:rsidRDefault="003F72C2">
      <w:pPr>
        <w:rPr>
          <w:rFonts w:cs="David"/>
          <w:sz w:val="24"/>
          <w:rtl/>
        </w:rPr>
      </w:pPr>
    </w:p>
    <w:p w:rsidR="00000000" w:rsidRDefault="003F72C2">
      <w:pPr>
        <w:rPr>
          <w:rFonts w:cs="David"/>
          <w:sz w:val="24"/>
          <w:rtl/>
        </w:rPr>
      </w:pPr>
      <w:r>
        <w:rPr>
          <w:rFonts w:cs="David"/>
          <w:sz w:val="24"/>
          <w:u w:val="single"/>
          <w:rtl/>
        </w:rPr>
        <w:t>רחל גרשוני:</w:t>
      </w:r>
    </w:p>
    <w:p w:rsidR="00000000" w:rsidRDefault="003F72C2">
      <w:pPr>
        <w:rPr>
          <w:rFonts w:cs="David"/>
          <w:sz w:val="24"/>
          <w:rtl/>
        </w:rPr>
      </w:pPr>
    </w:p>
    <w:p w:rsidR="00000000" w:rsidRDefault="003F72C2">
      <w:pPr>
        <w:rPr>
          <w:rFonts w:cs="David"/>
          <w:sz w:val="24"/>
          <w:rtl/>
        </w:rPr>
      </w:pPr>
      <w:r>
        <w:rPr>
          <w:rFonts w:cs="David"/>
          <w:sz w:val="24"/>
          <w:rtl/>
        </w:rPr>
        <w:tab/>
        <w:t xml:space="preserve"> אם עושים הוראת שעה, נודף מזה ריח שלא מסכימים לרעיון. או שהולכים עם החוק או שלא. מה יקרה אחרי שלוש שנים?</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 xml:space="preserve"> הרעיון של הוראת שעה הוא רק כדי לחייב את המחוקק לתת את דעתו אחרי תקופה מסוימת האם רוצה שהחוק הזה יהיה חוק של קבע</w:t>
      </w:r>
      <w:r>
        <w:rPr>
          <w:rFonts w:cs="David"/>
          <w:sz w:val="24"/>
          <w:rtl/>
        </w:rPr>
        <w:t xml:space="preserve"> או לא. זאת החלטה שלכם אם לקבוע את זה כהוראת שעה. זה לא דבר שהוא מקובל. יש מדינות אחרות שזה יותר מקובל - למשל לגבי הטרור יש מדינות שאומרות אחרי כמה וכמה שנים שחייבים לחוקק מחדש. </w:t>
      </w:r>
    </w:p>
    <w:p w:rsidR="00000000" w:rsidRDefault="003F72C2">
      <w:pPr>
        <w:rPr>
          <w:rFonts w:cs="David"/>
          <w:sz w:val="24"/>
          <w:rtl/>
        </w:rPr>
      </w:pPr>
    </w:p>
    <w:p w:rsidR="00000000" w:rsidRDefault="003F72C2">
      <w:pPr>
        <w:rPr>
          <w:rFonts w:cs="David"/>
          <w:sz w:val="24"/>
          <w:rtl/>
        </w:rPr>
      </w:pPr>
      <w:r>
        <w:rPr>
          <w:rFonts w:cs="David"/>
          <w:sz w:val="24"/>
          <w:u w:val="single"/>
          <w:rtl/>
        </w:rPr>
        <w:t>דוד וינר:</w:t>
      </w:r>
    </w:p>
    <w:p w:rsidR="00000000" w:rsidRDefault="003F72C2">
      <w:pPr>
        <w:rPr>
          <w:rFonts w:cs="David"/>
          <w:sz w:val="24"/>
          <w:rtl/>
        </w:rPr>
      </w:pPr>
    </w:p>
    <w:p w:rsidR="00000000" w:rsidRDefault="003F72C2">
      <w:pPr>
        <w:rPr>
          <w:rFonts w:cs="David"/>
          <w:sz w:val="24"/>
          <w:rtl/>
        </w:rPr>
      </w:pPr>
      <w:r>
        <w:rPr>
          <w:rFonts w:cs="David"/>
          <w:sz w:val="24"/>
          <w:rtl/>
        </w:rPr>
        <w:tab/>
        <w:t>אם עשיתם דבר כל כך חסר תקדים בעולם, למה שלא תבחנו את זה אחרי תקו</w:t>
      </w:r>
      <w:r>
        <w:rPr>
          <w:rFonts w:cs="David"/>
          <w:sz w:val="24"/>
          <w:rtl/>
        </w:rPr>
        <w:t>פה מסוימת.</w:t>
      </w:r>
    </w:p>
    <w:p w:rsidR="00000000" w:rsidRDefault="003F72C2">
      <w:pPr>
        <w:rPr>
          <w:rFonts w:cs="David"/>
          <w:sz w:val="24"/>
          <w:rtl/>
        </w:rPr>
      </w:pPr>
    </w:p>
    <w:p w:rsidR="00000000" w:rsidRDefault="003F72C2">
      <w:pPr>
        <w:tabs>
          <w:tab w:val="left" w:pos="512"/>
        </w:tabs>
        <w:rPr>
          <w:rFonts w:cs="David"/>
          <w:sz w:val="24"/>
          <w:rtl/>
        </w:rPr>
      </w:pPr>
      <w:r>
        <w:rPr>
          <w:rFonts w:cs="David"/>
          <w:sz w:val="24"/>
          <w:u w:val="single"/>
          <w:rtl/>
        </w:rPr>
        <w:t>אליעזר כהן:</w:t>
      </w:r>
    </w:p>
    <w:p w:rsidR="00000000" w:rsidRDefault="003F72C2">
      <w:pPr>
        <w:tabs>
          <w:tab w:val="left" w:pos="512"/>
        </w:tabs>
        <w:rPr>
          <w:rFonts w:cs="David"/>
          <w:sz w:val="24"/>
          <w:rtl/>
        </w:rPr>
      </w:pPr>
    </w:p>
    <w:p w:rsidR="00000000" w:rsidRDefault="003F72C2">
      <w:pPr>
        <w:rPr>
          <w:rFonts w:cs="David"/>
          <w:sz w:val="24"/>
          <w:rtl/>
        </w:rPr>
      </w:pPr>
      <w:r>
        <w:rPr>
          <w:rFonts w:cs="David"/>
          <w:sz w:val="24"/>
          <w:rtl/>
        </w:rPr>
        <w:tab/>
        <w:t xml:space="preserve"> הבחינה היא בסעיף 8.</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 xml:space="preserve"> אומרים שעצם זה שיהיה דיווח פעם בשנה למשך שלוש שנים זה יאפשר בחינה של החוק, ואם ירצו לבטל את החוק יבטלו. אפשר ללכת מהכיוון הזה.</w:t>
      </w:r>
    </w:p>
    <w:p w:rsidR="00000000" w:rsidRDefault="003F72C2">
      <w:pPr>
        <w:rPr>
          <w:rFonts w:cs="David"/>
          <w:sz w:val="24"/>
          <w:rtl/>
        </w:rPr>
      </w:pPr>
    </w:p>
    <w:p w:rsidR="00000000" w:rsidRDefault="003F72C2">
      <w:pPr>
        <w:rPr>
          <w:rFonts w:cs="David"/>
          <w:sz w:val="24"/>
          <w:rtl/>
        </w:rPr>
      </w:pPr>
      <w:r>
        <w:rPr>
          <w:rFonts w:cs="David"/>
          <w:sz w:val="24"/>
          <w:u w:val="single"/>
          <w:rtl/>
        </w:rPr>
        <w:t>היו"ר מיכאל איתן:</w:t>
      </w:r>
    </w:p>
    <w:p w:rsidR="00000000" w:rsidRDefault="003F72C2">
      <w:pPr>
        <w:rPr>
          <w:rFonts w:cs="David"/>
          <w:sz w:val="24"/>
          <w:rtl/>
        </w:rPr>
      </w:pPr>
    </w:p>
    <w:p w:rsidR="00000000" w:rsidRDefault="003F72C2">
      <w:pPr>
        <w:rPr>
          <w:rFonts w:cs="David"/>
          <w:sz w:val="24"/>
          <w:rtl/>
        </w:rPr>
      </w:pPr>
      <w:r>
        <w:rPr>
          <w:rFonts w:cs="David"/>
          <w:sz w:val="24"/>
          <w:rtl/>
        </w:rPr>
        <w:tab/>
        <w:t xml:space="preserve"> אני מקבל את הדברים של היועצת המשפטית. הוועדה קי</w:t>
      </w:r>
      <w:r>
        <w:rPr>
          <w:rFonts w:cs="David"/>
          <w:sz w:val="24"/>
          <w:rtl/>
        </w:rPr>
        <w:t>בלה את המימד של החדשנות ושל הבחינה בכך שבשלוש השנים הבאות יהיה דיון על החוק הזה בוועדה. אם תוך כדי הפקת הלקחים הוועדה תגיע למסקנה שצריך לעשות שינויים או לבטל את החוק, יהיו כאן מספיק חברים שיגישו הצעות, וכנ"ל משרד המשפטים. אמרנו כבר שאנחנו בוחנים את זה שלוש</w:t>
      </w:r>
      <w:r>
        <w:rPr>
          <w:rFonts w:cs="David"/>
          <w:sz w:val="24"/>
          <w:rtl/>
        </w:rPr>
        <w:t xml:space="preserve"> פעמים בשלוש השנים הקרובות.</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 xml:space="preserve"> לעניין מועד התחילה, לפני שנגיע להוראת המעבר, חשבתי שצריך לתת תקופה ממועד הפרסום ועד שזה ייכנס לתוקף. השאלה כמה זמן לתת. בסך-הכל הנפגע פה מגיש את הבקשה ופסיכולוגים יודעים לתת חוות דעת. </w:t>
      </w:r>
    </w:p>
    <w:p w:rsidR="00000000" w:rsidRDefault="003F72C2">
      <w:pPr>
        <w:rPr>
          <w:rFonts w:cs="David"/>
          <w:sz w:val="24"/>
          <w:rtl/>
        </w:rPr>
      </w:pPr>
    </w:p>
    <w:p w:rsidR="00000000" w:rsidRDefault="003F72C2">
      <w:pPr>
        <w:rPr>
          <w:rFonts w:cs="David"/>
          <w:sz w:val="24"/>
          <w:rtl/>
        </w:rPr>
      </w:pPr>
      <w:r>
        <w:rPr>
          <w:rFonts w:cs="David"/>
          <w:sz w:val="24"/>
          <w:u w:val="single"/>
          <w:rtl/>
        </w:rPr>
        <w:t>יצחק לוי:</w:t>
      </w:r>
    </w:p>
    <w:p w:rsidR="00000000" w:rsidRDefault="003F72C2">
      <w:pPr>
        <w:rPr>
          <w:rFonts w:cs="David"/>
          <w:sz w:val="24"/>
          <w:rtl/>
        </w:rPr>
      </w:pPr>
    </w:p>
    <w:p w:rsidR="00000000" w:rsidRDefault="003F72C2">
      <w:pPr>
        <w:rPr>
          <w:rFonts w:cs="David"/>
          <w:sz w:val="24"/>
          <w:rtl/>
        </w:rPr>
      </w:pPr>
      <w:r>
        <w:rPr>
          <w:rFonts w:cs="David"/>
          <w:sz w:val="24"/>
          <w:rtl/>
        </w:rPr>
        <w:tab/>
        <w:t xml:space="preserve"> השאלה איזה סוג ש</w:t>
      </w:r>
      <w:r>
        <w:rPr>
          <w:rFonts w:cs="David"/>
          <w:sz w:val="24"/>
          <w:rtl/>
        </w:rPr>
        <w:t>ל היערכות צריך.</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 xml:space="preserve"> שלושה חודשים נראה לי מספיק, מה גם שאין פה היערכות דרמטית מבחינת המשרדים למעט זה שהשופטים יֵדעו שיש הליך חדש. </w:t>
      </w:r>
    </w:p>
    <w:p w:rsidR="00000000" w:rsidRDefault="003F72C2">
      <w:pPr>
        <w:rPr>
          <w:rFonts w:cs="David"/>
          <w:sz w:val="24"/>
          <w:rtl/>
        </w:rPr>
      </w:pPr>
    </w:p>
    <w:p w:rsidR="00000000" w:rsidRDefault="003F72C2">
      <w:pPr>
        <w:rPr>
          <w:rFonts w:cs="David"/>
          <w:sz w:val="24"/>
          <w:rtl/>
        </w:rPr>
      </w:pPr>
      <w:r>
        <w:rPr>
          <w:rFonts w:cs="David"/>
          <w:sz w:val="24"/>
          <w:u w:val="single"/>
          <w:rtl/>
        </w:rPr>
        <w:t>שי צרפתי:</w:t>
      </w:r>
    </w:p>
    <w:p w:rsidR="00000000" w:rsidRDefault="003F72C2">
      <w:pPr>
        <w:rPr>
          <w:rFonts w:cs="David"/>
          <w:sz w:val="24"/>
          <w:rtl/>
        </w:rPr>
      </w:pPr>
    </w:p>
    <w:p w:rsidR="00000000" w:rsidRDefault="003F72C2">
      <w:pPr>
        <w:rPr>
          <w:rFonts w:cs="David"/>
          <w:sz w:val="24"/>
          <w:rtl/>
        </w:rPr>
      </w:pPr>
      <w:r>
        <w:rPr>
          <w:rFonts w:cs="David"/>
          <w:sz w:val="24"/>
          <w:rtl/>
        </w:rPr>
        <w:tab/>
        <w:t xml:space="preserve">אנחנו מעוניינים ביותר משלושה חודשים. אנחנו רוצים להיערך לזה. </w:t>
      </w:r>
    </w:p>
    <w:p w:rsidR="00000000" w:rsidRDefault="003F72C2">
      <w:pPr>
        <w:rPr>
          <w:rFonts w:cs="David"/>
          <w:sz w:val="24"/>
          <w:rtl/>
        </w:rPr>
      </w:pPr>
    </w:p>
    <w:p w:rsidR="00000000" w:rsidRDefault="003F72C2">
      <w:pPr>
        <w:rPr>
          <w:rFonts w:cs="David"/>
          <w:sz w:val="24"/>
          <w:rtl/>
        </w:rPr>
      </w:pPr>
      <w:r>
        <w:rPr>
          <w:rFonts w:cs="David"/>
          <w:sz w:val="24"/>
          <w:u w:val="single"/>
          <w:rtl/>
        </w:rPr>
        <w:t>יצחק לוי:</w:t>
      </w:r>
    </w:p>
    <w:p w:rsidR="00000000" w:rsidRDefault="003F72C2">
      <w:pPr>
        <w:rPr>
          <w:rFonts w:cs="David"/>
          <w:sz w:val="24"/>
          <w:rtl/>
        </w:rPr>
      </w:pPr>
    </w:p>
    <w:p w:rsidR="00000000" w:rsidRDefault="003F72C2">
      <w:pPr>
        <w:rPr>
          <w:rFonts w:cs="David"/>
          <w:sz w:val="24"/>
          <w:rtl/>
        </w:rPr>
      </w:pPr>
      <w:r>
        <w:rPr>
          <w:rFonts w:cs="David"/>
          <w:sz w:val="24"/>
          <w:rtl/>
        </w:rPr>
        <w:tab/>
        <w:t xml:space="preserve"> אני מציע שהתחילה תהיה ב-1.1.</w:t>
      </w:r>
      <w:r>
        <w:rPr>
          <w:rFonts w:cs="David"/>
          <w:sz w:val="24"/>
          <w:rtl/>
        </w:rPr>
        <w:t>2005. מבחינה תקציבית זה מסתדר.</w:t>
      </w:r>
    </w:p>
    <w:p w:rsidR="00000000" w:rsidRDefault="003F72C2">
      <w:pPr>
        <w:rPr>
          <w:rFonts w:cs="David"/>
          <w:sz w:val="24"/>
          <w:rtl/>
        </w:rPr>
      </w:pPr>
    </w:p>
    <w:p w:rsidR="00000000" w:rsidRDefault="003F72C2">
      <w:pPr>
        <w:rPr>
          <w:rFonts w:cs="David"/>
          <w:sz w:val="24"/>
          <w:rtl/>
        </w:rPr>
      </w:pPr>
      <w:r>
        <w:rPr>
          <w:rFonts w:cs="David"/>
          <w:sz w:val="24"/>
          <w:u w:val="single"/>
          <w:rtl/>
        </w:rPr>
        <w:t>היו"ר מיכאל איתן:</w:t>
      </w:r>
    </w:p>
    <w:p w:rsidR="00000000" w:rsidRDefault="003F72C2">
      <w:pPr>
        <w:rPr>
          <w:rFonts w:cs="David"/>
          <w:sz w:val="24"/>
          <w:rtl/>
        </w:rPr>
      </w:pPr>
    </w:p>
    <w:p w:rsidR="00000000" w:rsidRDefault="003F72C2">
      <w:pPr>
        <w:rPr>
          <w:rFonts w:cs="David"/>
          <w:sz w:val="24"/>
          <w:rtl/>
        </w:rPr>
      </w:pPr>
      <w:r>
        <w:rPr>
          <w:rFonts w:cs="David"/>
          <w:sz w:val="24"/>
          <w:rtl/>
        </w:rPr>
        <w:tab/>
        <w:t xml:space="preserve"> התחילה תהיה ב-1 בינואר 2005.</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 xml:space="preserve"> לעניין הוראות המעבר - על מי זה יחול? המחשבה שלנו היתה שמכיוון שהמטרה פה היא להגן על הנפגע, והתפיסה היא שזה לא הטלת עונש על העבריין, בהחלט ראוי להטיל מגבלות כאלה </w:t>
      </w:r>
      <w:r>
        <w:rPr>
          <w:rFonts w:cs="David"/>
          <w:sz w:val="24"/>
          <w:rtl/>
        </w:rPr>
        <w:t>גם על אדם שנכנס למאסר לפני תחילת החוק ובלבד שהעילה לקיום הדיון על פי החוק הזה - כלומר שהוא משתחרר, או שעכשיו מטילים עליו את צו המבחן - היא לאחר כניסתו של החוק לתוקף. הנושא הזה נדון גם בספרים על פרשנות חקיקה, ובהם רואים את ההבדל בין תחולה אקטיבית, כלומר שיש</w:t>
      </w:r>
      <w:r>
        <w:rPr>
          <w:rFonts w:cs="David"/>
          <w:sz w:val="24"/>
          <w:rtl/>
        </w:rPr>
        <w:t xml:space="preserve"> מצב מתמשך שהוא העילה להטלת המגבלות - במקרה שלנו, מצב מתמשך שהתחיל לפני כן אבל הוא מתקיים גם במועד הטלת המגבלות -  לבין מצב שאתה מטיל עונש על פעולה מסוימת ואז אתה חייב שהפעולה שעליה אתה מטיל את העונש בוצעה לאחר תחילת החוק. למשל, יש הוראה על כך שחבר כנסת שה</w:t>
      </w:r>
      <w:r>
        <w:rPr>
          <w:rFonts w:cs="David"/>
          <w:sz w:val="24"/>
          <w:rtl/>
        </w:rPr>
        <w:t>ורשע הוא מושעה, על הוראה כזאת נאמר בבית המשפט שההרשעה לא צריכה להיות אחרי כניסת ההוראה לתוקף.</w:t>
      </w:r>
    </w:p>
    <w:p w:rsidR="00000000" w:rsidRDefault="003F72C2">
      <w:pPr>
        <w:rPr>
          <w:rFonts w:cs="David"/>
          <w:sz w:val="24"/>
          <w:rtl/>
        </w:rPr>
      </w:pPr>
    </w:p>
    <w:p w:rsidR="00000000" w:rsidRDefault="003F72C2">
      <w:pPr>
        <w:rPr>
          <w:rFonts w:cs="David"/>
          <w:sz w:val="24"/>
          <w:rtl/>
        </w:rPr>
      </w:pPr>
      <w:r>
        <w:rPr>
          <w:rFonts w:cs="David"/>
          <w:sz w:val="24"/>
          <w:u w:val="single"/>
          <w:rtl/>
        </w:rPr>
        <w:t>היו"ר מיכאל איתן:</w:t>
      </w:r>
    </w:p>
    <w:p w:rsidR="00000000" w:rsidRDefault="003F72C2">
      <w:pPr>
        <w:rPr>
          <w:rFonts w:cs="David"/>
          <w:sz w:val="24"/>
          <w:rtl/>
        </w:rPr>
      </w:pPr>
    </w:p>
    <w:p w:rsidR="00000000" w:rsidRDefault="003F72C2">
      <w:pPr>
        <w:rPr>
          <w:rFonts w:cs="David"/>
          <w:sz w:val="24"/>
          <w:rtl/>
        </w:rPr>
      </w:pPr>
      <w:r>
        <w:rPr>
          <w:rFonts w:cs="David"/>
          <w:sz w:val="24"/>
          <w:rtl/>
        </w:rPr>
        <w:tab/>
        <w:t xml:space="preserve"> השאלה אם אנחנו לא פוגעים באנשים שהסכימו לעסקת טיעון ועכשיו יכולים להטיל עליהם מגבלות כאלה. הם יכולים להגיד: אם היינו יודעים, לא היינו מסכימי</w:t>
      </w:r>
      <w:r>
        <w:rPr>
          <w:rFonts w:cs="David"/>
          <w:sz w:val="24"/>
          <w:rtl/>
        </w:rPr>
        <w:t>ם לעסקת טיעון. אנחנו רוצים לדחות לנו.</w:t>
      </w:r>
    </w:p>
    <w:p w:rsidR="00000000" w:rsidRDefault="003F72C2">
      <w:pPr>
        <w:rPr>
          <w:rFonts w:cs="David"/>
          <w:sz w:val="24"/>
          <w:rtl/>
        </w:rPr>
      </w:pPr>
    </w:p>
    <w:p w:rsidR="00000000" w:rsidRDefault="003F72C2">
      <w:pPr>
        <w:rPr>
          <w:rFonts w:cs="David"/>
          <w:sz w:val="24"/>
          <w:rtl/>
        </w:rPr>
      </w:pPr>
      <w:r>
        <w:rPr>
          <w:rFonts w:cs="David"/>
          <w:sz w:val="24"/>
          <w:u w:val="single"/>
          <w:rtl/>
        </w:rPr>
        <w:t>דפנה בינוול:</w:t>
      </w:r>
    </w:p>
    <w:p w:rsidR="00000000" w:rsidRDefault="003F72C2">
      <w:pPr>
        <w:rPr>
          <w:rFonts w:cs="David"/>
          <w:sz w:val="24"/>
          <w:rtl/>
        </w:rPr>
      </w:pPr>
    </w:p>
    <w:p w:rsidR="00000000" w:rsidRDefault="003F72C2">
      <w:pPr>
        <w:rPr>
          <w:rFonts w:cs="David"/>
          <w:sz w:val="24"/>
          <w:rtl/>
        </w:rPr>
      </w:pPr>
      <w:r>
        <w:rPr>
          <w:rFonts w:cs="David"/>
          <w:sz w:val="24"/>
          <w:rtl/>
        </w:rPr>
        <w:tab/>
        <w:t xml:space="preserve">יהיו בקשות רבות מאוד לבית המשפט העליון לחזור מהסדר טיעון. אתה צודק במאה אחוז. </w:t>
      </w:r>
    </w:p>
    <w:p w:rsidR="00000000" w:rsidRDefault="003F72C2">
      <w:pPr>
        <w:rPr>
          <w:rFonts w:cs="David"/>
          <w:sz w:val="24"/>
          <w:rtl/>
        </w:rPr>
      </w:pPr>
    </w:p>
    <w:p w:rsidR="00000000" w:rsidRDefault="003F72C2">
      <w:pPr>
        <w:pStyle w:val="8"/>
        <w:rPr>
          <w:rFonts w:cs="David"/>
          <w:sz w:val="24"/>
          <w:u w:val="none"/>
          <w:rtl/>
        </w:rPr>
      </w:pPr>
      <w:r>
        <w:rPr>
          <w:rFonts w:cs="David"/>
          <w:sz w:val="24"/>
          <w:rtl/>
        </w:rPr>
        <w:t>דוד וינר:</w:t>
      </w:r>
    </w:p>
    <w:p w:rsidR="00000000" w:rsidRDefault="003F72C2">
      <w:pPr>
        <w:rPr>
          <w:rFonts w:cs="David"/>
          <w:sz w:val="24"/>
          <w:rtl/>
        </w:rPr>
      </w:pPr>
    </w:p>
    <w:p w:rsidR="00000000" w:rsidRDefault="003F72C2">
      <w:pPr>
        <w:rPr>
          <w:rFonts w:cs="David"/>
          <w:sz w:val="24"/>
          <w:rtl/>
        </w:rPr>
      </w:pPr>
      <w:r>
        <w:rPr>
          <w:rFonts w:cs="David"/>
          <w:sz w:val="24"/>
          <w:rtl/>
        </w:rPr>
        <w:tab/>
        <w:t>יש פה בעיה. בן-אדם שוויתר על זכויותיו החוקיות להתגונן במשפט היה צריך להבין על מה הוא מוותר. עכשיו אתם משנים את</w:t>
      </w:r>
      <w:r>
        <w:rPr>
          <w:rFonts w:cs="David"/>
          <w:sz w:val="24"/>
          <w:rtl/>
        </w:rPr>
        <w:t xml:space="preserve"> הסנקציות. להגיד שזה לא עונש, זה לא פתרון. כי ברור שזאת סנקציה שלגבי אנשים מסוימים היא תהיה אפילו חריפה יותר מסנקציית העונש שלהם. לכן כל רטרואקטיביות בעניין הזה היא מאוד בעייתית. </w:t>
      </w:r>
    </w:p>
    <w:p w:rsidR="00000000" w:rsidRDefault="003F72C2">
      <w:pPr>
        <w:rPr>
          <w:rFonts w:cs="David"/>
          <w:sz w:val="24"/>
          <w:rtl/>
        </w:rPr>
      </w:pPr>
    </w:p>
    <w:p w:rsidR="00000000" w:rsidRDefault="003F72C2">
      <w:pPr>
        <w:rPr>
          <w:rFonts w:cs="David"/>
          <w:sz w:val="24"/>
          <w:rtl/>
        </w:rPr>
      </w:pPr>
      <w:r>
        <w:rPr>
          <w:rFonts w:cs="David"/>
          <w:sz w:val="24"/>
          <w:u w:val="single"/>
          <w:rtl/>
        </w:rPr>
        <w:t>יצחק לוי:</w:t>
      </w:r>
    </w:p>
    <w:p w:rsidR="00000000" w:rsidRDefault="003F72C2">
      <w:pPr>
        <w:rPr>
          <w:rFonts w:cs="David"/>
          <w:sz w:val="24"/>
          <w:rtl/>
        </w:rPr>
      </w:pPr>
    </w:p>
    <w:p w:rsidR="00000000" w:rsidRDefault="003F72C2">
      <w:pPr>
        <w:rPr>
          <w:rFonts w:cs="David"/>
          <w:sz w:val="24"/>
          <w:rtl/>
        </w:rPr>
      </w:pPr>
      <w:r>
        <w:rPr>
          <w:rFonts w:cs="David"/>
          <w:sz w:val="24"/>
          <w:rtl/>
        </w:rPr>
        <w:tab/>
        <w:t xml:space="preserve"> יש כאן ארבעה סעיפים. אני מציע למחוק את סעיף 3 בלבד. </w:t>
      </w:r>
    </w:p>
    <w:p w:rsidR="00000000" w:rsidRDefault="003F72C2">
      <w:pPr>
        <w:rPr>
          <w:rFonts w:cs="David"/>
          <w:sz w:val="24"/>
          <w:rtl/>
        </w:rPr>
      </w:pPr>
    </w:p>
    <w:p w:rsidR="00000000" w:rsidRDefault="003F72C2">
      <w:pPr>
        <w:rPr>
          <w:rFonts w:cs="David"/>
          <w:sz w:val="24"/>
          <w:rtl/>
        </w:rPr>
      </w:pPr>
      <w:r>
        <w:rPr>
          <w:rFonts w:cs="David"/>
          <w:sz w:val="24"/>
          <w:u w:val="single"/>
          <w:rtl/>
        </w:rPr>
        <w:t>גילה גמל</w:t>
      </w:r>
      <w:r>
        <w:rPr>
          <w:rFonts w:cs="David"/>
          <w:sz w:val="24"/>
          <w:u w:val="single"/>
          <w:rtl/>
        </w:rPr>
        <w:t>יאל:</w:t>
      </w:r>
    </w:p>
    <w:p w:rsidR="00000000" w:rsidRDefault="003F72C2">
      <w:pPr>
        <w:rPr>
          <w:rFonts w:cs="David"/>
          <w:sz w:val="24"/>
          <w:rtl/>
        </w:rPr>
      </w:pPr>
    </w:p>
    <w:p w:rsidR="00000000" w:rsidRDefault="003F72C2">
      <w:pPr>
        <w:rPr>
          <w:rFonts w:cs="David"/>
          <w:sz w:val="24"/>
          <w:rtl/>
        </w:rPr>
      </w:pPr>
      <w:r>
        <w:rPr>
          <w:rFonts w:cs="David"/>
          <w:sz w:val="24"/>
          <w:rtl/>
        </w:rPr>
        <w:tab/>
        <w:t>יש מצבים שבעקבות עסקת טיעון אדם יכול לרצות את עונשו עוד שנתיים. זה אומר שעוד שנתיים לא ידונו לו בנושא.</w:t>
      </w:r>
    </w:p>
    <w:p w:rsidR="00000000" w:rsidRDefault="003F72C2">
      <w:pPr>
        <w:rPr>
          <w:rFonts w:cs="David"/>
          <w:sz w:val="24"/>
          <w:rtl/>
        </w:rPr>
      </w:pPr>
    </w:p>
    <w:p w:rsidR="00000000" w:rsidRDefault="003F72C2">
      <w:pPr>
        <w:rPr>
          <w:rFonts w:cs="David"/>
          <w:sz w:val="24"/>
          <w:rtl/>
        </w:rPr>
      </w:pPr>
      <w:r>
        <w:rPr>
          <w:rFonts w:cs="David"/>
          <w:sz w:val="24"/>
          <w:u w:val="single"/>
          <w:rtl/>
        </w:rPr>
        <w:t>דפנה בינוול:</w:t>
      </w:r>
    </w:p>
    <w:p w:rsidR="00000000" w:rsidRDefault="003F72C2">
      <w:pPr>
        <w:rPr>
          <w:rFonts w:cs="David"/>
          <w:sz w:val="24"/>
          <w:rtl/>
        </w:rPr>
      </w:pPr>
    </w:p>
    <w:p w:rsidR="00000000" w:rsidRDefault="003F72C2">
      <w:pPr>
        <w:rPr>
          <w:rFonts w:cs="David"/>
          <w:sz w:val="24"/>
          <w:rtl/>
        </w:rPr>
      </w:pPr>
      <w:r>
        <w:rPr>
          <w:rFonts w:cs="David"/>
          <w:sz w:val="24"/>
          <w:rtl/>
        </w:rPr>
        <w:tab/>
        <w:t xml:space="preserve">זה אומר שהוא בכלל לא יהיה תחת הגדרת החוק הזה. </w:t>
      </w:r>
    </w:p>
    <w:p w:rsidR="00000000" w:rsidRDefault="003F72C2">
      <w:pPr>
        <w:rPr>
          <w:rFonts w:cs="David"/>
          <w:sz w:val="24"/>
          <w:u w:val="single"/>
          <w:rtl/>
        </w:rPr>
      </w:pPr>
    </w:p>
    <w:p w:rsidR="00000000" w:rsidRDefault="003F72C2">
      <w:pPr>
        <w:rPr>
          <w:rFonts w:cs="David"/>
          <w:sz w:val="24"/>
          <w:rtl/>
        </w:rPr>
      </w:pPr>
      <w:r>
        <w:rPr>
          <w:rFonts w:cs="David"/>
          <w:sz w:val="24"/>
          <w:u w:val="single"/>
          <w:rtl/>
        </w:rPr>
        <w:t>יצחק לוי:</w:t>
      </w:r>
    </w:p>
    <w:p w:rsidR="00000000" w:rsidRDefault="003F72C2">
      <w:pPr>
        <w:rPr>
          <w:rFonts w:cs="David"/>
          <w:sz w:val="24"/>
          <w:rtl/>
        </w:rPr>
      </w:pPr>
    </w:p>
    <w:p w:rsidR="00000000" w:rsidRDefault="003F72C2">
      <w:pPr>
        <w:rPr>
          <w:rFonts w:cs="David"/>
          <w:sz w:val="24"/>
          <w:rtl/>
        </w:rPr>
      </w:pPr>
      <w:r>
        <w:rPr>
          <w:rFonts w:cs="David"/>
          <w:sz w:val="24"/>
          <w:rtl/>
        </w:rPr>
        <w:tab/>
        <w:t xml:space="preserve">בסעיף (1) ו-(2) מדובר על "טרם ניתנה הכרעת דין בעניינו" או "הורשע וטרם </w:t>
      </w:r>
      <w:r>
        <w:rPr>
          <w:rFonts w:cs="David"/>
          <w:sz w:val="24"/>
          <w:rtl/>
        </w:rPr>
        <w:t>נגזר דינו". כלומר, שאפשר יהיה עוד בבית המשפט להביא את השיקול הזה. אז סעיפים 1 ו-2 הם בסדר. עדיין הוא נמצא בבית המשפט ועדיין לא נגזר הדין, ולכן אפשר יהיה לטעון טענות ולהביא גם את החידוש של החוק הזה. סעיף (3) הוא בעייתי מכיוון שטרם החוק הזה יכול להיות שזה הי</w:t>
      </w:r>
      <w:r>
        <w:rPr>
          <w:rFonts w:cs="David"/>
          <w:sz w:val="24"/>
          <w:rtl/>
        </w:rPr>
        <w:t>ה אחד מהשיקולים להאריך מאסר. יכול להיות שבמקרים מסוימים, אם הוא היה יודע שאפשר להרחיק את העבריין, השופט היה נותן חמש שנים במקום שבע שנים.</w:t>
      </w:r>
    </w:p>
    <w:p w:rsidR="00000000" w:rsidRDefault="003F72C2">
      <w:pPr>
        <w:rPr>
          <w:rFonts w:cs="David"/>
          <w:sz w:val="24"/>
          <w:rtl/>
        </w:rPr>
      </w:pPr>
    </w:p>
    <w:p w:rsidR="00000000" w:rsidRDefault="003F72C2">
      <w:pPr>
        <w:rPr>
          <w:rFonts w:cs="David"/>
          <w:sz w:val="24"/>
          <w:rtl/>
        </w:rPr>
      </w:pPr>
      <w:r>
        <w:rPr>
          <w:rFonts w:cs="David"/>
          <w:sz w:val="24"/>
          <w:u w:val="single"/>
          <w:rtl/>
        </w:rPr>
        <w:br w:type="page"/>
        <w:t>הילה קרנר-סולימן:</w:t>
      </w:r>
    </w:p>
    <w:p w:rsidR="00000000" w:rsidRDefault="003F72C2">
      <w:pPr>
        <w:rPr>
          <w:rFonts w:cs="David"/>
          <w:sz w:val="24"/>
          <w:rtl/>
        </w:rPr>
      </w:pPr>
    </w:p>
    <w:p w:rsidR="00000000" w:rsidRDefault="003F72C2">
      <w:pPr>
        <w:rPr>
          <w:rFonts w:cs="David"/>
          <w:sz w:val="24"/>
          <w:rtl/>
        </w:rPr>
      </w:pPr>
      <w:r>
        <w:rPr>
          <w:rFonts w:cs="David"/>
          <w:sz w:val="24"/>
          <w:rtl/>
        </w:rPr>
        <w:tab/>
        <w:t xml:space="preserve">אני מקווה שלא. </w:t>
      </w:r>
    </w:p>
    <w:p w:rsidR="00000000" w:rsidRDefault="003F72C2">
      <w:pPr>
        <w:rPr>
          <w:rFonts w:cs="David"/>
          <w:sz w:val="24"/>
          <w:rtl/>
        </w:rPr>
      </w:pPr>
    </w:p>
    <w:p w:rsidR="00000000" w:rsidRDefault="003F72C2">
      <w:pPr>
        <w:rPr>
          <w:rFonts w:cs="David"/>
          <w:sz w:val="24"/>
          <w:rtl/>
        </w:rPr>
      </w:pPr>
      <w:r>
        <w:rPr>
          <w:rFonts w:cs="David"/>
          <w:sz w:val="24"/>
          <w:u w:val="single"/>
          <w:rtl/>
        </w:rPr>
        <w:t>יצחק לוי:</w:t>
      </w:r>
    </w:p>
    <w:p w:rsidR="00000000" w:rsidRDefault="003F72C2">
      <w:pPr>
        <w:rPr>
          <w:rFonts w:cs="David"/>
          <w:sz w:val="24"/>
          <w:rtl/>
        </w:rPr>
      </w:pPr>
    </w:p>
    <w:p w:rsidR="00000000" w:rsidRDefault="003F72C2">
      <w:pPr>
        <w:rPr>
          <w:rFonts w:cs="David"/>
          <w:sz w:val="24"/>
          <w:rtl/>
        </w:rPr>
      </w:pPr>
      <w:r>
        <w:rPr>
          <w:rFonts w:cs="David"/>
          <w:sz w:val="24"/>
          <w:rtl/>
        </w:rPr>
        <w:tab/>
        <w:t xml:space="preserve"> אני מקווה שכן. </w:t>
      </w:r>
    </w:p>
    <w:p w:rsidR="00000000" w:rsidRDefault="003F72C2">
      <w:pPr>
        <w:rPr>
          <w:rFonts w:cs="David"/>
          <w:sz w:val="24"/>
          <w:rtl/>
        </w:rPr>
      </w:pPr>
    </w:p>
    <w:p w:rsidR="00000000" w:rsidRDefault="003F72C2">
      <w:pPr>
        <w:rPr>
          <w:rFonts w:cs="David"/>
          <w:sz w:val="24"/>
          <w:rtl/>
        </w:rPr>
      </w:pPr>
      <w:r>
        <w:rPr>
          <w:rFonts w:cs="David"/>
          <w:sz w:val="24"/>
          <w:u w:val="single"/>
          <w:rtl/>
        </w:rPr>
        <w:t>הילה קרנר-סולימן:</w:t>
      </w:r>
    </w:p>
    <w:p w:rsidR="00000000" w:rsidRDefault="003F72C2">
      <w:pPr>
        <w:rPr>
          <w:rFonts w:cs="David"/>
          <w:sz w:val="24"/>
          <w:rtl/>
        </w:rPr>
      </w:pPr>
    </w:p>
    <w:p w:rsidR="00000000" w:rsidRDefault="003F72C2">
      <w:pPr>
        <w:rPr>
          <w:rFonts w:cs="David"/>
          <w:sz w:val="24"/>
          <w:rtl/>
        </w:rPr>
      </w:pPr>
      <w:r>
        <w:rPr>
          <w:rFonts w:cs="David"/>
          <w:sz w:val="24"/>
          <w:rtl/>
        </w:rPr>
        <w:tab/>
        <w:t xml:space="preserve"> החוק הזה יהיה שיקול לקולה בע</w:t>
      </w:r>
      <w:r>
        <w:rPr>
          <w:rFonts w:cs="David"/>
          <w:sz w:val="24"/>
          <w:rtl/>
        </w:rPr>
        <w:t>נישה?</w:t>
      </w:r>
    </w:p>
    <w:p w:rsidR="00000000" w:rsidRDefault="003F72C2">
      <w:pPr>
        <w:rPr>
          <w:rFonts w:cs="David"/>
          <w:sz w:val="24"/>
          <w:rtl/>
        </w:rPr>
      </w:pPr>
    </w:p>
    <w:p w:rsidR="00000000" w:rsidRDefault="003F72C2">
      <w:pPr>
        <w:rPr>
          <w:rFonts w:cs="David"/>
          <w:sz w:val="24"/>
          <w:rtl/>
        </w:rPr>
      </w:pPr>
      <w:r>
        <w:rPr>
          <w:rFonts w:cs="David"/>
          <w:sz w:val="24"/>
          <w:u w:val="single"/>
          <w:rtl/>
        </w:rPr>
        <w:t>יצחק לוי:</w:t>
      </w:r>
    </w:p>
    <w:p w:rsidR="00000000" w:rsidRDefault="003F72C2">
      <w:pPr>
        <w:rPr>
          <w:rFonts w:cs="David"/>
          <w:sz w:val="24"/>
          <w:rtl/>
        </w:rPr>
      </w:pPr>
    </w:p>
    <w:p w:rsidR="00000000" w:rsidRDefault="003F72C2">
      <w:pPr>
        <w:rPr>
          <w:rFonts w:cs="David"/>
          <w:sz w:val="24"/>
          <w:rtl/>
        </w:rPr>
      </w:pPr>
      <w:r>
        <w:rPr>
          <w:rFonts w:cs="David"/>
          <w:sz w:val="24"/>
          <w:rtl/>
        </w:rPr>
        <w:tab/>
        <w:t xml:space="preserve"> כן. אחת הטענות של הסניגור, בטיעונים לגזר הדין, יכולה להיות שצריך להרחיק את האדם הזה יותר. יכול להיות שבמכלול השיקולים השופט שוקל, זה יכול להיות חלק מהשיקול.</w:t>
      </w:r>
    </w:p>
    <w:p w:rsidR="00000000" w:rsidRDefault="003F72C2">
      <w:pPr>
        <w:rPr>
          <w:rFonts w:cs="David"/>
          <w:sz w:val="24"/>
          <w:rtl/>
        </w:rPr>
      </w:pPr>
    </w:p>
    <w:p w:rsidR="00000000" w:rsidRDefault="003F72C2">
      <w:pPr>
        <w:rPr>
          <w:rFonts w:cs="David"/>
          <w:sz w:val="24"/>
          <w:rtl/>
        </w:rPr>
      </w:pPr>
      <w:r>
        <w:rPr>
          <w:rFonts w:cs="David"/>
          <w:sz w:val="24"/>
          <w:u w:val="single"/>
          <w:rtl/>
        </w:rPr>
        <w:t>גילה גמליאל:</w:t>
      </w:r>
    </w:p>
    <w:p w:rsidR="00000000" w:rsidRDefault="003F72C2">
      <w:pPr>
        <w:rPr>
          <w:rFonts w:cs="David"/>
          <w:sz w:val="24"/>
          <w:rtl/>
        </w:rPr>
      </w:pPr>
    </w:p>
    <w:p w:rsidR="00000000" w:rsidRDefault="003F72C2">
      <w:pPr>
        <w:rPr>
          <w:rFonts w:cs="David"/>
          <w:sz w:val="24"/>
          <w:rtl/>
        </w:rPr>
      </w:pPr>
      <w:r>
        <w:rPr>
          <w:rFonts w:cs="David"/>
          <w:sz w:val="24"/>
          <w:rtl/>
        </w:rPr>
        <w:tab/>
        <w:t xml:space="preserve"> מה שאתה אומר זה כאילו סיכום של אי-הבנת החוק.</w:t>
      </w:r>
    </w:p>
    <w:p w:rsidR="00000000" w:rsidRDefault="003F72C2">
      <w:pPr>
        <w:rPr>
          <w:rFonts w:cs="David"/>
          <w:sz w:val="24"/>
          <w:rtl/>
        </w:rPr>
      </w:pPr>
    </w:p>
    <w:p w:rsidR="00000000" w:rsidRDefault="003F72C2">
      <w:pPr>
        <w:rPr>
          <w:rFonts w:cs="David"/>
          <w:sz w:val="24"/>
          <w:rtl/>
        </w:rPr>
      </w:pPr>
      <w:r>
        <w:rPr>
          <w:rFonts w:cs="David"/>
          <w:sz w:val="24"/>
          <w:u w:val="single"/>
          <w:rtl/>
        </w:rPr>
        <w:t>יצחק לוי:</w:t>
      </w:r>
    </w:p>
    <w:p w:rsidR="00000000" w:rsidRDefault="003F72C2">
      <w:pPr>
        <w:rPr>
          <w:rFonts w:cs="David"/>
          <w:sz w:val="24"/>
          <w:rtl/>
        </w:rPr>
      </w:pPr>
    </w:p>
    <w:p w:rsidR="00000000" w:rsidRDefault="003F72C2">
      <w:pPr>
        <w:rPr>
          <w:rFonts w:cs="David"/>
          <w:sz w:val="24"/>
          <w:rtl/>
        </w:rPr>
      </w:pPr>
      <w:r>
        <w:rPr>
          <w:rFonts w:cs="David"/>
          <w:sz w:val="24"/>
          <w:rtl/>
        </w:rPr>
        <w:tab/>
        <w:t xml:space="preserve"> אני</w:t>
      </w:r>
      <w:r>
        <w:rPr>
          <w:rFonts w:cs="David"/>
          <w:sz w:val="24"/>
          <w:rtl/>
        </w:rPr>
        <w:t xml:space="preserve"> אומר מה שאני מבין. אני חושב שכאשר אדם כבר נמצא במאסר החוק הזה לא צריך לחול עליו. לכן אני חושב שצריך למחוק את סעיף (3). את סעיף (4) - "בית המשפט הורה על אשפוזו ובמועד תחילתו של חוק זה טרם שוחרר מן האשפוז" - אני לא כל כך מבין, אבל לדעתי כן צריך להשאיר אותו.</w:t>
      </w:r>
      <w:r>
        <w:rPr>
          <w:rFonts w:cs="David"/>
          <w:sz w:val="24"/>
          <w:rtl/>
        </w:rPr>
        <w:t xml:space="preserve"> כי אשפוז זה לא עונש. אני הייתי משאיר את סעיפים (1), (2) ו-(4), ומוחק רק את סעיף (3).</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אתה אומר שבאשפוז ברור שהשיקול לאשפוז זה לא הנזק הנפשי שייגרם, לא ישימו אדם באשפוז בגלל נזק נפשי לנפגע העבירה. גם במאסר, בית המשפט הוא לא ישים אדם במאסר יותר ז</w:t>
      </w:r>
      <w:r>
        <w:rPr>
          <w:rFonts w:cs="David"/>
          <w:sz w:val="24"/>
          <w:rtl/>
        </w:rPr>
        <w:t>מן בגלל שהוא גורם נזק נפשי לנפגע.</w:t>
      </w:r>
    </w:p>
    <w:p w:rsidR="00000000" w:rsidRDefault="003F72C2">
      <w:pPr>
        <w:rPr>
          <w:rFonts w:cs="David"/>
          <w:sz w:val="24"/>
          <w:rtl/>
        </w:rPr>
      </w:pPr>
    </w:p>
    <w:p w:rsidR="00000000" w:rsidRDefault="003F72C2">
      <w:pPr>
        <w:rPr>
          <w:rFonts w:cs="David"/>
          <w:sz w:val="24"/>
          <w:rtl/>
        </w:rPr>
      </w:pPr>
      <w:r>
        <w:rPr>
          <w:rFonts w:cs="David"/>
          <w:sz w:val="24"/>
          <w:u w:val="single"/>
          <w:rtl/>
        </w:rPr>
        <w:t>דפנה בינוול:</w:t>
      </w:r>
    </w:p>
    <w:p w:rsidR="00000000" w:rsidRDefault="003F72C2">
      <w:pPr>
        <w:rPr>
          <w:rFonts w:cs="David"/>
          <w:sz w:val="24"/>
          <w:rtl/>
        </w:rPr>
      </w:pPr>
    </w:p>
    <w:p w:rsidR="00000000" w:rsidRDefault="003F72C2">
      <w:pPr>
        <w:rPr>
          <w:rFonts w:cs="David"/>
          <w:sz w:val="24"/>
          <w:rtl/>
        </w:rPr>
      </w:pPr>
      <w:r>
        <w:rPr>
          <w:rFonts w:cs="David"/>
          <w:sz w:val="24"/>
          <w:rtl/>
        </w:rPr>
        <w:tab/>
        <w:t xml:space="preserve">לא. כל מה שאמר חבר הכנסת לוי - כאשר יש לנו חוק כזה, בית המשפט לוקח שיקולים משיקולים שונים כאשר הוא גוזר את דינו של אדם. </w:t>
      </w:r>
    </w:p>
    <w:p w:rsidR="00000000" w:rsidRDefault="003F72C2">
      <w:pPr>
        <w:rPr>
          <w:rFonts w:cs="David"/>
          <w:sz w:val="24"/>
          <w:rtl/>
        </w:rPr>
      </w:pPr>
    </w:p>
    <w:p w:rsidR="00000000" w:rsidRDefault="003F72C2">
      <w:pPr>
        <w:rPr>
          <w:rFonts w:cs="David"/>
          <w:sz w:val="24"/>
          <w:rtl/>
        </w:rPr>
      </w:pPr>
      <w:r>
        <w:rPr>
          <w:rFonts w:cs="David"/>
          <w:sz w:val="24"/>
          <w:u w:val="single"/>
          <w:rtl/>
        </w:rPr>
        <w:t>גילה גמליאל:</w:t>
      </w:r>
    </w:p>
    <w:p w:rsidR="00000000" w:rsidRDefault="003F72C2">
      <w:pPr>
        <w:rPr>
          <w:rFonts w:cs="David"/>
          <w:sz w:val="24"/>
          <w:rtl/>
        </w:rPr>
      </w:pPr>
    </w:p>
    <w:p w:rsidR="00000000" w:rsidRDefault="003F72C2">
      <w:pPr>
        <w:rPr>
          <w:rFonts w:cs="David"/>
          <w:sz w:val="24"/>
          <w:rtl/>
        </w:rPr>
      </w:pPr>
      <w:r>
        <w:rPr>
          <w:rFonts w:cs="David"/>
          <w:sz w:val="24"/>
          <w:rtl/>
        </w:rPr>
        <w:tab/>
        <w:t xml:space="preserve"> אותו בית משפט יצטרך לקבל את השיקול אם להרחיק אותו או לא. </w:t>
      </w:r>
    </w:p>
    <w:p w:rsidR="00000000" w:rsidRDefault="003F72C2">
      <w:pPr>
        <w:rPr>
          <w:rFonts w:cs="David"/>
          <w:sz w:val="24"/>
          <w:rtl/>
        </w:rPr>
      </w:pPr>
    </w:p>
    <w:p w:rsidR="00000000" w:rsidRDefault="003F72C2">
      <w:pPr>
        <w:rPr>
          <w:rFonts w:cs="David"/>
          <w:sz w:val="24"/>
          <w:rtl/>
        </w:rPr>
      </w:pPr>
      <w:r>
        <w:rPr>
          <w:rFonts w:cs="David"/>
          <w:sz w:val="24"/>
          <w:u w:val="single"/>
          <w:rtl/>
        </w:rPr>
        <w:t>דפנה בינו</w:t>
      </w:r>
      <w:r>
        <w:rPr>
          <w:rFonts w:cs="David"/>
          <w:sz w:val="24"/>
          <w:u w:val="single"/>
          <w:rtl/>
        </w:rPr>
        <w:t>ול:</w:t>
      </w:r>
    </w:p>
    <w:p w:rsidR="00000000" w:rsidRDefault="003F72C2">
      <w:pPr>
        <w:rPr>
          <w:rFonts w:cs="David"/>
          <w:sz w:val="24"/>
          <w:rtl/>
        </w:rPr>
      </w:pPr>
    </w:p>
    <w:p w:rsidR="00000000" w:rsidRDefault="003F72C2">
      <w:pPr>
        <w:rPr>
          <w:rFonts w:cs="David"/>
          <w:sz w:val="24"/>
          <w:rtl/>
        </w:rPr>
      </w:pPr>
      <w:r>
        <w:rPr>
          <w:rFonts w:cs="David"/>
          <w:sz w:val="24"/>
          <w:rtl/>
        </w:rPr>
        <w:tab/>
        <w:t xml:space="preserve"> פה את מוסיפה סנקציות, ולכן  כאשר התובע טוען לעונש, מיום כניסת החוק לתוקפו הוא יאמר: אני גם אבקש שהאיש הזה יורחק מהמקום הזה למשך כך וכך זמן.</w:t>
      </w:r>
    </w:p>
    <w:p w:rsidR="00000000" w:rsidRDefault="003F72C2">
      <w:pPr>
        <w:rPr>
          <w:rFonts w:cs="David"/>
          <w:sz w:val="24"/>
          <w:rtl/>
        </w:rPr>
      </w:pPr>
    </w:p>
    <w:p w:rsidR="00000000" w:rsidRDefault="003F72C2">
      <w:pPr>
        <w:rPr>
          <w:rFonts w:cs="David"/>
          <w:sz w:val="24"/>
          <w:rtl/>
        </w:rPr>
      </w:pPr>
      <w:r>
        <w:rPr>
          <w:rFonts w:cs="David"/>
          <w:sz w:val="24"/>
          <w:u w:val="single"/>
          <w:rtl/>
        </w:rPr>
        <w:t>גילה גמליאל:</w:t>
      </w:r>
    </w:p>
    <w:p w:rsidR="00000000" w:rsidRDefault="003F72C2">
      <w:pPr>
        <w:rPr>
          <w:rFonts w:cs="David"/>
          <w:sz w:val="24"/>
          <w:rtl/>
        </w:rPr>
      </w:pPr>
    </w:p>
    <w:p w:rsidR="00000000" w:rsidRDefault="003F72C2">
      <w:pPr>
        <w:rPr>
          <w:rFonts w:cs="David"/>
          <w:sz w:val="24"/>
          <w:rtl/>
        </w:rPr>
      </w:pPr>
      <w:r>
        <w:rPr>
          <w:rFonts w:cs="David"/>
          <w:sz w:val="24"/>
          <w:rtl/>
        </w:rPr>
        <w:tab/>
        <w:t xml:space="preserve"> אבל אתם הורסים את החוק. החוק לא מדבר על ענישת העבריין. </w:t>
      </w:r>
    </w:p>
    <w:p w:rsidR="00000000" w:rsidRDefault="003F72C2">
      <w:pPr>
        <w:rPr>
          <w:rFonts w:cs="David"/>
          <w:sz w:val="24"/>
          <w:rtl/>
        </w:rPr>
      </w:pPr>
    </w:p>
    <w:p w:rsidR="00000000" w:rsidRDefault="003F72C2">
      <w:pPr>
        <w:rPr>
          <w:rFonts w:cs="David"/>
          <w:sz w:val="24"/>
          <w:rtl/>
        </w:rPr>
      </w:pPr>
      <w:r>
        <w:rPr>
          <w:rFonts w:cs="David"/>
          <w:sz w:val="24"/>
          <w:rtl/>
        </w:rPr>
        <w:br w:type="page"/>
      </w:r>
      <w:r>
        <w:rPr>
          <w:rFonts w:cs="David"/>
          <w:sz w:val="24"/>
          <w:u w:val="single"/>
          <w:rtl/>
        </w:rPr>
        <w:t>דפנה בינוול:</w:t>
      </w:r>
    </w:p>
    <w:p w:rsidR="00000000" w:rsidRDefault="003F72C2">
      <w:pPr>
        <w:rPr>
          <w:rFonts w:cs="David"/>
          <w:sz w:val="24"/>
          <w:rtl/>
        </w:rPr>
      </w:pPr>
    </w:p>
    <w:p w:rsidR="00000000" w:rsidRDefault="003F72C2">
      <w:pPr>
        <w:rPr>
          <w:rFonts w:cs="David"/>
          <w:sz w:val="24"/>
          <w:rtl/>
        </w:rPr>
      </w:pPr>
      <w:r>
        <w:rPr>
          <w:rFonts w:cs="David"/>
          <w:sz w:val="24"/>
          <w:rtl/>
        </w:rPr>
        <w:tab/>
        <w:t>לא אמרתי שזה בא להע</w:t>
      </w:r>
      <w:r>
        <w:rPr>
          <w:rFonts w:cs="David"/>
          <w:sz w:val="24"/>
          <w:rtl/>
        </w:rPr>
        <w:t xml:space="preserve">ניש, אמרתי שזה יהיה איזשהו פקטור בקביעת העונש. </w:t>
      </w:r>
    </w:p>
    <w:p w:rsidR="00000000" w:rsidRDefault="003F72C2">
      <w:pPr>
        <w:rPr>
          <w:rFonts w:cs="David"/>
          <w:sz w:val="24"/>
          <w:rtl/>
        </w:rPr>
      </w:pPr>
    </w:p>
    <w:p w:rsidR="00000000" w:rsidRDefault="003F72C2">
      <w:pPr>
        <w:rPr>
          <w:rFonts w:cs="David"/>
          <w:sz w:val="24"/>
          <w:rtl/>
        </w:rPr>
      </w:pPr>
      <w:r>
        <w:rPr>
          <w:rFonts w:cs="David"/>
          <w:sz w:val="24"/>
          <w:u w:val="single"/>
          <w:rtl/>
        </w:rPr>
        <w:t>יצחק לוי:</w:t>
      </w:r>
    </w:p>
    <w:p w:rsidR="00000000" w:rsidRDefault="003F72C2">
      <w:pPr>
        <w:rPr>
          <w:rFonts w:cs="David"/>
          <w:sz w:val="24"/>
          <w:rtl/>
        </w:rPr>
      </w:pPr>
    </w:p>
    <w:p w:rsidR="00000000" w:rsidRDefault="003F72C2">
      <w:pPr>
        <w:rPr>
          <w:rFonts w:cs="David"/>
          <w:sz w:val="24"/>
          <w:rtl/>
        </w:rPr>
      </w:pPr>
      <w:r>
        <w:rPr>
          <w:rFonts w:cs="David"/>
          <w:sz w:val="24"/>
          <w:rtl/>
        </w:rPr>
        <w:tab/>
        <w:t xml:space="preserve"> מאסר הוא גם להרחיק אדם מסוכן.</w:t>
      </w:r>
    </w:p>
    <w:p w:rsidR="00000000" w:rsidRDefault="003F72C2">
      <w:pPr>
        <w:rPr>
          <w:rFonts w:cs="David"/>
          <w:sz w:val="24"/>
          <w:rtl/>
        </w:rPr>
      </w:pPr>
    </w:p>
    <w:p w:rsidR="00000000" w:rsidRDefault="003F72C2">
      <w:pPr>
        <w:rPr>
          <w:rFonts w:cs="David"/>
          <w:sz w:val="24"/>
          <w:rtl/>
        </w:rPr>
      </w:pPr>
      <w:r>
        <w:rPr>
          <w:rFonts w:cs="David"/>
          <w:sz w:val="24"/>
          <w:u w:val="single"/>
          <w:rtl/>
        </w:rPr>
        <w:t>גילה גמליאל:</w:t>
      </w:r>
    </w:p>
    <w:p w:rsidR="00000000" w:rsidRDefault="003F72C2">
      <w:pPr>
        <w:rPr>
          <w:rFonts w:cs="David"/>
          <w:sz w:val="24"/>
          <w:rtl/>
        </w:rPr>
      </w:pPr>
    </w:p>
    <w:p w:rsidR="00000000" w:rsidRDefault="003F72C2">
      <w:pPr>
        <w:rPr>
          <w:rFonts w:cs="David"/>
          <w:sz w:val="24"/>
          <w:rtl/>
        </w:rPr>
      </w:pPr>
      <w:r>
        <w:rPr>
          <w:rFonts w:cs="David"/>
          <w:sz w:val="24"/>
          <w:rtl/>
        </w:rPr>
        <w:tab/>
        <w:t xml:space="preserve"> לא יכול להיות שנגיע לסוף החוק, לסעיף האחרון, ואנשים לא יבינו את החוק. אותי זה לא מעניין שבית המשפט ידון במה שהוא חושב על העונש בכללותו בהרחקת האדם.</w:t>
      </w:r>
      <w:r>
        <w:rPr>
          <w:rFonts w:cs="David"/>
          <w:sz w:val="24"/>
          <w:rtl/>
        </w:rPr>
        <w:t xml:space="preserve"> אני לא רוצה שירחיק אותו, זאת לא המטרה שלי. המטרה שלי היא דבר פשוט: במצבים שבהם העבריין ריצה את עונשו, בסוף התהליך מגיעים למצב שבו הנפגעת נפגעת מעצם השחרור שלו, שהוא יבוא לגור ליד הבית שלה או באותה דירה. לצורך העניין אין רלוונטיות אם הענישו אותו יותר או הע</w:t>
      </w:r>
      <w:r>
        <w:rPr>
          <w:rFonts w:cs="David"/>
          <w:sz w:val="24"/>
          <w:rtl/>
        </w:rPr>
        <w:t xml:space="preserve">נישו אותו פחות, אני לא רוצה שייקחו את זה כשיקול. זאת לא המטרה של החוק שלי. החוק שלי מדבר על מצב אחר לגמרי. </w:t>
      </w:r>
    </w:p>
    <w:p w:rsidR="00000000" w:rsidRDefault="003F72C2">
      <w:pPr>
        <w:rPr>
          <w:rFonts w:cs="David"/>
          <w:sz w:val="24"/>
          <w:rtl/>
        </w:rPr>
      </w:pPr>
    </w:p>
    <w:p w:rsidR="00000000" w:rsidRDefault="003F72C2">
      <w:pPr>
        <w:rPr>
          <w:rFonts w:cs="David"/>
          <w:sz w:val="24"/>
          <w:rtl/>
        </w:rPr>
      </w:pPr>
      <w:r>
        <w:rPr>
          <w:rFonts w:cs="David"/>
          <w:sz w:val="24"/>
          <w:u w:val="single"/>
          <w:rtl/>
        </w:rPr>
        <w:t>היו"ר מיכאל איתן:</w:t>
      </w:r>
    </w:p>
    <w:p w:rsidR="00000000" w:rsidRDefault="003F72C2">
      <w:pPr>
        <w:rPr>
          <w:rFonts w:cs="David"/>
          <w:sz w:val="24"/>
          <w:rtl/>
        </w:rPr>
      </w:pPr>
    </w:p>
    <w:p w:rsidR="00000000" w:rsidRDefault="003F72C2">
      <w:pPr>
        <w:rPr>
          <w:rFonts w:cs="David"/>
          <w:sz w:val="24"/>
          <w:rtl/>
        </w:rPr>
      </w:pPr>
      <w:r>
        <w:rPr>
          <w:rFonts w:cs="David"/>
          <w:sz w:val="24"/>
          <w:rtl/>
        </w:rPr>
        <w:tab/>
        <w:t xml:space="preserve"> אני הייתי מוסיף: אם הייתי יודע שנפגעת העבירה היתה יודעת שחסכו לו שנה בבית הסוהר, יכול להיות שלא הייתי רוצה את ההרחקה בכלל. היא</w:t>
      </w:r>
      <w:r>
        <w:rPr>
          <w:rFonts w:cs="David"/>
          <w:sz w:val="24"/>
          <w:rtl/>
        </w:rPr>
        <w:t xml:space="preserve"> אומרת: עדיף שהוא יֵשב עוד שנה בבית הסוהר מאשר יקבל מאסר של שנה פחות ואז רק ירחיקו אותו. </w:t>
      </w:r>
    </w:p>
    <w:p w:rsidR="00000000" w:rsidRDefault="003F72C2">
      <w:pPr>
        <w:rPr>
          <w:rFonts w:cs="David"/>
          <w:sz w:val="24"/>
          <w:rtl/>
        </w:rPr>
      </w:pPr>
    </w:p>
    <w:p w:rsidR="00000000" w:rsidRDefault="003F72C2">
      <w:pPr>
        <w:rPr>
          <w:rFonts w:cs="David"/>
          <w:sz w:val="24"/>
          <w:rtl/>
        </w:rPr>
      </w:pPr>
      <w:r>
        <w:rPr>
          <w:rFonts w:cs="David"/>
          <w:sz w:val="24"/>
          <w:u w:val="single"/>
          <w:rtl/>
        </w:rPr>
        <w:t>יצחק לוי:</w:t>
      </w:r>
    </w:p>
    <w:p w:rsidR="00000000" w:rsidRDefault="003F72C2">
      <w:pPr>
        <w:rPr>
          <w:rFonts w:cs="David"/>
          <w:sz w:val="24"/>
          <w:rtl/>
        </w:rPr>
      </w:pPr>
    </w:p>
    <w:p w:rsidR="00000000" w:rsidRDefault="003F72C2">
      <w:pPr>
        <w:rPr>
          <w:rFonts w:cs="David"/>
          <w:sz w:val="24"/>
          <w:rtl/>
        </w:rPr>
      </w:pPr>
      <w:r>
        <w:rPr>
          <w:rFonts w:cs="David"/>
          <w:sz w:val="24"/>
          <w:rtl/>
        </w:rPr>
        <w:tab/>
        <w:t xml:space="preserve"> מה אכפת לה? היא לא רוצה לראות אותו, מה אכפת לה אם הוא יֵשב בבית הסוהר עוד שנה או פחות שנה?</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 xml:space="preserve"> אבל זה לא שיקול שלה. </w:t>
      </w:r>
    </w:p>
    <w:p w:rsidR="00000000" w:rsidRDefault="003F72C2">
      <w:pPr>
        <w:rPr>
          <w:rFonts w:cs="David"/>
          <w:sz w:val="24"/>
          <w:rtl/>
        </w:rPr>
      </w:pPr>
    </w:p>
    <w:p w:rsidR="00000000" w:rsidRDefault="003F72C2">
      <w:pPr>
        <w:rPr>
          <w:rFonts w:cs="David"/>
          <w:sz w:val="24"/>
          <w:rtl/>
        </w:rPr>
      </w:pPr>
      <w:r>
        <w:rPr>
          <w:rFonts w:cs="David"/>
          <w:sz w:val="24"/>
          <w:u w:val="single"/>
          <w:rtl/>
        </w:rPr>
        <w:t>היו"ר מיכאל איתן:</w:t>
      </w:r>
    </w:p>
    <w:p w:rsidR="00000000" w:rsidRDefault="003F72C2">
      <w:pPr>
        <w:rPr>
          <w:rFonts w:cs="David"/>
          <w:sz w:val="24"/>
          <w:rtl/>
        </w:rPr>
      </w:pPr>
    </w:p>
    <w:p w:rsidR="00000000" w:rsidRDefault="003F72C2">
      <w:pPr>
        <w:rPr>
          <w:rFonts w:cs="David"/>
          <w:sz w:val="24"/>
          <w:rtl/>
        </w:rPr>
      </w:pPr>
      <w:r>
        <w:rPr>
          <w:rFonts w:cs="David"/>
          <w:sz w:val="24"/>
          <w:rtl/>
        </w:rPr>
        <w:tab/>
        <w:t xml:space="preserve"> אם מ</w:t>
      </w:r>
      <w:r>
        <w:rPr>
          <w:rFonts w:cs="David"/>
          <w:sz w:val="24"/>
          <w:rtl/>
        </w:rPr>
        <w:t>ערבבים את זה כעת בגדר השיקולים, זה יהיה כך: היום הוא היה מקבל עשר שנים. התובע יגיד: תהיה גם הרחקה. אז השופט יגיד: ניתן לו רק תשע שנים או רק שמונה, כי הוא יקבל גם הרחקה. חברת הכנסת גילה גמליאל אומרת: אלה שני תהליכים מנותקים זה מזה. קודם הוא יקבל עונש, ההרחק</w:t>
      </w:r>
      <w:r>
        <w:rPr>
          <w:rFonts w:cs="David"/>
          <w:sz w:val="24"/>
          <w:rtl/>
        </w:rPr>
        <w:t>ה לא שייכת בכלל.</w:t>
      </w:r>
    </w:p>
    <w:p w:rsidR="00000000" w:rsidRDefault="003F72C2">
      <w:pPr>
        <w:rPr>
          <w:rFonts w:cs="David"/>
          <w:sz w:val="24"/>
          <w:rtl/>
        </w:rPr>
      </w:pPr>
    </w:p>
    <w:p w:rsidR="00000000" w:rsidRDefault="003F72C2">
      <w:pPr>
        <w:rPr>
          <w:rFonts w:cs="David"/>
          <w:sz w:val="24"/>
          <w:rtl/>
        </w:rPr>
      </w:pPr>
      <w:r>
        <w:rPr>
          <w:rFonts w:cs="David"/>
          <w:sz w:val="24"/>
          <w:u w:val="single"/>
          <w:rtl/>
        </w:rPr>
        <w:t>דוד וינר:</w:t>
      </w:r>
    </w:p>
    <w:p w:rsidR="00000000" w:rsidRDefault="003F72C2">
      <w:pPr>
        <w:rPr>
          <w:rFonts w:cs="David"/>
          <w:sz w:val="24"/>
          <w:rtl/>
        </w:rPr>
      </w:pPr>
    </w:p>
    <w:p w:rsidR="00000000" w:rsidRDefault="003F72C2">
      <w:pPr>
        <w:rPr>
          <w:rFonts w:cs="David"/>
          <w:sz w:val="24"/>
          <w:rtl/>
        </w:rPr>
      </w:pPr>
      <w:r>
        <w:rPr>
          <w:rFonts w:cs="David"/>
          <w:sz w:val="24"/>
          <w:rtl/>
        </w:rPr>
        <w:tab/>
        <w:t xml:space="preserve">אבל אתה אמרת דבר אחר: אי אפשר שאדם החליט לוותר על זכויותיו הדיוניות כי זה תהליך של השתחררות מקרנות המזבח. אדם צריך לדעת בזמן הנתון הזה מה המשמעויות של ההרשעה. </w:t>
      </w:r>
    </w:p>
    <w:p w:rsidR="00000000" w:rsidRDefault="003F72C2">
      <w:pPr>
        <w:rPr>
          <w:rFonts w:cs="David"/>
          <w:sz w:val="24"/>
          <w:rtl/>
        </w:rPr>
      </w:pPr>
    </w:p>
    <w:p w:rsidR="00000000" w:rsidRDefault="003F72C2">
      <w:pPr>
        <w:rPr>
          <w:rFonts w:cs="David"/>
          <w:sz w:val="24"/>
          <w:rtl/>
        </w:rPr>
      </w:pPr>
      <w:r>
        <w:rPr>
          <w:rFonts w:cs="David"/>
          <w:sz w:val="24"/>
          <w:u w:val="single"/>
          <w:rtl/>
        </w:rPr>
        <w:t>יצחק לוי:</w:t>
      </w:r>
    </w:p>
    <w:p w:rsidR="00000000" w:rsidRDefault="003F72C2">
      <w:pPr>
        <w:rPr>
          <w:rFonts w:cs="David"/>
          <w:sz w:val="24"/>
          <w:rtl/>
        </w:rPr>
      </w:pPr>
    </w:p>
    <w:p w:rsidR="00000000" w:rsidRDefault="003F72C2">
      <w:pPr>
        <w:rPr>
          <w:rFonts w:cs="David"/>
          <w:sz w:val="24"/>
          <w:rtl/>
        </w:rPr>
      </w:pPr>
      <w:r>
        <w:rPr>
          <w:rFonts w:cs="David"/>
          <w:sz w:val="24"/>
          <w:rtl/>
        </w:rPr>
        <w:tab/>
        <w:t xml:space="preserve"> אז למה קשרת את זה לגזר הדין? </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 xml:space="preserve"> ואם אחר כ</w:t>
      </w:r>
      <w:r>
        <w:rPr>
          <w:rFonts w:cs="David"/>
          <w:sz w:val="24"/>
          <w:rtl/>
        </w:rPr>
        <w:t>ך יקבעו שמי שמורשע לא יכול לעבוד במקומות אלה ואלה, והוא לא ידע את זה כשהוא ויתר על זכויותיו.</w:t>
      </w:r>
    </w:p>
    <w:p w:rsidR="00000000" w:rsidRDefault="003F72C2">
      <w:pPr>
        <w:rPr>
          <w:rFonts w:cs="David"/>
          <w:sz w:val="24"/>
          <w:rtl/>
        </w:rPr>
      </w:pPr>
    </w:p>
    <w:p w:rsidR="00000000" w:rsidRDefault="003F72C2">
      <w:pPr>
        <w:rPr>
          <w:rFonts w:cs="David"/>
          <w:sz w:val="24"/>
          <w:rtl/>
        </w:rPr>
      </w:pPr>
      <w:r>
        <w:rPr>
          <w:rFonts w:cs="David"/>
          <w:sz w:val="24"/>
          <w:u w:val="single"/>
          <w:rtl/>
        </w:rPr>
        <w:t>נאוה דהן:</w:t>
      </w:r>
    </w:p>
    <w:p w:rsidR="00000000" w:rsidRDefault="003F72C2">
      <w:pPr>
        <w:rPr>
          <w:rFonts w:cs="David"/>
          <w:sz w:val="24"/>
          <w:rtl/>
        </w:rPr>
      </w:pPr>
    </w:p>
    <w:p w:rsidR="00000000" w:rsidRDefault="003F72C2">
      <w:pPr>
        <w:rPr>
          <w:rFonts w:cs="David"/>
          <w:sz w:val="24"/>
          <w:rtl/>
        </w:rPr>
      </w:pPr>
      <w:r>
        <w:rPr>
          <w:rFonts w:cs="David"/>
          <w:sz w:val="24"/>
          <w:rtl/>
        </w:rPr>
        <w:tab/>
        <w:t>אנחנו כסניגורים יודעים מהפרקטיקה שאני עלולה להודות בעבירה שהבחור אומר לי שהוא לא ביצע; זה לא עניין שאני מאמינה לו או לא מאמינה לו, יש קונסטלציה ראייתי</w:t>
      </w:r>
      <w:r>
        <w:rPr>
          <w:rFonts w:cs="David"/>
          <w:sz w:val="24"/>
          <w:rtl/>
        </w:rPr>
        <w:t>ת מסוימת, לא חד-משמעית, אני עושה הערכה של סיכוי וסיכון, כי אני בעלת המקצוע, ואני אומרת לו שכדאי לו להודות. והבחור הוא לאו דווקא אותו עבריין מין אימתני ודוחה וסדרתי, אלא בדרך כלל אני מייצגת צעירים שהם בפלח בין גיל 18 ל-21, הם עבריינים אבל הם יותר בשוליים. א</w:t>
      </w:r>
      <w:r>
        <w:rPr>
          <w:rFonts w:cs="David"/>
          <w:sz w:val="24"/>
          <w:rtl/>
        </w:rPr>
        <w:t>ני מדברת על אנשים צעירים ללא עבר פלילי שביצעו עבירה, לפעמים בתוך פנימייה שהם היו בה. לבחור כזה אני ממליצה להודות, אני אומרת לו שעדיף לו לבוא בהסדר טיעון. הוא צריך לדעת שחלק מהמשמעות היא שיש כאן מערך שלם שאתם קוראים לו "לא ענישה", אבל זה מערך שלם של שינויים</w:t>
      </w:r>
      <w:r>
        <w:rPr>
          <w:rFonts w:cs="David"/>
          <w:sz w:val="24"/>
          <w:rtl/>
        </w:rPr>
        <w:t xml:space="preserve"> מרחיקי לכת באפיק חייו - לעבור דירה, לעזוב מקום עבודה, לשכור לו דירה. כל משפחתו תעזוב בעקבותיו. כשהוא בא ומודה, הוא צריך להיות מודע לזה.</w:t>
      </w:r>
    </w:p>
    <w:p w:rsidR="00000000" w:rsidRDefault="003F72C2">
      <w:pPr>
        <w:rPr>
          <w:rFonts w:cs="David"/>
          <w:sz w:val="24"/>
          <w:rtl/>
        </w:rPr>
      </w:pPr>
    </w:p>
    <w:p w:rsidR="00000000" w:rsidRDefault="003F72C2">
      <w:pPr>
        <w:rPr>
          <w:rFonts w:cs="David"/>
          <w:sz w:val="24"/>
          <w:rtl/>
        </w:rPr>
      </w:pPr>
      <w:r>
        <w:rPr>
          <w:rFonts w:cs="David"/>
          <w:sz w:val="24"/>
          <w:u w:val="single"/>
          <w:rtl/>
        </w:rPr>
        <w:t>דוד וינר:</w:t>
      </w:r>
    </w:p>
    <w:p w:rsidR="00000000" w:rsidRDefault="003F72C2">
      <w:pPr>
        <w:rPr>
          <w:rFonts w:cs="David"/>
          <w:sz w:val="24"/>
          <w:rtl/>
        </w:rPr>
      </w:pPr>
    </w:p>
    <w:p w:rsidR="00000000" w:rsidRDefault="003F72C2">
      <w:pPr>
        <w:rPr>
          <w:rFonts w:cs="David"/>
          <w:sz w:val="24"/>
          <w:rtl/>
        </w:rPr>
      </w:pPr>
      <w:r>
        <w:rPr>
          <w:rFonts w:cs="David"/>
          <w:sz w:val="24"/>
          <w:rtl/>
        </w:rPr>
        <w:tab/>
        <w:t xml:space="preserve">אני מסביר לו את זה, ואז הוא אומר: בסדר, אני מודה. אבל עכשיו משנים את זה. </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 xml:space="preserve"> המטרה של החוק הזה ה</w:t>
      </w:r>
      <w:r>
        <w:rPr>
          <w:rFonts w:cs="David"/>
          <w:sz w:val="24"/>
          <w:rtl/>
        </w:rPr>
        <w:t>יא לא להעניש, אלא להגן על הנפגע.</w:t>
      </w:r>
    </w:p>
    <w:p w:rsidR="00000000" w:rsidRDefault="003F72C2">
      <w:pPr>
        <w:rPr>
          <w:rFonts w:cs="David"/>
          <w:sz w:val="24"/>
          <w:rtl/>
        </w:rPr>
      </w:pPr>
    </w:p>
    <w:p w:rsidR="00000000" w:rsidRDefault="003F72C2">
      <w:pPr>
        <w:rPr>
          <w:rFonts w:cs="David"/>
          <w:sz w:val="24"/>
          <w:rtl/>
        </w:rPr>
      </w:pPr>
      <w:r>
        <w:rPr>
          <w:rFonts w:cs="David"/>
          <w:sz w:val="24"/>
          <w:u w:val="single"/>
          <w:rtl/>
        </w:rPr>
        <w:t>דוד וינר:</w:t>
      </w:r>
    </w:p>
    <w:p w:rsidR="00000000" w:rsidRDefault="003F72C2">
      <w:pPr>
        <w:rPr>
          <w:rFonts w:cs="David"/>
          <w:sz w:val="24"/>
          <w:rtl/>
        </w:rPr>
      </w:pPr>
    </w:p>
    <w:p w:rsidR="00000000" w:rsidRDefault="003F72C2">
      <w:pPr>
        <w:rPr>
          <w:rFonts w:cs="David"/>
          <w:sz w:val="24"/>
          <w:rtl/>
        </w:rPr>
      </w:pPr>
      <w:r>
        <w:rPr>
          <w:rFonts w:cs="David"/>
          <w:sz w:val="24"/>
          <w:rtl/>
        </w:rPr>
        <w:tab/>
        <w:t xml:space="preserve">זה לא יעזור להגיד את זה כי בפועל זה כן להעניש. זאת לא מכבסת מילים. זורקים מישהו מהבית ומהעבודה, זה כן ענישה. </w:t>
      </w:r>
    </w:p>
    <w:p w:rsidR="00000000" w:rsidRDefault="003F72C2">
      <w:pPr>
        <w:rPr>
          <w:rFonts w:cs="David"/>
          <w:sz w:val="24"/>
          <w:rtl/>
        </w:rPr>
      </w:pPr>
    </w:p>
    <w:p w:rsidR="00000000" w:rsidRDefault="003F72C2">
      <w:pPr>
        <w:rPr>
          <w:rFonts w:cs="David"/>
          <w:sz w:val="24"/>
          <w:rtl/>
        </w:rPr>
      </w:pPr>
      <w:r>
        <w:rPr>
          <w:rFonts w:cs="David"/>
          <w:sz w:val="24"/>
          <w:u w:val="single"/>
          <w:rtl/>
        </w:rPr>
        <w:t>גילה גמליאל:</w:t>
      </w:r>
    </w:p>
    <w:p w:rsidR="00000000" w:rsidRDefault="003F72C2">
      <w:pPr>
        <w:rPr>
          <w:rFonts w:cs="David"/>
          <w:sz w:val="24"/>
          <w:rtl/>
        </w:rPr>
      </w:pPr>
    </w:p>
    <w:p w:rsidR="00000000" w:rsidRDefault="003F72C2">
      <w:pPr>
        <w:rPr>
          <w:rFonts w:cs="David"/>
          <w:sz w:val="24"/>
          <w:rtl/>
        </w:rPr>
      </w:pPr>
      <w:r>
        <w:rPr>
          <w:rFonts w:cs="David"/>
          <w:sz w:val="24"/>
          <w:rtl/>
        </w:rPr>
        <w:tab/>
        <w:t xml:space="preserve"> את אותו טיעון בדיוק אפשר לטעון על השופט - שברגע שהשופט קבע את העונש, ואמר לו שהוא י</w:t>
      </w:r>
      <w:r>
        <w:rPr>
          <w:rFonts w:cs="David"/>
          <w:sz w:val="24"/>
          <w:rtl/>
        </w:rPr>
        <w:t>היה שמונה שנים בכלא, הוא לא לקח בחשבון שאחר כך אפשר להרחיק אותו. את הדברים האלה שמעתי מכם, ואין לזה רלוונטיות. אם עבריין נמצא בכלא עוד חמש שנים מהיום, החוק לא יחול עליו?</w:t>
      </w:r>
    </w:p>
    <w:p w:rsidR="00000000" w:rsidRDefault="003F72C2">
      <w:pPr>
        <w:rPr>
          <w:rFonts w:cs="David"/>
          <w:sz w:val="24"/>
          <w:rtl/>
        </w:rPr>
      </w:pPr>
    </w:p>
    <w:p w:rsidR="00000000" w:rsidRDefault="003F72C2">
      <w:pPr>
        <w:rPr>
          <w:rFonts w:cs="David"/>
          <w:sz w:val="24"/>
          <w:u w:val="single"/>
          <w:rtl/>
        </w:rPr>
      </w:pPr>
      <w:r>
        <w:rPr>
          <w:rFonts w:cs="David"/>
          <w:sz w:val="24"/>
          <w:u w:val="single"/>
          <w:rtl/>
        </w:rPr>
        <w:t>נאוה דהן:</w:t>
      </w:r>
    </w:p>
    <w:p w:rsidR="00000000" w:rsidRDefault="003F72C2">
      <w:pPr>
        <w:rPr>
          <w:rFonts w:cs="David"/>
          <w:sz w:val="24"/>
          <w:u w:val="single"/>
          <w:rtl/>
        </w:rPr>
      </w:pPr>
    </w:p>
    <w:p w:rsidR="00000000" w:rsidRDefault="003F72C2">
      <w:pPr>
        <w:rPr>
          <w:rFonts w:cs="David"/>
          <w:sz w:val="24"/>
          <w:rtl/>
        </w:rPr>
      </w:pPr>
      <w:r>
        <w:rPr>
          <w:rFonts w:cs="David"/>
          <w:sz w:val="24"/>
          <w:rtl/>
        </w:rPr>
        <w:tab/>
        <w:t xml:space="preserve">זה חל על אוכלוסייה שתורשע החל מהשבוע הבא. רטרואקטיביות בחוק זה דבר מגונה </w:t>
      </w:r>
      <w:r>
        <w:rPr>
          <w:rFonts w:cs="David"/>
          <w:sz w:val="24"/>
          <w:rtl/>
        </w:rPr>
        <w:t xml:space="preserve">שצריך להימנע ממנו. </w:t>
      </w:r>
    </w:p>
    <w:p w:rsidR="00000000" w:rsidRDefault="003F72C2">
      <w:pPr>
        <w:rPr>
          <w:rFonts w:cs="David"/>
          <w:sz w:val="24"/>
          <w:rtl/>
        </w:rPr>
      </w:pPr>
    </w:p>
    <w:p w:rsidR="00000000" w:rsidRDefault="003F72C2">
      <w:pPr>
        <w:rPr>
          <w:rFonts w:cs="David"/>
          <w:sz w:val="24"/>
          <w:rtl/>
        </w:rPr>
      </w:pPr>
      <w:r>
        <w:rPr>
          <w:rFonts w:cs="David"/>
          <w:sz w:val="24"/>
          <w:u w:val="single"/>
          <w:rtl/>
        </w:rPr>
        <w:t>יצחק לוי:</w:t>
      </w:r>
    </w:p>
    <w:p w:rsidR="00000000" w:rsidRDefault="003F72C2">
      <w:pPr>
        <w:rPr>
          <w:rFonts w:cs="David"/>
          <w:sz w:val="24"/>
          <w:rtl/>
        </w:rPr>
      </w:pPr>
    </w:p>
    <w:p w:rsidR="00000000" w:rsidRDefault="003F72C2">
      <w:pPr>
        <w:rPr>
          <w:rFonts w:cs="David"/>
          <w:sz w:val="24"/>
          <w:rtl/>
        </w:rPr>
      </w:pPr>
      <w:r>
        <w:rPr>
          <w:rFonts w:cs="David"/>
          <w:sz w:val="24"/>
          <w:rtl/>
        </w:rPr>
        <w:tab/>
        <w:t xml:space="preserve">אני מבקש לומר שהחוק הזה קושר את העניין לגזר הדין. החוק הזה אומר שהדברים נקבעים בזמן גזר הדין. </w:t>
      </w:r>
    </w:p>
    <w:p w:rsidR="00000000" w:rsidRDefault="003F72C2">
      <w:pPr>
        <w:rPr>
          <w:rFonts w:cs="David"/>
          <w:sz w:val="24"/>
          <w:rtl/>
        </w:rPr>
      </w:pPr>
    </w:p>
    <w:p w:rsidR="00000000" w:rsidRDefault="003F72C2">
      <w:pPr>
        <w:rPr>
          <w:rFonts w:cs="David"/>
          <w:sz w:val="24"/>
          <w:rtl/>
        </w:rPr>
      </w:pPr>
      <w:r>
        <w:rPr>
          <w:rFonts w:cs="David"/>
          <w:sz w:val="24"/>
          <w:u w:val="single"/>
          <w:rtl/>
        </w:rPr>
        <w:t>קריאות:</w:t>
      </w:r>
    </w:p>
    <w:p w:rsidR="00000000" w:rsidRDefault="003F72C2">
      <w:pPr>
        <w:rPr>
          <w:rFonts w:cs="David"/>
          <w:sz w:val="24"/>
          <w:rtl/>
        </w:rPr>
      </w:pPr>
    </w:p>
    <w:p w:rsidR="00000000" w:rsidRDefault="003F72C2">
      <w:pPr>
        <w:rPr>
          <w:rFonts w:cs="David"/>
          <w:sz w:val="24"/>
          <w:rtl/>
        </w:rPr>
      </w:pPr>
      <w:r>
        <w:rPr>
          <w:rFonts w:cs="David"/>
          <w:sz w:val="24"/>
          <w:rtl/>
        </w:rPr>
        <w:tab/>
        <w:t xml:space="preserve"> לא, זה מיד לאחר גזר הדין.</w:t>
      </w:r>
    </w:p>
    <w:p w:rsidR="00000000" w:rsidRDefault="003F72C2">
      <w:pPr>
        <w:rPr>
          <w:rFonts w:cs="David"/>
          <w:sz w:val="24"/>
          <w:rtl/>
        </w:rPr>
      </w:pPr>
    </w:p>
    <w:p w:rsidR="00000000" w:rsidRDefault="003F72C2">
      <w:pPr>
        <w:rPr>
          <w:rFonts w:cs="David"/>
          <w:sz w:val="24"/>
          <w:rtl/>
        </w:rPr>
      </w:pPr>
      <w:r>
        <w:rPr>
          <w:rFonts w:cs="David"/>
          <w:sz w:val="24"/>
          <w:u w:val="single"/>
          <w:rtl/>
        </w:rPr>
        <w:t>יצחק לוי:</w:t>
      </w:r>
    </w:p>
    <w:p w:rsidR="00000000" w:rsidRDefault="003F72C2">
      <w:pPr>
        <w:rPr>
          <w:rFonts w:cs="David"/>
          <w:sz w:val="24"/>
          <w:rtl/>
        </w:rPr>
      </w:pPr>
    </w:p>
    <w:p w:rsidR="00000000" w:rsidRDefault="003F72C2">
      <w:pPr>
        <w:rPr>
          <w:rFonts w:cs="David"/>
          <w:sz w:val="24"/>
          <w:rtl/>
        </w:rPr>
      </w:pPr>
      <w:r>
        <w:rPr>
          <w:rFonts w:cs="David"/>
          <w:sz w:val="24"/>
          <w:rtl/>
        </w:rPr>
        <w:tab/>
        <w:t>"מיד לאחר גזר הדין" זה אומר שבזמן גזר הדין כבר ידברו על זה. והעבריין יגיד: אנ</w:t>
      </w:r>
      <w:r>
        <w:rPr>
          <w:rFonts w:cs="David"/>
          <w:sz w:val="24"/>
          <w:rtl/>
        </w:rPr>
        <w:t>י מתכונן לא להתנגד להרחקה. יבוא הסניגור או התובע ויגיד: הנתבע לא יתנגד להרחקה. חברת הכנסת גמליאל מתכוונת לדבר מאוד נכון ומאוד אמיתי, בפועל זה לא יהיה כך. אנחנו כבר מחוקקים ותיקים, אנחנו מכירים את הדברים. בפועל החוק הזה יהיה חלק מהטיעונים בנושא גזר הדין, אי</w:t>
      </w:r>
      <w:r>
        <w:rPr>
          <w:rFonts w:cs="David"/>
          <w:sz w:val="24"/>
          <w:rtl/>
        </w:rPr>
        <w:t xml:space="preserve"> אפשר יהיה להתעלם מזה, אלא אם כן אתה תבוא ותגיד: השופט לא ירשה להעלות את החוק הזה בטיעונים. אבל אין דבר כזה. במשפט, בטיעונים לגזר הדין, יבואו ויגידו: בהליך שיתקיים מיד לאחר גזר הדין בנושא הרחקה אנחנו לא נתנגד שהוא יורחק לשלוש שנים, ולכן אנחנו מבקשים להקל ע</w:t>
      </w:r>
      <w:r>
        <w:rPr>
          <w:rFonts w:cs="David"/>
          <w:sz w:val="24"/>
          <w:rtl/>
        </w:rPr>
        <w:t xml:space="preserve">ל העונש. ברור שיגידו את זה. </w:t>
      </w:r>
    </w:p>
    <w:p w:rsidR="00000000" w:rsidRDefault="003F72C2">
      <w:pPr>
        <w:rPr>
          <w:rFonts w:cs="David"/>
          <w:sz w:val="24"/>
          <w:rtl/>
        </w:rPr>
      </w:pPr>
    </w:p>
    <w:p w:rsidR="00000000" w:rsidRDefault="003F72C2">
      <w:pPr>
        <w:rPr>
          <w:rFonts w:cs="David"/>
          <w:sz w:val="24"/>
          <w:rtl/>
        </w:rPr>
      </w:pPr>
      <w:r>
        <w:rPr>
          <w:rFonts w:cs="David"/>
          <w:sz w:val="24"/>
          <w:u w:val="single"/>
          <w:rtl/>
        </w:rPr>
        <w:t>היו"ר מיכאל איתן:</w:t>
      </w:r>
    </w:p>
    <w:p w:rsidR="00000000" w:rsidRDefault="003F72C2">
      <w:pPr>
        <w:rPr>
          <w:rFonts w:cs="David"/>
          <w:sz w:val="24"/>
          <w:rtl/>
        </w:rPr>
      </w:pPr>
    </w:p>
    <w:p w:rsidR="00000000" w:rsidRDefault="003F72C2">
      <w:pPr>
        <w:rPr>
          <w:rFonts w:cs="David"/>
          <w:sz w:val="24"/>
          <w:rtl/>
        </w:rPr>
      </w:pPr>
      <w:r>
        <w:rPr>
          <w:rFonts w:cs="David"/>
          <w:sz w:val="24"/>
          <w:rtl/>
        </w:rPr>
        <w:tab/>
        <w:t xml:space="preserve"> רבותיי, אני תמיד חוזר למשפט שאיתו התחלתי כשיצאתי עם החוק הזה, ואני בודק אם זה נכון. אני התחלתי מההבנה שלי שיש משפחה, יש להם ילד שנפגע על-ידי השכן, והפוגע נדון לחמש שנות מאסר. הילד נפגע בגיל חמש ועד גיל עשר</w:t>
      </w:r>
      <w:r>
        <w:rPr>
          <w:rFonts w:cs="David"/>
          <w:sz w:val="24"/>
          <w:rtl/>
        </w:rPr>
        <w:t xml:space="preserve"> הוא עדיין בטיפול פסיכולוגי ומשתקם, ומודיעים שהאסיר הזה עומד להשתחרר. הולכים לפסיכולוג ושואלים מה לעשות עכשיו. אומר להם הפסיכולוג: אם טובת הילד לנגד עיניכם, תעברו דירה. אני לא רוצה שהילד יישאר בנוכחות אותו עבריין. מי יצטרך לשאת בנזק הזה?  </w:t>
      </w:r>
    </w:p>
    <w:p w:rsidR="00000000" w:rsidRDefault="003F72C2">
      <w:pPr>
        <w:rPr>
          <w:rFonts w:cs="David"/>
          <w:sz w:val="24"/>
          <w:rtl/>
        </w:rPr>
      </w:pPr>
    </w:p>
    <w:p w:rsidR="00000000" w:rsidRDefault="003F72C2">
      <w:pPr>
        <w:rPr>
          <w:rFonts w:cs="David"/>
          <w:sz w:val="24"/>
          <w:rtl/>
        </w:rPr>
      </w:pPr>
      <w:r>
        <w:rPr>
          <w:rFonts w:cs="David"/>
          <w:sz w:val="24"/>
          <w:u w:val="single"/>
          <w:rtl/>
        </w:rPr>
        <w:t>גילה גמליאל:</w:t>
      </w:r>
    </w:p>
    <w:p w:rsidR="00000000" w:rsidRDefault="003F72C2">
      <w:pPr>
        <w:rPr>
          <w:rFonts w:cs="David"/>
          <w:sz w:val="24"/>
          <w:rtl/>
        </w:rPr>
      </w:pPr>
    </w:p>
    <w:p w:rsidR="00000000" w:rsidRDefault="003F72C2">
      <w:pPr>
        <w:rPr>
          <w:rFonts w:cs="David"/>
          <w:sz w:val="24"/>
          <w:rtl/>
        </w:rPr>
      </w:pPr>
      <w:r>
        <w:rPr>
          <w:rFonts w:cs="David"/>
          <w:sz w:val="24"/>
          <w:rtl/>
        </w:rPr>
        <w:tab/>
      </w:r>
      <w:r>
        <w:rPr>
          <w:rFonts w:cs="David"/>
          <w:sz w:val="24"/>
          <w:rtl/>
        </w:rPr>
        <w:t xml:space="preserve"> לפי מה שהם אומרים, הקורבן צריך לשאת בזה. </w:t>
      </w:r>
    </w:p>
    <w:p w:rsidR="00000000" w:rsidRDefault="003F72C2">
      <w:pPr>
        <w:rPr>
          <w:rFonts w:cs="David"/>
          <w:sz w:val="24"/>
          <w:rtl/>
        </w:rPr>
      </w:pPr>
    </w:p>
    <w:p w:rsidR="00000000" w:rsidRDefault="003F72C2">
      <w:pPr>
        <w:rPr>
          <w:rFonts w:cs="David"/>
          <w:sz w:val="24"/>
          <w:rtl/>
        </w:rPr>
      </w:pPr>
      <w:r>
        <w:rPr>
          <w:rFonts w:cs="David"/>
          <w:sz w:val="24"/>
          <w:u w:val="single"/>
          <w:rtl/>
        </w:rPr>
        <w:t>יצחק לוי:</w:t>
      </w:r>
    </w:p>
    <w:p w:rsidR="00000000" w:rsidRDefault="003F72C2">
      <w:pPr>
        <w:rPr>
          <w:rFonts w:cs="David"/>
          <w:sz w:val="24"/>
          <w:rtl/>
        </w:rPr>
      </w:pPr>
    </w:p>
    <w:p w:rsidR="00000000" w:rsidRDefault="003F72C2">
      <w:pPr>
        <w:rPr>
          <w:rFonts w:cs="David"/>
          <w:sz w:val="24"/>
          <w:rtl/>
        </w:rPr>
      </w:pPr>
      <w:r>
        <w:rPr>
          <w:rFonts w:cs="David"/>
          <w:sz w:val="24"/>
          <w:rtl/>
        </w:rPr>
        <w:tab/>
        <w:t xml:space="preserve"> אני מסכים אתך, אבל אנחנו מדברים על הוראת המעבר.</w:t>
      </w:r>
    </w:p>
    <w:p w:rsidR="00000000" w:rsidRDefault="003F72C2">
      <w:pPr>
        <w:rPr>
          <w:rFonts w:cs="David"/>
          <w:sz w:val="24"/>
          <w:rtl/>
        </w:rPr>
      </w:pPr>
    </w:p>
    <w:p w:rsidR="00000000" w:rsidRDefault="003F72C2">
      <w:pPr>
        <w:rPr>
          <w:rFonts w:cs="David"/>
          <w:sz w:val="24"/>
          <w:rtl/>
        </w:rPr>
      </w:pPr>
      <w:r>
        <w:rPr>
          <w:rFonts w:cs="David"/>
          <w:sz w:val="24"/>
          <w:u w:val="single"/>
          <w:rtl/>
        </w:rPr>
        <w:t>היו"ר מיכאל איתן:</w:t>
      </w:r>
    </w:p>
    <w:p w:rsidR="00000000" w:rsidRDefault="003F72C2">
      <w:pPr>
        <w:rPr>
          <w:rFonts w:cs="David"/>
          <w:sz w:val="24"/>
          <w:rtl/>
        </w:rPr>
      </w:pPr>
    </w:p>
    <w:p w:rsidR="00000000" w:rsidRDefault="003F72C2">
      <w:pPr>
        <w:rPr>
          <w:rFonts w:cs="David"/>
          <w:sz w:val="24"/>
          <w:rtl/>
        </w:rPr>
      </w:pPr>
      <w:r>
        <w:rPr>
          <w:rFonts w:cs="David"/>
          <w:sz w:val="24"/>
          <w:rtl/>
        </w:rPr>
        <w:tab/>
        <w:t>מה זה משנה תקופת המעבר? אתה פוגע בהיגיון של החוק. אני מסתכל עכשיו מצד העבריין. בא עבריין, ואומרים לו: תעשה עסקת טיעון. הוא יודע שה</w:t>
      </w:r>
      <w:r>
        <w:rPr>
          <w:rFonts w:cs="David"/>
          <w:sz w:val="24"/>
          <w:rtl/>
        </w:rPr>
        <w:t>יום עסקת טיעון כרוכה בתקופת מאסר קצרה. מחר פתאום יגידו לו: אתה גם תהיה צפוי להרחקה אחר כך. העבריין יגיד: הייתם צריכים להגיד לי את זה מראש. האם כשלא אמרנו לו את זה מראש, המשפחה שהיא קורבן העבירה צריכה לעבור דירה? במקום שאין ברירה ואחד משניהם צריך לעזוב, ההר</w:t>
      </w:r>
      <w:r>
        <w:rPr>
          <w:rFonts w:cs="David"/>
          <w:sz w:val="24"/>
          <w:rtl/>
        </w:rPr>
        <w:t>חקה תיפול על הפוגע. זאת התכלית של החוק. אבל הדילמה הזאת נוצרה עכשיו, הסיטואציה הזאת נוצרה רק מהרגע, אני לא מעניש אותו על סיטואציה שהיתה פעם. הדילמה הזאת תהיה ממחר כאשר החוק ייכנס לתוקפו. בעצם, הדילמה קיימת גם היום, אבל היום אין פתרון. עכשיו, באמצעות החוק ה</w:t>
      </w:r>
      <w:r>
        <w:rPr>
          <w:rFonts w:cs="David"/>
          <w:sz w:val="24"/>
          <w:rtl/>
        </w:rPr>
        <w:t xml:space="preserve">זה, אני מפסיק מעשה עוול שבעצם היו צריכים להפסיק אותו מהרגע הראשון.  </w:t>
      </w:r>
    </w:p>
    <w:p w:rsidR="00000000" w:rsidRDefault="003F72C2">
      <w:pPr>
        <w:rPr>
          <w:rFonts w:cs="David"/>
          <w:sz w:val="24"/>
          <w:rtl/>
        </w:rPr>
      </w:pPr>
    </w:p>
    <w:p w:rsidR="00000000" w:rsidRDefault="003F72C2">
      <w:pPr>
        <w:rPr>
          <w:rFonts w:cs="David"/>
          <w:sz w:val="24"/>
          <w:rtl/>
        </w:rPr>
      </w:pPr>
      <w:r>
        <w:rPr>
          <w:rFonts w:cs="David"/>
          <w:sz w:val="24"/>
          <w:u w:val="single"/>
          <w:rtl/>
        </w:rPr>
        <w:t>גילה גמליאל:</w:t>
      </w:r>
    </w:p>
    <w:p w:rsidR="00000000" w:rsidRDefault="003F72C2">
      <w:pPr>
        <w:rPr>
          <w:rFonts w:cs="David"/>
          <w:sz w:val="24"/>
          <w:rtl/>
        </w:rPr>
      </w:pPr>
    </w:p>
    <w:p w:rsidR="00000000" w:rsidRDefault="003F72C2">
      <w:pPr>
        <w:rPr>
          <w:rFonts w:cs="David"/>
          <w:sz w:val="24"/>
          <w:rtl/>
        </w:rPr>
      </w:pPr>
      <w:r>
        <w:rPr>
          <w:rFonts w:cs="David"/>
          <w:sz w:val="24"/>
          <w:rtl/>
        </w:rPr>
        <w:tab/>
        <w:t xml:space="preserve"> אין הסבר יותר טוב מזה. </w:t>
      </w:r>
    </w:p>
    <w:p w:rsidR="00000000" w:rsidRDefault="003F72C2">
      <w:pPr>
        <w:rPr>
          <w:rFonts w:cs="David"/>
          <w:sz w:val="24"/>
          <w:rtl/>
        </w:rPr>
      </w:pPr>
    </w:p>
    <w:p w:rsidR="00000000" w:rsidRDefault="003F72C2">
      <w:pPr>
        <w:rPr>
          <w:rFonts w:cs="David"/>
          <w:sz w:val="24"/>
          <w:rtl/>
        </w:rPr>
      </w:pPr>
      <w:r>
        <w:rPr>
          <w:rFonts w:cs="David"/>
          <w:sz w:val="24"/>
          <w:u w:val="single"/>
          <w:rtl/>
        </w:rPr>
        <w:t>רחל גרשוני:</w:t>
      </w:r>
    </w:p>
    <w:p w:rsidR="00000000" w:rsidRDefault="003F72C2">
      <w:pPr>
        <w:rPr>
          <w:rFonts w:cs="David"/>
          <w:sz w:val="24"/>
          <w:rtl/>
        </w:rPr>
      </w:pPr>
    </w:p>
    <w:p w:rsidR="00000000" w:rsidRDefault="003F72C2">
      <w:pPr>
        <w:rPr>
          <w:rFonts w:cs="David"/>
          <w:sz w:val="24"/>
          <w:rtl/>
        </w:rPr>
      </w:pPr>
      <w:r>
        <w:rPr>
          <w:rFonts w:cs="David"/>
          <w:sz w:val="24"/>
          <w:rtl/>
        </w:rPr>
        <w:tab/>
        <w:t xml:space="preserve">אני רציתי לתמוך בדברי היושב-ראש. אני חושבת שתכלית החוק הזה הוא להגן על הנפגע ולא להעניש את העבריין. זה לא רק מילים, זה הרעיון. לכן </w:t>
      </w:r>
      <w:r>
        <w:rPr>
          <w:rFonts w:cs="David"/>
          <w:sz w:val="24"/>
          <w:rtl/>
        </w:rPr>
        <w:t xml:space="preserve">מודגש לתת את המסר הזה לאחר מתן גזר הדין, זה לא צריך להיכנס לשיקולים של גזר הדין. המסר הוא אחרי שנותנים את גזר הדין והעבריין ריצה את עונשו, אחר כך דנים בסוגייה שונה - הנזק לנפגע. זה במוקד הדיון. מַטֶריה דומה היא חוק למניעת העסקה של עברייני דין במוסד המכוון </w:t>
      </w:r>
      <w:r>
        <w:rPr>
          <w:rFonts w:cs="David"/>
          <w:sz w:val="24"/>
          <w:rtl/>
        </w:rPr>
        <w:t>למתן שירות לקטינים. שם כתוב בהוראות המעבר "הוראות חוק זה יחולו על בגיר שנדון לשנת מאסר בפועל או יותר בשל עבירת מין ... אם הוא הורשע בעבירה כאמור בתוך חמש השנים שקדמו ליום כניסתו לתוקף של חוק זה. החוק הזה גם כן דן במצב שאחרי שהעבריין ריצה את עונשו מטילים על</w:t>
      </w:r>
      <w:r>
        <w:rPr>
          <w:rFonts w:cs="David"/>
          <w:sz w:val="24"/>
          <w:rtl/>
        </w:rPr>
        <w:t>יו הגבלה מאוד חמורה - איסור העסקה בקשת רחבה מאוד של מוסדות שמכוונים למתן שירות לקטינים. וזה חל על עבירה שביצע בחמש השנים שקדמו לכניסת החוק לתוקף, משום שהמטרה היא להגן על הציבור. כאן המטרה היא להגן על אותו נפגע ספציפי. לכן אני לא רואה בזה רטרואקטיביות. התכל</w:t>
      </w:r>
      <w:r>
        <w:rPr>
          <w:rFonts w:cs="David"/>
          <w:sz w:val="24"/>
          <w:rtl/>
        </w:rPr>
        <w:t>ית היא להגן, וזה מהיום הזה ואילך. בעצם מה שאומרים לו בחוק זה לא לעבוד בכלל במקצוע שהוא עבד בו קודם. זה מאוד חמור, זאת גם זכות יסוד, מונעים מאדם לעסוק במקצוע שלו, ומחילים את זה על עבירה שביצע לפני כניסת החוק לתוקף.</w:t>
      </w:r>
    </w:p>
    <w:p w:rsidR="00000000" w:rsidRDefault="003F72C2">
      <w:pPr>
        <w:rPr>
          <w:rFonts w:cs="David"/>
          <w:sz w:val="24"/>
          <w:rtl/>
        </w:rPr>
      </w:pPr>
    </w:p>
    <w:p w:rsidR="00000000" w:rsidRDefault="003F72C2">
      <w:pPr>
        <w:rPr>
          <w:rFonts w:cs="David"/>
          <w:sz w:val="24"/>
          <w:rtl/>
        </w:rPr>
      </w:pPr>
      <w:r>
        <w:rPr>
          <w:rFonts w:cs="David"/>
          <w:sz w:val="24"/>
          <w:u w:val="single"/>
          <w:rtl/>
        </w:rPr>
        <w:t>יצחק לוי:</w:t>
      </w:r>
    </w:p>
    <w:p w:rsidR="00000000" w:rsidRDefault="003F72C2">
      <w:pPr>
        <w:rPr>
          <w:rFonts w:cs="David"/>
          <w:sz w:val="24"/>
          <w:rtl/>
        </w:rPr>
      </w:pPr>
    </w:p>
    <w:p w:rsidR="00000000" w:rsidRDefault="003F72C2">
      <w:pPr>
        <w:rPr>
          <w:rFonts w:cs="David"/>
          <w:sz w:val="24"/>
          <w:rtl/>
        </w:rPr>
      </w:pPr>
      <w:r>
        <w:rPr>
          <w:rFonts w:cs="David"/>
          <w:sz w:val="24"/>
          <w:rtl/>
        </w:rPr>
        <w:tab/>
        <w:t xml:space="preserve"> אני מסיר את הצעתי. </w:t>
      </w:r>
    </w:p>
    <w:p w:rsidR="00000000" w:rsidRDefault="003F72C2">
      <w:pPr>
        <w:rPr>
          <w:rFonts w:cs="David"/>
          <w:sz w:val="24"/>
          <w:rtl/>
        </w:rPr>
      </w:pPr>
    </w:p>
    <w:p w:rsidR="00000000" w:rsidRDefault="003F72C2">
      <w:pPr>
        <w:rPr>
          <w:rFonts w:cs="David"/>
          <w:sz w:val="24"/>
          <w:rtl/>
        </w:rPr>
      </w:pPr>
      <w:r>
        <w:rPr>
          <w:rFonts w:cs="David"/>
          <w:sz w:val="24"/>
          <w:u w:val="single"/>
          <w:rtl/>
        </w:rPr>
        <w:t>נאוה דה</w:t>
      </w:r>
      <w:r>
        <w:rPr>
          <w:rFonts w:cs="David"/>
          <w:sz w:val="24"/>
          <w:u w:val="single"/>
          <w:rtl/>
        </w:rPr>
        <w:t>ן:</w:t>
      </w:r>
    </w:p>
    <w:p w:rsidR="00000000" w:rsidRDefault="003F72C2">
      <w:pPr>
        <w:rPr>
          <w:rFonts w:cs="David"/>
          <w:sz w:val="24"/>
          <w:rtl/>
        </w:rPr>
      </w:pPr>
    </w:p>
    <w:p w:rsidR="00000000" w:rsidRDefault="003F72C2">
      <w:pPr>
        <w:rPr>
          <w:rFonts w:cs="David"/>
          <w:sz w:val="24"/>
          <w:rtl/>
        </w:rPr>
      </w:pPr>
      <w:r>
        <w:rPr>
          <w:rFonts w:cs="David"/>
          <w:sz w:val="24"/>
          <w:rtl/>
        </w:rPr>
        <w:tab/>
        <w:t>אז מה הנוסח?</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 xml:space="preserve"> משאירים אותו כמו שהקראתי, את כל הסעיפים, כולל סעיף (3).</w:t>
      </w:r>
    </w:p>
    <w:p w:rsidR="00000000" w:rsidRDefault="003F72C2">
      <w:pPr>
        <w:rPr>
          <w:rFonts w:cs="David"/>
          <w:sz w:val="24"/>
          <w:rtl/>
        </w:rPr>
      </w:pPr>
    </w:p>
    <w:p w:rsidR="00000000" w:rsidRDefault="003F72C2">
      <w:pPr>
        <w:rPr>
          <w:rFonts w:cs="David"/>
          <w:sz w:val="24"/>
          <w:rtl/>
        </w:rPr>
      </w:pPr>
      <w:r>
        <w:rPr>
          <w:rFonts w:cs="David"/>
          <w:sz w:val="24"/>
          <w:u w:val="single"/>
          <w:rtl/>
        </w:rPr>
        <w:t>היו"ר מיכאל איתן:</w:t>
      </w:r>
    </w:p>
    <w:p w:rsidR="00000000" w:rsidRDefault="003F72C2">
      <w:pPr>
        <w:rPr>
          <w:rFonts w:cs="David"/>
          <w:sz w:val="24"/>
          <w:rtl/>
        </w:rPr>
      </w:pPr>
    </w:p>
    <w:p w:rsidR="00000000" w:rsidRDefault="003F72C2">
      <w:pPr>
        <w:rPr>
          <w:rFonts w:cs="David"/>
          <w:sz w:val="24"/>
          <w:rtl/>
        </w:rPr>
      </w:pPr>
      <w:r>
        <w:rPr>
          <w:rFonts w:cs="David"/>
          <w:sz w:val="24"/>
          <w:rtl/>
        </w:rPr>
        <w:tab/>
        <w:t xml:space="preserve"> אנחנו גמרנו את הדיונים, אבל מאחר שזה חוק מהפכני בתפיסה שלו, אנחנו נעביר עוד פעם את הניסוח המלא לכולכם, לפני שנצביע. לא יהיה דיון נוסף, אבל אם יהיו </w:t>
      </w:r>
      <w:r>
        <w:rPr>
          <w:rFonts w:cs="David"/>
          <w:sz w:val="24"/>
          <w:rtl/>
        </w:rPr>
        <w:t xml:space="preserve">הערות משמעותיות, אני אבדוק אותן. אם אמצא לנכון, אקיים עליהן דיון. </w:t>
      </w:r>
    </w:p>
    <w:p w:rsidR="00000000" w:rsidRDefault="003F72C2">
      <w:pPr>
        <w:rPr>
          <w:rFonts w:cs="David"/>
          <w:sz w:val="24"/>
          <w:rtl/>
        </w:rPr>
      </w:pPr>
    </w:p>
    <w:p w:rsidR="00000000" w:rsidRDefault="003F72C2">
      <w:pPr>
        <w:rPr>
          <w:rFonts w:cs="David"/>
          <w:sz w:val="24"/>
          <w:rtl/>
        </w:rPr>
      </w:pPr>
      <w:r>
        <w:rPr>
          <w:rFonts w:cs="David"/>
          <w:sz w:val="24"/>
          <w:u w:val="single"/>
          <w:rtl/>
        </w:rPr>
        <w:t>רחל גרשוני:</w:t>
      </w:r>
    </w:p>
    <w:p w:rsidR="00000000" w:rsidRDefault="003F72C2">
      <w:pPr>
        <w:rPr>
          <w:rFonts w:cs="David"/>
          <w:sz w:val="24"/>
          <w:rtl/>
        </w:rPr>
      </w:pPr>
    </w:p>
    <w:p w:rsidR="00000000" w:rsidRDefault="003F72C2">
      <w:pPr>
        <w:rPr>
          <w:rFonts w:cs="David"/>
          <w:sz w:val="24"/>
          <w:rtl/>
        </w:rPr>
      </w:pPr>
      <w:r>
        <w:rPr>
          <w:rFonts w:cs="David"/>
          <w:sz w:val="24"/>
          <w:rtl/>
        </w:rPr>
        <w:tab/>
        <w:t xml:space="preserve"> אבל יש עוד שאלה אחת, לגבי צמצום עבירות. אני חושבת שזאת סוגייה שצריכה לעלות. </w:t>
      </w:r>
    </w:p>
    <w:p w:rsidR="00000000" w:rsidRDefault="003F72C2">
      <w:pPr>
        <w:rPr>
          <w:rFonts w:cs="David"/>
          <w:sz w:val="24"/>
          <w:rtl/>
        </w:rPr>
      </w:pPr>
    </w:p>
    <w:p w:rsidR="00000000" w:rsidRDefault="003F72C2">
      <w:pPr>
        <w:tabs>
          <w:tab w:val="left" w:pos="512"/>
        </w:tabs>
        <w:rPr>
          <w:rFonts w:cs="David"/>
          <w:sz w:val="24"/>
          <w:rtl/>
        </w:rPr>
      </w:pPr>
      <w:r>
        <w:rPr>
          <w:rFonts w:cs="David"/>
          <w:sz w:val="24"/>
          <w:u w:val="single"/>
          <w:rtl/>
        </w:rPr>
        <w:t>אליעזר כהן:</w:t>
      </w:r>
    </w:p>
    <w:p w:rsidR="00000000" w:rsidRDefault="003F72C2">
      <w:pPr>
        <w:tabs>
          <w:tab w:val="left" w:pos="512"/>
        </w:tabs>
        <w:rPr>
          <w:rFonts w:cs="David"/>
          <w:sz w:val="24"/>
          <w:rtl/>
        </w:rPr>
      </w:pPr>
    </w:p>
    <w:p w:rsidR="00000000" w:rsidRDefault="003F72C2">
      <w:pPr>
        <w:rPr>
          <w:rFonts w:cs="David"/>
          <w:sz w:val="24"/>
          <w:rtl/>
        </w:rPr>
      </w:pPr>
      <w:r>
        <w:rPr>
          <w:rFonts w:cs="David"/>
          <w:sz w:val="24"/>
          <w:rtl/>
        </w:rPr>
        <w:tab/>
        <w:t xml:space="preserve"> אני מציע שנצביע היום, ותעשה את התיקונים אחר כך. יש כאן פה הסכמה מלאה, חבל לא להצ</w:t>
      </w:r>
      <w:r>
        <w:rPr>
          <w:rFonts w:cs="David"/>
          <w:sz w:val="24"/>
          <w:rtl/>
        </w:rPr>
        <w:t xml:space="preserve">ביע. </w:t>
      </w:r>
    </w:p>
    <w:p w:rsidR="00000000" w:rsidRDefault="003F72C2">
      <w:pPr>
        <w:rPr>
          <w:rFonts w:cs="David"/>
          <w:sz w:val="24"/>
          <w:rtl/>
        </w:rPr>
      </w:pPr>
    </w:p>
    <w:p w:rsidR="00000000" w:rsidRDefault="003F72C2">
      <w:pPr>
        <w:rPr>
          <w:rFonts w:cs="David"/>
          <w:sz w:val="24"/>
          <w:rtl/>
        </w:rPr>
      </w:pPr>
      <w:r>
        <w:rPr>
          <w:rFonts w:cs="David"/>
          <w:sz w:val="24"/>
          <w:u w:val="single"/>
          <w:rtl/>
        </w:rPr>
        <w:t>היו"ר מיכאל איתן:</w:t>
      </w:r>
    </w:p>
    <w:p w:rsidR="00000000" w:rsidRDefault="003F72C2">
      <w:pPr>
        <w:rPr>
          <w:rFonts w:cs="David"/>
          <w:sz w:val="24"/>
          <w:rtl/>
        </w:rPr>
      </w:pPr>
    </w:p>
    <w:p w:rsidR="00000000" w:rsidRDefault="003F72C2">
      <w:pPr>
        <w:rPr>
          <w:rFonts w:cs="David"/>
          <w:sz w:val="24"/>
          <w:rtl/>
        </w:rPr>
      </w:pPr>
      <w:r>
        <w:rPr>
          <w:rFonts w:cs="David"/>
          <w:sz w:val="24"/>
          <w:rtl/>
        </w:rPr>
        <w:tab/>
        <w:t xml:space="preserve"> אני אתקדם עוד צעד. אנחנו נעשה הצבעה היום ברמה עקרונית. אם יהיו בעיות, אני אבקש רוויזיה ונקיים דיון. </w:t>
      </w:r>
    </w:p>
    <w:p w:rsidR="00000000" w:rsidRDefault="003F72C2">
      <w:pPr>
        <w:rPr>
          <w:rFonts w:cs="David"/>
          <w:sz w:val="24"/>
          <w:rtl/>
        </w:rPr>
      </w:pPr>
    </w:p>
    <w:p w:rsidR="00000000" w:rsidRDefault="003F72C2">
      <w:pPr>
        <w:rPr>
          <w:rFonts w:cs="David"/>
          <w:sz w:val="24"/>
          <w:rtl/>
        </w:rPr>
      </w:pPr>
      <w:r>
        <w:rPr>
          <w:rFonts w:cs="David"/>
          <w:sz w:val="24"/>
          <w:u w:val="single"/>
          <w:rtl/>
        </w:rPr>
        <w:t>רחל גרשוני:</w:t>
      </w:r>
    </w:p>
    <w:p w:rsidR="00000000" w:rsidRDefault="003F72C2">
      <w:pPr>
        <w:rPr>
          <w:rFonts w:cs="David"/>
          <w:sz w:val="24"/>
          <w:rtl/>
        </w:rPr>
      </w:pPr>
    </w:p>
    <w:p w:rsidR="00000000" w:rsidRDefault="003F72C2">
      <w:pPr>
        <w:rPr>
          <w:rFonts w:cs="David"/>
          <w:sz w:val="24"/>
          <w:rtl/>
        </w:rPr>
      </w:pPr>
      <w:r>
        <w:rPr>
          <w:rFonts w:cs="David"/>
          <w:sz w:val="24"/>
          <w:rtl/>
        </w:rPr>
        <w:tab/>
        <w:t xml:space="preserve"> מה עם צמצום העבירות שזאת בעיה עקרונית של הסניגוריה?</w:t>
      </w:r>
    </w:p>
    <w:p w:rsidR="00000000" w:rsidRDefault="003F72C2">
      <w:pPr>
        <w:rPr>
          <w:rFonts w:cs="David"/>
          <w:sz w:val="24"/>
          <w:rtl/>
        </w:rPr>
      </w:pPr>
    </w:p>
    <w:p w:rsidR="00000000" w:rsidRDefault="003F72C2">
      <w:pPr>
        <w:rPr>
          <w:rFonts w:cs="David"/>
          <w:sz w:val="24"/>
          <w:rtl/>
        </w:rPr>
      </w:pPr>
      <w:r>
        <w:rPr>
          <w:rFonts w:cs="David"/>
          <w:sz w:val="24"/>
          <w:u w:val="single"/>
          <w:rtl/>
        </w:rPr>
        <w:t>הילה קרנר-סולימן:</w:t>
      </w:r>
    </w:p>
    <w:p w:rsidR="00000000" w:rsidRDefault="003F72C2">
      <w:pPr>
        <w:rPr>
          <w:rFonts w:cs="David"/>
          <w:sz w:val="24"/>
          <w:rtl/>
        </w:rPr>
      </w:pPr>
    </w:p>
    <w:p w:rsidR="00000000" w:rsidRDefault="003F72C2">
      <w:pPr>
        <w:rPr>
          <w:rFonts w:cs="David"/>
          <w:sz w:val="24"/>
          <w:rtl/>
        </w:rPr>
      </w:pPr>
      <w:r>
        <w:rPr>
          <w:rFonts w:cs="David"/>
          <w:sz w:val="24"/>
          <w:rtl/>
        </w:rPr>
        <w:tab/>
        <w:t xml:space="preserve"> איזה עבירות לדוגמא לא ייכללו לפי הצעת</w:t>
      </w:r>
      <w:r>
        <w:rPr>
          <w:rFonts w:cs="David"/>
          <w:sz w:val="24"/>
          <w:rtl/>
        </w:rPr>
        <w:t>כם?</w:t>
      </w:r>
    </w:p>
    <w:p w:rsidR="00000000" w:rsidRDefault="003F72C2">
      <w:pPr>
        <w:rPr>
          <w:rFonts w:cs="David"/>
          <w:sz w:val="24"/>
          <w:rtl/>
        </w:rPr>
      </w:pPr>
    </w:p>
    <w:p w:rsidR="00000000" w:rsidRDefault="003F72C2">
      <w:pPr>
        <w:rPr>
          <w:rFonts w:cs="David"/>
          <w:sz w:val="24"/>
          <w:rtl/>
        </w:rPr>
      </w:pPr>
      <w:r>
        <w:rPr>
          <w:rFonts w:cs="David"/>
          <w:sz w:val="24"/>
          <w:u w:val="single"/>
          <w:rtl/>
        </w:rPr>
        <w:t>דוד וינר:</w:t>
      </w:r>
    </w:p>
    <w:p w:rsidR="00000000" w:rsidRDefault="003F72C2">
      <w:pPr>
        <w:rPr>
          <w:rFonts w:cs="David"/>
          <w:sz w:val="24"/>
          <w:rtl/>
        </w:rPr>
      </w:pPr>
    </w:p>
    <w:p w:rsidR="00000000" w:rsidRDefault="003F72C2">
      <w:pPr>
        <w:rPr>
          <w:rFonts w:cs="David"/>
          <w:sz w:val="24"/>
          <w:rtl/>
        </w:rPr>
      </w:pPr>
      <w:r>
        <w:rPr>
          <w:rFonts w:cs="David"/>
          <w:sz w:val="24"/>
          <w:rtl/>
        </w:rPr>
        <w:tab/>
        <w:t>השאלה על מה אנחנו מחילים את זה. כרגע הבנתי שרק 352 הוא מחוץ לעניין. השאלה מהלך כל כך מהפכני צריך להחיל על כל הסיטואציות.</w:t>
      </w:r>
    </w:p>
    <w:p w:rsidR="00000000" w:rsidRDefault="003F72C2">
      <w:pPr>
        <w:rPr>
          <w:rFonts w:cs="David"/>
          <w:sz w:val="24"/>
          <w:rtl/>
        </w:rPr>
      </w:pPr>
    </w:p>
    <w:p w:rsidR="00000000" w:rsidRDefault="003F72C2">
      <w:pPr>
        <w:rPr>
          <w:rFonts w:cs="David"/>
          <w:sz w:val="24"/>
          <w:rtl/>
        </w:rPr>
      </w:pPr>
      <w:r>
        <w:rPr>
          <w:rFonts w:cs="David"/>
          <w:sz w:val="24"/>
          <w:u w:val="single"/>
          <w:rtl/>
        </w:rPr>
        <w:t>היו"ר מיכאל איתן:</w:t>
      </w:r>
    </w:p>
    <w:p w:rsidR="00000000" w:rsidRDefault="003F72C2">
      <w:pPr>
        <w:rPr>
          <w:rFonts w:cs="David"/>
          <w:sz w:val="24"/>
          <w:rtl/>
        </w:rPr>
      </w:pPr>
    </w:p>
    <w:p w:rsidR="00000000" w:rsidRDefault="003F72C2">
      <w:pPr>
        <w:rPr>
          <w:rFonts w:cs="David"/>
          <w:sz w:val="24"/>
          <w:rtl/>
        </w:rPr>
      </w:pPr>
      <w:r>
        <w:rPr>
          <w:rFonts w:cs="David"/>
          <w:sz w:val="24"/>
          <w:rtl/>
        </w:rPr>
        <w:tab/>
        <w:t xml:space="preserve"> אני רוצה רגע לבדוק את העניין של מספר העבירות. לפי מה שאני רואה בעבירות, מעשה מגונה יש כמעט חצי, </w:t>
      </w:r>
      <w:r>
        <w:rPr>
          <w:rFonts w:cs="David"/>
          <w:sz w:val="24"/>
          <w:rtl/>
        </w:rPr>
        <w:t xml:space="preserve">522. תחשבו אם אפשר לעשות חלוקה פנימית בתוך זה, כי נראה שלגבי המקרים היותר פשוטים אולי בית המשפט לא ייתן הרחקה. </w:t>
      </w:r>
    </w:p>
    <w:p w:rsidR="00000000" w:rsidRDefault="003F72C2">
      <w:pPr>
        <w:rPr>
          <w:rFonts w:cs="David"/>
          <w:sz w:val="24"/>
          <w:rtl/>
        </w:rPr>
      </w:pPr>
    </w:p>
    <w:p w:rsidR="00000000" w:rsidRDefault="003F72C2">
      <w:pPr>
        <w:rPr>
          <w:rFonts w:cs="David"/>
          <w:sz w:val="24"/>
          <w:rtl/>
        </w:rPr>
      </w:pPr>
      <w:r>
        <w:rPr>
          <w:rFonts w:cs="David"/>
          <w:sz w:val="24"/>
          <w:u w:val="single"/>
          <w:rtl/>
        </w:rPr>
        <w:t>הילה קרנר-סולימן:</w:t>
      </w:r>
    </w:p>
    <w:p w:rsidR="00000000" w:rsidRDefault="003F72C2">
      <w:pPr>
        <w:rPr>
          <w:rFonts w:cs="David"/>
          <w:sz w:val="24"/>
          <w:rtl/>
        </w:rPr>
      </w:pPr>
    </w:p>
    <w:p w:rsidR="00000000" w:rsidRDefault="003F72C2">
      <w:pPr>
        <w:rPr>
          <w:rFonts w:cs="David"/>
          <w:sz w:val="24"/>
          <w:rtl/>
        </w:rPr>
      </w:pPr>
      <w:r>
        <w:rPr>
          <w:rFonts w:cs="David"/>
          <w:sz w:val="24"/>
          <w:rtl/>
        </w:rPr>
        <w:tab/>
        <w:t xml:space="preserve"> זה לא מעיד שום דבר על חומרת העבירה שכתוב מעשה מגונה. הרבה פעמים יש כתבי אישום מופחתים כתוצאה מהסכמה לעסקת טיעון. זאת לא הו</w:t>
      </w:r>
      <w:r>
        <w:rPr>
          <w:rFonts w:cs="David"/>
          <w:sz w:val="24"/>
          <w:rtl/>
        </w:rPr>
        <w:t xml:space="preserve">כחה לא לטראומה, לא לעוצמת הפגיעה. </w:t>
      </w:r>
    </w:p>
    <w:p w:rsidR="00000000" w:rsidRDefault="003F72C2">
      <w:pPr>
        <w:rPr>
          <w:rFonts w:cs="David"/>
          <w:sz w:val="24"/>
          <w:rtl/>
        </w:rPr>
      </w:pPr>
    </w:p>
    <w:p w:rsidR="00000000" w:rsidRDefault="003F72C2">
      <w:pPr>
        <w:rPr>
          <w:rFonts w:cs="David"/>
          <w:sz w:val="24"/>
          <w:rtl/>
        </w:rPr>
      </w:pPr>
      <w:r>
        <w:rPr>
          <w:rFonts w:cs="David"/>
          <w:sz w:val="24"/>
          <w:u w:val="single"/>
          <w:rtl/>
        </w:rPr>
        <w:t>היו"ר מיכאל איתן:</w:t>
      </w:r>
    </w:p>
    <w:p w:rsidR="00000000" w:rsidRDefault="003F72C2">
      <w:pPr>
        <w:rPr>
          <w:rFonts w:cs="David"/>
          <w:sz w:val="24"/>
          <w:rtl/>
        </w:rPr>
      </w:pPr>
    </w:p>
    <w:p w:rsidR="00000000" w:rsidRDefault="003F72C2">
      <w:pPr>
        <w:rPr>
          <w:rFonts w:cs="David"/>
          <w:sz w:val="24"/>
          <w:rtl/>
        </w:rPr>
      </w:pPr>
      <w:r>
        <w:rPr>
          <w:rFonts w:cs="David"/>
          <w:sz w:val="24"/>
          <w:rtl/>
        </w:rPr>
        <w:tab/>
        <w:t xml:space="preserve"> אני אלך עם אותו קו מנקודת הראות של נפגע העבירה. אם נפגע העבירה הוא במצב נפשי קשה אבל הטריגר היה עבירה קלה, האם אנחנו נטיל עליו את כל הנזק?</w:t>
      </w:r>
    </w:p>
    <w:p w:rsidR="00000000" w:rsidRDefault="003F72C2">
      <w:pPr>
        <w:rPr>
          <w:rFonts w:cs="David"/>
          <w:sz w:val="24"/>
          <w:rtl/>
        </w:rPr>
      </w:pPr>
    </w:p>
    <w:p w:rsidR="00000000" w:rsidRDefault="003F72C2">
      <w:pPr>
        <w:rPr>
          <w:rFonts w:cs="David"/>
          <w:sz w:val="24"/>
          <w:rtl/>
        </w:rPr>
      </w:pPr>
      <w:r>
        <w:rPr>
          <w:rFonts w:cs="David"/>
          <w:sz w:val="24"/>
          <w:u w:val="single"/>
          <w:rtl/>
        </w:rPr>
        <w:t>קריאה:</w:t>
      </w:r>
    </w:p>
    <w:p w:rsidR="00000000" w:rsidRDefault="003F72C2">
      <w:pPr>
        <w:rPr>
          <w:rFonts w:cs="David"/>
          <w:sz w:val="24"/>
          <w:rtl/>
        </w:rPr>
      </w:pPr>
    </w:p>
    <w:p w:rsidR="00000000" w:rsidRDefault="003F72C2">
      <w:pPr>
        <w:rPr>
          <w:rFonts w:cs="David"/>
          <w:sz w:val="24"/>
          <w:rtl/>
        </w:rPr>
      </w:pPr>
      <w:r>
        <w:rPr>
          <w:rFonts w:cs="David"/>
          <w:sz w:val="24"/>
          <w:rtl/>
        </w:rPr>
        <w:tab/>
        <w:t xml:space="preserve"> בית המשפט ישפוט. </w:t>
      </w:r>
    </w:p>
    <w:p w:rsidR="00000000" w:rsidRDefault="003F72C2">
      <w:pPr>
        <w:rPr>
          <w:rFonts w:cs="David"/>
          <w:sz w:val="24"/>
          <w:rtl/>
        </w:rPr>
      </w:pPr>
    </w:p>
    <w:p w:rsidR="00000000" w:rsidRDefault="003F72C2">
      <w:pPr>
        <w:rPr>
          <w:rFonts w:cs="David"/>
          <w:sz w:val="24"/>
          <w:rtl/>
        </w:rPr>
      </w:pPr>
      <w:r>
        <w:rPr>
          <w:rFonts w:cs="David"/>
          <w:sz w:val="24"/>
          <w:u w:val="single"/>
          <w:rtl/>
        </w:rPr>
        <w:t>הילה קרנר-סולימן:</w:t>
      </w:r>
    </w:p>
    <w:p w:rsidR="00000000" w:rsidRDefault="003F72C2">
      <w:pPr>
        <w:rPr>
          <w:rFonts w:cs="David"/>
          <w:sz w:val="24"/>
          <w:rtl/>
        </w:rPr>
      </w:pPr>
    </w:p>
    <w:p w:rsidR="00000000" w:rsidRDefault="003F72C2">
      <w:pPr>
        <w:rPr>
          <w:rFonts w:cs="David"/>
          <w:sz w:val="24"/>
          <w:rtl/>
        </w:rPr>
      </w:pPr>
      <w:r>
        <w:rPr>
          <w:rFonts w:cs="David"/>
          <w:sz w:val="24"/>
          <w:rtl/>
        </w:rPr>
        <w:tab/>
        <w:t>אני לא מתו</w:t>
      </w:r>
      <w:r>
        <w:rPr>
          <w:rFonts w:cs="David"/>
          <w:sz w:val="24"/>
          <w:rtl/>
        </w:rPr>
        <w:t xml:space="preserve">וכחת עם הטיעון הזה, אני מתווכחת עם ההנחה שמעשה מגונה זאת עבירה קלה. </w:t>
      </w:r>
    </w:p>
    <w:p w:rsidR="00000000" w:rsidRDefault="003F72C2">
      <w:pPr>
        <w:rPr>
          <w:rFonts w:cs="David"/>
          <w:sz w:val="24"/>
          <w:rtl/>
        </w:rPr>
      </w:pPr>
    </w:p>
    <w:p w:rsidR="00000000" w:rsidRDefault="003F72C2">
      <w:pPr>
        <w:rPr>
          <w:rFonts w:cs="David"/>
          <w:sz w:val="24"/>
          <w:rtl/>
        </w:rPr>
      </w:pPr>
      <w:r>
        <w:rPr>
          <w:rFonts w:cs="David"/>
          <w:sz w:val="24"/>
          <w:u w:val="single"/>
          <w:rtl/>
        </w:rPr>
        <w:t>יצחק לוי:</w:t>
      </w:r>
    </w:p>
    <w:p w:rsidR="00000000" w:rsidRDefault="003F72C2">
      <w:pPr>
        <w:rPr>
          <w:rFonts w:cs="David"/>
          <w:sz w:val="24"/>
          <w:rtl/>
        </w:rPr>
      </w:pPr>
    </w:p>
    <w:p w:rsidR="00000000" w:rsidRDefault="003F72C2">
      <w:pPr>
        <w:rPr>
          <w:rFonts w:cs="David"/>
          <w:sz w:val="24"/>
          <w:rtl/>
        </w:rPr>
      </w:pPr>
      <w:r>
        <w:rPr>
          <w:rFonts w:cs="David"/>
          <w:sz w:val="24"/>
          <w:rtl/>
        </w:rPr>
        <w:tab/>
        <w:t xml:space="preserve"> אם אתה מודד לפי מעשה קל ערך, היית צריך לעשות מדד אחר - לא של עבירות אלא של ענישה. היית אומר: על כל ענישה עד חצי שנה החוק הזה לא חל.</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זה גם לא טוב. גם בחוק של מניע</w:t>
      </w:r>
      <w:r>
        <w:rPr>
          <w:rFonts w:cs="David"/>
          <w:sz w:val="24"/>
          <w:rtl/>
        </w:rPr>
        <w:t xml:space="preserve">ת העסקת עברייני מין קבעו את העבירות כמו שאנחנו קובעים פה. שם מניעת ההעסקה במוסדות המפורטים בחוק חלה אוטומטית על כל מי שהורשע. </w:t>
      </w:r>
    </w:p>
    <w:p w:rsidR="00000000" w:rsidRDefault="003F72C2">
      <w:pPr>
        <w:rPr>
          <w:rFonts w:cs="David"/>
          <w:sz w:val="24"/>
          <w:rtl/>
        </w:rPr>
      </w:pPr>
    </w:p>
    <w:p w:rsidR="00000000" w:rsidRDefault="003F72C2">
      <w:pPr>
        <w:rPr>
          <w:rFonts w:cs="David"/>
          <w:sz w:val="24"/>
          <w:rtl/>
        </w:rPr>
      </w:pPr>
      <w:r>
        <w:rPr>
          <w:rFonts w:cs="David"/>
          <w:sz w:val="24"/>
          <w:u w:val="single"/>
          <w:rtl/>
        </w:rPr>
        <w:t>דפנה בינוול:</w:t>
      </w:r>
    </w:p>
    <w:p w:rsidR="00000000" w:rsidRDefault="003F72C2">
      <w:pPr>
        <w:rPr>
          <w:rFonts w:cs="David"/>
          <w:sz w:val="24"/>
          <w:rtl/>
        </w:rPr>
      </w:pPr>
    </w:p>
    <w:p w:rsidR="00000000" w:rsidRDefault="003F72C2">
      <w:pPr>
        <w:rPr>
          <w:rFonts w:cs="David"/>
          <w:sz w:val="24"/>
          <w:rtl/>
        </w:rPr>
      </w:pPr>
      <w:r>
        <w:rPr>
          <w:rFonts w:cs="David"/>
          <w:sz w:val="24"/>
          <w:rtl/>
        </w:rPr>
        <w:tab/>
        <w:t>אבל זה לא אותו הדבר. שם עברייני המין מהווים סיכון פוטנציאלי לכל הילדים שבאים לאותו מוסד. פה זה בכלל לא קשור לסיכו</w:t>
      </w:r>
      <w:r>
        <w:rPr>
          <w:rFonts w:cs="David"/>
          <w:sz w:val="24"/>
          <w:rtl/>
        </w:rPr>
        <w:t>ן. איך אתם מערבבים את שני הדברים?</w:t>
      </w:r>
    </w:p>
    <w:p w:rsidR="00000000" w:rsidRDefault="003F72C2">
      <w:pPr>
        <w:rPr>
          <w:rFonts w:cs="David"/>
          <w:sz w:val="24"/>
          <w:rtl/>
        </w:rPr>
      </w:pPr>
    </w:p>
    <w:p w:rsidR="00000000" w:rsidRDefault="003F72C2">
      <w:pPr>
        <w:rPr>
          <w:rFonts w:cs="David"/>
          <w:sz w:val="24"/>
          <w:rtl/>
        </w:rPr>
      </w:pPr>
      <w:r>
        <w:rPr>
          <w:rFonts w:cs="David"/>
          <w:sz w:val="24"/>
          <w:u w:val="single"/>
          <w:rtl/>
        </w:rPr>
        <w:t>היו"ר מיכאל איתן:</w:t>
      </w:r>
    </w:p>
    <w:p w:rsidR="00000000" w:rsidRDefault="003F72C2">
      <w:pPr>
        <w:rPr>
          <w:rFonts w:cs="David"/>
          <w:sz w:val="24"/>
          <w:rtl/>
        </w:rPr>
      </w:pPr>
    </w:p>
    <w:p w:rsidR="00000000" w:rsidRDefault="003F72C2">
      <w:pPr>
        <w:rPr>
          <w:rFonts w:cs="David"/>
          <w:sz w:val="24"/>
          <w:rtl/>
        </w:rPr>
      </w:pPr>
      <w:r>
        <w:rPr>
          <w:rFonts w:cs="David"/>
          <w:sz w:val="24"/>
          <w:rtl/>
        </w:rPr>
        <w:tab/>
        <w:t xml:space="preserve">אבל הם מתחילים מדברים פעוטים ומגיעים למקרים האלה. </w:t>
      </w:r>
    </w:p>
    <w:p w:rsidR="00000000" w:rsidRDefault="003F72C2">
      <w:pPr>
        <w:rPr>
          <w:rFonts w:cs="David"/>
          <w:sz w:val="24"/>
          <w:rtl/>
        </w:rPr>
      </w:pPr>
    </w:p>
    <w:p w:rsidR="00000000" w:rsidRDefault="003F72C2">
      <w:pPr>
        <w:rPr>
          <w:rFonts w:cs="David"/>
          <w:sz w:val="24"/>
          <w:rtl/>
        </w:rPr>
      </w:pPr>
      <w:r>
        <w:rPr>
          <w:rFonts w:cs="David"/>
          <w:sz w:val="24"/>
          <w:u w:val="single"/>
          <w:rtl/>
        </w:rPr>
        <w:t>גילה גמליאל:</w:t>
      </w:r>
    </w:p>
    <w:p w:rsidR="00000000" w:rsidRDefault="003F72C2">
      <w:pPr>
        <w:rPr>
          <w:rFonts w:cs="David"/>
          <w:sz w:val="24"/>
          <w:rtl/>
        </w:rPr>
      </w:pPr>
    </w:p>
    <w:p w:rsidR="00000000" w:rsidRDefault="003F72C2">
      <w:pPr>
        <w:rPr>
          <w:rFonts w:cs="David"/>
          <w:sz w:val="24"/>
          <w:rtl/>
        </w:rPr>
      </w:pPr>
      <w:r>
        <w:rPr>
          <w:rFonts w:cs="David"/>
          <w:sz w:val="24"/>
          <w:rtl/>
        </w:rPr>
        <w:tab/>
        <w:t xml:space="preserve"> זה שיקול דעת של בית המשפט. </w:t>
      </w:r>
    </w:p>
    <w:p w:rsidR="00000000" w:rsidRDefault="003F72C2">
      <w:pPr>
        <w:rPr>
          <w:rFonts w:cs="David"/>
          <w:sz w:val="24"/>
          <w:rtl/>
        </w:rPr>
      </w:pPr>
    </w:p>
    <w:p w:rsidR="00000000" w:rsidRDefault="003F72C2">
      <w:pPr>
        <w:rPr>
          <w:rFonts w:cs="David"/>
          <w:sz w:val="24"/>
          <w:rtl/>
        </w:rPr>
      </w:pPr>
      <w:r>
        <w:rPr>
          <w:rFonts w:cs="David"/>
          <w:sz w:val="24"/>
          <w:u w:val="single"/>
          <w:rtl/>
        </w:rPr>
        <w:t>היו"ר מיכאל איתן:</w:t>
      </w:r>
    </w:p>
    <w:p w:rsidR="00000000" w:rsidRDefault="003F72C2">
      <w:pPr>
        <w:rPr>
          <w:rFonts w:cs="David"/>
          <w:sz w:val="24"/>
          <w:rtl/>
        </w:rPr>
      </w:pPr>
    </w:p>
    <w:p w:rsidR="00000000" w:rsidRDefault="003F72C2">
      <w:pPr>
        <w:rPr>
          <w:rFonts w:cs="David"/>
          <w:sz w:val="24"/>
          <w:rtl/>
        </w:rPr>
      </w:pPr>
      <w:r>
        <w:rPr>
          <w:rFonts w:cs="David"/>
          <w:sz w:val="24"/>
          <w:rtl/>
        </w:rPr>
        <w:tab/>
        <w:t xml:space="preserve"> אני מסכים אתך, אבל לאוצר אין שיקול לדעת. </w:t>
      </w:r>
    </w:p>
    <w:p w:rsidR="00000000" w:rsidRDefault="003F72C2">
      <w:pPr>
        <w:rPr>
          <w:rFonts w:cs="David"/>
          <w:sz w:val="24"/>
          <w:rtl/>
        </w:rPr>
      </w:pPr>
    </w:p>
    <w:p w:rsidR="00000000" w:rsidRDefault="003F72C2">
      <w:pPr>
        <w:rPr>
          <w:rFonts w:cs="David"/>
          <w:sz w:val="24"/>
          <w:rtl/>
        </w:rPr>
      </w:pPr>
      <w:r>
        <w:rPr>
          <w:rFonts w:cs="David"/>
          <w:sz w:val="24"/>
          <w:u w:val="single"/>
          <w:rtl/>
        </w:rPr>
        <w:t>עמוס אולצוור:</w:t>
      </w:r>
    </w:p>
    <w:p w:rsidR="00000000" w:rsidRDefault="003F72C2">
      <w:pPr>
        <w:rPr>
          <w:rFonts w:cs="David"/>
          <w:sz w:val="24"/>
          <w:rtl/>
        </w:rPr>
      </w:pPr>
    </w:p>
    <w:p w:rsidR="00000000" w:rsidRDefault="003F72C2">
      <w:pPr>
        <w:rPr>
          <w:rFonts w:cs="David"/>
          <w:sz w:val="24"/>
          <w:rtl/>
        </w:rPr>
      </w:pPr>
      <w:r>
        <w:rPr>
          <w:rFonts w:cs="David"/>
          <w:sz w:val="24"/>
          <w:rtl/>
        </w:rPr>
        <w:tab/>
        <w:t>בהערכה של האוצר הוא לא י</w:t>
      </w:r>
      <w:r>
        <w:rPr>
          <w:rFonts w:cs="David"/>
          <w:sz w:val="24"/>
          <w:rtl/>
        </w:rPr>
        <w:t xml:space="preserve">כול להניח הנחה שבמקרים הפעוטים באופן גורף השופט לא ייתן הרחקה. </w:t>
      </w:r>
    </w:p>
    <w:p w:rsidR="00000000" w:rsidRDefault="003F72C2">
      <w:pPr>
        <w:rPr>
          <w:rFonts w:cs="David"/>
          <w:sz w:val="24"/>
          <w:rtl/>
        </w:rPr>
      </w:pPr>
    </w:p>
    <w:p w:rsidR="00000000" w:rsidRDefault="003F72C2">
      <w:pPr>
        <w:rPr>
          <w:rFonts w:cs="David"/>
          <w:sz w:val="24"/>
          <w:rtl/>
        </w:rPr>
      </w:pPr>
      <w:r>
        <w:rPr>
          <w:rFonts w:cs="David"/>
          <w:sz w:val="24"/>
          <w:u w:val="single"/>
          <w:rtl/>
        </w:rPr>
        <w:t>גילה גמליאל:</w:t>
      </w:r>
    </w:p>
    <w:p w:rsidR="00000000" w:rsidRDefault="003F72C2">
      <w:pPr>
        <w:rPr>
          <w:rFonts w:cs="David"/>
          <w:sz w:val="24"/>
          <w:rtl/>
        </w:rPr>
      </w:pPr>
    </w:p>
    <w:p w:rsidR="00000000" w:rsidRDefault="003F72C2">
      <w:pPr>
        <w:rPr>
          <w:rFonts w:cs="David"/>
          <w:sz w:val="24"/>
          <w:rtl/>
        </w:rPr>
      </w:pPr>
      <w:r>
        <w:rPr>
          <w:rFonts w:cs="David"/>
          <w:sz w:val="24"/>
          <w:rtl/>
        </w:rPr>
        <w:tab/>
        <w:t xml:space="preserve"> אבל אנחנו נתנו אפשרות בהתחלה שלא חייבים בכל מצב להגיש בקשה כזאת. </w:t>
      </w:r>
    </w:p>
    <w:p w:rsidR="00000000" w:rsidRDefault="003F72C2">
      <w:pPr>
        <w:rPr>
          <w:rFonts w:cs="David"/>
          <w:sz w:val="24"/>
          <w:rtl/>
        </w:rPr>
      </w:pPr>
    </w:p>
    <w:p w:rsidR="00000000" w:rsidRDefault="003F72C2">
      <w:pPr>
        <w:rPr>
          <w:rFonts w:cs="David"/>
          <w:sz w:val="24"/>
          <w:rtl/>
        </w:rPr>
      </w:pPr>
      <w:r>
        <w:rPr>
          <w:rFonts w:cs="David"/>
          <w:sz w:val="24"/>
          <w:u w:val="single"/>
          <w:rtl/>
        </w:rPr>
        <w:t>עמוס אולצוור:</w:t>
      </w:r>
    </w:p>
    <w:p w:rsidR="00000000" w:rsidRDefault="003F72C2">
      <w:pPr>
        <w:rPr>
          <w:rFonts w:cs="David"/>
          <w:sz w:val="24"/>
          <w:rtl/>
        </w:rPr>
      </w:pPr>
    </w:p>
    <w:p w:rsidR="00000000" w:rsidRDefault="003F72C2">
      <w:pPr>
        <w:rPr>
          <w:rFonts w:cs="David"/>
          <w:sz w:val="24"/>
          <w:rtl/>
        </w:rPr>
      </w:pPr>
      <w:r>
        <w:rPr>
          <w:rFonts w:cs="David"/>
          <w:sz w:val="24"/>
          <w:rtl/>
        </w:rPr>
        <w:tab/>
        <w:t xml:space="preserve"> לפי מה שאני מכיר את הנושא, אם לוקחים 3,000 שקל לחוות דעת, לפי ההסדר שהוצא פה, בלי שופטים הה</w:t>
      </w:r>
      <w:r>
        <w:rPr>
          <w:rFonts w:cs="David"/>
          <w:sz w:val="24"/>
          <w:rtl/>
        </w:rPr>
        <w:t xml:space="preserve">וצאה נעה סביב 5 מיליון. </w:t>
      </w:r>
    </w:p>
    <w:p w:rsidR="00000000" w:rsidRDefault="003F72C2">
      <w:pPr>
        <w:rPr>
          <w:rFonts w:cs="David"/>
          <w:sz w:val="24"/>
          <w:rtl/>
        </w:rPr>
      </w:pPr>
    </w:p>
    <w:p w:rsidR="00000000" w:rsidRDefault="003F72C2">
      <w:pPr>
        <w:rPr>
          <w:rFonts w:cs="David"/>
          <w:sz w:val="24"/>
          <w:rtl/>
        </w:rPr>
      </w:pPr>
      <w:r>
        <w:rPr>
          <w:rFonts w:cs="David"/>
          <w:sz w:val="24"/>
          <w:u w:val="single"/>
          <w:rtl/>
        </w:rPr>
        <w:t>היו"ר מיכאל איתן:</w:t>
      </w:r>
    </w:p>
    <w:p w:rsidR="00000000" w:rsidRDefault="003F72C2">
      <w:pPr>
        <w:rPr>
          <w:rFonts w:cs="David"/>
          <w:sz w:val="24"/>
          <w:rtl/>
        </w:rPr>
      </w:pPr>
    </w:p>
    <w:p w:rsidR="00000000" w:rsidRDefault="003F72C2">
      <w:pPr>
        <w:rPr>
          <w:rFonts w:cs="David"/>
          <w:sz w:val="24"/>
          <w:rtl/>
        </w:rPr>
      </w:pPr>
      <w:r>
        <w:rPr>
          <w:rFonts w:cs="David"/>
          <w:sz w:val="24"/>
          <w:rtl/>
        </w:rPr>
        <w:tab/>
        <w:t xml:space="preserve"> תן לי לשכנע אותך שזה פחות. כמה מקרים אתה ספרת?</w:t>
      </w:r>
    </w:p>
    <w:p w:rsidR="00000000" w:rsidRDefault="003F72C2">
      <w:pPr>
        <w:rPr>
          <w:rFonts w:cs="David"/>
          <w:sz w:val="24"/>
          <w:rtl/>
        </w:rPr>
      </w:pPr>
    </w:p>
    <w:p w:rsidR="00000000" w:rsidRDefault="003F72C2">
      <w:pPr>
        <w:rPr>
          <w:rFonts w:cs="David"/>
          <w:sz w:val="24"/>
          <w:rtl/>
        </w:rPr>
      </w:pPr>
      <w:r>
        <w:rPr>
          <w:rFonts w:cs="David"/>
          <w:sz w:val="24"/>
          <w:u w:val="single"/>
          <w:rtl/>
        </w:rPr>
        <w:t>עמוס אולצוור:</w:t>
      </w:r>
    </w:p>
    <w:p w:rsidR="00000000" w:rsidRDefault="003F72C2">
      <w:pPr>
        <w:rPr>
          <w:rFonts w:cs="David"/>
          <w:sz w:val="24"/>
          <w:rtl/>
        </w:rPr>
      </w:pPr>
    </w:p>
    <w:p w:rsidR="00000000" w:rsidRDefault="003F72C2">
      <w:pPr>
        <w:rPr>
          <w:rFonts w:cs="David"/>
          <w:sz w:val="24"/>
          <w:rtl/>
        </w:rPr>
      </w:pPr>
      <w:r>
        <w:rPr>
          <w:rFonts w:cs="David"/>
          <w:sz w:val="24"/>
          <w:rtl/>
        </w:rPr>
        <w:tab/>
        <w:t xml:space="preserve"> זה תלוי. יכול להיות שיהיו פחות מקרים.</w:t>
      </w:r>
    </w:p>
    <w:p w:rsidR="00000000" w:rsidRDefault="003F72C2">
      <w:pPr>
        <w:rPr>
          <w:rFonts w:cs="David"/>
          <w:sz w:val="24"/>
          <w:rtl/>
        </w:rPr>
      </w:pPr>
    </w:p>
    <w:p w:rsidR="00000000" w:rsidRDefault="003F72C2">
      <w:pPr>
        <w:rPr>
          <w:rFonts w:cs="David"/>
          <w:sz w:val="24"/>
          <w:rtl/>
        </w:rPr>
      </w:pPr>
      <w:r>
        <w:rPr>
          <w:rFonts w:cs="David"/>
          <w:sz w:val="24"/>
          <w:u w:val="single"/>
          <w:rtl/>
        </w:rPr>
        <w:t>היו"ר מיכאל איתן:</w:t>
      </w:r>
    </w:p>
    <w:p w:rsidR="00000000" w:rsidRDefault="003F72C2">
      <w:pPr>
        <w:rPr>
          <w:rFonts w:cs="David"/>
          <w:sz w:val="24"/>
          <w:rtl/>
        </w:rPr>
      </w:pPr>
    </w:p>
    <w:p w:rsidR="00000000" w:rsidRDefault="003F72C2">
      <w:pPr>
        <w:rPr>
          <w:rFonts w:cs="David"/>
          <w:sz w:val="24"/>
          <w:rtl/>
        </w:rPr>
      </w:pPr>
      <w:r>
        <w:rPr>
          <w:rFonts w:cs="David"/>
          <w:sz w:val="24"/>
          <w:rtl/>
        </w:rPr>
        <w:tab/>
        <w:t xml:space="preserve"> הרי הורדנו את כל המקרים שלא צריך תסקיר. קודם היה צריך תסקיר על כל מקרה, עכשיו אנחנו </w:t>
      </w:r>
      <w:r>
        <w:rPr>
          <w:rFonts w:cs="David"/>
          <w:sz w:val="24"/>
          <w:rtl/>
        </w:rPr>
        <w:t>מתחילים תהליך בלי תסקיר.</w:t>
      </w:r>
    </w:p>
    <w:p w:rsidR="00000000" w:rsidRDefault="003F72C2">
      <w:pPr>
        <w:rPr>
          <w:rFonts w:cs="David"/>
          <w:sz w:val="24"/>
          <w:rtl/>
        </w:rPr>
      </w:pPr>
    </w:p>
    <w:p w:rsidR="00000000" w:rsidRDefault="003F72C2">
      <w:pPr>
        <w:rPr>
          <w:rFonts w:cs="David"/>
          <w:sz w:val="24"/>
          <w:rtl/>
        </w:rPr>
      </w:pPr>
      <w:r>
        <w:rPr>
          <w:rFonts w:cs="David"/>
          <w:sz w:val="24"/>
          <w:u w:val="single"/>
          <w:rtl/>
        </w:rPr>
        <w:t>עמוס אולצוור:</w:t>
      </w:r>
    </w:p>
    <w:p w:rsidR="00000000" w:rsidRDefault="003F72C2">
      <w:pPr>
        <w:rPr>
          <w:rFonts w:cs="David"/>
          <w:sz w:val="24"/>
          <w:rtl/>
        </w:rPr>
      </w:pPr>
    </w:p>
    <w:p w:rsidR="00000000" w:rsidRDefault="003F72C2">
      <w:pPr>
        <w:rPr>
          <w:rFonts w:cs="David"/>
          <w:sz w:val="24"/>
          <w:rtl/>
        </w:rPr>
      </w:pPr>
      <w:r>
        <w:rPr>
          <w:rFonts w:cs="David"/>
          <w:sz w:val="24"/>
          <w:rtl/>
        </w:rPr>
        <w:tab/>
        <w:t xml:space="preserve">גם בתחשיב שלי הורדנו 30% שלא גרים אחד ליד השני. </w:t>
      </w:r>
    </w:p>
    <w:p w:rsidR="00000000" w:rsidRDefault="003F72C2">
      <w:pPr>
        <w:rPr>
          <w:rFonts w:cs="David"/>
          <w:sz w:val="24"/>
          <w:rtl/>
        </w:rPr>
      </w:pPr>
    </w:p>
    <w:p w:rsidR="00000000" w:rsidRDefault="003F72C2">
      <w:pPr>
        <w:rPr>
          <w:rFonts w:cs="David"/>
          <w:sz w:val="24"/>
          <w:rtl/>
        </w:rPr>
      </w:pPr>
      <w:r>
        <w:rPr>
          <w:rFonts w:cs="David"/>
          <w:sz w:val="24"/>
          <w:u w:val="single"/>
          <w:rtl/>
        </w:rPr>
        <w:t>תמי סלע:</w:t>
      </w:r>
    </w:p>
    <w:p w:rsidR="00000000" w:rsidRDefault="003F72C2">
      <w:pPr>
        <w:rPr>
          <w:rFonts w:cs="David"/>
          <w:sz w:val="24"/>
          <w:rtl/>
        </w:rPr>
      </w:pPr>
    </w:p>
    <w:p w:rsidR="00000000" w:rsidRDefault="003F72C2">
      <w:pPr>
        <w:rPr>
          <w:rFonts w:cs="David"/>
          <w:sz w:val="24"/>
          <w:rtl/>
        </w:rPr>
      </w:pPr>
      <w:r>
        <w:rPr>
          <w:rFonts w:cs="David"/>
          <w:sz w:val="24"/>
          <w:rtl/>
        </w:rPr>
        <w:tab/>
        <w:t xml:space="preserve"> הורדנו את המקרים שהעלות תהיה על הצדדים. ההערכה שהיתה שם - שליש - מסיבות מסוימות, פה היא מתאימה מסיבות אחרות, שבערך בשליש מהמקרים המדינה תישא בהוצאות. </w:t>
      </w:r>
    </w:p>
    <w:p w:rsidR="00000000" w:rsidRDefault="003F72C2">
      <w:pPr>
        <w:rPr>
          <w:rFonts w:cs="David"/>
          <w:sz w:val="24"/>
          <w:rtl/>
        </w:rPr>
      </w:pPr>
    </w:p>
    <w:p w:rsidR="00000000" w:rsidRDefault="003F72C2">
      <w:pPr>
        <w:rPr>
          <w:rFonts w:cs="David"/>
          <w:sz w:val="24"/>
          <w:rtl/>
        </w:rPr>
      </w:pPr>
      <w:r>
        <w:rPr>
          <w:rFonts w:cs="David"/>
          <w:sz w:val="24"/>
          <w:u w:val="single"/>
          <w:rtl/>
        </w:rPr>
        <w:t>היו"ר מיכאל איתן:</w:t>
      </w:r>
    </w:p>
    <w:p w:rsidR="00000000" w:rsidRDefault="003F72C2">
      <w:pPr>
        <w:rPr>
          <w:rFonts w:cs="David"/>
          <w:sz w:val="24"/>
          <w:rtl/>
        </w:rPr>
      </w:pPr>
    </w:p>
    <w:p w:rsidR="00000000" w:rsidRDefault="003F72C2">
      <w:pPr>
        <w:rPr>
          <w:rFonts w:cs="David"/>
          <w:sz w:val="24"/>
          <w:rtl/>
        </w:rPr>
      </w:pPr>
      <w:r>
        <w:rPr>
          <w:rFonts w:cs="David"/>
          <w:sz w:val="24"/>
          <w:rtl/>
        </w:rPr>
        <w:tab/>
        <w:t xml:space="preserve"> אנחנו יכולים להגיד לפרוטוקול ובזה לשכנע גם את האוצר - אנחנו מאשרים את החוק כפי שהוא בלי שום צמצום עבירות. בעוד שנה נקבל דיווח ולפי הדיווח נראה - אם חרגנו מעל 5 מיליון, נוריד את מספר העבירות.</w:t>
      </w:r>
    </w:p>
    <w:p w:rsidR="00000000" w:rsidRDefault="003F72C2">
      <w:pPr>
        <w:rPr>
          <w:rFonts w:cs="David"/>
          <w:sz w:val="24"/>
          <w:rtl/>
        </w:rPr>
      </w:pPr>
    </w:p>
    <w:p w:rsidR="00000000" w:rsidRDefault="003F72C2">
      <w:pPr>
        <w:rPr>
          <w:rFonts w:cs="David"/>
          <w:sz w:val="24"/>
          <w:rtl/>
        </w:rPr>
      </w:pPr>
      <w:r>
        <w:rPr>
          <w:rFonts w:cs="David"/>
          <w:sz w:val="24"/>
          <w:u w:val="single"/>
          <w:rtl/>
        </w:rPr>
        <w:t>יצחק לוי:</w:t>
      </w:r>
    </w:p>
    <w:p w:rsidR="00000000" w:rsidRDefault="003F72C2">
      <w:pPr>
        <w:rPr>
          <w:rFonts w:cs="David"/>
          <w:sz w:val="24"/>
          <w:rtl/>
        </w:rPr>
      </w:pPr>
    </w:p>
    <w:p w:rsidR="00000000" w:rsidRDefault="003F72C2">
      <w:pPr>
        <w:rPr>
          <w:rFonts w:cs="David"/>
          <w:sz w:val="24"/>
          <w:rtl/>
        </w:rPr>
      </w:pPr>
      <w:r>
        <w:rPr>
          <w:rFonts w:cs="David"/>
          <w:sz w:val="24"/>
          <w:rtl/>
        </w:rPr>
        <w:tab/>
        <w:t xml:space="preserve"> נדון בהורדה. לא נוריד.</w:t>
      </w:r>
    </w:p>
    <w:p w:rsidR="00000000" w:rsidRDefault="003F72C2">
      <w:pPr>
        <w:rPr>
          <w:rFonts w:cs="David"/>
          <w:sz w:val="24"/>
          <w:rtl/>
        </w:rPr>
      </w:pPr>
    </w:p>
    <w:p w:rsidR="00000000" w:rsidRDefault="003F72C2">
      <w:pPr>
        <w:rPr>
          <w:rFonts w:cs="David"/>
          <w:sz w:val="24"/>
          <w:rtl/>
        </w:rPr>
      </w:pPr>
      <w:r>
        <w:rPr>
          <w:rFonts w:cs="David"/>
          <w:sz w:val="24"/>
          <w:u w:val="single"/>
          <w:rtl/>
        </w:rPr>
        <w:t xml:space="preserve">היו"ר </w:t>
      </w:r>
      <w:r>
        <w:rPr>
          <w:rFonts w:cs="David"/>
          <w:sz w:val="24"/>
          <w:u w:val="single"/>
          <w:rtl/>
        </w:rPr>
        <w:t>מיכאל איתן:</w:t>
      </w:r>
    </w:p>
    <w:p w:rsidR="00000000" w:rsidRDefault="003F72C2">
      <w:pPr>
        <w:rPr>
          <w:rFonts w:cs="David"/>
          <w:sz w:val="24"/>
          <w:rtl/>
        </w:rPr>
      </w:pPr>
    </w:p>
    <w:p w:rsidR="00000000" w:rsidRDefault="003F72C2">
      <w:pPr>
        <w:rPr>
          <w:rFonts w:cs="David"/>
          <w:sz w:val="24"/>
          <w:rtl/>
        </w:rPr>
      </w:pPr>
      <w:r>
        <w:rPr>
          <w:rFonts w:cs="David"/>
          <w:sz w:val="24"/>
          <w:rtl/>
        </w:rPr>
        <w:tab/>
        <w:t xml:space="preserve"> נדון בהורדה.</w:t>
      </w:r>
    </w:p>
    <w:p w:rsidR="00000000" w:rsidRDefault="003F72C2">
      <w:pPr>
        <w:rPr>
          <w:rFonts w:cs="David"/>
          <w:sz w:val="24"/>
          <w:rtl/>
        </w:rPr>
      </w:pPr>
    </w:p>
    <w:p w:rsidR="00000000" w:rsidRDefault="003F72C2">
      <w:pPr>
        <w:rPr>
          <w:rFonts w:cs="David"/>
          <w:sz w:val="24"/>
          <w:rtl/>
        </w:rPr>
      </w:pPr>
      <w:r>
        <w:rPr>
          <w:rFonts w:cs="David"/>
          <w:sz w:val="24"/>
          <w:u w:val="single"/>
          <w:rtl/>
        </w:rPr>
        <w:t>עמוס אולצוור:</w:t>
      </w:r>
    </w:p>
    <w:p w:rsidR="00000000" w:rsidRDefault="003F72C2">
      <w:pPr>
        <w:rPr>
          <w:rFonts w:cs="David"/>
          <w:sz w:val="24"/>
          <w:rtl/>
        </w:rPr>
      </w:pPr>
    </w:p>
    <w:p w:rsidR="00000000" w:rsidRDefault="003F72C2">
      <w:pPr>
        <w:rPr>
          <w:rFonts w:cs="David"/>
          <w:sz w:val="24"/>
          <w:rtl/>
        </w:rPr>
      </w:pPr>
      <w:r>
        <w:rPr>
          <w:rFonts w:cs="David"/>
          <w:sz w:val="24"/>
          <w:rtl/>
        </w:rPr>
        <w:tab/>
        <w:t xml:space="preserve"> אם כוללים את העלויות של השופטים, זה בוודאי מעל 5 מיליון שקל.</w:t>
      </w:r>
    </w:p>
    <w:p w:rsidR="00000000" w:rsidRDefault="003F72C2">
      <w:pPr>
        <w:rPr>
          <w:rFonts w:cs="David"/>
          <w:sz w:val="24"/>
          <w:rtl/>
        </w:rPr>
      </w:pPr>
    </w:p>
    <w:p w:rsidR="00000000" w:rsidRDefault="003F72C2">
      <w:pPr>
        <w:rPr>
          <w:rFonts w:cs="David"/>
          <w:sz w:val="24"/>
          <w:rtl/>
        </w:rPr>
      </w:pPr>
      <w:r>
        <w:rPr>
          <w:rFonts w:cs="David"/>
          <w:sz w:val="24"/>
          <w:u w:val="single"/>
          <w:rtl/>
        </w:rPr>
        <w:t>גילה גמליאל:</w:t>
      </w:r>
    </w:p>
    <w:p w:rsidR="00000000" w:rsidRDefault="003F72C2">
      <w:pPr>
        <w:rPr>
          <w:rFonts w:cs="David"/>
          <w:sz w:val="24"/>
          <w:rtl/>
        </w:rPr>
      </w:pPr>
    </w:p>
    <w:p w:rsidR="00000000" w:rsidRDefault="003F72C2">
      <w:pPr>
        <w:rPr>
          <w:rFonts w:cs="David"/>
          <w:sz w:val="24"/>
          <w:rtl/>
        </w:rPr>
      </w:pPr>
      <w:r>
        <w:rPr>
          <w:rFonts w:cs="David"/>
          <w:sz w:val="24"/>
          <w:rtl/>
        </w:rPr>
        <w:tab/>
        <w:t>מה זה עלויות שופטים? אולי נכניס גם את העלות של הפקידים שיושבים פה עכשיו במהלך הישיבות?</w:t>
      </w:r>
    </w:p>
    <w:p w:rsidR="00000000" w:rsidRDefault="003F72C2">
      <w:pPr>
        <w:rPr>
          <w:rFonts w:cs="David"/>
          <w:sz w:val="24"/>
          <w:rtl/>
        </w:rPr>
      </w:pPr>
    </w:p>
    <w:p w:rsidR="00000000" w:rsidRDefault="003F72C2">
      <w:pPr>
        <w:rPr>
          <w:rFonts w:cs="David"/>
          <w:sz w:val="24"/>
          <w:rtl/>
        </w:rPr>
      </w:pPr>
      <w:r>
        <w:rPr>
          <w:rFonts w:cs="David"/>
          <w:sz w:val="24"/>
          <w:u w:val="single"/>
          <w:rtl/>
        </w:rPr>
        <w:t>היו"ר מיכאל איתן:</w:t>
      </w:r>
    </w:p>
    <w:p w:rsidR="00000000" w:rsidRDefault="003F72C2">
      <w:pPr>
        <w:rPr>
          <w:rFonts w:cs="David"/>
          <w:sz w:val="24"/>
          <w:rtl/>
        </w:rPr>
      </w:pPr>
    </w:p>
    <w:p w:rsidR="00000000" w:rsidRDefault="003F72C2">
      <w:pPr>
        <w:rPr>
          <w:rFonts w:cs="David"/>
          <w:sz w:val="24"/>
          <w:rtl/>
        </w:rPr>
      </w:pPr>
      <w:r>
        <w:rPr>
          <w:rFonts w:cs="David"/>
          <w:sz w:val="24"/>
          <w:rtl/>
        </w:rPr>
        <w:tab/>
        <w:t>אל תקלו ראש בזה, כי אנחנו</w:t>
      </w:r>
      <w:r>
        <w:rPr>
          <w:rFonts w:cs="David"/>
          <w:sz w:val="24"/>
          <w:rtl/>
        </w:rPr>
        <w:t xml:space="preserve"> נכנסים כאן לעימות מול האוצר, מול הקואליציה, גם מול החוק. אנחנו צריכים לבוא אחרי שיש לנו עמדה.</w:t>
      </w:r>
    </w:p>
    <w:p w:rsidR="00000000" w:rsidRDefault="003F72C2">
      <w:pPr>
        <w:rPr>
          <w:rFonts w:cs="David"/>
          <w:sz w:val="24"/>
          <w:rtl/>
        </w:rPr>
      </w:pPr>
    </w:p>
    <w:p w:rsidR="00000000" w:rsidRDefault="003F72C2">
      <w:pPr>
        <w:tabs>
          <w:tab w:val="left" w:pos="512"/>
        </w:tabs>
        <w:rPr>
          <w:rFonts w:cs="David"/>
          <w:sz w:val="24"/>
          <w:rtl/>
        </w:rPr>
      </w:pPr>
      <w:r>
        <w:rPr>
          <w:rFonts w:cs="David"/>
          <w:sz w:val="24"/>
          <w:u w:val="single"/>
          <w:rtl/>
        </w:rPr>
        <w:t>אליעזר כהן:</w:t>
      </w:r>
    </w:p>
    <w:p w:rsidR="00000000" w:rsidRDefault="003F72C2">
      <w:pPr>
        <w:tabs>
          <w:tab w:val="left" w:pos="512"/>
        </w:tabs>
        <w:rPr>
          <w:rFonts w:cs="David"/>
          <w:sz w:val="24"/>
          <w:rtl/>
        </w:rPr>
      </w:pPr>
    </w:p>
    <w:p w:rsidR="00000000" w:rsidRDefault="003F72C2">
      <w:pPr>
        <w:rPr>
          <w:rFonts w:cs="David"/>
          <w:sz w:val="24"/>
          <w:rtl/>
        </w:rPr>
      </w:pPr>
      <w:r>
        <w:rPr>
          <w:rFonts w:cs="David"/>
          <w:sz w:val="24"/>
          <w:rtl/>
        </w:rPr>
        <w:tab/>
        <w:t xml:space="preserve"> אבל הסיכום שלך היה מצוין. שאם אחרי שנה נראה שנעבור את ה-5 מיליון, נדון.</w:t>
      </w:r>
    </w:p>
    <w:p w:rsidR="00000000" w:rsidRDefault="003F72C2">
      <w:pPr>
        <w:rPr>
          <w:rFonts w:cs="David"/>
          <w:sz w:val="24"/>
          <w:rtl/>
        </w:rPr>
      </w:pPr>
    </w:p>
    <w:p w:rsidR="00000000" w:rsidRDefault="003F72C2">
      <w:pPr>
        <w:rPr>
          <w:rFonts w:cs="David"/>
          <w:sz w:val="24"/>
          <w:rtl/>
        </w:rPr>
      </w:pPr>
      <w:r>
        <w:rPr>
          <w:rFonts w:cs="David"/>
          <w:sz w:val="24"/>
          <w:u w:val="single"/>
          <w:rtl/>
        </w:rPr>
        <w:t>היו"ר מיכאל איתן:</w:t>
      </w:r>
    </w:p>
    <w:p w:rsidR="00000000" w:rsidRDefault="003F72C2">
      <w:pPr>
        <w:rPr>
          <w:rFonts w:cs="David"/>
          <w:sz w:val="24"/>
          <w:rtl/>
        </w:rPr>
      </w:pPr>
    </w:p>
    <w:p w:rsidR="00000000" w:rsidRDefault="003F72C2">
      <w:pPr>
        <w:rPr>
          <w:rFonts w:cs="David"/>
          <w:sz w:val="24"/>
          <w:rtl/>
        </w:rPr>
      </w:pPr>
      <w:r>
        <w:rPr>
          <w:rFonts w:cs="David"/>
          <w:sz w:val="24"/>
          <w:rtl/>
        </w:rPr>
        <w:tab/>
        <w:t xml:space="preserve"> זה לא סיכום טוב. אם אני בעצמי מודה בסיכום הזה שיכול</w:t>
      </w:r>
      <w:r>
        <w:rPr>
          <w:rFonts w:cs="David"/>
          <w:sz w:val="24"/>
          <w:rtl/>
        </w:rPr>
        <w:t xml:space="preserve"> להיות שזה מעל 5 מיליון, אני תוקע גול עצמי. אני צריך לעשות משהו אחר. ההערכה שלי כרגע היא שזה יהיה פחות מ-5 מיליון. ההערה שלי קודם היתה כדי להפיס את דעתו של האוצר. אבל אני אקיים ישיבה עם הממ"מ, ואשב איתו עוד פעם על הנתונים ונעשה עוד בדיקות. אם נגיע למסקנה ש</w:t>
      </w:r>
      <w:r>
        <w:rPr>
          <w:rFonts w:cs="David"/>
          <w:sz w:val="24"/>
          <w:rtl/>
        </w:rPr>
        <w:t xml:space="preserve">זה חורג מ-5 מיליון, אז במסגרת הרוויזיה נשקול לצמצם את מספר העבירות. אם נגיע להבנה עם הממ"מ שבכל מקרה זה לא עובר את ה-5 מיליון, לא נצמצם. אם לא תהיה רוויזיה, החוק מאושר כפי שהוא. </w:t>
      </w:r>
    </w:p>
    <w:p w:rsidR="00000000" w:rsidRDefault="003F72C2">
      <w:pPr>
        <w:rPr>
          <w:rFonts w:cs="David"/>
          <w:sz w:val="24"/>
          <w:rtl/>
        </w:rPr>
      </w:pPr>
    </w:p>
    <w:p w:rsidR="00000000" w:rsidRDefault="003F72C2">
      <w:pPr>
        <w:rPr>
          <w:rFonts w:cs="David"/>
          <w:sz w:val="24"/>
          <w:rtl/>
        </w:rPr>
      </w:pPr>
      <w:r>
        <w:rPr>
          <w:rFonts w:cs="David"/>
          <w:sz w:val="24"/>
          <w:rtl/>
        </w:rPr>
        <w:tab/>
        <w:t>על כל זה אנחנו מצביעים אחד. מי בעד העברת החוק לקריאה שנייה ושלישית?</w:t>
      </w:r>
    </w:p>
    <w:p w:rsidR="00000000" w:rsidRDefault="003F72C2">
      <w:pPr>
        <w:rPr>
          <w:rFonts w:cs="David"/>
          <w:sz w:val="24"/>
          <w:rtl/>
        </w:rPr>
      </w:pPr>
    </w:p>
    <w:p w:rsidR="00000000" w:rsidRDefault="003F72C2">
      <w:pPr>
        <w:pStyle w:val="9"/>
        <w:rPr>
          <w:rFonts w:cs="David"/>
          <w:sz w:val="24"/>
          <w:rtl/>
        </w:rPr>
      </w:pPr>
      <w:r>
        <w:rPr>
          <w:rFonts w:cs="David"/>
          <w:sz w:val="24"/>
          <w:rtl/>
        </w:rPr>
        <w:t>הצבעה</w:t>
      </w:r>
    </w:p>
    <w:p w:rsidR="00000000" w:rsidRDefault="003F72C2">
      <w:pPr>
        <w:jc w:val="center"/>
        <w:rPr>
          <w:rFonts w:cs="David"/>
          <w:b/>
          <w:bCs/>
          <w:sz w:val="24"/>
          <w:rtl/>
        </w:rPr>
      </w:pPr>
    </w:p>
    <w:p w:rsidR="00000000" w:rsidRDefault="003F72C2">
      <w:pPr>
        <w:jc w:val="center"/>
        <w:rPr>
          <w:rFonts w:cs="David"/>
          <w:sz w:val="24"/>
          <w:rtl/>
        </w:rPr>
      </w:pPr>
      <w:r>
        <w:rPr>
          <w:rFonts w:cs="David"/>
          <w:sz w:val="24"/>
          <w:rtl/>
        </w:rPr>
        <w:t>בעד הצעת החוק - כולם</w:t>
      </w:r>
    </w:p>
    <w:p w:rsidR="00000000" w:rsidRDefault="003F72C2">
      <w:pPr>
        <w:jc w:val="center"/>
        <w:rPr>
          <w:rFonts w:cs="David"/>
          <w:sz w:val="24"/>
          <w:rtl/>
        </w:rPr>
      </w:pPr>
      <w:r>
        <w:rPr>
          <w:rFonts w:cs="David"/>
          <w:sz w:val="24"/>
          <w:rtl/>
        </w:rPr>
        <w:t>נגד - אין</w:t>
      </w:r>
    </w:p>
    <w:p w:rsidR="00000000" w:rsidRDefault="003F72C2">
      <w:pPr>
        <w:jc w:val="center"/>
        <w:rPr>
          <w:rFonts w:cs="David"/>
          <w:sz w:val="24"/>
          <w:rtl/>
        </w:rPr>
      </w:pPr>
      <w:r>
        <w:rPr>
          <w:rFonts w:cs="David"/>
          <w:sz w:val="24"/>
          <w:rtl/>
        </w:rPr>
        <w:t>הצעת חוק מגבלות על חזרתו של עבריין מין לסביבת נפגע העבירה, התשס"ד-2004, נתקבלה.</w:t>
      </w:r>
    </w:p>
    <w:p w:rsidR="00000000" w:rsidRDefault="003F72C2">
      <w:pPr>
        <w:jc w:val="center"/>
        <w:rPr>
          <w:rFonts w:cs="David"/>
          <w:sz w:val="24"/>
          <w:rtl/>
        </w:rPr>
      </w:pPr>
    </w:p>
    <w:p w:rsidR="00000000" w:rsidRDefault="003F72C2">
      <w:pPr>
        <w:rPr>
          <w:rFonts w:cs="David"/>
          <w:sz w:val="24"/>
          <w:rtl/>
        </w:rPr>
      </w:pPr>
      <w:r>
        <w:rPr>
          <w:rFonts w:cs="David"/>
          <w:sz w:val="24"/>
          <w:u w:val="single"/>
          <w:rtl/>
        </w:rPr>
        <w:t>היו"ר מיכאל איתן:</w:t>
      </w:r>
    </w:p>
    <w:p w:rsidR="00000000" w:rsidRDefault="003F72C2">
      <w:pPr>
        <w:rPr>
          <w:rFonts w:cs="David"/>
          <w:sz w:val="24"/>
          <w:rtl/>
        </w:rPr>
      </w:pPr>
    </w:p>
    <w:p w:rsidR="00000000" w:rsidRDefault="003F72C2">
      <w:pPr>
        <w:rPr>
          <w:rFonts w:cs="David"/>
          <w:sz w:val="24"/>
          <w:rtl/>
        </w:rPr>
      </w:pPr>
      <w:r>
        <w:rPr>
          <w:rFonts w:cs="David"/>
          <w:sz w:val="24"/>
          <w:rtl/>
        </w:rPr>
        <w:tab/>
        <w:t xml:space="preserve"> הצעת החוק אושרה, והיא תעבור לקריאה שנייה ושלישית במליאה. תודה רבה לכולם.</w:t>
      </w:r>
    </w:p>
    <w:p w:rsidR="00000000" w:rsidRDefault="003F72C2">
      <w:pPr>
        <w:rPr>
          <w:rFonts w:cs="David"/>
          <w:sz w:val="24"/>
          <w:rtl/>
        </w:rPr>
      </w:pPr>
    </w:p>
    <w:p w:rsidR="00000000" w:rsidRDefault="003F72C2">
      <w:pPr>
        <w:rPr>
          <w:rFonts w:cs="David"/>
          <w:sz w:val="24"/>
          <w:rtl/>
        </w:rPr>
      </w:pPr>
      <w:r>
        <w:rPr>
          <w:rFonts w:cs="David"/>
          <w:sz w:val="24"/>
          <w:u w:val="single"/>
          <w:rtl/>
        </w:rPr>
        <w:t>גילה גמליאל:</w:t>
      </w:r>
    </w:p>
    <w:p w:rsidR="00000000" w:rsidRDefault="003F72C2">
      <w:pPr>
        <w:rPr>
          <w:rFonts w:cs="David"/>
          <w:sz w:val="24"/>
          <w:rtl/>
        </w:rPr>
      </w:pPr>
    </w:p>
    <w:p w:rsidR="00000000" w:rsidRDefault="003F72C2">
      <w:pPr>
        <w:rPr>
          <w:rFonts w:cs="David"/>
          <w:sz w:val="24"/>
          <w:rtl/>
        </w:rPr>
      </w:pPr>
      <w:r>
        <w:rPr>
          <w:rFonts w:cs="David"/>
          <w:sz w:val="24"/>
          <w:rtl/>
        </w:rPr>
        <w:tab/>
        <w:t xml:space="preserve"> תודה רבה. תודה רבה ליושב-ראש.</w:t>
      </w:r>
    </w:p>
    <w:p w:rsidR="00000000" w:rsidRDefault="003F72C2">
      <w:pPr>
        <w:rPr>
          <w:rFonts w:cs="David"/>
          <w:sz w:val="24"/>
          <w:rtl/>
        </w:rPr>
      </w:pPr>
    </w:p>
    <w:p w:rsidR="00000000" w:rsidRDefault="003F72C2">
      <w:pPr>
        <w:tabs>
          <w:tab w:val="left" w:pos="512"/>
        </w:tabs>
        <w:rPr>
          <w:rFonts w:cs="David"/>
          <w:sz w:val="24"/>
          <w:rtl/>
        </w:rPr>
      </w:pPr>
      <w:r>
        <w:rPr>
          <w:rFonts w:cs="David"/>
          <w:sz w:val="24"/>
          <w:u w:val="single"/>
          <w:rtl/>
        </w:rPr>
        <w:t>א</w:t>
      </w:r>
      <w:r>
        <w:rPr>
          <w:rFonts w:cs="David"/>
          <w:sz w:val="24"/>
          <w:u w:val="single"/>
          <w:rtl/>
        </w:rPr>
        <w:t>ליעזר כהן:</w:t>
      </w:r>
    </w:p>
    <w:p w:rsidR="00000000" w:rsidRDefault="003F72C2">
      <w:pPr>
        <w:tabs>
          <w:tab w:val="left" w:pos="512"/>
        </w:tabs>
        <w:rPr>
          <w:rFonts w:cs="David"/>
          <w:sz w:val="24"/>
          <w:rtl/>
        </w:rPr>
      </w:pPr>
    </w:p>
    <w:p w:rsidR="00000000" w:rsidRDefault="003F72C2">
      <w:pPr>
        <w:rPr>
          <w:rFonts w:cs="David"/>
          <w:sz w:val="24"/>
          <w:rtl/>
        </w:rPr>
      </w:pPr>
      <w:r>
        <w:rPr>
          <w:rFonts w:cs="David"/>
          <w:sz w:val="24"/>
          <w:rtl/>
        </w:rPr>
        <w:tab/>
        <w:t xml:space="preserve"> כל הכבוד, תודה רבה.</w:t>
      </w:r>
    </w:p>
    <w:p w:rsidR="00000000" w:rsidRDefault="003F72C2">
      <w:pPr>
        <w:rPr>
          <w:rFonts w:cs="David"/>
          <w:sz w:val="24"/>
          <w:rtl/>
        </w:rPr>
      </w:pPr>
    </w:p>
    <w:p w:rsidR="00000000" w:rsidRDefault="003F72C2">
      <w:pPr>
        <w:rPr>
          <w:rFonts w:cs="David"/>
          <w:sz w:val="24"/>
          <w:u w:val="single"/>
          <w:rtl/>
        </w:rPr>
      </w:pPr>
    </w:p>
    <w:p w:rsidR="00000000" w:rsidRDefault="003F72C2">
      <w:pPr>
        <w:rPr>
          <w:rFonts w:cs="David"/>
          <w:sz w:val="24"/>
          <w:u w:val="single"/>
          <w:rtl/>
        </w:rPr>
      </w:pPr>
      <w:r>
        <w:rPr>
          <w:rFonts w:cs="David"/>
          <w:sz w:val="24"/>
          <w:u w:val="single"/>
          <w:rtl/>
        </w:rPr>
        <w:t>הישיבה ננעלה בשעה 12:10.</w:t>
      </w:r>
    </w:p>
    <w:p w:rsidR="00000000" w:rsidRDefault="003F72C2">
      <w:pPr>
        <w:pStyle w:val="3"/>
        <w:rPr>
          <w:rFonts w:cs="David"/>
          <w:sz w:val="24"/>
          <w:rtl/>
        </w:rPr>
      </w:pPr>
      <w:r>
        <w:rPr>
          <w:rFonts w:cs="David"/>
          <w:sz w:val="24"/>
          <w:rtl/>
        </w:rPr>
        <w:br w:type="page"/>
        <w:t xml:space="preserve">נוסח לועדה להכנה לקריאה שניה ושלישית – דיון ביום 19.08.04 </w:t>
      </w:r>
    </w:p>
    <w:p w:rsidR="00000000" w:rsidRDefault="003F72C2">
      <w:pPr>
        <w:rPr>
          <w:rFonts w:cs="David"/>
          <w:sz w:val="26"/>
          <w:szCs w:val="26"/>
          <w:rtl/>
        </w:rPr>
      </w:pPr>
    </w:p>
    <w:p w:rsidR="00000000" w:rsidRDefault="003F72C2">
      <w:pPr>
        <w:jc w:val="center"/>
        <w:rPr>
          <w:rFonts w:cs="David"/>
          <w:b/>
          <w:bCs/>
          <w:sz w:val="28"/>
          <w:szCs w:val="28"/>
          <w:rtl/>
        </w:rPr>
      </w:pPr>
      <w:r>
        <w:rPr>
          <w:rFonts w:cs="David"/>
          <w:b/>
          <w:bCs/>
          <w:sz w:val="28"/>
          <w:szCs w:val="28"/>
          <w:rtl/>
        </w:rPr>
        <w:t xml:space="preserve">הצעת חוק מגבלות על חזרתו של עברין מין לסביבת נפגע העבירה </w:t>
      </w:r>
      <w:r>
        <w:rPr>
          <w:rFonts w:cs="David"/>
          <w:b/>
          <w:bCs/>
          <w:color w:val="FF0000"/>
          <w:sz w:val="28"/>
          <w:szCs w:val="28"/>
          <w:u w:val="single"/>
          <w:rtl/>
        </w:rPr>
        <w:t>(הוראת שעה)</w:t>
      </w:r>
      <w:r>
        <w:rPr>
          <w:rStyle w:val="aa"/>
          <w:b/>
          <w:bCs/>
          <w:color w:val="FF0000"/>
          <w:sz w:val="28"/>
          <w:szCs w:val="28"/>
          <w:rtl/>
        </w:rPr>
        <w:footnoteReference w:id="1"/>
      </w:r>
      <w:r>
        <w:rPr>
          <w:rFonts w:cs="David"/>
          <w:b/>
          <w:bCs/>
          <w:sz w:val="28"/>
          <w:szCs w:val="28"/>
          <w:rtl/>
        </w:rPr>
        <w:t xml:space="preserve">, </w:t>
      </w:r>
    </w:p>
    <w:p w:rsidR="00000000" w:rsidRDefault="003F72C2">
      <w:pPr>
        <w:pStyle w:val="4"/>
        <w:rPr>
          <w:rFonts w:cs="David"/>
          <w:sz w:val="30"/>
          <w:szCs w:val="30"/>
          <w:rtl/>
        </w:rPr>
      </w:pPr>
      <w:r>
        <w:rPr>
          <w:rFonts w:cs="David"/>
          <w:sz w:val="24"/>
          <w:rtl/>
        </w:rPr>
        <w:t>התשס"ד-2004</w:t>
      </w:r>
    </w:p>
    <w:p w:rsidR="00000000" w:rsidRDefault="003F72C2">
      <w:pPr>
        <w:jc w:val="center"/>
        <w:rPr>
          <w:rFonts w:cs="David"/>
          <w:b/>
          <w:bCs/>
          <w:sz w:val="28"/>
          <w:szCs w:val="28"/>
          <w:rtl/>
        </w:rPr>
      </w:pPr>
    </w:p>
    <w:tbl>
      <w:tblPr>
        <w:bidiVisual/>
        <w:tblW w:w="0" w:type="auto"/>
        <w:jc w:val="right"/>
        <w:tblLayout w:type="fixed"/>
        <w:tblCellMar>
          <w:left w:w="57" w:type="dxa"/>
          <w:right w:w="57" w:type="dxa"/>
        </w:tblCellMar>
        <w:tblLook w:val="0000" w:firstRow="0" w:lastRow="0" w:firstColumn="0" w:lastColumn="0" w:noHBand="0" w:noVBand="0"/>
      </w:tblPr>
      <w:tblGrid>
        <w:gridCol w:w="1352"/>
        <w:gridCol w:w="542"/>
        <w:gridCol w:w="565"/>
        <w:gridCol w:w="61"/>
        <w:gridCol w:w="501"/>
        <w:gridCol w:w="39"/>
        <w:gridCol w:w="5457"/>
      </w:tblGrid>
      <w:tr w:rsidR="003F72C2" w:rsidTr="003F72C2">
        <w:trPr>
          <w:jc w:val="right"/>
        </w:trPr>
        <w:tc>
          <w:tcPr>
            <w:tcW w:w="1352" w:type="dxa"/>
            <w:tcBorders>
              <w:top w:val="nil"/>
              <w:left w:val="nil"/>
              <w:bottom w:val="nil"/>
              <w:right w:val="nil"/>
            </w:tcBorders>
          </w:tcPr>
          <w:p w:rsidR="003F72C2" w:rsidRDefault="003F72C2">
            <w:pPr>
              <w:pStyle w:val="a3"/>
              <w:tabs>
                <w:tab w:val="left" w:pos="720"/>
              </w:tabs>
              <w:spacing w:after="120"/>
              <w:rPr>
                <w:rFonts w:cs="David"/>
                <w:sz w:val="26"/>
                <w:szCs w:val="26"/>
                <w:rtl/>
              </w:rPr>
            </w:pPr>
            <w:r>
              <w:rPr>
                <w:rFonts w:cs="David"/>
                <w:sz w:val="26"/>
                <w:szCs w:val="26"/>
                <w:rtl/>
              </w:rPr>
              <w:t xml:space="preserve">מטרה </w:t>
            </w:r>
          </w:p>
          <w:p w:rsidR="003F72C2" w:rsidRDefault="003F72C2">
            <w:pPr>
              <w:pStyle w:val="a3"/>
              <w:tabs>
                <w:tab w:val="left" w:pos="720"/>
              </w:tabs>
              <w:spacing w:after="120"/>
              <w:rPr>
                <w:rFonts w:cs="David"/>
                <w:sz w:val="26"/>
                <w:szCs w:val="26"/>
                <w:rtl/>
              </w:rPr>
            </w:pPr>
          </w:p>
        </w:tc>
        <w:tc>
          <w:tcPr>
            <w:tcW w:w="542" w:type="dxa"/>
            <w:tcBorders>
              <w:top w:val="nil"/>
              <w:left w:val="nil"/>
              <w:bottom w:val="nil"/>
              <w:right w:val="nil"/>
            </w:tcBorders>
          </w:tcPr>
          <w:p w:rsidR="003F72C2" w:rsidRDefault="003F72C2">
            <w:pPr>
              <w:spacing w:after="120"/>
              <w:rPr>
                <w:rFonts w:cs="David"/>
                <w:sz w:val="26"/>
                <w:szCs w:val="26"/>
                <w:rtl/>
              </w:rPr>
            </w:pPr>
            <w:r>
              <w:rPr>
                <w:rFonts w:cs="David"/>
                <w:sz w:val="26"/>
                <w:szCs w:val="26"/>
                <w:rtl/>
              </w:rPr>
              <w:t>1.</w:t>
            </w:r>
          </w:p>
        </w:tc>
        <w:tc>
          <w:tcPr>
            <w:tcW w:w="6623" w:type="dxa"/>
            <w:gridSpan w:val="5"/>
            <w:tcBorders>
              <w:top w:val="nil"/>
              <w:left w:val="nil"/>
              <w:bottom w:val="nil"/>
              <w:right w:val="nil"/>
            </w:tcBorders>
          </w:tcPr>
          <w:p w:rsidR="003F72C2" w:rsidRDefault="003F72C2">
            <w:pPr>
              <w:spacing w:after="120"/>
              <w:rPr>
                <w:rFonts w:cs="David"/>
                <w:sz w:val="26"/>
                <w:szCs w:val="26"/>
                <w:rtl/>
              </w:rPr>
            </w:pPr>
            <w:r>
              <w:rPr>
                <w:rFonts w:cs="David"/>
                <w:sz w:val="26"/>
                <w:szCs w:val="26"/>
                <w:rtl/>
              </w:rPr>
              <w:t xml:space="preserve">חוק זה מטרתו להגן על נפגע עבירה ולמנוע נזק נוסף שעלול להיגרם לו מהיתקלות תדירה בעברין מין שפגע בו, בלי לפגוע במידה העולה על הנדרש בזכויותיו של עברין המין.  </w:t>
            </w:r>
          </w:p>
          <w:p w:rsidR="003F72C2" w:rsidRDefault="003F72C2">
            <w:pPr>
              <w:spacing w:after="120"/>
              <w:rPr>
                <w:rFonts w:cs="David"/>
                <w:sz w:val="26"/>
                <w:szCs w:val="26"/>
                <w:rtl/>
              </w:rPr>
            </w:pPr>
          </w:p>
        </w:tc>
      </w:tr>
      <w:tr w:rsidR="003F72C2" w:rsidTr="003F72C2">
        <w:trPr>
          <w:jc w:val="right"/>
        </w:trPr>
        <w:tc>
          <w:tcPr>
            <w:tcW w:w="1352" w:type="dxa"/>
            <w:tcBorders>
              <w:top w:val="nil"/>
              <w:left w:val="nil"/>
              <w:bottom w:val="nil"/>
              <w:right w:val="nil"/>
            </w:tcBorders>
          </w:tcPr>
          <w:p w:rsidR="003F72C2" w:rsidRDefault="003F72C2">
            <w:pPr>
              <w:pStyle w:val="a3"/>
              <w:tabs>
                <w:tab w:val="left" w:pos="720"/>
              </w:tabs>
              <w:spacing w:after="120"/>
              <w:rPr>
                <w:rFonts w:cs="David"/>
                <w:sz w:val="26"/>
                <w:szCs w:val="26"/>
                <w:rtl/>
              </w:rPr>
            </w:pPr>
            <w:r>
              <w:rPr>
                <w:rFonts w:cs="David"/>
                <w:sz w:val="26"/>
                <w:szCs w:val="26"/>
                <w:rtl/>
              </w:rPr>
              <w:t>הגדרות</w:t>
            </w:r>
          </w:p>
        </w:tc>
        <w:tc>
          <w:tcPr>
            <w:tcW w:w="542" w:type="dxa"/>
            <w:tcBorders>
              <w:top w:val="nil"/>
              <w:left w:val="nil"/>
              <w:bottom w:val="nil"/>
              <w:right w:val="nil"/>
            </w:tcBorders>
          </w:tcPr>
          <w:p w:rsidR="003F72C2" w:rsidRDefault="003F72C2">
            <w:pPr>
              <w:spacing w:after="120"/>
              <w:rPr>
                <w:rFonts w:cs="David"/>
                <w:sz w:val="26"/>
                <w:szCs w:val="26"/>
                <w:rtl/>
              </w:rPr>
            </w:pPr>
            <w:r>
              <w:rPr>
                <w:rFonts w:cs="David"/>
                <w:sz w:val="26"/>
                <w:szCs w:val="26"/>
                <w:rtl/>
              </w:rPr>
              <w:t>2.</w:t>
            </w:r>
          </w:p>
        </w:tc>
        <w:tc>
          <w:tcPr>
            <w:tcW w:w="6623" w:type="dxa"/>
            <w:gridSpan w:val="5"/>
            <w:tcBorders>
              <w:top w:val="nil"/>
              <w:left w:val="nil"/>
              <w:bottom w:val="nil"/>
              <w:right w:val="nil"/>
            </w:tcBorders>
          </w:tcPr>
          <w:p w:rsidR="003F72C2" w:rsidRDefault="003F72C2">
            <w:pPr>
              <w:spacing w:after="120"/>
              <w:rPr>
                <w:rFonts w:cs="David"/>
                <w:sz w:val="26"/>
                <w:szCs w:val="26"/>
                <w:rtl/>
              </w:rPr>
            </w:pPr>
            <w:r>
              <w:rPr>
                <w:rFonts w:cs="David"/>
                <w:sz w:val="26"/>
                <w:szCs w:val="26"/>
                <w:rtl/>
              </w:rPr>
              <w:t xml:space="preserve">בחוק זה - </w:t>
            </w:r>
          </w:p>
          <w:p w:rsidR="003F72C2" w:rsidRDefault="003F72C2">
            <w:pPr>
              <w:spacing w:after="120"/>
              <w:rPr>
                <w:rFonts w:cs="David"/>
                <w:sz w:val="26"/>
                <w:szCs w:val="26"/>
                <w:rtl/>
              </w:rPr>
            </w:pPr>
            <w:r>
              <w:rPr>
                <w:rFonts w:cs="David"/>
                <w:sz w:val="26"/>
                <w:szCs w:val="26"/>
                <w:rtl/>
              </w:rPr>
              <w:t>"אשפוז" – אשפוז בבית חולים לפי סעיף 15(ב) לחוק טיפול בחולי נפש, התשנ"א-1991</w:t>
            </w:r>
            <w:r>
              <w:rPr>
                <w:rStyle w:val="aa"/>
                <w:sz w:val="26"/>
                <w:szCs w:val="26"/>
                <w:rtl/>
              </w:rPr>
              <w:footnoteReference w:id="2"/>
            </w:r>
            <w:r>
              <w:rPr>
                <w:rFonts w:cs="David"/>
                <w:sz w:val="26"/>
                <w:szCs w:val="26"/>
                <w:rtl/>
              </w:rPr>
              <w:t xml:space="preserve"> (בחוק זה – חוק טיפול בחולי נפש); </w:t>
            </w:r>
          </w:p>
          <w:p w:rsidR="003F72C2" w:rsidRDefault="003F72C2">
            <w:pPr>
              <w:spacing w:after="120"/>
              <w:rPr>
                <w:rFonts w:cs="David"/>
                <w:sz w:val="26"/>
                <w:szCs w:val="26"/>
                <w:rtl/>
              </w:rPr>
            </w:pPr>
            <w:r>
              <w:rPr>
                <w:rFonts w:cs="David"/>
                <w:sz w:val="26"/>
                <w:szCs w:val="26"/>
                <w:rtl/>
              </w:rPr>
              <w:t xml:space="preserve">"בית משפט" – לרבות בית דין צבאי; </w:t>
            </w:r>
          </w:p>
          <w:p w:rsidR="003F72C2" w:rsidRDefault="003F72C2">
            <w:pPr>
              <w:spacing w:after="120"/>
              <w:rPr>
                <w:rFonts w:cs="David"/>
                <w:b/>
                <w:bCs/>
                <w:color w:val="3366FF"/>
                <w:sz w:val="26"/>
                <w:szCs w:val="26"/>
                <w:u w:val="single"/>
                <w:rtl/>
              </w:rPr>
            </w:pPr>
            <w:r>
              <w:rPr>
                <w:rFonts w:cs="David"/>
                <w:b/>
                <w:bCs/>
                <w:color w:val="3366FF"/>
                <w:sz w:val="26"/>
                <w:szCs w:val="26"/>
                <w:u w:val="single"/>
                <w:rtl/>
              </w:rPr>
              <w:t>"גזר דין" – לרבות מתן צו מבחן ללא הרשעה או צו שירות לתועלת הציבור ללא הרשעה</w:t>
            </w:r>
            <w:r>
              <w:rPr>
                <w:rStyle w:val="aa"/>
                <w:b/>
                <w:bCs/>
                <w:color w:val="3366FF"/>
                <w:sz w:val="26"/>
                <w:szCs w:val="26"/>
                <w:u w:val="single"/>
                <w:rtl/>
              </w:rPr>
              <w:footnoteReference w:id="3"/>
            </w:r>
            <w:r>
              <w:rPr>
                <w:rFonts w:cs="David"/>
                <w:b/>
                <w:bCs/>
                <w:color w:val="3366FF"/>
                <w:sz w:val="26"/>
                <w:szCs w:val="26"/>
                <w:u w:val="single"/>
                <w:rtl/>
              </w:rPr>
              <w:t xml:space="preserve">; </w:t>
            </w:r>
          </w:p>
          <w:p w:rsidR="003F72C2" w:rsidRDefault="003F72C2">
            <w:pPr>
              <w:spacing w:after="120"/>
              <w:rPr>
                <w:rFonts w:cs="David"/>
                <w:sz w:val="26"/>
                <w:szCs w:val="26"/>
                <w:rtl/>
              </w:rPr>
            </w:pPr>
            <w:r>
              <w:rPr>
                <w:rFonts w:cs="David"/>
                <w:sz w:val="26"/>
                <w:szCs w:val="26"/>
                <w:rtl/>
              </w:rPr>
              <w:t>"חוק סדר הדין הפלילי" - חוק סדר הדין הפלילי [נוסח משולב], התשמ"ב-1982</w:t>
            </w:r>
            <w:r>
              <w:rPr>
                <w:rStyle w:val="aa"/>
                <w:sz w:val="26"/>
                <w:szCs w:val="26"/>
                <w:rtl/>
              </w:rPr>
              <w:footnoteReference w:id="4"/>
            </w:r>
            <w:r>
              <w:rPr>
                <w:rFonts w:cs="David"/>
                <w:sz w:val="26"/>
                <w:szCs w:val="26"/>
                <w:rtl/>
              </w:rPr>
              <w:t xml:space="preserve">; </w:t>
            </w:r>
          </w:p>
          <w:p w:rsidR="003F72C2" w:rsidRDefault="003F72C2">
            <w:pPr>
              <w:spacing w:after="120"/>
              <w:rPr>
                <w:rFonts w:cs="David"/>
                <w:sz w:val="26"/>
                <w:szCs w:val="26"/>
                <w:rtl/>
              </w:rPr>
            </w:pPr>
            <w:r>
              <w:rPr>
                <w:rFonts w:cs="David"/>
                <w:sz w:val="26"/>
                <w:szCs w:val="26"/>
                <w:rtl/>
              </w:rPr>
              <w:t>"מאסר בפועל" - למעט מאסר בפועל אשר בית המשפט החליט שהעברין ישא את כולו בעבודות שירות;</w:t>
            </w:r>
          </w:p>
          <w:p w:rsidR="003F72C2" w:rsidRDefault="003F72C2">
            <w:pPr>
              <w:spacing w:after="120"/>
              <w:rPr>
                <w:rFonts w:cs="David"/>
                <w:sz w:val="26"/>
                <w:szCs w:val="26"/>
                <w:rtl/>
              </w:rPr>
            </w:pPr>
            <w:r>
              <w:rPr>
                <w:rFonts w:cs="David"/>
                <w:sz w:val="26"/>
                <w:szCs w:val="26"/>
                <w:rtl/>
              </w:rPr>
              <w:t>"נזק" – נזק נפשי;</w:t>
            </w:r>
          </w:p>
          <w:p w:rsidR="003F72C2" w:rsidRDefault="003F72C2">
            <w:pPr>
              <w:spacing w:after="120"/>
              <w:rPr>
                <w:rFonts w:cs="David"/>
                <w:sz w:val="26"/>
                <w:szCs w:val="26"/>
                <w:rtl/>
              </w:rPr>
            </w:pPr>
            <w:r>
              <w:rPr>
                <w:rFonts w:cs="David"/>
                <w:sz w:val="26"/>
                <w:szCs w:val="26"/>
                <w:rtl/>
              </w:rPr>
              <w:t>"עבודה" - בין בתמורה ובין בהתנדבות, לרבות שירות בכוחות הביטחון ושירות לאומי;</w:t>
            </w:r>
          </w:p>
          <w:p w:rsidR="003F72C2" w:rsidRDefault="003F72C2">
            <w:pPr>
              <w:spacing w:after="120"/>
              <w:rPr>
                <w:rFonts w:cs="David"/>
                <w:sz w:val="26"/>
                <w:szCs w:val="26"/>
                <w:rtl/>
              </w:rPr>
            </w:pPr>
            <w:r>
              <w:rPr>
                <w:rFonts w:cs="David"/>
                <w:sz w:val="26"/>
                <w:szCs w:val="26"/>
                <w:rtl/>
              </w:rPr>
              <w:t xml:space="preserve">"עבירת מין" – </w:t>
            </w:r>
          </w:p>
          <w:p w:rsidR="003F72C2" w:rsidRDefault="003F72C2">
            <w:pPr>
              <w:numPr>
                <w:ilvl w:val="0"/>
                <w:numId w:val="3"/>
              </w:numPr>
              <w:spacing w:after="120"/>
              <w:rPr>
                <w:rFonts w:cs="David"/>
                <w:sz w:val="26"/>
                <w:szCs w:val="26"/>
                <w:rtl/>
              </w:rPr>
            </w:pPr>
            <w:r>
              <w:rPr>
                <w:rFonts w:cs="David"/>
                <w:sz w:val="26"/>
                <w:szCs w:val="26"/>
                <w:rtl/>
              </w:rPr>
              <w:t>עבירה המנויה בחוק העונשין, התשל"ז- 1977</w:t>
            </w:r>
            <w:r>
              <w:rPr>
                <w:rStyle w:val="aa"/>
                <w:sz w:val="26"/>
                <w:szCs w:val="26"/>
                <w:rtl/>
              </w:rPr>
              <w:footnoteReference w:id="5"/>
            </w:r>
            <w:r>
              <w:rPr>
                <w:rFonts w:cs="David"/>
                <w:sz w:val="26"/>
                <w:szCs w:val="26"/>
                <w:rtl/>
              </w:rPr>
              <w:t xml:space="preserve"> (בחוק זה -  חוק העונשין), בפרק י', בסימן ה', למעט עבירה לפי סעיף 352 לחוק העונשין;</w:t>
            </w:r>
          </w:p>
          <w:p w:rsidR="003F72C2" w:rsidRDefault="003F72C2">
            <w:pPr>
              <w:numPr>
                <w:ilvl w:val="0"/>
                <w:numId w:val="3"/>
              </w:numPr>
              <w:spacing w:after="120"/>
              <w:rPr>
                <w:rFonts w:cs="David"/>
                <w:sz w:val="26"/>
                <w:szCs w:val="26"/>
                <w:rtl/>
              </w:rPr>
            </w:pPr>
            <w:r>
              <w:rPr>
                <w:rFonts w:cs="David"/>
                <w:sz w:val="26"/>
                <w:szCs w:val="26"/>
                <w:rtl/>
              </w:rPr>
              <w:t>עבירה לפי סעיף 75 לחוק השיפוט הצבאי, התשט"ו-1955</w:t>
            </w:r>
            <w:r>
              <w:rPr>
                <w:rStyle w:val="aa"/>
                <w:sz w:val="26"/>
                <w:szCs w:val="26"/>
                <w:rtl/>
              </w:rPr>
              <w:footnoteReference w:id="6"/>
            </w:r>
            <w:r>
              <w:rPr>
                <w:rFonts w:cs="David"/>
                <w:sz w:val="26"/>
                <w:szCs w:val="26"/>
                <w:rtl/>
              </w:rPr>
              <w:t xml:space="preserve"> (בחוק זה – חוק השיפוט הצבאי);</w:t>
            </w:r>
          </w:p>
          <w:p w:rsidR="003F72C2" w:rsidRDefault="003F72C2">
            <w:pPr>
              <w:spacing w:after="120"/>
              <w:rPr>
                <w:rFonts w:cs="David"/>
                <w:sz w:val="26"/>
                <w:szCs w:val="26"/>
                <w:rtl/>
              </w:rPr>
            </w:pPr>
            <w:r>
              <w:rPr>
                <w:rFonts w:cs="David"/>
                <w:sz w:val="26"/>
                <w:szCs w:val="26"/>
                <w:rtl/>
              </w:rPr>
              <w:t>"עברין מין"- אדם שבצע עבירת מין בהיותו בגיר והורשע בה; בהגדרה זו "הורשע" – לרבות מי שבית המשפט קבע כי בצע את העבירה ומי שבית המשפט מצא כי עשה את מעשה העבירה לפי סעיף 15(ב) לחוק טיפול בחולי נפש;</w:t>
            </w:r>
          </w:p>
        </w:tc>
      </w:tr>
      <w:tr w:rsidR="003F72C2" w:rsidTr="003F72C2">
        <w:trPr>
          <w:jc w:val="right"/>
        </w:trPr>
        <w:tc>
          <w:tcPr>
            <w:tcW w:w="1352" w:type="dxa"/>
            <w:tcBorders>
              <w:top w:val="nil"/>
              <w:left w:val="nil"/>
              <w:bottom w:val="nil"/>
              <w:right w:val="nil"/>
            </w:tcBorders>
          </w:tcPr>
          <w:p w:rsidR="003F72C2" w:rsidRDefault="003F72C2">
            <w:pPr>
              <w:pStyle w:val="a3"/>
              <w:tabs>
                <w:tab w:val="left" w:pos="720"/>
              </w:tabs>
              <w:spacing w:after="120"/>
              <w:rPr>
                <w:rFonts w:cs="David"/>
                <w:b/>
                <w:bCs/>
                <w:color w:val="FF0000"/>
                <w:sz w:val="24"/>
                <w:rtl/>
              </w:rPr>
            </w:pPr>
            <w:r>
              <w:rPr>
                <w:rFonts w:cs="David"/>
                <w:b/>
                <w:bCs/>
                <w:color w:val="FF0000"/>
                <w:sz w:val="24"/>
                <w:rtl/>
              </w:rPr>
              <w:t xml:space="preserve">לתשומת לב השב"ס </w:t>
            </w:r>
          </w:p>
        </w:tc>
        <w:tc>
          <w:tcPr>
            <w:tcW w:w="542" w:type="dxa"/>
            <w:tcBorders>
              <w:top w:val="nil"/>
              <w:left w:val="nil"/>
              <w:bottom w:val="nil"/>
              <w:right w:val="nil"/>
            </w:tcBorders>
          </w:tcPr>
          <w:p w:rsidR="003F72C2" w:rsidRDefault="003F72C2">
            <w:pPr>
              <w:spacing w:after="120"/>
              <w:rPr>
                <w:rFonts w:cs="David"/>
                <w:b/>
                <w:bCs/>
                <w:strike/>
                <w:color w:val="FF0000"/>
                <w:sz w:val="26"/>
                <w:szCs w:val="26"/>
                <w:rtl/>
              </w:rPr>
            </w:pPr>
          </w:p>
        </w:tc>
        <w:tc>
          <w:tcPr>
            <w:tcW w:w="6623" w:type="dxa"/>
            <w:gridSpan w:val="5"/>
            <w:tcBorders>
              <w:top w:val="nil"/>
              <w:left w:val="nil"/>
              <w:bottom w:val="nil"/>
              <w:right w:val="nil"/>
            </w:tcBorders>
          </w:tcPr>
          <w:p w:rsidR="003F72C2" w:rsidRDefault="003F72C2">
            <w:pPr>
              <w:spacing w:after="120"/>
              <w:rPr>
                <w:rFonts w:cs="David"/>
                <w:b/>
                <w:bCs/>
                <w:strike/>
                <w:color w:val="FF0000"/>
                <w:sz w:val="26"/>
                <w:szCs w:val="26"/>
                <w:rtl/>
              </w:rPr>
            </w:pPr>
            <w:r>
              <w:rPr>
                <w:rFonts w:cs="David"/>
                <w:b/>
                <w:bCs/>
                <w:strike/>
                <w:color w:val="FF0000"/>
                <w:sz w:val="26"/>
                <w:szCs w:val="26"/>
                <w:rtl/>
              </w:rPr>
              <w:t>"שחרור ממאסר" – כולל שחרור על-תנאי ממאסר לפי חוק שחרור על תנאי ממאסר, התשס"א-2001</w:t>
            </w:r>
            <w:r>
              <w:rPr>
                <w:rStyle w:val="aa"/>
                <w:b/>
                <w:bCs/>
                <w:strike/>
                <w:color w:val="FF0000"/>
                <w:sz w:val="26"/>
                <w:szCs w:val="26"/>
                <w:rtl/>
              </w:rPr>
              <w:footnoteReference w:id="7"/>
            </w:r>
            <w:r>
              <w:rPr>
                <w:rFonts w:cs="David"/>
                <w:b/>
                <w:bCs/>
                <w:strike/>
                <w:color w:val="FF0000"/>
                <w:sz w:val="26"/>
                <w:szCs w:val="26"/>
                <w:rtl/>
              </w:rPr>
              <w:t xml:space="preserve"> (בחוק זה – חוק שחרור על-תנאי)</w:t>
            </w:r>
            <w:r>
              <w:rPr>
                <w:rStyle w:val="aa"/>
                <w:b/>
                <w:bCs/>
                <w:strike/>
                <w:color w:val="FF0000"/>
                <w:sz w:val="26"/>
                <w:szCs w:val="26"/>
                <w:rtl/>
              </w:rPr>
              <w:footnoteReference w:id="8"/>
            </w:r>
            <w:r>
              <w:rPr>
                <w:rFonts w:cs="David"/>
                <w:b/>
                <w:bCs/>
                <w:strike/>
                <w:color w:val="FF0000"/>
                <w:sz w:val="26"/>
                <w:szCs w:val="26"/>
                <w:rtl/>
              </w:rPr>
              <w:t>.</w:t>
            </w:r>
          </w:p>
        </w:tc>
      </w:tr>
      <w:tr w:rsidR="003F72C2" w:rsidTr="003F72C2">
        <w:trPr>
          <w:cantSplit/>
          <w:jc w:val="right"/>
        </w:trPr>
        <w:tc>
          <w:tcPr>
            <w:tcW w:w="1352" w:type="dxa"/>
            <w:vMerge w:val="restart"/>
            <w:tcBorders>
              <w:top w:val="nil"/>
              <w:left w:val="nil"/>
              <w:bottom w:val="nil"/>
              <w:right w:val="nil"/>
            </w:tcBorders>
          </w:tcPr>
          <w:p w:rsidR="003F72C2" w:rsidRDefault="003F72C2">
            <w:pPr>
              <w:spacing w:after="120"/>
              <w:rPr>
                <w:rFonts w:cs="David"/>
                <w:szCs w:val="22"/>
                <w:rtl/>
              </w:rPr>
            </w:pPr>
          </w:p>
          <w:p w:rsidR="003F72C2" w:rsidRDefault="003F72C2">
            <w:pPr>
              <w:spacing w:after="120"/>
              <w:rPr>
                <w:rFonts w:cs="David"/>
                <w:szCs w:val="22"/>
                <w:rtl/>
              </w:rPr>
            </w:pPr>
          </w:p>
        </w:tc>
        <w:tc>
          <w:tcPr>
            <w:tcW w:w="542" w:type="dxa"/>
            <w:tcBorders>
              <w:top w:val="nil"/>
              <w:left w:val="nil"/>
              <w:bottom w:val="nil"/>
              <w:right w:val="nil"/>
            </w:tcBorders>
          </w:tcPr>
          <w:p w:rsidR="003F72C2" w:rsidRDefault="003F72C2">
            <w:pPr>
              <w:spacing w:after="120"/>
              <w:rPr>
                <w:rFonts w:cs="David"/>
                <w:sz w:val="26"/>
                <w:szCs w:val="26"/>
                <w:rtl/>
              </w:rPr>
            </w:pPr>
            <w:r>
              <w:rPr>
                <w:rFonts w:cs="David"/>
                <w:sz w:val="26"/>
                <w:szCs w:val="26"/>
                <w:rtl/>
              </w:rPr>
              <w:t>3.</w:t>
            </w:r>
          </w:p>
        </w:tc>
        <w:tc>
          <w:tcPr>
            <w:tcW w:w="565" w:type="dxa"/>
            <w:tcBorders>
              <w:top w:val="nil"/>
              <w:left w:val="nil"/>
              <w:bottom w:val="nil"/>
              <w:right w:val="nil"/>
            </w:tcBorders>
          </w:tcPr>
          <w:p w:rsidR="003F72C2" w:rsidRDefault="003F72C2">
            <w:pPr>
              <w:spacing w:after="120"/>
              <w:rPr>
                <w:rFonts w:cs="David"/>
                <w:sz w:val="26"/>
                <w:szCs w:val="26"/>
                <w:rtl/>
              </w:rPr>
            </w:pPr>
            <w:r>
              <w:rPr>
                <w:rFonts w:cs="David"/>
                <w:sz w:val="26"/>
                <w:szCs w:val="26"/>
                <w:rtl/>
              </w:rPr>
              <w:t>(א)</w:t>
            </w:r>
          </w:p>
        </w:tc>
        <w:tc>
          <w:tcPr>
            <w:tcW w:w="6058" w:type="dxa"/>
            <w:gridSpan w:val="4"/>
            <w:tcBorders>
              <w:top w:val="nil"/>
              <w:left w:val="nil"/>
              <w:bottom w:val="nil"/>
              <w:right w:val="nil"/>
            </w:tcBorders>
          </w:tcPr>
          <w:p w:rsidR="003F72C2" w:rsidRDefault="003F72C2">
            <w:pPr>
              <w:spacing w:after="120"/>
              <w:rPr>
                <w:rFonts w:cs="David"/>
                <w:sz w:val="26"/>
                <w:szCs w:val="26"/>
                <w:rtl/>
              </w:rPr>
            </w:pPr>
            <w:r>
              <w:rPr>
                <w:rFonts w:cs="David"/>
                <w:sz w:val="26"/>
                <w:szCs w:val="26"/>
                <w:rtl/>
              </w:rPr>
              <w:t>בית המשפט רשאי להטיל על עברין מין, בצו, מגבלות על מגורים או על עבודה בקרבת מקום המגורים או מקום העבודה של נפגע העבירה (בחוק זה – מגבלות), אם שוכנע, כי יש צורך בהטלת מגבלות משום שלנפגע העבירה עלול להיגרם נזק של ממש אם עברין המין יתגורר או יעבוד בקרבת מקום מגוריו או מקום עבודתו; בהחלטה לפי סעיף זה יביא בית המשפט בחשבון, בין היתר, את הפגיעה שתיגרם לעברין המין בשל הטלת המגבלות.</w:t>
            </w:r>
            <w:r>
              <w:rPr>
                <w:rFonts w:cs="David"/>
                <w:b/>
                <w:bCs/>
                <w:sz w:val="26"/>
                <w:szCs w:val="26"/>
                <w:u w:val="single"/>
                <w:rtl/>
              </w:rPr>
              <w:t xml:space="preserve"> </w:t>
            </w:r>
          </w:p>
        </w:tc>
      </w:tr>
      <w:tr w:rsidR="003F72C2" w:rsidTr="003F72C2">
        <w:trPr>
          <w:cantSplit/>
          <w:jc w:val="right"/>
        </w:trPr>
        <w:tc>
          <w:tcPr>
            <w:tcW w:w="0" w:type="auto"/>
            <w:vMerge/>
            <w:tcBorders>
              <w:top w:val="nil"/>
              <w:left w:val="nil"/>
              <w:bottom w:val="nil"/>
              <w:right w:val="nil"/>
            </w:tcBorders>
            <w:vAlign w:val="center"/>
          </w:tcPr>
          <w:p w:rsidR="003F72C2" w:rsidRDefault="003F72C2">
            <w:pPr>
              <w:bidi w:val="0"/>
              <w:rPr>
                <w:rFonts w:cs="David"/>
                <w:szCs w:val="22"/>
              </w:rPr>
            </w:pPr>
          </w:p>
        </w:tc>
        <w:tc>
          <w:tcPr>
            <w:tcW w:w="542" w:type="dxa"/>
            <w:tcBorders>
              <w:top w:val="nil"/>
              <w:left w:val="nil"/>
              <w:bottom w:val="nil"/>
              <w:right w:val="nil"/>
            </w:tcBorders>
          </w:tcPr>
          <w:p w:rsidR="003F72C2" w:rsidRDefault="003F72C2">
            <w:pPr>
              <w:spacing w:after="120"/>
              <w:rPr>
                <w:rFonts w:cs="David"/>
                <w:sz w:val="26"/>
                <w:szCs w:val="26"/>
                <w:rtl/>
              </w:rPr>
            </w:pPr>
          </w:p>
        </w:tc>
        <w:tc>
          <w:tcPr>
            <w:tcW w:w="565" w:type="dxa"/>
            <w:tcBorders>
              <w:top w:val="nil"/>
              <w:left w:val="nil"/>
              <w:bottom w:val="nil"/>
              <w:right w:val="nil"/>
            </w:tcBorders>
          </w:tcPr>
          <w:p w:rsidR="003F72C2" w:rsidRDefault="003F72C2">
            <w:pPr>
              <w:spacing w:after="120"/>
              <w:rPr>
                <w:rFonts w:cs="David"/>
                <w:sz w:val="26"/>
                <w:szCs w:val="26"/>
                <w:rtl/>
              </w:rPr>
            </w:pPr>
            <w:r>
              <w:rPr>
                <w:rFonts w:cs="David"/>
                <w:sz w:val="26"/>
                <w:szCs w:val="26"/>
                <w:rtl/>
              </w:rPr>
              <w:t xml:space="preserve">(ב) </w:t>
            </w:r>
          </w:p>
        </w:tc>
        <w:tc>
          <w:tcPr>
            <w:tcW w:w="6058" w:type="dxa"/>
            <w:gridSpan w:val="4"/>
            <w:tcBorders>
              <w:top w:val="nil"/>
              <w:left w:val="nil"/>
              <w:bottom w:val="nil"/>
              <w:right w:val="nil"/>
            </w:tcBorders>
          </w:tcPr>
          <w:p w:rsidR="003F72C2" w:rsidRDefault="003F72C2">
            <w:pPr>
              <w:spacing w:after="120"/>
              <w:rPr>
                <w:rFonts w:cs="David"/>
                <w:sz w:val="26"/>
                <w:szCs w:val="26"/>
                <w:rtl/>
              </w:rPr>
            </w:pPr>
            <w:r>
              <w:rPr>
                <w:rFonts w:cs="David"/>
                <w:sz w:val="26"/>
                <w:szCs w:val="26"/>
                <w:rtl/>
              </w:rPr>
              <w:t xml:space="preserve">בית המשפט יקיים דיון לפי סעיף זה לבקשת כל אחד מאלה: </w:t>
            </w:r>
          </w:p>
        </w:tc>
      </w:tr>
      <w:tr w:rsidR="003F72C2" w:rsidTr="003F72C2">
        <w:trPr>
          <w:jc w:val="right"/>
        </w:trPr>
        <w:tc>
          <w:tcPr>
            <w:tcW w:w="1352" w:type="dxa"/>
            <w:tcBorders>
              <w:top w:val="nil"/>
              <w:left w:val="nil"/>
              <w:bottom w:val="nil"/>
              <w:right w:val="nil"/>
            </w:tcBorders>
          </w:tcPr>
          <w:p w:rsidR="003F72C2" w:rsidRDefault="003F72C2">
            <w:pPr>
              <w:spacing w:after="120"/>
              <w:rPr>
                <w:rFonts w:cs="David"/>
                <w:color w:val="FF0000"/>
                <w:szCs w:val="22"/>
                <w:rtl/>
              </w:rPr>
            </w:pPr>
          </w:p>
        </w:tc>
        <w:tc>
          <w:tcPr>
            <w:tcW w:w="542" w:type="dxa"/>
            <w:tcBorders>
              <w:top w:val="nil"/>
              <w:left w:val="nil"/>
              <w:bottom w:val="nil"/>
              <w:right w:val="nil"/>
            </w:tcBorders>
          </w:tcPr>
          <w:p w:rsidR="003F72C2" w:rsidRDefault="003F72C2">
            <w:pPr>
              <w:spacing w:after="120"/>
              <w:rPr>
                <w:rFonts w:cs="David"/>
                <w:sz w:val="26"/>
                <w:szCs w:val="26"/>
                <w:rtl/>
              </w:rPr>
            </w:pPr>
          </w:p>
        </w:tc>
        <w:tc>
          <w:tcPr>
            <w:tcW w:w="565" w:type="dxa"/>
            <w:tcBorders>
              <w:top w:val="nil"/>
              <w:left w:val="nil"/>
              <w:bottom w:val="nil"/>
              <w:right w:val="nil"/>
            </w:tcBorders>
          </w:tcPr>
          <w:p w:rsidR="003F72C2" w:rsidRDefault="003F72C2">
            <w:pPr>
              <w:pStyle w:val="a8"/>
              <w:rPr>
                <w:rFonts w:cs="David"/>
                <w:sz w:val="24"/>
                <w:rtl/>
              </w:rPr>
            </w:pPr>
          </w:p>
        </w:tc>
        <w:tc>
          <w:tcPr>
            <w:tcW w:w="562" w:type="dxa"/>
            <w:gridSpan w:val="2"/>
            <w:tcBorders>
              <w:top w:val="nil"/>
              <w:left w:val="nil"/>
              <w:bottom w:val="nil"/>
              <w:right w:val="nil"/>
            </w:tcBorders>
          </w:tcPr>
          <w:p w:rsidR="003F72C2" w:rsidRDefault="003F72C2">
            <w:pPr>
              <w:pStyle w:val="a8"/>
              <w:jc w:val="left"/>
              <w:rPr>
                <w:rFonts w:cs="David"/>
                <w:sz w:val="24"/>
                <w:rtl/>
              </w:rPr>
            </w:pPr>
            <w:r>
              <w:rPr>
                <w:rFonts w:cs="David"/>
                <w:sz w:val="24"/>
                <w:rtl/>
              </w:rPr>
              <w:t>(1)</w:t>
            </w:r>
          </w:p>
        </w:tc>
        <w:tc>
          <w:tcPr>
            <w:tcW w:w="5496" w:type="dxa"/>
            <w:gridSpan w:val="2"/>
            <w:tcBorders>
              <w:top w:val="nil"/>
              <w:left w:val="nil"/>
              <w:bottom w:val="nil"/>
              <w:right w:val="nil"/>
            </w:tcBorders>
          </w:tcPr>
          <w:p w:rsidR="003F72C2" w:rsidRDefault="003F72C2">
            <w:pPr>
              <w:spacing w:after="120"/>
              <w:rPr>
                <w:rFonts w:cs="David"/>
                <w:sz w:val="26"/>
                <w:szCs w:val="26"/>
                <w:rtl/>
              </w:rPr>
            </w:pPr>
            <w:r>
              <w:rPr>
                <w:rFonts w:cs="David"/>
                <w:sz w:val="26"/>
                <w:szCs w:val="26"/>
                <w:rtl/>
              </w:rPr>
              <w:t>נפגע העבירה או אדם מטעמו;</w:t>
            </w:r>
          </w:p>
        </w:tc>
      </w:tr>
      <w:tr w:rsidR="003F72C2" w:rsidTr="003F72C2">
        <w:trPr>
          <w:jc w:val="right"/>
        </w:trPr>
        <w:tc>
          <w:tcPr>
            <w:tcW w:w="1352" w:type="dxa"/>
            <w:tcBorders>
              <w:top w:val="nil"/>
              <w:left w:val="nil"/>
              <w:bottom w:val="nil"/>
              <w:right w:val="nil"/>
            </w:tcBorders>
          </w:tcPr>
          <w:p w:rsidR="003F72C2" w:rsidRDefault="003F72C2">
            <w:pPr>
              <w:spacing w:after="120"/>
              <w:rPr>
                <w:rFonts w:cs="David"/>
                <w:color w:val="FF0000"/>
                <w:szCs w:val="22"/>
                <w:rtl/>
              </w:rPr>
            </w:pPr>
          </w:p>
        </w:tc>
        <w:tc>
          <w:tcPr>
            <w:tcW w:w="542" w:type="dxa"/>
            <w:tcBorders>
              <w:top w:val="nil"/>
              <w:left w:val="nil"/>
              <w:bottom w:val="nil"/>
              <w:right w:val="nil"/>
            </w:tcBorders>
          </w:tcPr>
          <w:p w:rsidR="003F72C2" w:rsidRDefault="003F72C2">
            <w:pPr>
              <w:spacing w:after="120"/>
              <w:rPr>
                <w:rFonts w:cs="David"/>
                <w:sz w:val="26"/>
                <w:szCs w:val="26"/>
                <w:rtl/>
              </w:rPr>
            </w:pPr>
          </w:p>
        </w:tc>
        <w:tc>
          <w:tcPr>
            <w:tcW w:w="565" w:type="dxa"/>
            <w:tcBorders>
              <w:top w:val="nil"/>
              <w:left w:val="nil"/>
              <w:bottom w:val="nil"/>
              <w:right w:val="nil"/>
            </w:tcBorders>
          </w:tcPr>
          <w:p w:rsidR="003F72C2" w:rsidRDefault="003F72C2">
            <w:pPr>
              <w:pStyle w:val="a8"/>
              <w:rPr>
                <w:rFonts w:cs="David"/>
                <w:sz w:val="24"/>
                <w:rtl/>
              </w:rPr>
            </w:pPr>
          </w:p>
        </w:tc>
        <w:tc>
          <w:tcPr>
            <w:tcW w:w="562" w:type="dxa"/>
            <w:gridSpan w:val="2"/>
            <w:tcBorders>
              <w:top w:val="nil"/>
              <w:left w:val="nil"/>
              <w:bottom w:val="nil"/>
              <w:right w:val="nil"/>
            </w:tcBorders>
          </w:tcPr>
          <w:p w:rsidR="003F72C2" w:rsidRDefault="003F72C2">
            <w:pPr>
              <w:pStyle w:val="a8"/>
              <w:jc w:val="left"/>
              <w:rPr>
                <w:rFonts w:cs="David"/>
                <w:sz w:val="24"/>
                <w:rtl/>
              </w:rPr>
            </w:pPr>
            <w:r>
              <w:rPr>
                <w:rFonts w:cs="David"/>
                <w:sz w:val="24"/>
                <w:rtl/>
              </w:rPr>
              <w:t>(2)</w:t>
            </w:r>
          </w:p>
        </w:tc>
        <w:tc>
          <w:tcPr>
            <w:tcW w:w="5496" w:type="dxa"/>
            <w:gridSpan w:val="2"/>
            <w:tcBorders>
              <w:top w:val="nil"/>
              <w:left w:val="nil"/>
              <w:bottom w:val="nil"/>
              <w:right w:val="nil"/>
            </w:tcBorders>
          </w:tcPr>
          <w:p w:rsidR="003F72C2" w:rsidRDefault="003F72C2">
            <w:pPr>
              <w:spacing w:after="120"/>
              <w:rPr>
                <w:rFonts w:cs="David"/>
                <w:sz w:val="26"/>
                <w:szCs w:val="26"/>
                <w:rtl/>
              </w:rPr>
            </w:pPr>
            <w:r>
              <w:rPr>
                <w:rFonts w:cs="David"/>
                <w:sz w:val="26"/>
                <w:szCs w:val="26"/>
                <w:rtl/>
              </w:rPr>
              <w:t>היועץ המשפטי לממשלה או נציגו;</w:t>
            </w:r>
          </w:p>
        </w:tc>
      </w:tr>
      <w:tr w:rsidR="003F72C2" w:rsidTr="003F72C2">
        <w:trPr>
          <w:jc w:val="right"/>
        </w:trPr>
        <w:tc>
          <w:tcPr>
            <w:tcW w:w="1352" w:type="dxa"/>
            <w:tcBorders>
              <w:top w:val="nil"/>
              <w:left w:val="nil"/>
              <w:bottom w:val="nil"/>
              <w:right w:val="nil"/>
            </w:tcBorders>
          </w:tcPr>
          <w:p w:rsidR="003F72C2" w:rsidRDefault="003F72C2">
            <w:pPr>
              <w:spacing w:after="120"/>
              <w:rPr>
                <w:rFonts w:cs="David"/>
                <w:color w:val="FF0000"/>
                <w:szCs w:val="22"/>
                <w:rtl/>
              </w:rPr>
            </w:pPr>
          </w:p>
        </w:tc>
        <w:tc>
          <w:tcPr>
            <w:tcW w:w="542" w:type="dxa"/>
            <w:tcBorders>
              <w:top w:val="nil"/>
              <w:left w:val="nil"/>
              <w:bottom w:val="nil"/>
              <w:right w:val="nil"/>
            </w:tcBorders>
          </w:tcPr>
          <w:p w:rsidR="003F72C2" w:rsidRDefault="003F72C2">
            <w:pPr>
              <w:spacing w:after="120"/>
              <w:rPr>
                <w:rFonts w:cs="David"/>
                <w:sz w:val="26"/>
                <w:szCs w:val="26"/>
                <w:rtl/>
              </w:rPr>
            </w:pPr>
          </w:p>
        </w:tc>
        <w:tc>
          <w:tcPr>
            <w:tcW w:w="565" w:type="dxa"/>
            <w:tcBorders>
              <w:top w:val="nil"/>
              <w:left w:val="nil"/>
              <w:bottom w:val="nil"/>
              <w:right w:val="nil"/>
            </w:tcBorders>
          </w:tcPr>
          <w:p w:rsidR="003F72C2" w:rsidRDefault="003F72C2">
            <w:pPr>
              <w:pStyle w:val="a8"/>
              <w:rPr>
                <w:rFonts w:cs="David"/>
                <w:sz w:val="24"/>
                <w:rtl/>
              </w:rPr>
            </w:pPr>
          </w:p>
        </w:tc>
        <w:tc>
          <w:tcPr>
            <w:tcW w:w="562" w:type="dxa"/>
            <w:gridSpan w:val="2"/>
            <w:tcBorders>
              <w:top w:val="nil"/>
              <w:left w:val="nil"/>
              <w:bottom w:val="nil"/>
              <w:right w:val="nil"/>
            </w:tcBorders>
          </w:tcPr>
          <w:p w:rsidR="003F72C2" w:rsidRDefault="003F72C2">
            <w:pPr>
              <w:pStyle w:val="a8"/>
              <w:jc w:val="left"/>
              <w:rPr>
                <w:rFonts w:cs="David"/>
                <w:sz w:val="24"/>
                <w:rtl/>
              </w:rPr>
            </w:pPr>
            <w:r>
              <w:rPr>
                <w:rFonts w:cs="David"/>
                <w:sz w:val="24"/>
                <w:rtl/>
              </w:rPr>
              <w:t>(3)</w:t>
            </w:r>
          </w:p>
        </w:tc>
        <w:tc>
          <w:tcPr>
            <w:tcW w:w="5496" w:type="dxa"/>
            <w:gridSpan w:val="2"/>
            <w:tcBorders>
              <w:top w:val="nil"/>
              <w:left w:val="nil"/>
              <w:bottom w:val="nil"/>
              <w:right w:val="nil"/>
            </w:tcBorders>
          </w:tcPr>
          <w:p w:rsidR="003F72C2" w:rsidRDefault="003F72C2">
            <w:pPr>
              <w:spacing w:after="120"/>
              <w:rPr>
                <w:rFonts w:cs="David"/>
                <w:sz w:val="26"/>
                <w:szCs w:val="26"/>
                <w:rtl/>
              </w:rPr>
            </w:pPr>
            <w:r>
              <w:rPr>
                <w:rFonts w:cs="David"/>
                <w:sz w:val="26"/>
                <w:szCs w:val="26"/>
                <w:rtl/>
              </w:rPr>
              <w:t>תובע משטרתי או תובע צבאי, לפי הענין;</w:t>
            </w:r>
          </w:p>
        </w:tc>
      </w:tr>
      <w:tr w:rsidR="003F72C2" w:rsidTr="003F72C2">
        <w:trPr>
          <w:jc w:val="right"/>
        </w:trPr>
        <w:tc>
          <w:tcPr>
            <w:tcW w:w="1352" w:type="dxa"/>
            <w:tcBorders>
              <w:top w:val="nil"/>
              <w:left w:val="nil"/>
              <w:bottom w:val="nil"/>
              <w:right w:val="nil"/>
            </w:tcBorders>
          </w:tcPr>
          <w:p w:rsidR="003F72C2" w:rsidRDefault="003F72C2">
            <w:pPr>
              <w:spacing w:after="120"/>
              <w:rPr>
                <w:rFonts w:cs="David"/>
                <w:color w:val="FF0000"/>
                <w:szCs w:val="22"/>
                <w:rtl/>
              </w:rPr>
            </w:pPr>
          </w:p>
        </w:tc>
        <w:tc>
          <w:tcPr>
            <w:tcW w:w="542" w:type="dxa"/>
            <w:tcBorders>
              <w:top w:val="nil"/>
              <w:left w:val="nil"/>
              <w:bottom w:val="nil"/>
              <w:right w:val="nil"/>
            </w:tcBorders>
          </w:tcPr>
          <w:p w:rsidR="003F72C2" w:rsidRDefault="003F72C2">
            <w:pPr>
              <w:spacing w:after="120"/>
              <w:rPr>
                <w:rFonts w:cs="David"/>
                <w:sz w:val="26"/>
                <w:szCs w:val="26"/>
                <w:rtl/>
              </w:rPr>
            </w:pPr>
          </w:p>
        </w:tc>
        <w:tc>
          <w:tcPr>
            <w:tcW w:w="565" w:type="dxa"/>
            <w:tcBorders>
              <w:top w:val="nil"/>
              <w:left w:val="nil"/>
              <w:bottom w:val="nil"/>
              <w:right w:val="nil"/>
            </w:tcBorders>
          </w:tcPr>
          <w:p w:rsidR="003F72C2" w:rsidRDefault="003F72C2">
            <w:pPr>
              <w:pStyle w:val="a8"/>
              <w:rPr>
                <w:rFonts w:cs="David"/>
                <w:sz w:val="24"/>
                <w:rtl/>
              </w:rPr>
            </w:pPr>
          </w:p>
        </w:tc>
        <w:tc>
          <w:tcPr>
            <w:tcW w:w="562" w:type="dxa"/>
            <w:gridSpan w:val="2"/>
            <w:tcBorders>
              <w:top w:val="nil"/>
              <w:left w:val="nil"/>
              <w:bottom w:val="nil"/>
              <w:right w:val="nil"/>
            </w:tcBorders>
          </w:tcPr>
          <w:p w:rsidR="003F72C2" w:rsidRDefault="003F72C2">
            <w:pPr>
              <w:pStyle w:val="a8"/>
              <w:jc w:val="left"/>
              <w:rPr>
                <w:rFonts w:cs="David"/>
                <w:sz w:val="24"/>
                <w:rtl/>
              </w:rPr>
            </w:pPr>
            <w:r>
              <w:rPr>
                <w:rFonts w:cs="David"/>
                <w:sz w:val="24"/>
                <w:rtl/>
              </w:rPr>
              <w:t>(4)</w:t>
            </w:r>
          </w:p>
        </w:tc>
        <w:tc>
          <w:tcPr>
            <w:tcW w:w="5496" w:type="dxa"/>
            <w:gridSpan w:val="2"/>
            <w:tcBorders>
              <w:top w:val="nil"/>
              <w:left w:val="nil"/>
              <w:bottom w:val="nil"/>
              <w:right w:val="nil"/>
            </w:tcBorders>
          </w:tcPr>
          <w:p w:rsidR="003F72C2" w:rsidRDefault="003F72C2">
            <w:pPr>
              <w:spacing w:after="120"/>
              <w:rPr>
                <w:rFonts w:cs="David"/>
                <w:sz w:val="26"/>
                <w:szCs w:val="26"/>
                <w:rtl/>
              </w:rPr>
            </w:pPr>
            <w:r>
              <w:rPr>
                <w:rFonts w:cs="David"/>
                <w:sz w:val="26"/>
                <w:szCs w:val="26"/>
                <w:rtl/>
              </w:rPr>
              <w:t>פקיד סעד כהגדרתו בחוק שירותי הסעד,התשי"ח-1958</w:t>
            </w:r>
            <w:r>
              <w:rPr>
                <w:rStyle w:val="aa"/>
                <w:sz w:val="26"/>
                <w:szCs w:val="26"/>
                <w:rtl/>
              </w:rPr>
              <w:footnoteReference w:id="9"/>
            </w:r>
            <w:r>
              <w:rPr>
                <w:rFonts w:cs="David"/>
                <w:sz w:val="26"/>
                <w:szCs w:val="26"/>
                <w:rtl/>
              </w:rPr>
              <w:t>,</w:t>
            </w:r>
          </w:p>
        </w:tc>
      </w:tr>
      <w:tr w:rsidR="003F72C2" w:rsidTr="003F72C2">
        <w:trPr>
          <w:cantSplit/>
          <w:jc w:val="right"/>
        </w:trPr>
        <w:tc>
          <w:tcPr>
            <w:tcW w:w="1352" w:type="dxa"/>
            <w:tcBorders>
              <w:top w:val="nil"/>
              <w:left w:val="nil"/>
              <w:bottom w:val="nil"/>
              <w:right w:val="nil"/>
            </w:tcBorders>
          </w:tcPr>
          <w:p w:rsidR="003F72C2" w:rsidRDefault="003F72C2">
            <w:pPr>
              <w:spacing w:after="120"/>
              <w:rPr>
                <w:rFonts w:cs="David"/>
                <w:color w:val="FF0000"/>
                <w:szCs w:val="22"/>
                <w:rtl/>
              </w:rPr>
            </w:pPr>
          </w:p>
        </w:tc>
        <w:tc>
          <w:tcPr>
            <w:tcW w:w="542" w:type="dxa"/>
            <w:tcBorders>
              <w:top w:val="nil"/>
              <w:left w:val="nil"/>
              <w:bottom w:val="nil"/>
              <w:right w:val="nil"/>
            </w:tcBorders>
          </w:tcPr>
          <w:p w:rsidR="003F72C2" w:rsidRDefault="003F72C2">
            <w:pPr>
              <w:spacing w:after="120"/>
              <w:rPr>
                <w:rFonts w:cs="David"/>
                <w:sz w:val="26"/>
                <w:szCs w:val="26"/>
                <w:rtl/>
              </w:rPr>
            </w:pPr>
          </w:p>
        </w:tc>
        <w:tc>
          <w:tcPr>
            <w:tcW w:w="565" w:type="dxa"/>
            <w:tcBorders>
              <w:top w:val="nil"/>
              <w:left w:val="nil"/>
              <w:bottom w:val="nil"/>
              <w:right w:val="nil"/>
            </w:tcBorders>
          </w:tcPr>
          <w:p w:rsidR="003F72C2" w:rsidRDefault="003F72C2">
            <w:pPr>
              <w:pStyle w:val="a8"/>
              <w:rPr>
                <w:rFonts w:cs="David"/>
                <w:sz w:val="24"/>
                <w:rtl/>
              </w:rPr>
            </w:pPr>
          </w:p>
        </w:tc>
        <w:tc>
          <w:tcPr>
            <w:tcW w:w="6058" w:type="dxa"/>
            <w:gridSpan w:val="4"/>
            <w:tcBorders>
              <w:top w:val="nil"/>
              <w:left w:val="nil"/>
              <w:bottom w:val="nil"/>
              <w:right w:val="nil"/>
            </w:tcBorders>
          </w:tcPr>
          <w:p w:rsidR="003F72C2" w:rsidRDefault="003F72C2">
            <w:pPr>
              <w:spacing w:after="120"/>
              <w:rPr>
                <w:rFonts w:cs="David"/>
                <w:sz w:val="26"/>
                <w:szCs w:val="26"/>
                <w:rtl/>
              </w:rPr>
            </w:pPr>
            <w:r>
              <w:rPr>
                <w:rFonts w:cs="David"/>
                <w:sz w:val="26"/>
                <w:szCs w:val="26"/>
                <w:rtl/>
              </w:rPr>
              <w:t>ואולם בית המשפט רשאי שלא לקיים דיון אף אם התבקש לעשות כן לפי סעיף קטן זה, אם נפגע העבירה או אדם מטעמו ביקש שלא לקיימו.</w:t>
            </w:r>
          </w:p>
        </w:tc>
      </w:tr>
      <w:tr w:rsidR="003F72C2" w:rsidTr="003F72C2">
        <w:trPr>
          <w:cantSplit/>
          <w:jc w:val="right"/>
        </w:trPr>
        <w:tc>
          <w:tcPr>
            <w:tcW w:w="1352" w:type="dxa"/>
            <w:vMerge w:val="restart"/>
            <w:tcBorders>
              <w:top w:val="nil"/>
              <w:left w:val="nil"/>
              <w:bottom w:val="nil"/>
              <w:right w:val="nil"/>
            </w:tcBorders>
          </w:tcPr>
          <w:p w:rsidR="003F72C2" w:rsidRDefault="003F72C2">
            <w:pPr>
              <w:spacing w:after="120"/>
              <w:rPr>
                <w:rFonts w:cs="David"/>
                <w:sz w:val="24"/>
                <w:rtl/>
              </w:rPr>
            </w:pPr>
            <w:r>
              <w:rPr>
                <w:rFonts w:cs="David"/>
                <w:color w:val="FF0000"/>
                <w:szCs w:val="22"/>
                <w:rtl/>
              </w:rPr>
              <w:t>שינוי בנוסח פסקה (2) שמטרתו להבהיר שהיא חלה רק בסיטואציה של שחרור ממאסר או מאשפוז</w:t>
            </w:r>
          </w:p>
        </w:tc>
        <w:tc>
          <w:tcPr>
            <w:tcW w:w="542" w:type="dxa"/>
            <w:tcBorders>
              <w:top w:val="nil"/>
              <w:left w:val="nil"/>
              <w:bottom w:val="nil"/>
              <w:right w:val="nil"/>
            </w:tcBorders>
          </w:tcPr>
          <w:p w:rsidR="003F72C2" w:rsidRDefault="003F72C2">
            <w:pPr>
              <w:spacing w:after="120"/>
              <w:rPr>
                <w:rFonts w:cs="David"/>
                <w:sz w:val="26"/>
                <w:szCs w:val="26"/>
                <w:rtl/>
              </w:rPr>
            </w:pPr>
          </w:p>
        </w:tc>
        <w:tc>
          <w:tcPr>
            <w:tcW w:w="565" w:type="dxa"/>
            <w:tcBorders>
              <w:top w:val="nil"/>
              <w:left w:val="nil"/>
              <w:bottom w:val="nil"/>
              <w:right w:val="nil"/>
            </w:tcBorders>
          </w:tcPr>
          <w:p w:rsidR="003F72C2" w:rsidRDefault="003F72C2">
            <w:pPr>
              <w:pStyle w:val="a8"/>
              <w:rPr>
                <w:rFonts w:cs="David"/>
                <w:sz w:val="24"/>
                <w:rtl/>
              </w:rPr>
            </w:pPr>
            <w:r>
              <w:rPr>
                <w:rFonts w:cs="David"/>
                <w:sz w:val="24"/>
                <w:rtl/>
              </w:rPr>
              <w:t xml:space="preserve">(ג) </w:t>
            </w:r>
          </w:p>
        </w:tc>
        <w:tc>
          <w:tcPr>
            <w:tcW w:w="562" w:type="dxa"/>
            <w:gridSpan w:val="2"/>
            <w:tcBorders>
              <w:top w:val="nil"/>
              <w:left w:val="nil"/>
              <w:bottom w:val="nil"/>
              <w:right w:val="nil"/>
            </w:tcBorders>
          </w:tcPr>
          <w:p w:rsidR="003F72C2" w:rsidRDefault="003F72C2">
            <w:pPr>
              <w:pStyle w:val="a8"/>
              <w:jc w:val="left"/>
              <w:rPr>
                <w:rFonts w:cs="David"/>
                <w:sz w:val="24"/>
                <w:rtl/>
              </w:rPr>
            </w:pPr>
            <w:r>
              <w:rPr>
                <w:rFonts w:cs="David"/>
                <w:sz w:val="24"/>
                <w:rtl/>
              </w:rPr>
              <w:t xml:space="preserve">(1) </w:t>
            </w:r>
          </w:p>
        </w:tc>
        <w:tc>
          <w:tcPr>
            <w:tcW w:w="5496" w:type="dxa"/>
            <w:gridSpan w:val="2"/>
            <w:tcBorders>
              <w:top w:val="nil"/>
              <w:left w:val="nil"/>
              <w:bottom w:val="nil"/>
              <w:right w:val="nil"/>
            </w:tcBorders>
          </w:tcPr>
          <w:p w:rsidR="003F72C2" w:rsidRDefault="003F72C2">
            <w:pPr>
              <w:spacing w:after="120"/>
              <w:rPr>
                <w:rFonts w:cs="David"/>
                <w:color w:val="FF0000"/>
                <w:sz w:val="24"/>
                <w:u w:val="single"/>
                <w:rtl/>
              </w:rPr>
            </w:pPr>
            <w:r>
              <w:rPr>
                <w:rFonts w:cs="David"/>
                <w:sz w:val="26"/>
                <w:szCs w:val="26"/>
                <w:rtl/>
              </w:rPr>
              <w:t>הדיון יתקיים מיד לאחר מתן גזר הדין או לאחר מתן צו לטיפול מרפאתי לפי סעיף 15(ב) לחוק טיפול בחולי נפש ואם עברין המין נדון לעונש מאסר בפועל או שבית משפט ציווה על אשפוזו, לפני שחרורו הצפוי מן המאסר או מן האשפוז, או בסמוך לאחר השחרור מן האשפוז;</w:t>
            </w:r>
          </w:p>
        </w:tc>
      </w:tr>
      <w:tr w:rsidR="003F72C2" w:rsidTr="003F72C2">
        <w:trPr>
          <w:cantSplit/>
          <w:jc w:val="right"/>
        </w:trPr>
        <w:tc>
          <w:tcPr>
            <w:tcW w:w="1352" w:type="dxa"/>
            <w:vMerge/>
            <w:tcBorders>
              <w:top w:val="nil"/>
              <w:left w:val="nil"/>
              <w:bottom w:val="nil"/>
              <w:right w:val="nil"/>
            </w:tcBorders>
          </w:tcPr>
          <w:p w:rsidR="003F72C2" w:rsidRDefault="003F72C2">
            <w:pPr>
              <w:spacing w:after="120"/>
              <w:rPr>
                <w:rFonts w:cs="David"/>
                <w:sz w:val="24"/>
                <w:rtl/>
              </w:rPr>
            </w:pPr>
          </w:p>
        </w:tc>
        <w:tc>
          <w:tcPr>
            <w:tcW w:w="542" w:type="dxa"/>
            <w:tcBorders>
              <w:top w:val="nil"/>
              <w:left w:val="nil"/>
              <w:bottom w:val="nil"/>
              <w:right w:val="nil"/>
            </w:tcBorders>
          </w:tcPr>
          <w:p w:rsidR="003F72C2" w:rsidRDefault="003F72C2">
            <w:pPr>
              <w:spacing w:after="120"/>
              <w:rPr>
                <w:rFonts w:cs="David"/>
                <w:sz w:val="26"/>
                <w:szCs w:val="26"/>
                <w:rtl/>
              </w:rPr>
            </w:pPr>
          </w:p>
        </w:tc>
        <w:tc>
          <w:tcPr>
            <w:tcW w:w="565" w:type="dxa"/>
            <w:tcBorders>
              <w:top w:val="nil"/>
              <w:left w:val="nil"/>
              <w:bottom w:val="nil"/>
              <w:right w:val="nil"/>
            </w:tcBorders>
          </w:tcPr>
          <w:p w:rsidR="003F72C2" w:rsidRDefault="003F72C2">
            <w:pPr>
              <w:pStyle w:val="a8"/>
              <w:rPr>
                <w:rFonts w:cs="David"/>
                <w:sz w:val="24"/>
                <w:rtl/>
              </w:rPr>
            </w:pPr>
          </w:p>
        </w:tc>
        <w:tc>
          <w:tcPr>
            <w:tcW w:w="562" w:type="dxa"/>
            <w:gridSpan w:val="2"/>
            <w:tcBorders>
              <w:top w:val="nil"/>
              <w:left w:val="nil"/>
              <w:bottom w:val="nil"/>
              <w:right w:val="nil"/>
            </w:tcBorders>
          </w:tcPr>
          <w:p w:rsidR="003F72C2" w:rsidRDefault="003F72C2">
            <w:pPr>
              <w:pStyle w:val="a8"/>
              <w:jc w:val="left"/>
              <w:rPr>
                <w:rFonts w:cs="David"/>
                <w:sz w:val="24"/>
                <w:rtl/>
              </w:rPr>
            </w:pPr>
            <w:r>
              <w:rPr>
                <w:rFonts w:cs="David"/>
                <w:sz w:val="24"/>
                <w:rtl/>
              </w:rPr>
              <w:t>(2)</w:t>
            </w:r>
          </w:p>
        </w:tc>
        <w:tc>
          <w:tcPr>
            <w:tcW w:w="5496" w:type="dxa"/>
            <w:gridSpan w:val="2"/>
            <w:tcBorders>
              <w:top w:val="nil"/>
              <w:left w:val="nil"/>
              <w:bottom w:val="nil"/>
              <w:right w:val="nil"/>
            </w:tcBorders>
          </w:tcPr>
          <w:p w:rsidR="003F72C2" w:rsidRDefault="003F72C2">
            <w:pPr>
              <w:pStyle w:val="a8"/>
              <w:rPr>
                <w:rFonts w:cs="David"/>
                <w:b/>
                <w:bCs/>
                <w:sz w:val="24"/>
                <w:rtl/>
              </w:rPr>
            </w:pPr>
            <w:r>
              <w:rPr>
                <w:rFonts w:cs="David"/>
                <w:b/>
                <w:bCs/>
                <w:color w:val="FF0000"/>
                <w:sz w:val="24"/>
                <w:u w:val="single"/>
                <w:rtl/>
              </w:rPr>
              <w:t>על אף האמור בפסקה (1) רשאי בית המשפט לקיים דיון בבקשה שהוגשה בתוך שלושה חודשים ממועד שחרור עברין המין  ממאסר בפועל או מאשפוז, לפי הענין, אם מצא שיש צורך בכך מנימוקים מיוחדים שיירשמו.</w:t>
            </w:r>
          </w:p>
        </w:tc>
      </w:tr>
      <w:tr w:rsidR="003F72C2" w:rsidTr="003F72C2">
        <w:trPr>
          <w:cantSplit/>
          <w:jc w:val="right"/>
        </w:trPr>
        <w:tc>
          <w:tcPr>
            <w:tcW w:w="1352" w:type="dxa"/>
            <w:vMerge w:val="restart"/>
            <w:tcBorders>
              <w:top w:val="nil"/>
              <w:left w:val="nil"/>
              <w:bottom w:val="nil"/>
              <w:right w:val="nil"/>
            </w:tcBorders>
          </w:tcPr>
          <w:p w:rsidR="003F72C2" w:rsidRDefault="003F72C2">
            <w:pPr>
              <w:spacing w:after="120"/>
              <w:rPr>
                <w:rFonts w:cs="David"/>
                <w:color w:val="FF0000"/>
                <w:sz w:val="24"/>
                <w:rtl/>
              </w:rPr>
            </w:pPr>
            <w:r>
              <w:rPr>
                <w:rFonts w:cs="David"/>
                <w:color w:val="FF0000"/>
                <w:szCs w:val="22"/>
                <w:rtl/>
              </w:rPr>
              <w:t>הסתיגות של ח"כ יולי תמיר – לענין תקופה מירבית להטלת מגבלות  (?)</w:t>
            </w:r>
          </w:p>
        </w:tc>
        <w:tc>
          <w:tcPr>
            <w:tcW w:w="542" w:type="dxa"/>
            <w:tcBorders>
              <w:top w:val="nil"/>
              <w:left w:val="nil"/>
              <w:bottom w:val="nil"/>
              <w:right w:val="nil"/>
            </w:tcBorders>
          </w:tcPr>
          <w:p w:rsidR="003F72C2" w:rsidRDefault="003F72C2">
            <w:pPr>
              <w:spacing w:after="120"/>
              <w:rPr>
                <w:rFonts w:cs="David"/>
                <w:sz w:val="26"/>
                <w:szCs w:val="26"/>
                <w:rtl/>
              </w:rPr>
            </w:pPr>
          </w:p>
        </w:tc>
        <w:tc>
          <w:tcPr>
            <w:tcW w:w="565" w:type="dxa"/>
            <w:tcBorders>
              <w:top w:val="nil"/>
              <w:left w:val="nil"/>
              <w:bottom w:val="nil"/>
              <w:right w:val="nil"/>
            </w:tcBorders>
          </w:tcPr>
          <w:p w:rsidR="003F72C2" w:rsidRDefault="003F72C2">
            <w:pPr>
              <w:rPr>
                <w:rFonts w:cs="David"/>
                <w:sz w:val="26"/>
                <w:szCs w:val="26"/>
                <w:rtl/>
              </w:rPr>
            </w:pPr>
            <w:r>
              <w:rPr>
                <w:rFonts w:cs="David"/>
                <w:sz w:val="26"/>
                <w:szCs w:val="26"/>
                <w:rtl/>
              </w:rPr>
              <w:t>(ד)</w:t>
            </w:r>
          </w:p>
        </w:tc>
        <w:tc>
          <w:tcPr>
            <w:tcW w:w="6058" w:type="dxa"/>
            <w:gridSpan w:val="4"/>
            <w:tcBorders>
              <w:top w:val="nil"/>
              <w:left w:val="nil"/>
              <w:bottom w:val="nil"/>
              <w:right w:val="nil"/>
            </w:tcBorders>
          </w:tcPr>
          <w:p w:rsidR="003F72C2" w:rsidRDefault="003F72C2">
            <w:pPr>
              <w:rPr>
                <w:rFonts w:cs="David"/>
                <w:sz w:val="26"/>
                <w:szCs w:val="26"/>
                <w:rtl/>
              </w:rPr>
            </w:pPr>
            <w:r>
              <w:rPr>
                <w:rFonts w:cs="David"/>
                <w:sz w:val="26"/>
                <w:szCs w:val="26"/>
                <w:rtl/>
              </w:rPr>
              <w:t xml:space="preserve">החליט בית המשפט להטיל מגבלות - </w:t>
            </w:r>
          </w:p>
        </w:tc>
      </w:tr>
      <w:tr w:rsidR="003F72C2" w:rsidTr="003F72C2">
        <w:trPr>
          <w:cantSplit/>
          <w:jc w:val="right"/>
        </w:trPr>
        <w:tc>
          <w:tcPr>
            <w:tcW w:w="0" w:type="auto"/>
            <w:vMerge/>
            <w:tcBorders>
              <w:top w:val="nil"/>
              <w:left w:val="nil"/>
              <w:bottom w:val="nil"/>
              <w:right w:val="nil"/>
            </w:tcBorders>
            <w:vAlign w:val="center"/>
          </w:tcPr>
          <w:p w:rsidR="003F72C2" w:rsidRDefault="003F72C2">
            <w:pPr>
              <w:bidi w:val="0"/>
              <w:rPr>
                <w:rFonts w:cs="David"/>
                <w:b/>
                <w:bCs/>
                <w:color w:val="FF0000"/>
              </w:rPr>
            </w:pPr>
          </w:p>
        </w:tc>
        <w:tc>
          <w:tcPr>
            <w:tcW w:w="542" w:type="dxa"/>
            <w:tcBorders>
              <w:top w:val="nil"/>
              <w:left w:val="nil"/>
              <w:bottom w:val="nil"/>
              <w:right w:val="nil"/>
            </w:tcBorders>
          </w:tcPr>
          <w:p w:rsidR="003F72C2" w:rsidRDefault="003F72C2">
            <w:pPr>
              <w:spacing w:after="120"/>
              <w:rPr>
                <w:rFonts w:cs="David"/>
                <w:sz w:val="26"/>
                <w:szCs w:val="26"/>
                <w:rtl/>
              </w:rPr>
            </w:pPr>
          </w:p>
        </w:tc>
        <w:tc>
          <w:tcPr>
            <w:tcW w:w="565" w:type="dxa"/>
            <w:tcBorders>
              <w:top w:val="nil"/>
              <w:left w:val="nil"/>
              <w:bottom w:val="nil"/>
              <w:right w:val="nil"/>
            </w:tcBorders>
          </w:tcPr>
          <w:p w:rsidR="003F72C2" w:rsidRDefault="003F72C2">
            <w:pPr>
              <w:pStyle w:val="a8"/>
              <w:rPr>
                <w:rFonts w:cs="David"/>
                <w:sz w:val="24"/>
                <w:rtl/>
              </w:rPr>
            </w:pPr>
          </w:p>
        </w:tc>
        <w:tc>
          <w:tcPr>
            <w:tcW w:w="562" w:type="dxa"/>
            <w:gridSpan w:val="2"/>
            <w:tcBorders>
              <w:top w:val="nil"/>
              <w:left w:val="nil"/>
              <w:bottom w:val="nil"/>
              <w:right w:val="nil"/>
            </w:tcBorders>
          </w:tcPr>
          <w:p w:rsidR="003F72C2" w:rsidRDefault="003F72C2">
            <w:pPr>
              <w:pStyle w:val="a8"/>
              <w:jc w:val="left"/>
              <w:rPr>
                <w:rFonts w:cs="David"/>
                <w:sz w:val="24"/>
                <w:rtl/>
              </w:rPr>
            </w:pPr>
            <w:r>
              <w:rPr>
                <w:rFonts w:cs="David"/>
                <w:sz w:val="24"/>
                <w:rtl/>
              </w:rPr>
              <w:t>(1)</w:t>
            </w:r>
          </w:p>
        </w:tc>
        <w:tc>
          <w:tcPr>
            <w:tcW w:w="5496" w:type="dxa"/>
            <w:gridSpan w:val="2"/>
            <w:tcBorders>
              <w:top w:val="nil"/>
              <w:left w:val="nil"/>
              <w:bottom w:val="nil"/>
              <w:right w:val="nil"/>
            </w:tcBorders>
          </w:tcPr>
          <w:p w:rsidR="003F72C2" w:rsidRDefault="003F72C2">
            <w:pPr>
              <w:pStyle w:val="a8"/>
              <w:rPr>
                <w:rFonts w:cs="David"/>
                <w:sz w:val="24"/>
                <w:rtl/>
              </w:rPr>
            </w:pPr>
            <w:r>
              <w:rPr>
                <w:rFonts w:cs="David"/>
                <w:sz w:val="24"/>
                <w:rtl/>
              </w:rPr>
              <w:t xml:space="preserve">יקבע את תקופת הזמן שבה ייאסר על עברין המין להתגורר או לעבוד בקרבת מקום המגורים או מקום העבודה של הנפגע </w:t>
            </w:r>
            <w:r>
              <w:rPr>
                <w:rFonts w:cs="David"/>
                <w:b/>
                <w:bCs/>
                <w:color w:val="FF0000"/>
                <w:sz w:val="24"/>
                <w:u w:val="single"/>
                <w:rtl/>
              </w:rPr>
              <w:t xml:space="preserve">ובלבד שהתקופה לא תעלה על שלוש שנים; בית המשפט רשאי להאריך את התקופה מעת לעת לתקופות שלא יעלו על שלוש שנים כל אחת, אם שוכנע כי מתקיים האמור בסעיף קטן (א) ועל כן יש צורך בהארכת תקופת המגבלות; </w:t>
            </w:r>
            <w:r>
              <w:rPr>
                <w:rFonts w:cs="David"/>
                <w:sz w:val="24"/>
                <w:rtl/>
              </w:rPr>
              <w:t xml:space="preserve"> </w:t>
            </w:r>
          </w:p>
        </w:tc>
      </w:tr>
      <w:tr w:rsidR="003F72C2" w:rsidTr="003F72C2">
        <w:trPr>
          <w:jc w:val="right"/>
        </w:trPr>
        <w:tc>
          <w:tcPr>
            <w:tcW w:w="1352" w:type="dxa"/>
            <w:tcBorders>
              <w:top w:val="nil"/>
              <w:left w:val="nil"/>
              <w:bottom w:val="nil"/>
              <w:right w:val="nil"/>
            </w:tcBorders>
          </w:tcPr>
          <w:p w:rsidR="003F72C2" w:rsidRDefault="003F72C2">
            <w:pPr>
              <w:spacing w:after="120"/>
              <w:rPr>
                <w:rFonts w:cs="David"/>
                <w:sz w:val="24"/>
                <w:rtl/>
              </w:rPr>
            </w:pPr>
          </w:p>
        </w:tc>
        <w:tc>
          <w:tcPr>
            <w:tcW w:w="542" w:type="dxa"/>
            <w:tcBorders>
              <w:top w:val="nil"/>
              <w:left w:val="nil"/>
              <w:bottom w:val="nil"/>
              <w:right w:val="nil"/>
            </w:tcBorders>
          </w:tcPr>
          <w:p w:rsidR="003F72C2" w:rsidRDefault="003F72C2">
            <w:pPr>
              <w:spacing w:after="120"/>
              <w:rPr>
                <w:rFonts w:cs="David"/>
                <w:sz w:val="26"/>
                <w:szCs w:val="26"/>
                <w:rtl/>
              </w:rPr>
            </w:pPr>
          </w:p>
        </w:tc>
        <w:tc>
          <w:tcPr>
            <w:tcW w:w="565" w:type="dxa"/>
            <w:tcBorders>
              <w:top w:val="nil"/>
              <w:left w:val="nil"/>
              <w:bottom w:val="nil"/>
              <w:right w:val="nil"/>
            </w:tcBorders>
          </w:tcPr>
          <w:p w:rsidR="003F72C2" w:rsidRDefault="003F72C2">
            <w:pPr>
              <w:pStyle w:val="a8"/>
              <w:rPr>
                <w:rFonts w:cs="David"/>
                <w:sz w:val="24"/>
                <w:rtl/>
              </w:rPr>
            </w:pPr>
          </w:p>
        </w:tc>
        <w:tc>
          <w:tcPr>
            <w:tcW w:w="562" w:type="dxa"/>
            <w:gridSpan w:val="2"/>
            <w:tcBorders>
              <w:top w:val="nil"/>
              <w:left w:val="nil"/>
              <w:bottom w:val="nil"/>
              <w:right w:val="nil"/>
            </w:tcBorders>
          </w:tcPr>
          <w:p w:rsidR="003F72C2" w:rsidRDefault="003F72C2">
            <w:pPr>
              <w:pStyle w:val="a8"/>
              <w:jc w:val="left"/>
              <w:rPr>
                <w:rFonts w:cs="David"/>
                <w:sz w:val="24"/>
                <w:rtl/>
              </w:rPr>
            </w:pPr>
            <w:r>
              <w:rPr>
                <w:rFonts w:cs="David"/>
                <w:sz w:val="24"/>
                <w:rtl/>
              </w:rPr>
              <w:t>(2)</w:t>
            </w:r>
          </w:p>
        </w:tc>
        <w:tc>
          <w:tcPr>
            <w:tcW w:w="5496" w:type="dxa"/>
            <w:gridSpan w:val="2"/>
            <w:tcBorders>
              <w:top w:val="nil"/>
              <w:left w:val="nil"/>
              <w:bottom w:val="nil"/>
              <w:right w:val="nil"/>
            </w:tcBorders>
          </w:tcPr>
          <w:p w:rsidR="003F72C2" w:rsidRDefault="003F72C2">
            <w:pPr>
              <w:pStyle w:val="a8"/>
              <w:rPr>
                <w:rFonts w:cs="David"/>
                <w:sz w:val="24"/>
                <w:rtl/>
              </w:rPr>
            </w:pPr>
            <w:r>
              <w:rPr>
                <w:rFonts w:cs="David"/>
                <w:sz w:val="24"/>
                <w:rtl/>
              </w:rPr>
              <w:t xml:space="preserve">יקבע את האזור בו ייאסר על עברין המין להתגורר או לעבוד, לפי נסיבות הענין; </w:t>
            </w:r>
            <w:r>
              <w:rPr>
                <w:rFonts w:cs="David"/>
                <w:b/>
                <w:bCs/>
                <w:color w:val="FF0000"/>
                <w:sz w:val="24"/>
                <w:u w:val="single"/>
                <w:rtl/>
              </w:rPr>
              <w:t xml:space="preserve">קביעת האזור תיעשה ככל הניתן </w:t>
            </w:r>
            <w:r>
              <w:rPr>
                <w:rFonts w:cs="David"/>
                <w:sz w:val="24"/>
                <w:rtl/>
              </w:rPr>
              <w:t xml:space="preserve">תוך שמירה על סודיות המען של מקום המגורים או מקום העבודה של נפגע העבירה. </w:t>
            </w:r>
          </w:p>
        </w:tc>
      </w:tr>
      <w:tr w:rsidR="003F72C2" w:rsidTr="003F72C2">
        <w:trPr>
          <w:jc w:val="right"/>
        </w:trPr>
        <w:tc>
          <w:tcPr>
            <w:tcW w:w="1352" w:type="dxa"/>
            <w:tcBorders>
              <w:top w:val="nil"/>
              <w:left w:val="nil"/>
              <w:bottom w:val="nil"/>
              <w:right w:val="nil"/>
            </w:tcBorders>
          </w:tcPr>
          <w:p w:rsidR="003F72C2" w:rsidRDefault="003F72C2">
            <w:pPr>
              <w:spacing w:after="120"/>
              <w:rPr>
                <w:rFonts w:cs="David"/>
                <w:b/>
                <w:bCs/>
                <w:color w:val="FF0000"/>
                <w:sz w:val="24"/>
                <w:u w:val="single"/>
                <w:rtl/>
              </w:rPr>
            </w:pPr>
          </w:p>
        </w:tc>
        <w:tc>
          <w:tcPr>
            <w:tcW w:w="542" w:type="dxa"/>
            <w:tcBorders>
              <w:top w:val="nil"/>
              <w:left w:val="nil"/>
              <w:bottom w:val="nil"/>
              <w:right w:val="nil"/>
            </w:tcBorders>
          </w:tcPr>
          <w:p w:rsidR="003F72C2" w:rsidRDefault="003F72C2">
            <w:pPr>
              <w:spacing w:after="120"/>
              <w:rPr>
                <w:rFonts w:cs="David"/>
                <w:b/>
                <w:bCs/>
                <w:color w:val="FF0000"/>
                <w:sz w:val="26"/>
                <w:szCs w:val="26"/>
                <w:u w:val="single"/>
                <w:rtl/>
              </w:rPr>
            </w:pPr>
          </w:p>
        </w:tc>
        <w:tc>
          <w:tcPr>
            <w:tcW w:w="565" w:type="dxa"/>
            <w:tcBorders>
              <w:top w:val="nil"/>
              <w:left w:val="nil"/>
              <w:bottom w:val="nil"/>
              <w:right w:val="nil"/>
            </w:tcBorders>
          </w:tcPr>
          <w:p w:rsidR="003F72C2" w:rsidRDefault="003F72C2">
            <w:pPr>
              <w:spacing w:after="120"/>
              <w:rPr>
                <w:rFonts w:cs="David"/>
                <w:sz w:val="26"/>
                <w:szCs w:val="26"/>
                <w:rtl/>
              </w:rPr>
            </w:pPr>
          </w:p>
        </w:tc>
        <w:tc>
          <w:tcPr>
            <w:tcW w:w="6058" w:type="dxa"/>
            <w:gridSpan w:val="4"/>
            <w:tcBorders>
              <w:top w:val="nil"/>
              <w:left w:val="nil"/>
              <w:bottom w:val="nil"/>
              <w:right w:val="nil"/>
            </w:tcBorders>
          </w:tcPr>
          <w:p w:rsidR="003F72C2" w:rsidRDefault="003F72C2">
            <w:pPr>
              <w:spacing w:after="120"/>
              <w:rPr>
                <w:rFonts w:cs="David"/>
                <w:b/>
                <w:bCs/>
                <w:sz w:val="26"/>
                <w:szCs w:val="26"/>
                <w:rtl/>
              </w:rPr>
            </w:pPr>
            <w:r>
              <w:rPr>
                <w:rFonts w:cs="David"/>
                <w:sz w:val="26"/>
                <w:szCs w:val="26"/>
                <w:rtl/>
              </w:rPr>
              <w:t>והכל במידה שאינה עולה על הנדרש כדי למנוע נזק של ממש לנפגע העבירה</w:t>
            </w:r>
            <w:r>
              <w:rPr>
                <w:rFonts w:cs="David"/>
                <w:b/>
                <w:bCs/>
                <w:sz w:val="26"/>
                <w:szCs w:val="26"/>
                <w:rtl/>
              </w:rPr>
              <w:t>;</w:t>
            </w:r>
          </w:p>
          <w:p w:rsidR="003F72C2" w:rsidRDefault="003F72C2">
            <w:pPr>
              <w:spacing w:after="120"/>
              <w:rPr>
                <w:rFonts w:cs="David"/>
                <w:sz w:val="26"/>
                <w:szCs w:val="26"/>
                <w:rtl/>
              </w:rPr>
            </w:pPr>
          </w:p>
        </w:tc>
      </w:tr>
      <w:tr w:rsidR="003F72C2" w:rsidTr="003F72C2">
        <w:trPr>
          <w:jc w:val="right"/>
        </w:trPr>
        <w:tc>
          <w:tcPr>
            <w:tcW w:w="1352" w:type="dxa"/>
            <w:tcBorders>
              <w:top w:val="nil"/>
              <w:left w:val="nil"/>
              <w:bottom w:val="nil"/>
              <w:right w:val="nil"/>
            </w:tcBorders>
          </w:tcPr>
          <w:p w:rsidR="003F72C2" w:rsidRDefault="003F72C2">
            <w:pPr>
              <w:spacing w:after="120"/>
              <w:rPr>
                <w:rFonts w:cs="David"/>
                <w:b/>
                <w:bCs/>
                <w:strike/>
                <w:sz w:val="26"/>
                <w:szCs w:val="26"/>
                <w:rtl/>
              </w:rPr>
            </w:pPr>
            <w:r>
              <w:rPr>
                <w:rFonts w:cs="David"/>
                <w:b/>
                <w:bCs/>
                <w:color w:val="FF0000"/>
                <w:sz w:val="26"/>
                <w:szCs w:val="26"/>
                <w:u w:val="single"/>
                <w:rtl/>
              </w:rPr>
              <w:t xml:space="preserve">חוות דעת מומחה מטעם בית המשפט </w:t>
            </w:r>
            <w:r>
              <w:rPr>
                <w:rFonts w:cs="David"/>
                <w:strike/>
                <w:sz w:val="26"/>
                <w:szCs w:val="26"/>
                <w:rtl/>
              </w:rPr>
              <w:t>תסקיר נפגע עבירה</w:t>
            </w:r>
            <w:r>
              <w:rPr>
                <w:rFonts w:cs="David"/>
                <w:sz w:val="26"/>
                <w:szCs w:val="26"/>
                <w:rtl/>
              </w:rPr>
              <w:t xml:space="preserve">, סמכויות </w:t>
            </w:r>
            <w:r>
              <w:rPr>
                <w:rFonts w:cs="David"/>
                <w:strike/>
                <w:sz w:val="26"/>
                <w:szCs w:val="26"/>
                <w:rtl/>
              </w:rPr>
              <w:t>וסדרי דין</w:t>
            </w:r>
          </w:p>
          <w:p w:rsidR="003F72C2" w:rsidRDefault="003F72C2">
            <w:pPr>
              <w:pStyle w:val="31"/>
              <w:rPr>
                <w:sz w:val="26"/>
                <w:szCs w:val="26"/>
                <w:rtl/>
              </w:rPr>
            </w:pPr>
          </w:p>
        </w:tc>
        <w:tc>
          <w:tcPr>
            <w:tcW w:w="542" w:type="dxa"/>
            <w:tcBorders>
              <w:top w:val="nil"/>
              <w:left w:val="nil"/>
              <w:bottom w:val="nil"/>
              <w:right w:val="nil"/>
            </w:tcBorders>
          </w:tcPr>
          <w:p w:rsidR="003F72C2" w:rsidRDefault="003F72C2">
            <w:pPr>
              <w:spacing w:after="120"/>
              <w:rPr>
                <w:rFonts w:cs="David"/>
                <w:sz w:val="26"/>
                <w:szCs w:val="26"/>
                <w:rtl/>
              </w:rPr>
            </w:pPr>
            <w:r>
              <w:rPr>
                <w:rFonts w:cs="David"/>
                <w:sz w:val="26"/>
                <w:szCs w:val="26"/>
                <w:rtl/>
              </w:rPr>
              <w:t>4.</w:t>
            </w:r>
          </w:p>
        </w:tc>
        <w:tc>
          <w:tcPr>
            <w:tcW w:w="565" w:type="dxa"/>
            <w:tcBorders>
              <w:top w:val="nil"/>
              <w:left w:val="nil"/>
              <w:bottom w:val="nil"/>
              <w:right w:val="nil"/>
            </w:tcBorders>
          </w:tcPr>
          <w:p w:rsidR="003F72C2" w:rsidRDefault="003F72C2">
            <w:pPr>
              <w:spacing w:after="120"/>
              <w:rPr>
                <w:rFonts w:cs="David"/>
                <w:sz w:val="26"/>
                <w:szCs w:val="26"/>
                <w:rtl/>
              </w:rPr>
            </w:pPr>
            <w:r>
              <w:rPr>
                <w:rFonts w:cs="David"/>
                <w:sz w:val="26"/>
                <w:szCs w:val="26"/>
                <w:rtl/>
              </w:rPr>
              <w:t>(א)</w:t>
            </w:r>
          </w:p>
        </w:tc>
        <w:tc>
          <w:tcPr>
            <w:tcW w:w="6058" w:type="dxa"/>
            <w:gridSpan w:val="4"/>
            <w:tcBorders>
              <w:top w:val="nil"/>
              <w:left w:val="nil"/>
              <w:bottom w:val="nil"/>
              <w:right w:val="nil"/>
            </w:tcBorders>
          </w:tcPr>
          <w:p w:rsidR="003F72C2" w:rsidRDefault="003F72C2">
            <w:pPr>
              <w:spacing w:after="120"/>
              <w:rPr>
                <w:rFonts w:cs="David"/>
                <w:sz w:val="26"/>
                <w:szCs w:val="26"/>
                <w:rtl/>
              </w:rPr>
            </w:pPr>
            <w:r>
              <w:rPr>
                <w:rFonts w:cs="David"/>
                <w:sz w:val="26"/>
                <w:szCs w:val="26"/>
                <w:rtl/>
              </w:rPr>
              <w:t xml:space="preserve">בית המשפט המקיים דיון לפי סעיף 3, לא יחליט </w:t>
            </w:r>
            <w:r>
              <w:rPr>
                <w:rFonts w:cs="David"/>
                <w:b/>
                <w:bCs/>
                <w:color w:val="FF0000"/>
                <w:sz w:val="26"/>
                <w:szCs w:val="26"/>
                <w:u w:val="single"/>
                <w:rtl/>
              </w:rPr>
              <w:t>בבקשה,</w:t>
            </w:r>
            <w:r>
              <w:rPr>
                <w:rFonts w:cs="David"/>
                <w:sz w:val="26"/>
                <w:szCs w:val="26"/>
                <w:rtl/>
              </w:rPr>
              <w:t xml:space="preserve"> אלא לאחר </w:t>
            </w:r>
            <w:r>
              <w:rPr>
                <w:rFonts w:cs="David"/>
                <w:b/>
                <w:bCs/>
                <w:color w:val="FF0000"/>
                <w:sz w:val="26"/>
                <w:szCs w:val="26"/>
                <w:u w:val="single"/>
                <w:rtl/>
              </w:rPr>
              <w:t xml:space="preserve">שתוגש  לו חוות דעת בכתב על ידי מומחה שימנה </w:t>
            </w:r>
            <w:r>
              <w:rPr>
                <w:rFonts w:cs="David"/>
                <w:strike/>
                <w:sz w:val="26"/>
                <w:szCs w:val="26"/>
                <w:rtl/>
              </w:rPr>
              <w:t>יוגש לו תסקיר</w:t>
            </w:r>
            <w:r>
              <w:rPr>
                <w:rFonts w:cs="David"/>
                <w:sz w:val="26"/>
                <w:szCs w:val="26"/>
                <w:rtl/>
              </w:rPr>
              <w:t xml:space="preserve"> על מצבו של נפגע העבירה ועל הנזק שעלול להיגרם לו כתוצאה ממגורים או מעבודה של עברין המין בקרבת מקום מגוריו או מקום עבודתו </w:t>
            </w:r>
            <w:r>
              <w:rPr>
                <w:rFonts w:cs="David"/>
                <w:b/>
                <w:bCs/>
                <w:color w:val="FF0000"/>
                <w:sz w:val="26"/>
                <w:szCs w:val="26"/>
                <w:u w:val="single"/>
                <w:rtl/>
              </w:rPr>
              <w:t>(בחוק זה – חוות דעת)</w:t>
            </w:r>
            <w:r>
              <w:rPr>
                <w:rFonts w:cs="David"/>
                <w:strike/>
                <w:sz w:val="26"/>
                <w:szCs w:val="26"/>
                <w:rtl/>
              </w:rPr>
              <w:t>, ויחולו לענין התסקיר הוראות סעיפים 187(ב) עד (ו) ו-191א לחוק סדר הדין הפלילי</w:t>
            </w:r>
            <w:r>
              <w:rPr>
                <w:rFonts w:cs="David"/>
                <w:sz w:val="26"/>
                <w:szCs w:val="26"/>
                <w:rtl/>
              </w:rPr>
              <w:t xml:space="preserve">; </w:t>
            </w:r>
            <w:r>
              <w:rPr>
                <w:rFonts w:cs="David"/>
                <w:strike/>
                <w:sz w:val="26"/>
                <w:szCs w:val="26"/>
                <w:rtl/>
              </w:rPr>
              <w:t>לא הסכים נפגע העבירה לעריכת התסקיר, רשאי בית המשפט, מטעמים מיוחדים, להחליט על יסוד ראיות אחרות לענין מצבו של נפגע העבירה והנזק שעלול להיגרם לו כתוצאה ממגורים או מעבודה כאמור</w:t>
            </w:r>
            <w:r>
              <w:rPr>
                <w:rFonts w:cs="David"/>
                <w:sz w:val="26"/>
                <w:szCs w:val="26"/>
                <w:rtl/>
              </w:rPr>
              <w:t>.</w:t>
            </w:r>
            <w:r>
              <w:rPr>
                <w:rFonts w:cs="David"/>
                <w:b/>
                <w:bCs/>
                <w:color w:val="FF0000"/>
                <w:sz w:val="26"/>
                <w:szCs w:val="26"/>
                <w:u w:val="single"/>
                <w:rtl/>
              </w:rPr>
              <w:t>ולענין זה יחולו הוראות אלה</w:t>
            </w:r>
            <w:r>
              <w:rPr>
                <w:rStyle w:val="aa"/>
                <w:b/>
                <w:bCs/>
                <w:color w:val="FF0000"/>
                <w:sz w:val="26"/>
                <w:szCs w:val="26"/>
                <w:u w:val="single"/>
                <w:rtl/>
              </w:rPr>
              <w:footnoteReference w:id="10"/>
            </w:r>
            <w:r>
              <w:rPr>
                <w:rFonts w:cs="David"/>
                <w:b/>
                <w:bCs/>
                <w:color w:val="FF0000"/>
                <w:sz w:val="26"/>
                <w:szCs w:val="26"/>
                <w:u w:val="single"/>
                <w:rtl/>
              </w:rPr>
              <w:t xml:space="preserve">: </w:t>
            </w:r>
          </w:p>
        </w:tc>
      </w:tr>
      <w:tr w:rsidR="003F72C2" w:rsidTr="003F72C2">
        <w:trPr>
          <w:cantSplit/>
          <w:jc w:val="right"/>
        </w:trPr>
        <w:tc>
          <w:tcPr>
            <w:tcW w:w="1352" w:type="dxa"/>
            <w:vMerge w:val="restart"/>
            <w:tcBorders>
              <w:top w:val="nil"/>
              <w:left w:val="nil"/>
              <w:bottom w:val="nil"/>
              <w:right w:val="nil"/>
            </w:tcBorders>
          </w:tcPr>
          <w:p w:rsidR="003F72C2" w:rsidRDefault="003F72C2">
            <w:pPr>
              <w:spacing w:after="120"/>
              <w:rPr>
                <w:rFonts w:cs="David"/>
                <w:b/>
                <w:bCs/>
                <w:color w:val="FF0000"/>
                <w:sz w:val="26"/>
                <w:szCs w:val="26"/>
                <w:u w:val="single"/>
                <w:rtl/>
              </w:rPr>
            </w:pPr>
            <w:r>
              <w:rPr>
                <w:rFonts w:cs="David"/>
                <w:b/>
                <w:bCs/>
                <w:color w:val="FF0000"/>
                <w:szCs w:val="22"/>
                <w:u w:val="single"/>
                <w:rtl/>
              </w:rPr>
              <w:t xml:space="preserve">האם לציין אפשרות של הגשת חוות דעת מומחה קודמות למומחה שמונה מטעם בית המשפט? </w:t>
            </w:r>
          </w:p>
        </w:tc>
        <w:tc>
          <w:tcPr>
            <w:tcW w:w="542" w:type="dxa"/>
            <w:tcBorders>
              <w:top w:val="nil"/>
              <w:left w:val="nil"/>
              <w:bottom w:val="nil"/>
              <w:right w:val="nil"/>
            </w:tcBorders>
          </w:tcPr>
          <w:p w:rsidR="003F72C2" w:rsidRDefault="003F72C2">
            <w:pPr>
              <w:spacing w:after="120"/>
              <w:rPr>
                <w:rFonts w:cs="David"/>
                <w:sz w:val="26"/>
                <w:szCs w:val="26"/>
                <w:rtl/>
              </w:rPr>
            </w:pPr>
          </w:p>
        </w:tc>
        <w:tc>
          <w:tcPr>
            <w:tcW w:w="565" w:type="dxa"/>
            <w:tcBorders>
              <w:top w:val="nil"/>
              <w:left w:val="nil"/>
              <w:bottom w:val="nil"/>
              <w:right w:val="nil"/>
            </w:tcBorders>
          </w:tcPr>
          <w:p w:rsidR="003F72C2" w:rsidRDefault="003F72C2">
            <w:pPr>
              <w:spacing w:after="120"/>
              <w:rPr>
                <w:rFonts w:cs="David"/>
                <w:b/>
                <w:bCs/>
                <w:color w:val="FF0000"/>
                <w:sz w:val="26"/>
                <w:szCs w:val="26"/>
                <w:u w:val="single"/>
                <w:rtl/>
              </w:rPr>
            </w:pPr>
          </w:p>
        </w:tc>
        <w:tc>
          <w:tcPr>
            <w:tcW w:w="601" w:type="dxa"/>
            <w:gridSpan w:val="3"/>
            <w:tcBorders>
              <w:top w:val="nil"/>
              <w:left w:val="nil"/>
              <w:bottom w:val="nil"/>
              <w:right w:val="nil"/>
            </w:tcBorders>
          </w:tcPr>
          <w:p w:rsidR="003F72C2" w:rsidRDefault="003F72C2">
            <w:pPr>
              <w:spacing w:after="120"/>
              <w:rPr>
                <w:rFonts w:cs="David"/>
                <w:b/>
                <w:bCs/>
                <w:color w:val="FF0000"/>
                <w:sz w:val="26"/>
                <w:szCs w:val="26"/>
                <w:u w:val="single"/>
                <w:rtl/>
              </w:rPr>
            </w:pPr>
            <w:r>
              <w:rPr>
                <w:rFonts w:cs="David"/>
                <w:b/>
                <w:bCs/>
                <w:color w:val="FF0000"/>
                <w:sz w:val="26"/>
                <w:szCs w:val="26"/>
                <w:u w:val="single"/>
                <w:rtl/>
              </w:rPr>
              <w:t>(1)</w:t>
            </w:r>
          </w:p>
        </w:tc>
        <w:tc>
          <w:tcPr>
            <w:tcW w:w="5457" w:type="dxa"/>
            <w:tcBorders>
              <w:top w:val="nil"/>
              <w:left w:val="nil"/>
              <w:bottom w:val="nil"/>
              <w:right w:val="nil"/>
            </w:tcBorders>
          </w:tcPr>
          <w:p w:rsidR="003F72C2" w:rsidRDefault="003F72C2">
            <w:pPr>
              <w:spacing w:after="120"/>
              <w:rPr>
                <w:rFonts w:cs="David"/>
                <w:b/>
                <w:bCs/>
                <w:color w:val="FF0000"/>
                <w:sz w:val="26"/>
                <w:szCs w:val="26"/>
                <w:u w:val="single"/>
                <w:rtl/>
              </w:rPr>
            </w:pPr>
            <w:r>
              <w:rPr>
                <w:rFonts w:cs="David"/>
                <w:b/>
                <w:bCs/>
                <w:color w:val="FF0000"/>
                <w:sz w:val="26"/>
                <w:szCs w:val="26"/>
                <w:u w:val="single"/>
                <w:rtl/>
              </w:rPr>
              <w:t xml:space="preserve">בעלי הדין יהיו רשאים להזמין את המומחה לבית המשפט לחקירה, אולם לא יהיו רשאים להביא עדות נוספת של מומחה לענין הנדון אלא ברשות בית המשפט מטעמים מיוחדים שיירשמו; </w:t>
            </w:r>
          </w:p>
        </w:tc>
      </w:tr>
      <w:tr w:rsidR="003F72C2" w:rsidTr="003F72C2">
        <w:trPr>
          <w:cantSplit/>
          <w:jc w:val="right"/>
        </w:trPr>
        <w:tc>
          <w:tcPr>
            <w:tcW w:w="1352" w:type="dxa"/>
            <w:vMerge/>
            <w:tcBorders>
              <w:top w:val="nil"/>
              <w:left w:val="nil"/>
              <w:bottom w:val="nil"/>
              <w:right w:val="nil"/>
            </w:tcBorders>
          </w:tcPr>
          <w:p w:rsidR="003F72C2" w:rsidRDefault="003F72C2">
            <w:pPr>
              <w:spacing w:after="120"/>
              <w:rPr>
                <w:rFonts w:cs="David"/>
                <w:b/>
                <w:bCs/>
                <w:color w:val="FF0000"/>
                <w:sz w:val="26"/>
                <w:szCs w:val="26"/>
                <w:u w:val="single"/>
                <w:rtl/>
              </w:rPr>
            </w:pPr>
          </w:p>
        </w:tc>
        <w:tc>
          <w:tcPr>
            <w:tcW w:w="542" w:type="dxa"/>
            <w:tcBorders>
              <w:top w:val="nil"/>
              <w:left w:val="nil"/>
              <w:bottom w:val="nil"/>
              <w:right w:val="nil"/>
            </w:tcBorders>
          </w:tcPr>
          <w:p w:rsidR="003F72C2" w:rsidRDefault="003F72C2">
            <w:pPr>
              <w:spacing w:after="120"/>
              <w:rPr>
                <w:rFonts w:cs="David"/>
                <w:sz w:val="26"/>
                <w:szCs w:val="26"/>
                <w:rtl/>
              </w:rPr>
            </w:pPr>
          </w:p>
        </w:tc>
        <w:tc>
          <w:tcPr>
            <w:tcW w:w="565" w:type="dxa"/>
            <w:tcBorders>
              <w:top w:val="nil"/>
              <w:left w:val="nil"/>
              <w:bottom w:val="nil"/>
              <w:right w:val="nil"/>
            </w:tcBorders>
          </w:tcPr>
          <w:p w:rsidR="003F72C2" w:rsidRDefault="003F72C2">
            <w:pPr>
              <w:spacing w:after="120"/>
              <w:rPr>
                <w:rFonts w:cs="David"/>
                <w:b/>
                <w:bCs/>
                <w:color w:val="FF0000"/>
                <w:sz w:val="26"/>
                <w:szCs w:val="26"/>
                <w:u w:val="single"/>
                <w:rtl/>
              </w:rPr>
            </w:pPr>
          </w:p>
        </w:tc>
        <w:tc>
          <w:tcPr>
            <w:tcW w:w="601" w:type="dxa"/>
            <w:gridSpan w:val="3"/>
            <w:tcBorders>
              <w:top w:val="nil"/>
              <w:left w:val="nil"/>
              <w:bottom w:val="nil"/>
              <w:right w:val="nil"/>
            </w:tcBorders>
          </w:tcPr>
          <w:p w:rsidR="003F72C2" w:rsidRDefault="003F72C2">
            <w:pPr>
              <w:spacing w:after="120"/>
              <w:rPr>
                <w:rFonts w:cs="David"/>
                <w:b/>
                <w:bCs/>
                <w:color w:val="FF0000"/>
                <w:sz w:val="26"/>
                <w:szCs w:val="26"/>
                <w:u w:val="single"/>
                <w:rtl/>
              </w:rPr>
            </w:pPr>
            <w:r>
              <w:rPr>
                <w:rFonts w:cs="David"/>
                <w:b/>
                <w:bCs/>
                <w:color w:val="FF0000"/>
                <w:sz w:val="26"/>
                <w:szCs w:val="26"/>
                <w:u w:val="single"/>
                <w:rtl/>
              </w:rPr>
              <w:t xml:space="preserve">(2) </w:t>
            </w:r>
          </w:p>
        </w:tc>
        <w:tc>
          <w:tcPr>
            <w:tcW w:w="5457" w:type="dxa"/>
            <w:tcBorders>
              <w:top w:val="nil"/>
              <w:left w:val="nil"/>
              <w:bottom w:val="nil"/>
              <w:right w:val="nil"/>
            </w:tcBorders>
          </w:tcPr>
          <w:p w:rsidR="003F72C2" w:rsidRDefault="003F72C2">
            <w:pPr>
              <w:spacing w:after="120"/>
              <w:rPr>
                <w:rFonts w:cs="David"/>
                <w:b/>
                <w:bCs/>
                <w:color w:val="FF0000"/>
                <w:sz w:val="26"/>
                <w:szCs w:val="26"/>
                <w:u w:val="single"/>
                <w:rtl/>
              </w:rPr>
            </w:pPr>
            <w:r>
              <w:rPr>
                <w:rFonts w:cs="David"/>
                <w:b/>
                <w:bCs/>
                <w:color w:val="FF0000"/>
                <w:sz w:val="26"/>
                <w:szCs w:val="26"/>
                <w:u w:val="single"/>
                <w:rtl/>
              </w:rPr>
              <w:t>כל צד יהיה רשאי להפנות אל המומחה, בכתב, שאלות הבהרה לחוות הדעת שנתן;</w:t>
            </w:r>
          </w:p>
        </w:tc>
      </w:tr>
      <w:tr w:rsidR="003F72C2" w:rsidTr="003F72C2">
        <w:trPr>
          <w:jc w:val="right"/>
        </w:trPr>
        <w:tc>
          <w:tcPr>
            <w:tcW w:w="1352" w:type="dxa"/>
            <w:tcBorders>
              <w:top w:val="nil"/>
              <w:left w:val="nil"/>
              <w:bottom w:val="nil"/>
              <w:right w:val="nil"/>
            </w:tcBorders>
          </w:tcPr>
          <w:p w:rsidR="003F72C2" w:rsidRDefault="003F72C2">
            <w:pPr>
              <w:spacing w:after="120"/>
              <w:rPr>
                <w:rFonts w:cs="David"/>
                <w:b/>
                <w:bCs/>
                <w:color w:val="FF0000"/>
                <w:sz w:val="26"/>
                <w:szCs w:val="26"/>
                <w:u w:val="single"/>
                <w:rtl/>
              </w:rPr>
            </w:pPr>
          </w:p>
        </w:tc>
        <w:tc>
          <w:tcPr>
            <w:tcW w:w="542" w:type="dxa"/>
            <w:tcBorders>
              <w:top w:val="nil"/>
              <w:left w:val="nil"/>
              <w:bottom w:val="nil"/>
              <w:right w:val="nil"/>
            </w:tcBorders>
          </w:tcPr>
          <w:p w:rsidR="003F72C2" w:rsidRDefault="003F72C2">
            <w:pPr>
              <w:spacing w:after="120"/>
              <w:rPr>
                <w:rFonts w:cs="David"/>
                <w:sz w:val="26"/>
                <w:szCs w:val="26"/>
                <w:rtl/>
              </w:rPr>
            </w:pPr>
          </w:p>
        </w:tc>
        <w:tc>
          <w:tcPr>
            <w:tcW w:w="565" w:type="dxa"/>
            <w:tcBorders>
              <w:top w:val="nil"/>
              <w:left w:val="nil"/>
              <w:bottom w:val="nil"/>
              <w:right w:val="nil"/>
            </w:tcBorders>
          </w:tcPr>
          <w:p w:rsidR="003F72C2" w:rsidRDefault="003F72C2">
            <w:pPr>
              <w:spacing w:after="120"/>
              <w:rPr>
                <w:rFonts w:cs="David"/>
                <w:b/>
                <w:bCs/>
                <w:color w:val="FF0000"/>
                <w:sz w:val="26"/>
                <w:szCs w:val="26"/>
                <w:u w:val="single"/>
                <w:rtl/>
              </w:rPr>
            </w:pPr>
          </w:p>
        </w:tc>
        <w:tc>
          <w:tcPr>
            <w:tcW w:w="601" w:type="dxa"/>
            <w:gridSpan w:val="3"/>
            <w:tcBorders>
              <w:top w:val="nil"/>
              <w:left w:val="nil"/>
              <w:bottom w:val="nil"/>
              <w:right w:val="nil"/>
            </w:tcBorders>
          </w:tcPr>
          <w:p w:rsidR="003F72C2" w:rsidRDefault="003F72C2">
            <w:pPr>
              <w:spacing w:after="120"/>
              <w:rPr>
                <w:rFonts w:cs="David"/>
                <w:b/>
                <w:bCs/>
                <w:color w:val="FF0000"/>
                <w:sz w:val="26"/>
                <w:szCs w:val="26"/>
                <w:u w:val="single"/>
                <w:rtl/>
              </w:rPr>
            </w:pPr>
            <w:r>
              <w:rPr>
                <w:rFonts w:cs="David"/>
                <w:b/>
                <w:bCs/>
                <w:color w:val="FF0000"/>
                <w:sz w:val="26"/>
                <w:szCs w:val="26"/>
                <w:u w:val="single"/>
                <w:rtl/>
              </w:rPr>
              <w:t>(3)</w:t>
            </w:r>
          </w:p>
        </w:tc>
        <w:tc>
          <w:tcPr>
            <w:tcW w:w="5457" w:type="dxa"/>
            <w:tcBorders>
              <w:top w:val="nil"/>
              <w:left w:val="nil"/>
              <w:bottom w:val="nil"/>
              <w:right w:val="nil"/>
            </w:tcBorders>
          </w:tcPr>
          <w:p w:rsidR="003F72C2" w:rsidRDefault="003F72C2">
            <w:pPr>
              <w:spacing w:after="120"/>
              <w:rPr>
                <w:rFonts w:cs="David"/>
                <w:b/>
                <w:bCs/>
                <w:color w:val="FF0000"/>
                <w:sz w:val="26"/>
                <w:szCs w:val="26"/>
                <w:u w:val="single"/>
                <w:rtl/>
              </w:rPr>
            </w:pPr>
            <w:r>
              <w:rPr>
                <w:rFonts w:cs="David"/>
                <w:b/>
                <w:bCs/>
                <w:color w:val="FF0000"/>
                <w:sz w:val="26"/>
                <w:szCs w:val="26"/>
                <w:u w:val="single"/>
                <w:rtl/>
              </w:rPr>
              <w:t>נפגע העבירה לא ייקרא להעיד בקשר לחוות הדעת;</w:t>
            </w:r>
          </w:p>
        </w:tc>
      </w:tr>
      <w:tr w:rsidR="003F72C2" w:rsidTr="003F72C2">
        <w:trPr>
          <w:jc w:val="right"/>
        </w:trPr>
        <w:tc>
          <w:tcPr>
            <w:tcW w:w="1352" w:type="dxa"/>
            <w:tcBorders>
              <w:top w:val="nil"/>
              <w:left w:val="nil"/>
              <w:bottom w:val="nil"/>
              <w:right w:val="nil"/>
            </w:tcBorders>
          </w:tcPr>
          <w:p w:rsidR="003F72C2" w:rsidRDefault="003F72C2">
            <w:pPr>
              <w:spacing w:after="120"/>
              <w:rPr>
                <w:rFonts w:cs="David"/>
                <w:b/>
                <w:bCs/>
                <w:color w:val="FF0000"/>
                <w:sz w:val="26"/>
                <w:szCs w:val="26"/>
                <w:u w:val="single"/>
                <w:rtl/>
              </w:rPr>
            </w:pPr>
          </w:p>
        </w:tc>
        <w:tc>
          <w:tcPr>
            <w:tcW w:w="542" w:type="dxa"/>
            <w:tcBorders>
              <w:top w:val="nil"/>
              <w:left w:val="nil"/>
              <w:bottom w:val="nil"/>
              <w:right w:val="nil"/>
            </w:tcBorders>
          </w:tcPr>
          <w:p w:rsidR="003F72C2" w:rsidRDefault="003F72C2">
            <w:pPr>
              <w:spacing w:after="120"/>
              <w:rPr>
                <w:rFonts w:cs="David"/>
                <w:sz w:val="26"/>
                <w:szCs w:val="26"/>
                <w:rtl/>
              </w:rPr>
            </w:pPr>
          </w:p>
        </w:tc>
        <w:tc>
          <w:tcPr>
            <w:tcW w:w="565" w:type="dxa"/>
            <w:tcBorders>
              <w:top w:val="nil"/>
              <w:left w:val="nil"/>
              <w:bottom w:val="nil"/>
              <w:right w:val="nil"/>
            </w:tcBorders>
          </w:tcPr>
          <w:p w:rsidR="003F72C2" w:rsidRDefault="003F72C2">
            <w:pPr>
              <w:spacing w:after="120"/>
              <w:rPr>
                <w:rFonts w:cs="David"/>
                <w:b/>
                <w:bCs/>
                <w:color w:val="FF0000"/>
                <w:sz w:val="26"/>
                <w:szCs w:val="26"/>
                <w:u w:val="single"/>
                <w:rtl/>
              </w:rPr>
            </w:pPr>
          </w:p>
        </w:tc>
        <w:tc>
          <w:tcPr>
            <w:tcW w:w="601" w:type="dxa"/>
            <w:gridSpan w:val="3"/>
            <w:tcBorders>
              <w:top w:val="nil"/>
              <w:left w:val="nil"/>
              <w:bottom w:val="nil"/>
              <w:right w:val="nil"/>
            </w:tcBorders>
          </w:tcPr>
          <w:p w:rsidR="003F72C2" w:rsidRDefault="003F72C2">
            <w:pPr>
              <w:spacing w:after="120"/>
              <w:rPr>
                <w:rFonts w:cs="David"/>
                <w:b/>
                <w:bCs/>
                <w:color w:val="FF0000"/>
                <w:sz w:val="26"/>
                <w:szCs w:val="26"/>
                <w:u w:val="single"/>
                <w:rtl/>
              </w:rPr>
            </w:pPr>
            <w:r>
              <w:rPr>
                <w:rFonts w:cs="David"/>
                <w:b/>
                <w:bCs/>
                <w:color w:val="FF0000"/>
                <w:sz w:val="26"/>
                <w:szCs w:val="26"/>
                <w:u w:val="single"/>
                <w:rtl/>
              </w:rPr>
              <w:t>(4)</w:t>
            </w:r>
          </w:p>
        </w:tc>
        <w:tc>
          <w:tcPr>
            <w:tcW w:w="5457" w:type="dxa"/>
            <w:tcBorders>
              <w:top w:val="nil"/>
              <w:left w:val="nil"/>
              <w:bottom w:val="nil"/>
              <w:right w:val="nil"/>
            </w:tcBorders>
          </w:tcPr>
          <w:p w:rsidR="003F72C2" w:rsidRDefault="003F72C2">
            <w:pPr>
              <w:spacing w:after="120"/>
              <w:rPr>
                <w:rFonts w:cs="David"/>
                <w:b/>
                <w:bCs/>
                <w:color w:val="FF0000"/>
                <w:sz w:val="26"/>
                <w:szCs w:val="26"/>
                <w:u w:val="single"/>
                <w:rtl/>
              </w:rPr>
            </w:pPr>
            <w:r>
              <w:rPr>
                <w:rFonts w:cs="David"/>
                <w:b/>
                <w:bCs/>
                <w:color w:val="FF0000"/>
                <w:sz w:val="26"/>
                <w:szCs w:val="26"/>
                <w:u w:val="single"/>
                <w:rtl/>
              </w:rPr>
              <w:t>בית המשפט יקבע את שכרו של המומחה ואת אופן תשלומו, והוא רשאי להטילו על אוצר המדינה, על בעלי הדין או על חלק מהם, ולקבוע את מידת ההשתתפות של כל אחד מהם.</w:t>
            </w:r>
          </w:p>
        </w:tc>
      </w:tr>
      <w:tr w:rsidR="003F72C2" w:rsidTr="003F72C2">
        <w:trPr>
          <w:jc w:val="right"/>
        </w:trPr>
        <w:tc>
          <w:tcPr>
            <w:tcW w:w="1352" w:type="dxa"/>
            <w:tcBorders>
              <w:top w:val="nil"/>
              <w:left w:val="nil"/>
              <w:bottom w:val="nil"/>
              <w:right w:val="nil"/>
            </w:tcBorders>
          </w:tcPr>
          <w:p w:rsidR="003F72C2" w:rsidRDefault="003F72C2">
            <w:pPr>
              <w:pStyle w:val="a3"/>
              <w:tabs>
                <w:tab w:val="left" w:pos="720"/>
              </w:tabs>
              <w:spacing w:after="120"/>
              <w:rPr>
                <w:rFonts w:cs="David"/>
                <w:b/>
                <w:bCs/>
                <w:color w:val="FF0000"/>
                <w:sz w:val="24"/>
                <w:u w:val="single"/>
                <w:rtl/>
              </w:rPr>
            </w:pPr>
          </w:p>
        </w:tc>
        <w:tc>
          <w:tcPr>
            <w:tcW w:w="542" w:type="dxa"/>
            <w:tcBorders>
              <w:top w:val="nil"/>
              <w:left w:val="nil"/>
              <w:bottom w:val="nil"/>
              <w:right w:val="nil"/>
            </w:tcBorders>
          </w:tcPr>
          <w:p w:rsidR="003F72C2" w:rsidRDefault="003F72C2">
            <w:pPr>
              <w:spacing w:after="120"/>
              <w:rPr>
                <w:rFonts w:cs="David"/>
                <w:b/>
                <w:bCs/>
                <w:color w:val="FF0000"/>
                <w:sz w:val="26"/>
                <w:szCs w:val="26"/>
                <w:u w:val="single"/>
                <w:rtl/>
              </w:rPr>
            </w:pPr>
          </w:p>
        </w:tc>
        <w:tc>
          <w:tcPr>
            <w:tcW w:w="565" w:type="dxa"/>
            <w:tcBorders>
              <w:top w:val="nil"/>
              <w:left w:val="nil"/>
              <w:bottom w:val="nil"/>
              <w:right w:val="nil"/>
            </w:tcBorders>
          </w:tcPr>
          <w:p w:rsidR="003F72C2" w:rsidRDefault="003F72C2">
            <w:pPr>
              <w:spacing w:after="120"/>
              <w:rPr>
                <w:rFonts w:cs="David"/>
                <w:b/>
                <w:bCs/>
                <w:color w:val="FF0000"/>
                <w:sz w:val="26"/>
                <w:szCs w:val="26"/>
                <w:u w:val="single"/>
                <w:rtl/>
              </w:rPr>
            </w:pPr>
            <w:r>
              <w:rPr>
                <w:rFonts w:cs="David"/>
                <w:b/>
                <w:bCs/>
                <w:color w:val="FF0000"/>
                <w:sz w:val="26"/>
                <w:szCs w:val="26"/>
                <w:u w:val="single"/>
                <w:rtl/>
              </w:rPr>
              <w:t xml:space="preserve">(ב) </w:t>
            </w:r>
          </w:p>
        </w:tc>
        <w:tc>
          <w:tcPr>
            <w:tcW w:w="6058" w:type="dxa"/>
            <w:gridSpan w:val="4"/>
            <w:tcBorders>
              <w:top w:val="nil"/>
              <w:left w:val="nil"/>
              <w:bottom w:val="nil"/>
              <w:right w:val="nil"/>
            </w:tcBorders>
          </w:tcPr>
          <w:p w:rsidR="003F72C2" w:rsidRDefault="003F72C2">
            <w:pPr>
              <w:spacing w:after="120"/>
              <w:rPr>
                <w:rFonts w:cs="David"/>
                <w:b/>
                <w:bCs/>
                <w:color w:val="FF0000"/>
                <w:sz w:val="26"/>
                <w:szCs w:val="26"/>
                <w:u w:val="single"/>
                <w:rtl/>
              </w:rPr>
            </w:pPr>
            <w:r>
              <w:rPr>
                <w:rFonts w:cs="David"/>
                <w:b/>
                <w:bCs/>
                <w:color w:val="FF0000"/>
                <w:sz w:val="26"/>
                <w:szCs w:val="26"/>
                <w:u w:val="single"/>
                <w:rtl/>
              </w:rPr>
              <w:t>הסכמת נפגע שהוא קטין שמלאו לו ארבע עשרה שנים ושל נפגע שהוא פסול דין המסוגל לתת את הסכמתו, לבדיקה על ידי מומחה שמינה בית המשפט לצורך הגשת חוות דעת, אינה טעונה אישור של אפוטרופסם</w:t>
            </w:r>
            <w:r>
              <w:rPr>
                <w:rStyle w:val="aa"/>
                <w:b/>
                <w:bCs/>
                <w:color w:val="FF0000"/>
                <w:sz w:val="26"/>
                <w:szCs w:val="26"/>
                <w:u w:val="single"/>
                <w:rtl/>
              </w:rPr>
              <w:footnoteReference w:id="11"/>
            </w:r>
            <w:r>
              <w:rPr>
                <w:rFonts w:cs="David"/>
                <w:b/>
                <w:bCs/>
                <w:color w:val="FF0000"/>
                <w:sz w:val="26"/>
                <w:szCs w:val="26"/>
                <w:u w:val="single"/>
                <w:rtl/>
              </w:rPr>
              <w:t>.</w:t>
            </w:r>
          </w:p>
        </w:tc>
      </w:tr>
      <w:tr w:rsidR="003F72C2" w:rsidTr="003F72C2">
        <w:trPr>
          <w:jc w:val="right"/>
        </w:trPr>
        <w:tc>
          <w:tcPr>
            <w:tcW w:w="1352" w:type="dxa"/>
            <w:tcBorders>
              <w:top w:val="nil"/>
              <w:left w:val="nil"/>
              <w:bottom w:val="nil"/>
              <w:right w:val="nil"/>
            </w:tcBorders>
          </w:tcPr>
          <w:p w:rsidR="003F72C2" w:rsidRDefault="003F72C2">
            <w:pPr>
              <w:pStyle w:val="a3"/>
              <w:tabs>
                <w:tab w:val="left" w:pos="720"/>
              </w:tabs>
              <w:spacing w:after="120"/>
              <w:rPr>
                <w:rFonts w:cs="David"/>
                <w:b/>
                <w:bCs/>
                <w:color w:val="FF0000"/>
                <w:sz w:val="24"/>
                <w:u w:val="single"/>
                <w:rtl/>
              </w:rPr>
            </w:pPr>
          </w:p>
        </w:tc>
        <w:tc>
          <w:tcPr>
            <w:tcW w:w="542" w:type="dxa"/>
            <w:tcBorders>
              <w:top w:val="nil"/>
              <w:left w:val="nil"/>
              <w:bottom w:val="nil"/>
              <w:right w:val="nil"/>
            </w:tcBorders>
          </w:tcPr>
          <w:p w:rsidR="003F72C2" w:rsidRDefault="003F72C2">
            <w:pPr>
              <w:spacing w:after="120"/>
              <w:rPr>
                <w:rFonts w:cs="David"/>
                <w:b/>
                <w:bCs/>
                <w:color w:val="FF0000"/>
                <w:sz w:val="26"/>
                <w:szCs w:val="26"/>
                <w:u w:val="single"/>
                <w:rtl/>
              </w:rPr>
            </w:pPr>
          </w:p>
        </w:tc>
        <w:tc>
          <w:tcPr>
            <w:tcW w:w="565" w:type="dxa"/>
            <w:tcBorders>
              <w:top w:val="nil"/>
              <w:left w:val="nil"/>
              <w:bottom w:val="nil"/>
              <w:right w:val="nil"/>
            </w:tcBorders>
          </w:tcPr>
          <w:p w:rsidR="003F72C2" w:rsidRDefault="003F72C2">
            <w:pPr>
              <w:spacing w:after="120"/>
              <w:rPr>
                <w:rFonts w:cs="David"/>
                <w:b/>
                <w:bCs/>
                <w:color w:val="FF0000"/>
                <w:sz w:val="26"/>
                <w:szCs w:val="26"/>
                <w:u w:val="single"/>
                <w:rtl/>
              </w:rPr>
            </w:pPr>
            <w:r>
              <w:rPr>
                <w:rFonts w:cs="David"/>
                <w:b/>
                <w:bCs/>
                <w:color w:val="FF0000"/>
                <w:sz w:val="26"/>
                <w:szCs w:val="26"/>
                <w:u w:val="single"/>
                <w:rtl/>
              </w:rPr>
              <w:t xml:space="preserve">(ג) </w:t>
            </w:r>
          </w:p>
        </w:tc>
        <w:tc>
          <w:tcPr>
            <w:tcW w:w="6058" w:type="dxa"/>
            <w:gridSpan w:val="4"/>
            <w:tcBorders>
              <w:top w:val="nil"/>
              <w:left w:val="nil"/>
              <w:bottom w:val="nil"/>
              <w:right w:val="nil"/>
            </w:tcBorders>
          </w:tcPr>
          <w:p w:rsidR="003F72C2" w:rsidRDefault="003F72C2">
            <w:pPr>
              <w:spacing w:after="120"/>
              <w:rPr>
                <w:rFonts w:cs="David"/>
                <w:b/>
                <w:bCs/>
                <w:color w:val="FF0000"/>
                <w:sz w:val="26"/>
                <w:szCs w:val="26"/>
                <w:u w:val="single"/>
                <w:rtl/>
              </w:rPr>
            </w:pPr>
            <w:r>
              <w:rPr>
                <w:rFonts w:cs="David"/>
                <w:b/>
                <w:bCs/>
                <w:color w:val="FF0000"/>
                <w:sz w:val="26"/>
                <w:szCs w:val="26"/>
                <w:u w:val="single"/>
                <w:rtl/>
              </w:rPr>
              <w:t>בקטין שטרם מלאו לו ארבע עשרה שנים או בפסול דין שאינו מסוגל לתת את הסכמתו, ההסכמה לבדיקה כאמור בסעיף קטן (ב), תהיה של אפוטרופסם; היה האפוטרופוס עברין המין או בן זוגו של עברין המין, או סירב האפוטרופוס לתת את הסכמתו וסבר בית המשפט שהסירוב נבע מטעמים שאינם מטובת הקטין או פסול הדין, רשאי בית המשפט לאשר את עריכת הבדיקה.</w:t>
            </w:r>
          </w:p>
        </w:tc>
      </w:tr>
      <w:tr w:rsidR="003F72C2" w:rsidTr="003F72C2">
        <w:trPr>
          <w:jc w:val="right"/>
        </w:trPr>
        <w:tc>
          <w:tcPr>
            <w:tcW w:w="1352" w:type="dxa"/>
            <w:tcBorders>
              <w:top w:val="nil"/>
              <w:left w:val="nil"/>
              <w:bottom w:val="nil"/>
              <w:right w:val="nil"/>
            </w:tcBorders>
          </w:tcPr>
          <w:p w:rsidR="003F72C2" w:rsidRDefault="003F72C2">
            <w:pPr>
              <w:pStyle w:val="a3"/>
              <w:tabs>
                <w:tab w:val="left" w:pos="720"/>
              </w:tabs>
              <w:spacing w:after="120"/>
              <w:rPr>
                <w:rFonts w:cs="David"/>
                <w:b/>
                <w:bCs/>
                <w:color w:val="FF0000"/>
                <w:sz w:val="24"/>
                <w:u w:val="single"/>
                <w:rtl/>
              </w:rPr>
            </w:pPr>
          </w:p>
        </w:tc>
        <w:tc>
          <w:tcPr>
            <w:tcW w:w="542" w:type="dxa"/>
            <w:tcBorders>
              <w:top w:val="nil"/>
              <w:left w:val="nil"/>
              <w:bottom w:val="nil"/>
              <w:right w:val="nil"/>
            </w:tcBorders>
          </w:tcPr>
          <w:p w:rsidR="003F72C2" w:rsidRDefault="003F72C2">
            <w:pPr>
              <w:spacing w:after="120"/>
              <w:rPr>
                <w:rFonts w:cs="David"/>
                <w:b/>
                <w:bCs/>
                <w:color w:val="FF0000"/>
                <w:sz w:val="26"/>
                <w:szCs w:val="26"/>
                <w:u w:val="single"/>
                <w:rtl/>
              </w:rPr>
            </w:pPr>
          </w:p>
        </w:tc>
        <w:tc>
          <w:tcPr>
            <w:tcW w:w="565" w:type="dxa"/>
            <w:tcBorders>
              <w:top w:val="nil"/>
              <w:left w:val="nil"/>
              <w:bottom w:val="nil"/>
              <w:right w:val="nil"/>
            </w:tcBorders>
          </w:tcPr>
          <w:p w:rsidR="003F72C2" w:rsidRDefault="003F72C2">
            <w:pPr>
              <w:spacing w:after="120"/>
              <w:rPr>
                <w:rFonts w:cs="David"/>
                <w:b/>
                <w:bCs/>
                <w:color w:val="FF0000"/>
                <w:sz w:val="26"/>
                <w:szCs w:val="26"/>
                <w:u w:val="single"/>
                <w:rtl/>
              </w:rPr>
            </w:pPr>
            <w:r>
              <w:rPr>
                <w:rFonts w:cs="David"/>
                <w:b/>
                <w:bCs/>
                <w:color w:val="FF0000"/>
                <w:sz w:val="26"/>
                <w:szCs w:val="26"/>
                <w:u w:val="single"/>
                <w:rtl/>
              </w:rPr>
              <w:t>(ד)</w:t>
            </w:r>
          </w:p>
        </w:tc>
        <w:tc>
          <w:tcPr>
            <w:tcW w:w="6058" w:type="dxa"/>
            <w:gridSpan w:val="4"/>
            <w:tcBorders>
              <w:top w:val="nil"/>
              <w:left w:val="nil"/>
              <w:bottom w:val="nil"/>
              <w:right w:val="nil"/>
            </w:tcBorders>
          </w:tcPr>
          <w:p w:rsidR="003F72C2" w:rsidRDefault="003F72C2">
            <w:pPr>
              <w:spacing w:after="120"/>
              <w:rPr>
                <w:rFonts w:cs="David"/>
                <w:b/>
                <w:bCs/>
                <w:color w:val="FF0000"/>
                <w:sz w:val="26"/>
                <w:szCs w:val="26"/>
                <w:u w:val="single"/>
                <w:rtl/>
              </w:rPr>
            </w:pPr>
            <w:r>
              <w:rPr>
                <w:rFonts w:cs="David"/>
                <w:b/>
                <w:bCs/>
                <w:color w:val="FF0000"/>
                <w:sz w:val="26"/>
                <w:szCs w:val="26"/>
                <w:u w:val="single"/>
                <w:rtl/>
              </w:rPr>
              <w:t>על אף האמור בסעיף קטן (א), שוכנע בית המשפט כי עריכת חוות דעת עלולה לגרום לנפגע העבירה נזק נוסף, רשאי הוא, מטעמים מיוחדים שיירשמו, להחליט על יסוד ראיות אחרות לענין מצבו של נפגע העבירה והנזק שעלול להיגרם לו כתוצאה ממגורים או מעבודה כאמור.</w:t>
            </w:r>
          </w:p>
          <w:p w:rsidR="003F72C2" w:rsidRDefault="003F72C2">
            <w:pPr>
              <w:spacing w:after="120"/>
              <w:rPr>
                <w:rFonts w:cs="David"/>
                <w:b/>
                <w:bCs/>
                <w:color w:val="FF0000"/>
                <w:sz w:val="26"/>
                <w:szCs w:val="26"/>
                <w:u w:val="single"/>
                <w:rtl/>
              </w:rPr>
            </w:pPr>
          </w:p>
        </w:tc>
      </w:tr>
      <w:tr w:rsidR="003F72C2" w:rsidTr="003F72C2">
        <w:trPr>
          <w:jc w:val="right"/>
        </w:trPr>
        <w:tc>
          <w:tcPr>
            <w:tcW w:w="1352" w:type="dxa"/>
            <w:tcBorders>
              <w:top w:val="nil"/>
              <w:left w:val="nil"/>
              <w:bottom w:val="nil"/>
              <w:right w:val="nil"/>
            </w:tcBorders>
          </w:tcPr>
          <w:p w:rsidR="003F72C2" w:rsidRDefault="003F72C2">
            <w:pPr>
              <w:pStyle w:val="a3"/>
              <w:tabs>
                <w:tab w:val="left" w:pos="720"/>
              </w:tabs>
              <w:spacing w:after="120"/>
              <w:rPr>
                <w:rFonts w:cs="David"/>
                <w:b/>
                <w:bCs/>
                <w:color w:val="FF0000"/>
                <w:sz w:val="24"/>
                <w:u w:val="single"/>
                <w:rtl/>
              </w:rPr>
            </w:pPr>
            <w:r>
              <w:rPr>
                <w:rFonts w:cs="David"/>
                <w:b/>
                <w:bCs/>
                <w:color w:val="FF0000"/>
                <w:sz w:val="24"/>
                <w:u w:val="single"/>
                <w:rtl/>
              </w:rPr>
              <w:t>סמכויות וסדרי דין</w:t>
            </w:r>
          </w:p>
        </w:tc>
        <w:tc>
          <w:tcPr>
            <w:tcW w:w="542" w:type="dxa"/>
            <w:tcBorders>
              <w:top w:val="nil"/>
              <w:left w:val="nil"/>
              <w:bottom w:val="nil"/>
              <w:right w:val="nil"/>
            </w:tcBorders>
          </w:tcPr>
          <w:p w:rsidR="003F72C2" w:rsidRDefault="003F72C2">
            <w:pPr>
              <w:spacing w:after="120"/>
              <w:rPr>
                <w:rFonts w:cs="David"/>
                <w:b/>
                <w:bCs/>
                <w:color w:val="FF0000"/>
                <w:sz w:val="26"/>
                <w:szCs w:val="26"/>
                <w:u w:val="single"/>
                <w:rtl/>
              </w:rPr>
            </w:pPr>
            <w:r>
              <w:rPr>
                <w:rFonts w:cs="David"/>
                <w:b/>
                <w:bCs/>
                <w:color w:val="FF0000"/>
                <w:sz w:val="26"/>
                <w:szCs w:val="26"/>
                <w:u w:val="single"/>
                <w:rtl/>
              </w:rPr>
              <w:t>5.</w:t>
            </w:r>
          </w:p>
        </w:tc>
        <w:tc>
          <w:tcPr>
            <w:tcW w:w="565" w:type="dxa"/>
            <w:tcBorders>
              <w:top w:val="nil"/>
              <w:left w:val="nil"/>
              <w:bottom w:val="nil"/>
              <w:right w:val="nil"/>
            </w:tcBorders>
          </w:tcPr>
          <w:p w:rsidR="003F72C2" w:rsidRDefault="003F72C2">
            <w:pPr>
              <w:spacing w:after="120"/>
              <w:rPr>
                <w:rFonts w:cs="David"/>
                <w:strike/>
                <w:sz w:val="26"/>
                <w:szCs w:val="26"/>
                <w:rtl/>
              </w:rPr>
            </w:pPr>
            <w:r>
              <w:rPr>
                <w:rFonts w:cs="David"/>
                <w:strike/>
                <w:sz w:val="26"/>
                <w:szCs w:val="26"/>
                <w:rtl/>
              </w:rPr>
              <w:t>(ב)</w:t>
            </w:r>
          </w:p>
        </w:tc>
        <w:tc>
          <w:tcPr>
            <w:tcW w:w="6058" w:type="dxa"/>
            <w:gridSpan w:val="4"/>
            <w:tcBorders>
              <w:top w:val="nil"/>
              <w:left w:val="nil"/>
              <w:bottom w:val="nil"/>
              <w:right w:val="nil"/>
            </w:tcBorders>
          </w:tcPr>
          <w:p w:rsidR="003F72C2" w:rsidRDefault="003F72C2">
            <w:pPr>
              <w:spacing w:after="120"/>
              <w:rPr>
                <w:rFonts w:cs="David"/>
                <w:sz w:val="26"/>
                <w:szCs w:val="26"/>
                <w:rtl/>
              </w:rPr>
            </w:pPr>
            <w:r>
              <w:rPr>
                <w:rFonts w:cs="David"/>
                <w:sz w:val="26"/>
                <w:szCs w:val="26"/>
                <w:rtl/>
              </w:rPr>
              <w:t>צו כאמור בסעיף 3 יכול שיכיל דרישה למתן ערובה כדי להבטיח את קיום המגבלות שנקבעו בו; תנאי הערובה, לרבות חילוטה, יפורטו בצו.</w:t>
            </w:r>
          </w:p>
        </w:tc>
      </w:tr>
      <w:tr w:rsidR="003F72C2" w:rsidTr="003F72C2">
        <w:trPr>
          <w:jc w:val="right"/>
        </w:trPr>
        <w:tc>
          <w:tcPr>
            <w:tcW w:w="1352" w:type="dxa"/>
            <w:tcBorders>
              <w:top w:val="nil"/>
              <w:left w:val="nil"/>
              <w:bottom w:val="nil"/>
              <w:right w:val="nil"/>
            </w:tcBorders>
          </w:tcPr>
          <w:p w:rsidR="003F72C2" w:rsidRDefault="003F72C2">
            <w:pPr>
              <w:spacing w:after="120"/>
              <w:rPr>
                <w:rFonts w:cs="David"/>
                <w:b/>
                <w:bCs/>
                <w:color w:val="FF0000"/>
                <w:sz w:val="24"/>
                <w:u w:val="single"/>
                <w:rtl/>
              </w:rPr>
            </w:pPr>
            <w:r>
              <w:rPr>
                <w:rFonts w:cs="David"/>
                <w:b/>
                <w:bCs/>
                <w:color w:val="FF0000"/>
                <w:sz w:val="24"/>
                <w:u w:val="single"/>
                <w:rtl/>
              </w:rPr>
              <w:t xml:space="preserve">  </w:t>
            </w:r>
          </w:p>
        </w:tc>
        <w:tc>
          <w:tcPr>
            <w:tcW w:w="542" w:type="dxa"/>
            <w:tcBorders>
              <w:top w:val="nil"/>
              <w:left w:val="nil"/>
              <w:bottom w:val="nil"/>
              <w:right w:val="nil"/>
            </w:tcBorders>
          </w:tcPr>
          <w:p w:rsidR="003F72C2" w:rsidRDefault="003F72C2">
            <w:pPr>
              <w:spacing w:after="120"/>
              <w:rPr>
                <w:rFonts w:cs="David"/>
                <w:sz w:val="26"/>
                <w:szCs w:val="26"/>
                <w:rtl/>
              </w:rPr>
            </w:pPr>
          </w:p>
        </w:tc>
        <w:tc>
          <w:tcPr>
            <w:tcW w:w="565" w:type="dxa"/>
            <w:tcBorders>
              <w:top w:val="nil"/>
              <w:left w:val="nil"/>
              <w:bottom w:val="nil"/>
              <w:right w:val="nil"/>
            </w:tcBorders>
          </w:tcPr>
          <w:p w:rsidR="003F72C2" w:rsidRDefault="003F72C2">
            <w:pPr>
              <w:spacing w:after="120"/>
              <w:rPr>
                <w:rFonts w:cs="David"/>
                <w:sz w:val="26"/>
                <w:szCs w:val="26"/>
                <w:rtl/>
              </w:rPr>
            </w:pPr>
            <w:r>
              <w:rPr>
                <w:rFonts w:cs="David"/>
                <w:sz w:val="26"/>
                <w:szCs w:val="26"/>
                <w:rtl/>
              </w:rPr>
              <w:t>(ג)</w:t>
            </w:r>
          </w:p>
        </w:tc>
        <w:tc>
          <w:tcPr>
            <w:tcW w:w="6058" w:type="dxa"/>
            <w:gridSpan w:val="4"/>
            <w:tcBorders>
              <w:top w:val="nil"/>
              <w:left w:val="nil"/>
              <w:bottom w:val="nil"/>
              <w:right w:val="nil"/>
            </w:tcBorders>
          </w:tcPr>
          <w:p w:rsidR="003F72C2" w:rsidRDefault="003F72C2">
            <w:pPr>
              <w:spacing w:after="120"/>
              <w:rPr>
                <w:rFonts w:cs="David"/>
                <w:sz w:val="26"/>
                <w:szCs w:val="26"/>
                <w:rtl/>
              </w:rPr>
            </w:pPr>
            <w:r>
              <w:rPr>
                <w:rFonts w:cs="David"/>
                <w:sz w:val="26"/>
                <w:szCs w:val="26"/>
                <w:rtl/>
              </w:rPr>
              <w:t xml:space="preserve">הסמכות הענינית לדון לפי חוק זה תהא לבית המשפט שדן בעבירת המין; ואולם אם בית המשפט שדן בעבירת המין היה בית דין צבאי, </w:t>
            </w:r>
            <w:r>
              <w:rPr>
                <w:rFonts w:cs="David"/>
                <w:b/>
                <w:bCs/>
                <w:color w:val="FF0000"/>
                <w:sz w:val="26"/>
                <w:szCs w:val="26"/>
                <w:u w:val="single"/>
                <w:rtl/>
              </w:rPr>
              <w:t>והמועד לקיום דיון לפי חוק זה הוא לפני או אחרי שחרור העברין ממאסר בפועל או מאשפוז</w:t>
            </w:r>
            <w:r>
              <w:rPr>
                <w:rStyle w:val="aa"/>
                <w:b/>
                <w:bCs/>
                <w:color w:val="FF0000"/>
                <w:sz w:val="26"/>
                <w:szCs w:val="26"/>
                <w:u w:val="single"/>
                <w:rtl/>
              </w:rPr>
              <w:footnoteReference w:id="12"/>
            </w:r>
            <w:r>
              <w:rPr>
                <w:rFonts w:cs="David"/>
                <w:b/>
                <w:bCs/>
                <w:sz w:val="26"/>
                <w:szCs w:val="26"/>
                <w:u w:val="single"/>
                <w:rtl/>
              </w:rPr>
              <w:t>,</w:t>
            </w:r>
            <w:r>
              <w:rPr>
                <w:rFonts w:cs="David"/>
                <w:sz w:val="26"/>
                <w:szCs w:val="26"/>
                <w:rtl/>
              </w:rPr>
              <w:t xml:space="preserve"> ובמועד זה הוא אינו חייל, תהיה הסמכות הענינית לבית המשפט שהיה מוסמך לדון בעבירת המין אם לא היה דן בה בית דין צבאי; לענין זה, "חייל" - כהגדרתו בפסקה (1) להגדרה "חייל" בחוק השיפוט הצבאי</w:t>
            </w:r>
            <w:r>
              <w:rPr>
                <w:rStyle w:val="aa"/>
                <w:sz w:val="26"/>
                <w:szCs w:val="26"/>
                <w:rtl/>
              </w:rPr>
              <w:footnoteReference w:id="13"/>
            </w:r>
            <w:r>
              <w:rPr>
                <w:rFonts w:cs="David"/>
                <w:sz w:val="26"/>
                <w:szCs w:val="26"/>
                <w:rtl/>
              </w:rPr>
              <w:t>.</w:t>
            </w:r>
          </w:p>
        </w:tc>
      </w:tr>
      <w:tr w:rsidR="003F72C2" w:rsidTr="003F72C2">
        <w:trPr>
          <w:jc w:val="right"/>
        </w:trPr>
        <w:tc>
          <w:tcPr>
            <w:tcW w:w="1352" w:type="dxa"/>
            <w:tcBorders>
              <w:top w:val="nil"/>
              <w:left w:val="nil"/>
              <w:bottom w:val="nil"/>
              <w:right w:val="nil"/>
            </w:tcBorders>
          </w:tcPr>
          <w:p w:rsidR="003F72C2" w:rsidRDefault="003F72C2">
            <w:pPr>
              <w:spacing w:after="120"/>
              <w:rPr>
                <w:rFonts w:cs="David"/>
                <w:b/>
                <w:bCs/>
                <w:color w:val="FF0000"/>
                <w:sz w:val="24"/>
                <w:u w:val="single"/>
                <w:rtl/>
              </w:rPr>
            </w:pPr>
            <w:r>
              <w:rPr>
                <w:rFonts w:cs="David"/>
                <w:b/>
                <w:bCs/>
                <w:color w:val="FF0000"/>
                <w:sz w:val="24"/>
                <w:u w:val="single"/>
                <w:rtl/>
              </w:rPr>
              <w:t xml:space="preserve">לתשומת לב רוני פנחס מהפצ"ר </w:t>
            </w:r>
          </w:p>
        </w:tc>
        <w:tc>
          <w:tcPr>
            <w:tcW w:w="542" w:type="dxa"/>
            <w:tcBorders>
              <w:top w:val="nil"/>
              <w:left w:val="nil"/>
              <w:bottom w:val="nil"/>
              <w:right w:val="nil"/>
            </w:tcBorders>
          </w:tcPr>
          <w:p w:rsidR="003F72C2" w:rsidRDefault="003F72C2">
            <w:pPr>
              <w:spacing w:after="120"/>
              <w:rPr>
                <w:rFonts w:cs="David"/>
                <w:sz w:val="26"/>
                <w:szCs w:val="26"/>
                <w:rtl/>
              </w:rPr>
            </w:pPr>
          </w:p>
        </w:tc>
        <w:tc>
          <w:tcPr>
            <w:tcW w:w="565" w:type="dxa"/>
            <w:tcBorders>
              <w:top w:val="nil"/>
              <w:left w:val="nil"/>
              <w:bottom w:val="nil"/>
              <w:right w:val="nil"/>
            </w:tcBorders>
          </w:tcPr>
          <w:p w:rsidR="003F72C2" w:rsidRDefault="003F72C2">
            <w:pPr>
              <w:spacing w:after="120"/>
              <w:rPr>
                <w:rFonts w:cs="David"/>
                <w:b/>
                <w:bCs/>
                <w:color w:val="FF0000"/>
                <w:sz w:val="26"/>
                <w:szCs w:val="26"/>
                <w:u w:val="single"/>
                <w:rtl/>
              </w:rPr>
            </w:pPr>
            <w:r>
              <w:rPr>
                <w:rFonts w:cs="David"/>
                <w:b/>
                <w:bCs/>
                <w:color w:val="FF0000"/>
                <w:sz w:val="26"/>
                <w:szCs w:val="26"/>
                <w:u w:val="single"/>
                <w:rtl/>
              </w:rPr>
              <w:t xml:space="preserve">(ד) </w:t>
            </w:r>
          </w:p>
        </w:tc>
        <w:tc>
          <w:tcPr>
            <w:tcW w:w="6058" w:type="dxa"/>
            <w:gridSpan w:val="4"/>
            <w:tcBorders>
              <w:top w:val="nil"/>
              <w:left w:val="nil"/>
              <w:bottom w:val="nil"/>
              <w:right w:val="nil"/>
            </w:tcBorders>
          </w:tcPr>
          <w:p w:rsidR="003F72C2" w:rsidRDefault="003F72C2">
            <w:pPr>
              <w:spacing w:after="120"/>
              <w:rPr>
                <w:rFonts w:cs="David"/>
                <w:b/>
                <w:bCs/>
                <w:color w:val="FF0000"/>
                <w:sz w:val="26"/>
                <w:szCs w:val="26"/>
                <w:u w:val="single"/>
                <w:rtl/>
              </w:rPr>
            </w:pPr>
            <w:r>
              <w:rPr>
                <w:rFonts w:cs="David"/>
                <w:b/>
                <w:bCs/>
                <w:color w:val="FF0000"/>
                <w:sz w:val="26"/>
                <w:szCs w:val="26"/>
                <w:u w:val="single"/>
                <w:rtl/>
              </w:rPr>
              <w:t xml:space="preserve">על אף הוראות סעיפים 201 ו-202 לחוק השיפוט הצבאי, היה בית המשפט המוסמך לפי סעיף קטן (ג) בית דין צבאי, יכול שיתקיים הדיון בבקשה לפי סעיף 3 בפני שופט צבאי-משפטאי אחד, אם הדיון מתקיים לפני שחרור צפוי ממאסר בפועל או מאשפוז או לאחר שחרור כאמור.  </w:t>
            </w:r>
          </w:p>
          <w:p w:rsidR="003F72C2" w:rsidRDefault="003F72C2">
            <w:pPr>
              <w:spacing w:after="120"/>
              <w:rPr>
                <w:rFonts w:cs="David"/>
                <w:b/>
                <w:bCs/>
                <w:color w:val="FF0000"/>
                <w:sz w:val="26"/>
                <w:szCs w:val="26"/>
                <w:u w:val="single"/>
                <w:rtl/>
              </w:rPr>
            </w:pPr>
          </w:p>
        </w:tc>
      </w:tr>
      <w:tr w:rsidR="003F72C2" w:rsidTr="003F72C2">
        <w:trPr>
          <w:jc w:val="right"/>
        </w:trPr>
        <w:tc>
          <w:tcPr>
            <w:tcW w:w="1352" w:type="dxa"/>
            <w:tcBorders>
              <w:top w:val="nil"/>
              <w:left w:val="nil"/>
              <w:bottom w:val="nil"/>
              <w:right w:val="nil"/>
            </w:tcBorders>
          </w:tcPr>
          <w:p w:rsidR="003F72C2" w:rsidRDefault="003F72C2">
            <w:pPr>
              <w:spacing w:after="120"/>
              <w:rPr>
                <w:rFonts w:cs="David"/>
                <w:sz w:val="26"/>
                <w:szCs w:val="26"/>
                <w:rtl/>
              </w:rPr>
            </w:pPr>
            <w:r>
              <w:rPr>
                <w:rFonts w:cs="David"/>
                <w:sz w:val="26"/>
                <w:szCs w:val="26"/>
                <w:rtl/>
              </w:rPr>
              <w:t>עיון חוזר, ערר וערעור</w:t>
            </w:r>
          </w:p>
        </w:tc>
        <w:tc>
          <w:tcPr>
            <w:tcW w:w="542" w:type="dxa"/>
            <w:tcBorders>
              <w:top w:val="nil"/>
              <w:left w:val="nil"/>
              <w:bottom w:val="nil"/>
              <w:right w:val="nil"/>
            </w:tcBorders>
          </w:tcPr>
          <w:p w:rsidR="003F72C2" w:rsidRDefault="003F72C2">
            <w:pPr>
              <w:spacing w:after="120"/>
              <w:rPr>
                <w:rFonts w:cs="David"/>
                <w:sz w:val="26"/>
                <w:szCs w:val="26"/>
                <w:rtl/>
              </w:rPr>
            </w:pPr>
            <w:r>
              <w:rPr>
                <w:rFonts w:cs="David"/>
                <w:sz w:val="26"/>
                <w:szCs w:val="26"/>
                <w:rtl/>
              </w:rPr>
              <w:t>6.</w:t>
            </w:r>
          </w:p>
        </w:tc>
        <w:tc>
          <w:tcPr>
            <w:tcW w:w="565" w:type="dxa"/>
            <w:tcBorders>
              <w:top w:val="nil"/>
              <w:left w:val="nil"/>
              <w:bottom w:val="nil"/>
              <w:right w:val="nil"/>
            </w:tcBorders>
          </w:tcPr>
          <w:p w:rsidR="003F72C2" w:rsidRDefault="003F72C2">
            <w:pPr>
              <w:spacing w:after="120"/>
              <w:rPr>
                <w:rFonts w:cs="David"/>
                <w:sz w:val="26"/>
                <w:szCs w:val="26"/>
                <w:rtl/>
              </w:rPr>
            </w:pPr>
            <w:r>
              <w:rPr>
                <w:rFonts w:cs="David"/>
                <w:sz w:val="26"/>
                <w:szCs w:val="26"/>
                <w:rtl/>
              </w:rPr>
              <w:t>(א)</w:t>
            </w:r>
          </w:p>
        </w:tc>
        <w:tc>
          <w:tcPr>
            <w:tcW w:w="6058" w:type="dxa"/>
            <w:gridSpan w:val="4"/>
            <w:tcBorders>
              <w:top w:val="nil"/>
              <w:left w:val="nil"/>
              <w:bottom w:val="nil"/>
              <w:right w:val="nil"/>
            </w:tcBorders>
          </w:tcPr>
          <w:p w:rsidR="003F72C2" w:rsidRDefault="003F72C2">
            <w:pPr>
              <w:spacing w:after="120"/>
              <w:rPr>
                <w:rFonts w:cs="David"/>
                <w:sz w:val="26"/>
                <w:szCs w:val="26"/>
                <w:rtl/>
              </w:rPr>
            </w:pPr>
            <w:r>
              <w:rPr>
                <w:rFonts w:cs="David"/>
                <w:sz w:val="26"/>
                <w:szCs w:val="26"/>
                <w:rtl/>
              </w:rPr>
              <w:t xml:space="preserve">עברין מין שהוגבל במגורים או בעבודה לפי חוק זה רשאי לפנות לבית המשפט שנתן את הצו בבקשה לעיון חוזר אם נתגלו עובדות חדשות או נשתנו הנסיבות </w:t>
            </w:r>
            <w:r>
              <w:rPr>
                <w:rFonts w:cs="David"/>
                <w:b/>
                <w:bCs/>
                <w:color w:val="FF0000"/>
                <w:sz w:val="26"/>
                <w:szCs w:val="26"/>
                <w:u w:val="single"/>
                <w:rtl/>
              </w:rPr>
              <w:t>ממועד</w:t>
            </w:r>
            <w:r>
              <w:rPr>
                <w:rFonts w:cs="David"/>
                <w:sz w:val="26"/>
                <w:szCs w:val="26"/>
                <w:rtl/>
              </w:rPr>
              <w:t xml:space="preserve"> מתן הצו.</w:t>
            </w:r>
          </w:p>
        </w:tc>
      </w:tr>
      <w:tr w:rsidR="003F72C2" w:rsidTr="003F72C2">
        <w:trPr>
          <w:jc w:val="right"/>
        </w:trPr>
        <w:tc>
          <w:tcPr>
            <w:tcW w:w="1352" w:type="dxa"/>
            <w:tcBorders>
              <w:top w:val="nil"/>
              <w:left w:val="nil"/>
              <w:bottom w:val="nil"/>
              <w:right w:val="nil"/>
            </w:tcBorders>
          </w:tcPr>
          <w:p w:rsidR="003F72C2" w:rsidRDefault="003F72C2">
            <w:pPr>
              <w:spacing w:after="120"/>
              <w:rPr>
                <w:rFonts w:cs="David"/>
                <w:sz w:val="24"/>
                <w:rtl/>
              </w:rPr>
            </w:pPr>
          </w:p>
        </w:tc>
        <w:tc>
          <w:tcPr>
            <w:tcW w:w="542" w:type="dxa"/>
            <w:tcBorders>
              <w:top w:val="nil"/>
              <w:left w:val="nil"/>
              <w:bottom w:val="nil"/>
              <w:right w:val="nil"/>
            </w:tcBorders>
          </w:tcPr>
          <w:p w:rsidR="003F72C2" w:rsidRDefault="003F72C2">
            <w:pPr>
              <w:spacing w:after="120"/>
              <w:rPr>
                <w:rFonts w:cs="David"/>
                <w:sz w:val="26"/>
                <w:szCs w:val="26"/>
                <w:rtl/>
              </w:rPr>
            </w:pPr>
          </w:p>
        </w:tc>
        <w:tc>
          <w:tcPr>
            <w:tcW w:w="565" w:type="dxa"/>
            <w:tcBorders>
              <w:top w:val="nil"/>
              <w:left w:val="nil"/>
              <w:bottom w:val="nil"/>
              <w:right w:val="nil"/>
            </w:tcBorders>
          </w:tcPr>
          <w:p w:rsidR="003F72C2" w:rsidRDefault="003F72C2">
            <w:pPr>
              <w:spacing w:after="120"/>
              <w:rPr>
                <w:rFonts w:cs="David"/>
                <w:sz w:val="26"/>
                <w:szCs w:val="26"/>
                <w:rtl/>
              </w:rPr>
            </w:pPr>
            <w:r>
              <w:rPr>
                <w:rFonts w:cs="David"/>
                <w:sz w:val="26"/>
                <w:szCs w:val="26"/>
                <w:rtl/>
              </w:rPr>
              <w:t xml:space="preserve">(ב) </w:t>
            </w:r>
          </w:p>
        </w:tc>
        <w:tc>
          <w:tcPr>
            <w:tcW w:w="6058" w:type="dxa"/>
            <w:gridSpan w:val="4"/>
            <w:tcBorders>
              <w:top w:val="nil"/>
              <w:left w:val="nil"/>
              <w:bottom w:val="nil"/>
              <w:right w:val="nil"/>
            </w:tcBorders>
          </w:tcPr>
          <w:p w:rsidR="003F72C2" w:rsidRDefault="003F72C2">
            <w:pPr>
              <w:spacing w:after="120"/>
              <w:rPr>
                <w:rFonts w:cs="David"/>
                <w:sz w:val="26"/>
                <w:szCs w:val="26"/>
                <w:rtl/>
              </w:rPr>
            </w:pPr>
            <w:r>
              <w:rPr>
                <w:rFonts w:cs="David"/>
                <w:b/>
                <w:bCs/>
                <w:color w:val="FF0000"/>
                <w:sz w:val="26"/>
                <w:szCs w:val="26"/>
                <w:u w:val="single"/>
                <w:rtl/>
              </w:rPr>
              <w:t>נפגע העבירה או אדם מטעמו וכן</w:t>
            </w:r>
            <w:r>
              <w:rPr>
                <w:rFonts w:cs="David"/>
                <w:color w:val="FF0000"/>
                <w:sz w:val="26"/>
                <w:szCs w:val="26"/>
                <w:rtl/>
              </w:rPr>
              <w:t xml:space="preserve"> </w:t>
            </w:r>
            <w:r>
              <w:rPr>
                <w:rFonts w:cs="David"/>
                <w:sz w:val="26"/>
                <w:szCs w:val="26"/>
                <w:rtl/>
              </w:rPr>
              <w:t xml:space="preserve">מי שביקש לקיים דיון לפי סעיף 3 (בסעיף זה – המבקש) רשאי לפנות לבית המשפט בבקשה לעיון חוזר בהחלטתו שלא להטיל מגבלות או לבטל מגבלות שהוטלו, אם נתגלו עובדות חדשות או נשתנו הנסיבות ממתן ההחלטה. </w:t>
            </w:r>
          </w:p>
        </w:tc>
      </w:tr>
      <w:tr w:rsidR="003F72C2" w:rsidTr="003F72C2">
        <w:trPr>
          <w:jc w:val="right"/>
        </w:trPr>
        <w:tc>
          <w:tcPr>
            <w:tcW w:w="1352" w:type="dxa"/>
            <w:tcBorders>
              <w:top w:val="nil"/>
              <w:left w:val="nil"/>
              <w:bottom w:val="nil"/>
              <w:right w:val="nil"/>
            </w:tcBorders>
          </w:tcPr>
          <w:p w:rsidR="003F72C2" w:rsidRDefault="003F72C2">
            <w:pPr>
              <w:spacing w:after="120"/>
              <w:rPr>
                <w:rFonts w:cs="David"/>
                <w:sz w:val="24"/>
                <w:rtl/>
              </w:rPr>
            </w:pPr>
          </w:p>
        </w:tc>
        <w:tc>
          <w:tcPr>
            <w:tcW w:w="542" w:type="dxa"/>
            <w:tcBorders>
              <w:top w:val="nil"/>
              <w:left w:val="nil"/>
              <w:bottom w:val="nil"/>
              <w:right w:val="nil"/>
            </w:tcBorders>
          </w:tcPr>
          <w:p w:rsidR="003F72C2" w:rsidRDefault="003F72C2">
            <w:pPr>
              <w:spacing w:after="120"/>
              <w:rPr>
                <w:rFonts w:cs="David"/>
                <w:sz w:val="26"/>
                <w:szCs w:val="26"/>
                <w:rtl/>
              </w:rPr>
            </w:pPr>
          </w:p>
        </w:tc>
        <w:tc>
          <w:tcPr>
            <w:tcW w:w="565" w:type="dxa"/>
            <w:tcBorders>
              <w:top w:val="nil"/>
              <w:left w:val="nil"/>
              <w:bottom w:val="nil"/>
              <w:right w:val="nil"/>
            </w:tcBorders>
          </w:tcPr>
          <w:p w:rsidR="003F72C2" w:rsidRDefault="003F72C2">
            <w:pPr>
              <w:spacing w:after="120"/>
              <w:rPr>
                <w:rFonts w:cs="David"/>
                <w:sz w:val="26"/>
                <w:szCs w:val="26"/>
                <w:rtl/>
              </w:rPr>
            </w:pPr>
            <w:r>
              <w:rPr>
                <w:rFonts w:cs="David"/>
                <w:sz w:val="26"/>
                <w:szCs w:val="26"/>
                <w:rtl/>
              </w:rPr>
              <w:t>(ג)</w:t>
            </w:r>
          </w:p>
        </w:tc>
        <w:tc>
          <w:tcPr>
            <w:tcW w:w="6058" w:type="dxa"/>
            <w:gridSpan w:val="4"/>
            <w:tcBorders>
              <w:top w:val="nil"/>
              <w:left w:val="nil"/>
              <w:bottom w:val="nil"/>
              <w:right w:val="nil"/>
            </w:tcBorders>
          </w:tcPr>
          <w:p w:rsidR="003F72C2" w:rsidRDefault="003F72C2">
            <w:pPr>
              <w:spacing w:after="120"/>
              <w:rPr>
                <w:rFonts w:cs="David"/>
                <w:sz w:val="26"/>
                <w:szCs w:val="26"/>
                <w:rtl/>
              </w:rPr>
            </w:pPr>
            <w:r>
              <w:rPr>
                <w:rFonts w:cs="David"/>
                <w:sz w:val="26"/>
                <w:szCs w:val="26"/>
                <w:rtl/>
              </w:rPr>
              <w:t>ניתנה החלטה לפי סעיף 3 במעמד פסק הדין והוגש ערעור על פסק הדין, ניתן לערער על ההחלטה כעל חלק מפסק הדין.</w:t>
            </w:r>
          </w:p>
        </w:tc>
      </w:tr>
      <w:tr w:rsidR="003F72C2" w:rsidTr="003F72C2">
        <w:trPr>
          <w:jc w:val="right"/>
        </w:trPr>
        <w:tc>
          <w:tcPr>
            <w:tcW w:w="1352" w:type="dxa"/>
            <w:tcBorders>
              <w:top w:val="nil"/>
              <w:left w:val="nil"/>
              <w:bottom w:val="nil"/>
              <w:right w:val="nil"/>
            </w:tcBorders>
          </w:tcPr>
          <w:p w:rsidR="003F72C2" w:rsidRDefault="003F72C2">
            <w:pPr>
              <w:spacing w:after="120"/>
              <w:rPr>
                <w:rFonts w:cs="David"/>
                <w:sz w:val="24"/>
                <w:rtl/>
              </w:rPr>
            </w:pPr>
          </w:p>
        </w:tc>
        <w:tc>
          <w:tcPr>
            <w:tcW w:w="542" w:type="dxa"/>
            <w:tcBorders>
              <w:top w:val="nil"/>
              <w:left w:val="nil"/>
              <w:bottom w:val="nil"/>
              <w:right w:val="nil"/>
            </w:tcBorders>
          </w:tcPr>
          <w:p w:rsidR="003F72C2" w:rsidRDefault="003F72C2">
            <w:pPr>
              <w:spacing w:after="120"/>
              <w:rPr>
                <w:rFonts w:cs="David"/>
                <w:sz w:val="26"/>
                <w:szCs w:val="26"/>
                <w:rtl/>
              </w:rPr>
            </w:pPr>
          </w:p>
        </w:tc>
        <w:tc>
          <w:tcPr>
            <w:tcW w:w="565" w:type="dxa"/>
            <w:tcBorders>
              <w:top w:val="nil"/>
              <w:left w:val="nil"/>
              <w:bottom w:val="nil"/>
              <w:right w:val="nil"/>
            </w:tcBorders>
          </w:tcPr>
          <w:p w:rsidR="003F72C2" w:rsidRDefault="003F72C2">
            <w:pPr>
              <w:spacing w:after="120"/>
              <w:rPr>
                <w:rFonts w:cs="David"/>
                <w:sz w:val="26"/>
                <w:szCs w:val="26"/>
                <w:rtl/>
              </w:rPr>
            </w:pPr>
            <w:r>
              <w:rPr>
                <w:rFonts w:cs="David"/>
                <w:sz w:val="26"/>
                <w:szCs w:val="26"/>
                <w:rtl/>
              </w:rPr>
              <w:t>(ד)</w:t>
            </w:r>
          </w:p>
        </w:tc>
        <w:tc>
          <w:tcPr>
            <w:tcW w:w="6058" w:type="dxa"/>
            <w:gridSpan w:val="4"/>
            <w:tcBorders>
              <w:top w:val="nil"/>
              <w:left w:val="nil"/>
              <w:bottom w:val="nil"/>
              <w:right w:val="nil"/>
            </w:tcBorders>
          </w:tcPr>
          <w:p w:rsidR="003F72C2" w:rsidRDefault="003F72C2">
            <w:pPr>
              <w:spacing w:after="120"/>
              <w:rPr>
                <w:rFonts w:cs="David"/>
                <w:sz w:val="26"/>
                <w:szCs w:val="26"/>
                <w:rtl/>
              </w:rPr>
            </w:pPr>
            <w:r>
              <w:rPr>
                <w:rFonts w:cs="David"/>
                <w:sz w:val="26"/>
                <w:szCs w:val="26"/>
                <w:rtl/>
              </w:rPr>
              <w:t xml:space="preserve">על החלטה שניתנה לפי סעיף 3 במעמד פסק הדין ולא הוגש ערעור על פסק הדין, על החלטה שניתנה שלא במעמד פסק הדין או על החלטה בעיון חוזר, רשאי עברין המין או המבקש לערור בפני בית משפט שלערעור, שידון בערר בשופט יחיד; </w:t>
            </w:r>
            <w:r>
              <w:rPr>
                <w:rFonts w:cs="David"/>
                <w:b/>
                <w:bCs/>
                <w:color w:val="FF0000"/>
                <w:sz w:val="26"/>
                <w:szCs w:val="26"/>
                <w:u w:val="single"/>
                <w:rtl/>
              </w:rPr>
              <w:t>על החלטה שניתנה בערר על ידי שופט בית משפט מחוזי רשאים הם לערור בפני בית המשפט העליון, שידון בערר בשופט יחיד</w:t>
            </w:r>
            <w:r>
              <w:rPr>
                <w:rFonts w:cs="David"/>
                <w:b/>
                <w:bCs/>
                <w:sz w:val="26"/>
                <w:szCs w:val="26"/>
                <w:u w:val="single"/>
                <w:rtl/>
              </w:rPr>
              <w:t>.</w:t>
            </w:r>
          </w:p>
        </w:tc>
      </w:tr>
      <w:tr w:rsidR="003F72C2" w:rsidTr="003F72C2">
        <w:trPr>
          <w:jc w:val="right"/>
        </w:trPr>
        <w:tc>
          <w:tcPr>
            <w:tcW w:w="1352" w:type="dxa"/>
            <w:tcBorders>
              <w:top w:val="nil"/>
              <w:left w:val="nil"/>
              <w:bottom w:val="nil"/>
              <w:right w:val="nil"/>
            </w:tcBorders>
          </w:tcPr>
          <w:p w:rsidR="003F72C2" w:rsidRDefault="003F72C2">
            <w:pPr>
              <w:spacing w:after="120"/>
              <w:rPr>
                <w:rFonts w:cs="David"/>
                <w:b/>
                <w:bCs/>
                <w:sz w:val="24"/>
                <w:u w:val="single"/>
                <w:rtl/>
              </w:rPr>
            </w:pPr>
          </w:p>
        </w:tc>
        <w:tc>
          <w:tcPr>
            <w:tcW w:w="542" w:type="dxa"/>
            <w:tcBorders>
              <w:top w:val="nil"/>
              <w:left w:val="nil"/>
              <w:bottom w:val="nil"/>
              <w:right w:val="nil"/>
            </w:tcBorders>
          </w:tcPr>
          <w:p w:rsidR="003F72C2" w:rsidRDefault="003F72C2">
            <w:pPr>
              <w:spacing w:after="120"/>
              <w:rPr>
                <w:rFonts w:cs="David"/>
                <w:b/>
                <w:bCs/>
                <w:sz w:val="26"/>
                <w:szCs w:val="26"/>
                <w:u w:val="single"/>
                <w:rtl/>
              </w:rPr>
            </w:pPr>
          </w:p>
        </w:tc>
        <w:tc>
          <w:tcPr>
            <w:tcW w:w="565" w:type="dxa"/>
            <w:tcBorders>
              <w:top w:val="nil"/>
              <w:left w:val="nil"/>
              <w:bottom w:val="nil"/>
              <w:right w:val="nil"/>
            </w:tcBorders>
          </w:tcPr>
          <w:p w:rsidR="003F72C2" w:rsidRDefault="003F72C2">
            <w:pPr>
              <w:spacing w:after="120"/>
              <w:rPr>
                <w:rFonts w:cs="David"/>
                <w:b/>
                <w:bCs/>
                <w:color w:val="FF0000"/>
                <w:sz w:val="26"/>
                <w:szCs w:val="26"/>
                <w:u w:val="single"/>
                <w:rtl/>
              </w:rPr>
            </w:pPr>
            <w:r>
              <w:rPr>
                <w:rFonts w:cs="David"/>
                <w:b/>
                <w:bCs/>
                <w:color w:val="FF0000"/>
                <w:sz w:val="26"/>
                <w:szCs w:val="26"/>
                <w:u w:val="single"/>
                <w:rtl/>
              </w:rPr>
              <w:t xml:space="preserve">(ה) </w:t>
            </w:r>
          </w:p>
        </w:tc>
        <w:tc>
          <w:tcPr>
            <w:tcW w:w="6058" w:type="dxa"/>
            <w:gridSpan w:val="4"/>
            <w:tcBorders>
              <w:top w:val="nil"/>
              <w:left w:val="nil"/>
              <w:bottom w:val="nil"/>
              <w:right w:val="nil"/>
            </w:tcBorders>
          </w:tcPr>
          <w:p w:rsidR="003F72C2" w:rsidRDefault="003F72C2">
            <w:pPr>
              <w:spacing w:after="120"/>
              <w:rPr>
                <w:rFonts w:cs="David"/>
                <w:b/>
                <w:bCs/>
                <w:color w:val="FF0000"/>
                <w:sz w:val="26"/>
                <w:szCs w:val="26"/>
                <w:u w:val="single"/>
                <w:rtl/>
              </w:rPr>
            </w:pPr>
            <w:r>
              <w:rPr>
                <w:rFonts w:cs="David"/>
                <w:b/>
                <w:bCs/>
                <w:color w:val="FF0000"/>
                <w:sz w:val="26"/>
                <w:szCs w:val="26"/>
                <w:u w:val="single"/>
                <w:rtl/>
              </w:rPr>
              <w:t>שופט הדן בערר רשאי להיזקק לחומר ראיות חדש שניתווסף מאז הדיון בערכאה הקודמת</w:t>
            </w:r>
            <w:r>
              <w:rPr>
                <w:rStyle w:val="aa"/>
                <w:b/>
                <w:bCs/>
                <w:color w:val="FF0000"/>
                <w:sz w:val="26"/>
                <w:szCs w:val="26"/>
                <w:u w:val="single"/>
                <w:rtl/>
              </w:rPr>
              <w:footnoteReference w:id="14"/>
            </w:r>
            <w:r>
              <w:rPr>
                <w:rFonts w:cs="David"/>
                <w:b/>
                <w:bCs/>
                <w:color w:val="FF0000"/>
                <w:sz w:val="26"/>
                <w:szCs w:val="26"/>
                <w:u w:val="single"/>
                <w:rtl/>
              </w:rPr>
              <w:t>.</w:t>
            </w:r>
          </w:p>
          <w:p w:rsidR="003F72C2" w:rsidRDefault="003F72C2">
            <w:pPr>
              <w:spacing w:after="120"/>
              <w:rPr>
                <w:rFonts w:cs="David"/>
                <w:b/>
                <w:bCs/>
                <w:sz w:val="26"/>
                <w:szCs w:val="26"/>
                <w:u w:val="single"/>
                <w:rtl/>
              </w:rPr>
            </w:pPr>
          </w:p>
        </w:tc>
      </w:tr>
      <w:tr w:rsidR="003F72C2" w:rsidTr="003F72C2">
        <w:trPr>
          <w:jc w:val="right"/>
        </w:trPr>
        <w:tc>
          <w:tcPr>
            <w:tcW w:w="1352" w:type="dxa"/>
            <w:tcBorders>
              <w:top w:val="nil"/>
              <w:left w:val="nil"/>
              <w:bottom w:val="nil"/>
              <w:right w:val="nil"/>
            </w:tcBorders>
          </w:tcPr>
          <w:p w:rsidR="003F72C2" w:rsidRDefault="003F72C2">
            <w:pPr>
              <w:spacing w:after="120"/>
              <w:rPr>
                <w:rFonts w:cs="David"/>
                <w:b/>
                <w:bCs/>
                <w:color w:val="FF0000"/>
                <w:sz w:val="26"/>
                <w:szCs w:val="26"/>
                <w:u w:val="single"/>
                <w:rtl/>
              </w:rPr>
            </w:pPr>
            <w:r>
              <w:rPr>
                <w:rFonts w:cs="David"/>
                <w:b/>
                <w:bCs/>
                <w:color w:val="FF0000"/>
                <w:sz w:val="26"/>
                <w:szCs w:val="26"/>
                <w:u w:val="single"/>
                <w:rtl/>
              </w:rPr>
              <w:t xml:space="preserve">אפשרות מינוי סניגור ציבורי </w:t>
            </w:r>
          </w:p>
        </w:tc>
        <w:tc>
          <w:tcPr>
            <w:tcW w:w="542" w:type="dxa"/>
            <w:tcBorders>
              <w:top w:val="nil"/>
              <w:left w:val="nil"/>
              <w:bottom w:val="nil"/>
              <w:right w:val="nil"/>
            </w:tcBorders>
          </w:tcPr>
          <w:p w:rsidR="003F72C2" w:rsidRDefault="003F72C2">
            <w:pPr>
              <w:spacing w:after="120"/>
              <w:rPr>
                <w:rFonts w:cs="David"/>
                <w:b/>
                <w:bCs/>
                <w:color w:val="FF0000"/>
                <w:sz w:val="26"/>
                <w:szCs w:val="26"/>
                <w:u w:val="single"/>
                <w:rtl/>
              </w:rPr>
            </w:pPr>
            <w:r>
              <w:rPr>
                <w:rFonts w:cs="David"/>
                <w:b/>
                <w:bCs/>
                <w:color w:val="FF0000"/>
                <w:sz w:val="26"/>
                <w:szCs w:val="26"/>
                <w:u w:val="single"/>
                <w:rtl/>
              </w:rPr>
              <w:t>7.</w:t>
            </w:r>
          </w:p>
        </w:tc>
        <w:tc>
          <w:tcPr>
            <w:tcW w:w="6623" w:type="dxa"/>
            <w:gridSpan w:val="5"/>
            <w:tcBorders>
              <w:top w:val="nil"/>
              <w:left w:val="nil"/>
              <w:bottom w:val="nil"/>
              <w:right w:val="nil"/>
            </w:tcBorders>
          </w:tcPr>
          <w:p w:rsidR="003F72C2" w:rsidRDefault="003F72C2">
            <w:pPr>
              <w:spacing w:after="120"/>
              <w:rPr>
                <w:rFonts w:cs="David"/>
                <w:b/>
                <w:bCs/>
                <w:color w:val="FF0000"/>
                <w:sz w:val="26"/>
                <w:szCs w:val="26"/>
                <w:u w:val="single"/>
                <w:rtl/>
              </w:rPr>
            </w:pPr>
            <w:r>
              <w:rPr>
                <w:rFonts w:cs="David"/>
                <w:b/>
                <w:bCs/>
                <w:color w:val="FF0000"/>
                <w:sz w:val="26"/>
                <w:szCs w:val="26"/>
                <w:u w:val="single"/>
                <w:rtl/>
              </w:rPr>
              <w:t xml:space="preserve">בית המשפט רשאי למנות לעברין מין סניגור, אם שוכנע כי אין לו אמצעים לשכור סניגור לשם ייצוגו בהליכים לפי חוק זה, וכי יש חשש ממשי כי בלא ייצוג כאמור ייגרם לו עיוות דין.  </w:t>
            </w:r>
          </w:p>
          <w:p w:rsidR="003F72C2" w:rsidRDefault="003F72C2">
            <w:pPr>
              <w:spacing w:after="120"/>
              <w:rPr>
                <w:rFonts w:cs="David"/>
                <w:b/>
                <w:bCs/>
                <w:color w:val="FF0000"/>
                <w:sz w:val="26"/>
                <w:szCs w:val="26"/>
                <w:u w:val="single"/>
                <w:rtl/>
              </w:rPr>
            </w:pPr>
          </w:p>
        </w:tc>
      </w:tr>
      <w:tr w:rsidR="003F72C2" w:rsidTr="003F72C2">
        <w:trPr>
          <w:cantSplit/>
          <w:jc w:val="right"/>
        </w:trPr>
        <w:tc>
          <w:tcPr>
            <w:tcW w:w="1352" w:type="dxa"/>
            <w:vMerge w:val="restart"/>
            <w:tcBorders>
              <w:top w:val="nil"/>
              <w:left w:val="nil"/>
              <w:bottom w:val="nil"/>
              <w:right w:val="nil"/>
            </w:tcBorders>
          </w:tcPr>
          <w:p w:rsidR="003F72C2" w:rsidRDefault="003F72C2">
            <w:pPr>
              <w:spacing w:after="120"/>
              <w:rPr>
                <w:rFonts w:cs="David"/>
                <w:strike/>
                <w:color w:val="FF0000"/>
                <w:sz w:val="26"/>
                <w:szCs w:val="26"/>
                <w:rtl/>
              </w:rPr>
            </w:pPr>
            <w:r>
              <w:rPr>
                <w:rFonts w:cs="David"/>
                <w:strike/>
                <w:color w:val="FF0000"/>
                <w:sz w:val="26"/>
                <w:szCs w:val="26"/>
                <w:rtl/>
              </w:rPr>
              <w:t>מגבלות כחלק מתנאי הרשיון למשוחרר על-תנאי ממאסר</w:t>
            </w:r>
          </w:p>
        </w:tc>
        <w:tc>
          <w:tcPr>
            <w:tcW w:w="542" w:type="dxa"/>
            <w:tcBorders>
              <w:top w:val="nil"/>
              <w:left w:val="nil"/>
              <w:bottom w:val="nil"/>
              <w:right w:val="nil"/>
            </w:tcBorders>
          </w:tcPr>
          <w:p w:rsidR="003F72C2" w:rsidRDefault="003F72C2">
            <w:pPr>
              <w:spacing w:after="120"/>
              <w:rPr>
                <w:rFonts w:cs="David"/>
                <w:strike/>
                <w:color w:val="FF0000"/>
                <w:sz w:val="26"/>
                <w:szCs w:val="26"/>
                <w:rtl/>
              </w:rPr>
            </w:pPr>
            <w:r>
              <w:rPr>
                <w:rFonts w:cs="David"/>
                <w:strike/>
                <w:color w:val="FF0000"/>
                <w:sz w:val="26"/>
                <w:szCs w:val="26"/>
                <w:rtl/>
              </w:rPr>
              <w:t xml:space="preserve">5. </w:t>
            </w:r>
          </w:p>
        </w:tc>
        <w:tc>
          <w:tcPr>
            <w:tcW w:w="565" w:type="dxa"/>
            <w:tcBorders>
              <w:top w:val="nil"/>
              <w:left w:val="nil"/>
              <w:bottom w:val="nil"/>
              <w:right w:val="nil"/>
            </w:tcBorders>
          </w:tcPr>
          <w:p w:rsidR="003F72C2" w:rsidRDefault="003F72C2">
            <w:pPr>
              <w:spacing w:after="120"/>
              <w:rPr>
                <w:rFonts w:cs="David"/>
                <w:strike/>
                <w:color w:val="FF0000"/>
                <w:sz w:val="26"/>
                <w:szCs w:val="26"/>
                <w:rtl/>
              </w:rPr>
            </w:pPr>
            <w:r>
              <w:rPr>
                <w:rFonts w:cs="David"/>
                <w:strike/>
                <w:color w:val="FF0000"/>
                <w:sz w:val="26"/>
                <w:szCs w:val="26"/>
                <w:rtl/>
              </w:rPr>
              <w:t xml:space="preserve">(א) </w:t>
            </w:r>
          </w:p>
        </w:tc>
        <w:tc>
          <w:tcPr>
            <w:tcW w:w="6058" w:type="dxa"/>
            <w:gridSpan w:val="4"/>
            <w:tcBorders>
              <w:top w:val="nil"/>
              <w:left w:val="nil"/>
              <w:bottom w:val="nil"/>
              <w:right w:val="nil"/>
            </w:tcBorders>
          </w:tcPr>
          <w:p w:rsidR="003F72C2" w:rsidRDefault="003F72C2">
            <w:pPr>
              <w:spacing w:after="120"/>
              <w:rPr>
                <w:rFonts w:cs="David"/>
                <w:strike/>
                <w:color w:val="FF0000"/>
                <w:sz w:val="26"/>
                <w:szCs w:val="26"/>
                <w:rtl/>
              </w:rPr>
            </w:pPr>
            <w:r>
              <w:rPr>
                <w:rFonts w:cs="David"/>
                <w:strike/>
                <w:color w:val="FF0000"/>
                <w:sz w:val="26"/>
                <w:szCs w:val="26"/>
                <w:rtl/>
              </w:rPr>
              <w:t xml:space="preserve">צו כאמור בסעיף 2 שהטיל מגבלות על עברין מין, שהוא משוחרר על-תנאי לפי חוק שחרור על-תנאי, יהווה חלק מתנאי הרשיון למשוחרר על-תנאי לפי סעיף 14 לאותו חוק, לכל דבר וענין. </w:t>
            </w:r>
          </w:p>
        </w:tc>
      </w:tr>
      <w:tr w:rsidR="003F72C2" w:rsidTr="003F72C2">
        <w:trPr>
          <w:cantSplit/>
          <w:jc w:val="right"/>
        </w:trPr>
        <w:tc>
          <w:tcPr>
            <w:tcW w:w="0" w:type="auto"/>
            <w:vMerge/>
            <w:tcBorders>
              <w:top w:val="nil"/>
              <w:left w:val="nil"/>
              <w:bottom w:val="nil"/>
              <w:right w:val="nil"/>
            </w:tcBorders>
            <w:vAlign w:val="center"/>
          </w:tcPr>
          <w:p w:rsidR="003F72C2" w:rsidRDefault="003F72C2">
            <w:pPr>
              <w:bidi w:val="0"/>
              <w:rPr>
                <w:rFonts w:cs="David"/>
                <w:strike/>
                <w:color w:val="FF0000"/>
                <w:sz w:val="26"/>
                <w:szCs w:val="26"/>
              </w:rPr>
            </w:pPr>
          </w:p>
        </w:tc>
        <w:tc>
          <w:tcPr>
            <w:tcW w:w="542" w:type="dxa"/>
            <w:tcBorders>
              <w:top w:val="nil"/>
              <w:left w:val="nil"/>
              <w:bottom w:val="nil"/>
              <w:right w:val="nil"/>
            </w:tcBorders>
          </w:tcPr>
          <w:p w:rsidR="003F72C2" w:rsidRDefault="003F72C2">
            <w:pPr>
              <w:spacing w:after="120"/>
              <w:rPr>
                <w:rFonts w:cs="David"/>
                <w:strike/>
                <w:color w:val="FF0000"/>
                <w:sz w:val="26"/>
                <w:szCs w:val="26"/>
                <w:rtl/>
              </w:rPr>
            </w:pPr>
          </w:p>
        </w:tc>
        <w:tc>
          <w:tcPr>
            <w:tcW w:w="565" w:type="dxa"/>
            <w:tcBorders>
              <w:top w:val="nil"/>
              <w:left w:val="nil"/>
              <w:bottom w:val="nil"/>
              <w:right w:val="nil"/>
            </w:tcBorders>
          </w:tcPr>
          <w:p w:rsidR="003F72C2" w:rsidRDefault="003F72C2">
            <w:pPr>
              <w:spacing w:after="120"/>
              <w:rPr>
                <w:rFonts w:cs="David"/>
                <w:strike/>
                <w:color w:val="FF0000"/>
                <w:sz w:val="26"/>
                <w:szCs w:val="26"/>
                <w:rtl/>
              </w:rPr>
            </w:pPr>
            <w:r>
              <w:rPr>
                <w:rFonts w:cs="David"/>
                <w:strike/>
                <w:color w:val="FF0000"/>
                <w:sz w:val="26"/>
                <w:szCs w:val="26"/>
                <w:rtl/>
              </w:rPr>
              <w:t xml:space="preserve">(ב) </w:t>
            </w:r>
          </w:p>
        </w:tc>
        <w:tc>
          <w:tcPr>
            <w:tcW w:w="6058" w:type="dxa"/>
            <w:gridSpan w:val="4"/>
            <w:tcBorders>
              <w:top w:val="nil"/>
              <w:left w:val="nil"/>
              <w:bottom w:val="nil"/>
              <w:right w:val="nil"/>
            </w:tcBorders>
          </w:tcPr>
          <w:p w:rsidR="003F72C2" w:rsidRDefault="003F72C2">
            <w:pPr>
              <w:spacing w:after="120"/>
              <w:rPr>
                <w:rFonts w:cs="David"/>
                <w:strike/>
                <w:color w:val="FF0000"/>
                <w:sz w:val="26"/>
                <w:szCs w:val="26"/>
                <w:rtl/>
              </w:rPr>
            </w:pPr>
            <w:r>
              <w:rPr>
                <w:rFonts w:cs="David"/>
                <w:strike/>
                <w:color w:val="FF0000"/>
                <w:sz w:val="26"/>
                <w:szCs w:val="26"/>
                <w:rtl/>
              </w:rPr>
              <w:t>ועדת שחרורים אשר דנה בביטול שחרור על-תנאי ממאסר לפי סעיף 21 לחוק שחרור על-תנאי בשל הפרת מגבלות שהוטלו לפי חוק זה, תשקול גם את האינטרס של נפגע העבירה לפי חוק זה.</w:t>
            </w:r>
          </w:p>
          <w:p w:rsidR="003F72C2" w:rsidRDefault="003F72C2">
            <w:pPr>
              <w:spacing w:after="120"/>
              <w:rPr>
                <w:rFonts w:cs="David"/>
                <w:strike/>
                <w:color w:val="FF0000"/>
                <w:sz w:val="26"/>
                <w:szCs w:val="26"/>
                <w:rtl/>
              </w:rPr>
            </w:pPr>
          </w:p>
        </w:tc>
      </w:tr>
      <w:tr w:rsidR="003F72C2" w:rsidTr="003F72C2">
        <w:trPr>
          <w:jc w:val="right"/>
        </w:trPr>
        <w:tc>
          <w:tcPr>
            <w:tcW w:w="1352" w:type="dxa"/>
            <w:tcBorders>
              <w:top w:val="nil"/>
              <w:left w:val="nil"/>
              <w:bottom w:val="nil"/>
              <w:right w:val="nil"/>
            </w:tcBorders>
          </w:tcPr>
          <w:p w:rsidR="003F72C2" w:rsidRDefault="003F72C2">
            <w:pPr>
              <w:spacing w:after="120"/>
              <w:rPr>
                <w:rFonts w:cs="David"/>
                <w:b/>
                <w:bCs/>
                <w:color w:val="FF0000"/>
                <w:sz w:val="26"/>
                <w:szCs w:val="26"/>
                <w:u w:val="single"/>
                <w:rtl/>
              </w:rPr>
            </w:pPr>
            <w:r>
              <w:rPr>
                <w:rFonts w:cs="David"/>
                <w:b/>
                <w:bCs/>
                <w:color w:val="FF0000"/>
                <w:sz w:val="26"/>
                <w:szCs w:val="26"/>
                <w:u w:val="single"/>
                <w:rtl/>
              </w:rPr>
              <w:t xml:space="preserve">דיווח לכנסת </w:t>
            </w:r>
          </w:p>
        </w:tc>
        <w:tc>
          <w:tcPr>
            <w:tcW w:w="542" w:type="dxa"/>
            <w:tcBorders>
              <w:top w:val="nil"/>
              <w:left w:val="nil"/>
              <w:bottom w:val="nil"/>
              <w:right w:val="nil"/>
            </w:tcBorders>
          </w:tcPr>
          <w:p w:rsidR="003F72C2" w:rsidRDefault="003F72C2">
            <w:pPr>
              <w:spacing w:after="120"/>
              <w:rPr>
                <w:rFonts w:cs="David"/>
                <w:b/>
                <w:bCs/>
                <w:color w:val="FF0000"/>
                <w:sz w:val="26"/>
                <w:szCs w:val="26"/>
                <w:u w:val="single"/>
                <w:rtl/>
              </w:rPr>
            </w:pPr>
            <w:r>
              <w:rPr>
                <w:rFonts w:cs="David"/>
                <w:b/>
                <w:bCs/>
                <w:color w:val="FF0000"/>
                <w:sz w:val="26"/>
                <w:szCs w:val="26"/>
                <w:u w:val="single"/>
                <w:rtl/>
              </w:rPr>
              <w:t>8.</w:t>
            </w:r>
          </w:p>
        </w:tc>
        <w:tc>
          <w:tcPr>
            <w:tcW w:w="6623" w:type="dxa"/>
            <w:gridSpan w:val="5"/>
            <w:tcBorders>
              <w:top w:val="nil"/>
              <w:left w:val="nil"/>
              <w:bottom w:val="nil"/>
              <w:right w:val="nil"/>
            </w:tcBorders>
          </w:tcPr>
          <w:p w:rsidR="003F72C2" w:rsidRDefault="003F72C2">
            <w:pPr>
              <w:spacing w:after="120"/>
              <w:rPr>
                <w:rFonts w:cs="David"/>
                <w:b/>
                <w:bCs/>
                <w:color w:val="FF0000"/>
                <w:sz w:val="26"/>
                <w:szCs w:val="26"/>
                <w:u w:val="single"/>
                <w:rtl/>
              </w:rPr>
            </w:pPr>
            <w:r>
              <w:rPr>
                <w:rFonts w:cs="David"/>
                <w:b/>
                <w:bCs/>
                <w:color w:val="FF0000"/>
                <w:sz w:val="26"/>
                <w:szCs w:val="26"/>
                <w:u w:val="single"/>
                <w:rtl/>
              </w:rPr>
              <w:t xml:space="preserve">שר המשפטים </w:t>
            </w:r>
            <w:r>
              <w:rPr>
                <w:rFonts w:cs="David"/>
                <w:b/>
                <w:bCs/>
                <w:strike/>
                <w:color w:val="FF0000"/>
                <w:sz w:val="26"/>
                <w:szCs w:val="26"/>
                <w:rtl/>
              </w:rPr>
              <w:t>ושר הרווחה</w:t>
            </w:r>
            <w:r>
              <w:rPr>
                <w:rStyle w:val="aa"/>
                <w:b/>
                <w:bCs/>
                <w:color w:val="FF0000"/>
                <w:sz w:val="26"/>
                <w:szCs w:val="26"/>
                <w:u w:val="single"/>
                <w:rtl/>
              </w:rPr>
              <w:footnoteReference w:id="15"/>
            </w:r>
            <w:r>
              <w:rPr>
                <w:rFonts w:cs="David"/>
                <w:b/>
                <w:bCs/>
                <w:color w:val="FF0000"/>
                <w:sz w:val="26"/>
                <w:szCs w:val="26"/>
                <w:u w:val="single"/>
                <w:rtl/>
              </w:rPr>
              <w:t xml:space="preserve"> יגיש, מדי שנה, לועדת חוקה חוק ומשפט של הכנסת חוות דעת בענין יישומו של חוק זה אשר תכלול, בין היתר, את הנתונים הבאים:</w:t>
            </w:r>
          </w:p>
          <w:p w:rsidR="003F72C2" w:rsidRDefault="003F72C2">
            <w:pPr>
              <w:spacing w:after="120"/>
              <w:ind w:left="389" w:hanging="389"/>
              <w:rPr>
                <w:rFonts w:cs="David"/>
                <w:b/>
                <w:bCs/>
                <w:color w:val="FF0000"/>
                <w:sz w:val="26"/>
                <w:szCs w:val="26"/>
                <w:u w:val="single"/>
                <w:rtl/>
              </w:rPr>
            </w:pPr>
            <w:r>
              <w:rPr>
                <w:rFonts w:cs="David"/>
                <w:b/>
                <w:bCs/>
                <w:color w:val="FF0000"/>
                <w:sz w:val="26"/>
                <w:szCs w:val="26"/>
                <w:u w:val="single"/>
                <w:rtl/>
              </w:rPr>
              <w:t>(1)  מספר הבקשות שהוגשו לפי סעיף 2, ומספר הצוים שבמסגרתם הטיל בית המשפט מגבלות;</w:t>
            </w:r>
          </w:p>
          <w:p w:rsidR="003F72C2" w:rsidRDefault="003F72C2">
            <w:pPr>
              <w:spacing w:after="120"/>
              <w:rPr>
                <w:rFonts w:cs="David"/>
                <w:b/>
                <w:bCs/>
                <w:color w:val="FF0000"/>
                <w:sz w:val="26"/>
                <w:szCs w:val="26"/>
                <w:u w:val="single"/>
                <w:rtl/>
              </w:rPr>
            </w:pPr>
            <w:r>
              <w:rPr>
                <w:rFonts w:cs="David"/>
                <w:b/>
                <w:bCs/>
                <w:color w:val="FF0000"/>
                <w:sz w:val="26"/>
                <w:szCs w:val="26"/>
                <w:u w:val="single"/>
                <w:rtl/>
              </w:rPr>
              <w:t>(2) סוג המגבלות שהוטלו ותוקפן, לרבות הארכת תוקף;</w:t>
            </w:r>
          </w:p>
          <w:p w:rsidR="003F72C2" w:rsidRDefault="003F72C2">
            <w:pPr>
              <w:spacing w:after="120"/>
              <w:rPr>
                <w:rFonts w:cs="David"/>
                <w:b/>
                <w:bCs/>
                <w:color w:val="FF0000"/>
                <w:sz w:val="26"/>
                <w:szCs w:val="26"/>
                <w:u w:val="single"/>
                <w:rtl/>
              </w:rPr>
            </w:pPr>
            <w:r>
              <w:rPr>
                <w:rFonts w:cs="David"/>
                <w:b/>
                <w:bCs/>
                <w:color w:val="FF0000"/>
                <w:sz w:val="26"/>
                <w:szCs w:val="26"/>
                <w:u w:val="single"/>
                <w:rtl/>
              </w:rPr>
              <w:t>(3) מספר הבקשות שהוגשו לפי סעיף 4, ותוצאות הדיון בהן;</w:t>
            </w:r>
          </w:p>
          <w:p w:rsidR="003F72C2" w:rsidRDefault="003F72C2">
            <w:pPr>
              <w:spacing w:after="120"/>
              <w:rPr>
                <w:rFonts w:cs="David"/>
                <w:b/>
                <w:bCs/>
                <w:color w:val="FF0000"/>
                <w:sz w:val="26"/>
                <w:szCs w:val="26"/>
                <w:u w:val="single"/>
                <w:rtl/>
              </w:rPr>
            </w:pPr>
            <w:r>
              <w:rPr>
                <w:rFonts w:cs="David"/>
                <w:b/>
                <w:bCs/>
                <w:color w:val="FF0000"/>
                <w:sz w:val="26"/>
                <w:szCs w:val="26"/>
                <w:u w:val="single"/>
                <w:rtl/>
              </w:rPr>
              <w:t xml:space="preserve">(4) מספר הצוים שהופרו, והאמצעים שננקטו בעקבות ההפרה. </w:t>
            </w:r>
          </w:p>
          <w:p w:rsidR="003F72C2" w:rsidRDefault="003F72C2">
            <w:pPr>
              <w:spacing w:after="120"/>
              <w:rPr>
                <w:rFonts w:cs="David"/>
                <w:b/>
                <w:bCs/>
                <w:color w:val="FF0000"/>
                <w:sz w:val="26"/>
                <w:szCs w:val="26"/>
                <w:u w:val="single"/>
                <w:rtl/>
              </w:rPr>
            </w:pPr>
          </w:p>
        </w:tc>
      </w:tr>
      <w:tr w:rsidR="003F72C2" w:rsidTr="003F72C2">
        <w:trPr>
          <w:jc w:val="right"/>
        </w:trPr>
        <w:tc>
          <w:tcPr>
            <w:tcW w:w="1352" w:type="dxa"/>
            <w:tcBorders>
              <w:top w:val="nil"/>
              <w:left w:val="nil"/>
              <w:bottom w:val="nil"/>
              <w:right w:val="nil"/>
            </w:tcBorders>
          </w:tcPr>
          <w:p w:rsidR="003F72C2" w:rsidRDefault="003F72C2">
            <w:pPr>
              <w:spacing w:after="120"/>
              <w:rPr>
                <w:rFonts w:cs="David"/>
                <w:sz w:val="24"/>
                <w:rtl/>
              </w:rPr>
            </w:pPr>
            <w:r>
              <w:rPr>
                <w:rFonts w:cs="David"/>
                <w:sz w:val="24"/>
                <w:rtl/>
              </w:rPr>
              <w:t xml:space="preserve">ביצוע ותקנות </w:t>
            </w:r>
          </w:p>
        </w:tc>
        <w:tc>
          <w:tcPr>
            <w:tcW w:w="542" w:type="dxa"/>
            <w:tcBorders>
              <w:top w:val="nil"/>
              <w:left w:val="nil"/>
              <w:bottom w:val="nil"/>
              <w:right w:val="nil"/>
            </w:tcBorders>
          </w:tcPr>
          <w:p w:rsidR="003F72C2" w:rsidRDefault="003F72C2">
            <w:pPr>
              <w:spacing w:after="120"/>
              <w:rPr>
                <w:rFonts w:cs="David"/>
                <w:sz w:val="26"/>
                <w:szCs w:val="26"/>
                <w:rtl/>
              </w:rPr>
            </w:pPr>
            <w:r>
              <w:rPr>
                <w:rFonts w:cs="David"/>
                <w:sz w:val="26"/>
                <w:szCs w:val="26"/>
                <w:rtl/>
              </w:rPr>
              <w:t xml:space="preserve">9. </w:t>
            </w:r>
          </w:p>
        </w:tc>
        <w:tc>
          <w:tcPr>
            <w:tcW w:w="6623" w:type="dxa"/>
            <w:gridSpan w:val="5"/>
            <w:tcBorders>
              <w:top w:val="nil"/>
              <w:left w:val="nil"/>
              <w:bottom w:val="nil"/>
              <w:right w:val="nil"/>
            </w:tcBorders>
          </w:tcPr>
          <w:p w:rsidR="003F72C2" w:rsidRDefault="003F72C2">
            <w:pPr>
              <w:spacing w:after="120"/>
              <w:rPr>
                <w:rFonts w:cs="David"/>
                <w:sz w:val="26"/>
                <w:szCs w:val="26"/>
                <w:rtl/>
              </w:rPr>
            </w:pPr>
            <w:r>
              <w:rPr>
                <w:rFonts w:cs="David"/>
                <w:sz w:val="26"/>
                <w:szCs w:val="26"/>
                <w:rtl/>
              </w:rPr>
              <w:t xml:space="preserve">שר המשפטים ממונה על ביצוע חוק זה והוא רשאי, באישור ועדת החוקה חוק ומשפט של הכנסת, להתקין תקנות בכל ענין הנוגע לביצועו, ובין היתר בענינים אלה: </w:t>
            </w:r>
          </w:p>
          <w:p w:rsidR="003F72C2" w:rsidRDefault="003F72C2">
            <w:pPr>
              <w:numPr>
                <w:ilvl w:val="0"/>
                <w:numId w:val="9"/>
              </w:numPr>
              <w:spacing w:after="120"/>
              <w:rPr>
                <w:rFonts w:cs="David"/>
                <w:sz w:val="26"/>
                <w:szCs w:val="26"/>
                <w:rtl/>
              </w:rPr>
            </w:pPr>
            <w:r>
              <w:rPr>
                <w:rFonts w:cs="David"/>
                <w:sz w:val="26"/>
                <w:szCs w:val="26"/>
                <w:rtl/>
              </w:rPr>
              <w:t>הדרכים והמועדים להגשת בקשה להטלת מגבלות, בקשה לעיון חוזר, ערר או ערעור;</w:t>
            </w:r>
          </w:p>
          <w:p w:rsidR="003F72C2" w:rsidRDefault="003F72C2">
            <w:pPr>
              <w:numPr>
                <w:ilvl w:val="0"/>
                <w:numId w:val="9"/>
              </w:numPr>
              <w:spacing w:after="120"/>
              <w:rPr>
                <w:rFonts w:cs="David"/>
                <w:sz w:val="26"/>
                <w:szCs w:val="26"/>
                <w:rtl/>
              </w:rPr>
            </w:pPr>
            <w:r>
              <w:rPr>
                <w:rFonts w:cs="David"/>
                <w:sz w:val="26"/>
                <w:szCs w:val="26"/>
                <w:rtl/>
              </w:rPr>
              <w:t>הדרך והמועד ליידוע הגורמים המנויים בסעיף קטן 3(ב) בדבר הגשת בקשה להטלת מגבלות;</w:t>
            </w:r>
          </w:p>
          <w:p w:rsidR="003F72C2" w:rsidRDefault="003F72C2">
            <w:pPr>
              <w:numPr>
                <w:ilvl w:val="0"/>
                <w:numId w:val="9"/>
              </w:numPr>
              <w:spacing w:after="120"/>
              <w:rPr>
                <w:rFonts w:cs="David"/>
                <w:sz w:val="26"/>
                <w:szCs w:val="26"/>
                <w:rtl/>
              </w:rPr>
            </w:pPr>
            <w:r>
              <w:rPr>
                <w:rFonts w:cs="David"/>
                <w:b/>
                <w:bCs/>
                <w:color w:val="FF0000"/>
                <w:sz w:val="26"/>
                <w:szCs w:val="26"/>
                <w:u w:val="single"/>
                <w:rtl/>
              </w:rPr>
              <w:t>מינוי מומחה מטעם בית המשפט כאמור בסעיף 4, דרכי פעולתו ושכרו;</w:t>
            </w:r>
            <w:r>
              <w:rPr>
                <w:rStyle w:val="aa"/>
                <w:b/>
                <w:bCs/>
                <w:color w:val="FF0000"/>
                <w:sz w:val="26"/>
                <w:szCs w:val="26"/>
                <w:u w:val="single"/>
                <w:rtl/>
              </w:rPr>
              <w:footnoteReference w:id="16"/>
            </w:r>
          </w:p>
          <w:p w:rsidR="003F72C2" w:rsidRDefault="003F72C2">
            <w:pPr>
              <w:numPr>
                <w:ilvl w:val="0"/>
                <w:numId w:val="9"/>
              </w:numPr>
              <w:spacing w:after="120"/>
              <w:rPr>
                <w:rFonts w:cs="David"/>
                <w:sz w:val="26"/>
                <w:szCs w:val="26"/>
                <w:rtl/>
              </w:rPr>
            </w:pPr>
            <w:r>
              <w:rPr>
                <w:rFonts w:cs="David"/>
                <w:b/>
                <w:bCs/>
                <w:color w:val="FF0000"/>
                <w:sz w:val="26"/>
                <w:szCs w:val="26"/>
                <w:u w:val="single"/>
                <w:rtl/>
              </w:rPr>
              <w:t>...</w:t>
            </w:r>
            <w:r>
              <w:rPr>
                <w:rFonts w:cs="David"/>
                <w:sz w:val="26"/>
                <w:szCs w:val="26"/>
                <w:rtl/>
              </w:rPr>
              <w:t xml:space="preserve">    </w:t>
            </w:r>
          </w:p>
          <w:p w:rsidR="003F72C2" w:rsidRDefault="003F72C2">
            <w:pPr>
              <w:spacing w:after="120"/>
              <w:rPr>
                <w:rFonts w:cs="David"/>
                <w:sz w:val="26"/>
                <w:szCs w:val="26"/>
                <w:rtl/>
              </w:rPr>
            </w:pPr>
          </w:p>
        </w:tc>
      </w:tr>
      <w:tr w:rsidR="003F72C2" w:rsidTr="003F72C2">
        <w:trPr>
          <w:jc w:val="right"/>
        </w:trPr>
        <w:tc>
          <w:tcPr>
            <w:tcW w:w="1352" w:type="dxa"/>
            <w:tcBorders>
              <w:top w:val="nil"/>
              <w:left w:val="nil"/>
              <w:bottom w:val="nil"/>
              <w:right w:val="nil"/>
            </w:tcBorders>
          </w:tcPr>
          <w:p w:rsidR="003F72C2" w:rsidRDefault="003F72C2">
            <w:pPr>
              <w:spacing w:after="120"/>
              <w:rPr>
                <w:rFonts w:cs="David"/>
                <w:b/>
                <w:bCs/>
                <w:strike/>
                <w:color w:val="FF0000"/>
                <w:sz w:val="24"/>
                <w:rtl/>
              </w:rPr>
            </w:pPr>
            <w:r>
              <w:rPr>
                <w:rFonts w:cs="David"/>
                <w:b/>
                <w:bCs/>
                <w:strike/>
                <w:color w:val="FF0000"/>
                <w:sz w:val="26"/>
                <w:szCs w:val="26"/>
                <w:rtl/>
              </w:rPr>
              <w:t>שמירת דינים</w:t>
            </w:r>
            <w:r>
              <w:rPr>
                <w:rStyle w:val="aa"/>
                <w:b/>
                <w:bCs/>
                <w:strike/>
                <w:color w:val="FF0000"/>
                <w:sz w:val="26"/>
                <w:szCs w:val="26"/>
                <w:rtl/>
              </w:rPr>
              <w:footnoteReference w:id="17"/>
            </w:r>
            <w:r>
              <w:rPr>
                <w:rStyle w:val="aa"/>
                <w:b/>
                <w:bCs/>
                <w:strike/>
                <w:color w:val="FF0000"/>
                <w:sz w:val="26"/>
                <w:szCs w:val="26"/>
                <w:rtl/>
              </w:rPr>
              <w:footnoteReference w:id="18"/>
            </w:r>
          </w:p>
        </w:tc>
        <w:tc>
          <w:tcPr>
            <w:tcW w:w="542" w:type="dxa"/>
            <w:tcBorders>
              <w:top w:val="nil"/>
              <w:left w:val="nil"/>
              <w:bottom w:val="nil"/>
              <w:right w:val="nil"/>
            </w:tcBorders>
          </w:tcPr>
          <w:p w:rsidR="003F72C2" w:rsidRDefault="003F72C2">
            <w:pPr>
              <w:spacing w:after="120"/>
              <w:rPr>
                <w:rFonts w:cs="David"/>
                <w:b/>
                <w:bCs/>
                <w:strike/>
                <w:color w:val="FF0000"/>
                <w:sz w:val="26"/>
                <w:szCs w:val="26"/>
                <w:rtl/>
              </w:rPr>
            </w:pPr>
            <w:r>
              <w:rPr>
                <w:rFonts w:cs="David"/>
                <w:b/>
                <w:bCs/>
                <w:strike/>
                <w:color w:val="FF0000"/>
                <w:sz w:val="26"/>
                <w:szCs w:val="26"/>
                <w:rtl/>
              </w:rPr>
              <w:t>7.</w:t>
            </w:r>
          </w:p>
        </w:tc>
        <w:tc>
          <w:tcPr>
            <w:tcW w:w="6623" w:type="dxa"/>
            <w:gridSpan w:val="5"/>
            <w:tcBorders>
              <w:top w:val="nil"/>
              <w:left w:val="nil"/>
              <w:bottom w:val="nil"/>
              <w:right w:val="nil"/>
            </w:tcBorders>
          </w:tcPr>
          <w:p w:rsidR="003F72C2" w:rsidRDefault="003F72C2">
            <w:pPr>
              <w:spacing w:after="120"/>
              <w:rPr>
                <w:rFonts w:cs="David"/>
                <w:b/>
                <w:bCs/>
                <w:strike/>
                <w:color w:val="FF0000"/>
                <w:sz w:val="26"/>
                <w:szCs w:val="26"/>
                <w:rtl/>
              </w:rPr>
            </w:pPr>
            <w:r>
              <w:rPr>
                <w:rFonts w:cs="David"/>
                <w:b/>
                <w:bCs/>
                <w:strike/>
                <w:color w:val="FF0000"/>
                <w:sz w:val="26"/>
                <w:szCs w:val="26"/>
                <w:rtl/>
              </w:rPr>
              <w:t>חוק זה בא להוסיף על סמכות בית המשפט לפי כל דין, לרבות סמכותו לפי חוק למניעת אלימות במשפחה, התשנ"א-1991</w:t>
            </w:r>
            <w:r>
              <w:rPr>
                <w:rStyle w:val="aa"/>
                <w:b/>
                <w:bCs/>
                <w:strike/>
                <w:color w:val="FF0000"/>
                <w:sz w:val="26"/>
                <w:szCs w:val="26"/>
                <w:rtl/>
              </w:rPr>
              <w:footnoteReference w:id="19"/>
            </w:r>
            <w:r>
              <w:rPr>
                <w:rFonts w:cs="David"/>
                <w:b/>
                <w:bCs/>
                <w:strike/>
                <w:color w:val="FF0000"/>
                <w:sz w:val="26"/>
                <w:szCs w:val="26"/>
                <w:rtl/>
              </w:rPr>
              <w:t xml:space="preserve"> ולפי חוק למניעת הטרדה מאיימת, התשס"ב - 2002</w:t>
            </w:r>
            <w:r>
              <w:rPr>
                <w:rStyle w:val="aa"/>
                <w:b/>
                <w:bCs/>
                <w:strike/>
                <w:color w:val="FF0000"/>
                <w:sz w:val="26"/>
                <w:szCs w:val="26"/>
                <w:rtl/>
              </w:rPr>
              <w:footnoteReference w:id="20"/>
            </w:r>
            <w:r>
              <w:rPr>
                <w:rFonts w:cs="David"/>
                <w:b/>
                <w:bCs/>
                <w:strike/>
                <w:color w:val="FF0000"/>
                <w:sz w:val="26"/>
                <w:szCs w:val="26"/>
                <w:rtl/>
              </w:rPr>
              <w:t>, וכן על סמכות הגורמים המוסמכים לפי חוק שחרור על-תנאי להחליט על שחרור על-תנאי ממאסר של עברין מין ולהתנות את השחרור בתנאים.</w:t>
            </w:r>
          </w:p>
        </w:tc>
      </w:tr>
      <w:tr w:rsidR="003F72C2" w:rsidTr="003F72C2">
        <w:trPr>
          <w:jc w:val="right"/>
        </w:trPr>
        <w:tc>
          <w:tcPr>
            <w:tcW w:w="1352" w:type="dxa"/>
            <w:tcBorders>
              <w:top w:val="nil"/>
              <w:left w:val="nil"/>
              <w:bottom w:val="nil"/>
              <w:right w:val="nil"/>
            </w:tcBorders>
          </w:tcPr>
          <w:p w:rsidR="003F72C2" w:rsidRDefault="003F72C2">
            <w:pPr>
              <w:spacing w:after="120"/>
              <w:rPr>
                <w:rFonts w:cs="David"/>
                <w:b/>
                <w:bCs/>
                <w:color w:val="FF0000"/>
                <w:sz w:val="26"/>
                <w:szCs w:val="26"/>
                <w:u w:val="single"/>
                <w:rtl/>
              </w:rPr>
            </w:pPr>
            <w:r>
              <w:rPr>
                <w:rFonts w:cs="David"/>
                <w:b/>
                <w:bCs/>
                <w:color w:val="FF0000"/>
                <w:sz w:val="26"/>
                <w:szCs w:val="26"/>
                <w:u w:val="single"/>
                <w:rtl/>
              </w:rPr>
              <w:t>תיקון חוק הסניגוריה הציבורית [מס' ...]</w:t>
            </w:r>
          </w:p>
        </w:tc>
        <w:tc>
          <w:tcPr>
            <w:tcW w:w="542" w:type="dxa"/>
            <w:tcBorders>
              <w:top w:val="nil"/>
              <w:left w:val="nil"/>
              <w:bottom w:val="nil"/>
              <w:right w:val="nil"/>
            </w:tcBorders>
          </w:tcPr>
          <w:p w:rsidR="003F72C2" w:rsidRDefault="003F72C2">
            <w:pPr>
              <w:spacing w:after="120"/>
              <w:rPr>
                <w:rFonts w:cs="David"/>
                <w:b/>
                <w:bCs/>
                <w:color w:val="FF0000"/>
                <w:sz w:val="26"/>
                <w:szCs w:val="26"/>
                <w:u w:val="single"/>
                <w:rtl/>
              </w:rPr>
            </w:pPr>
            <w:r>
              <w:rPr>
                <w:rFonts w:cs="David"/>
                <w:b/>
                <w:bCs/>
                <w:color w:val="FF0000"/>
                <w:sz w:val="26"/>
                <w:szCs w:val="26"/>
                <w:u w:val="single"/>
                <w:rtl/>
              </w:rPr>
              <w:t xml:space="preserve">10. </w:t>
            </w:r>
          </w:p>
        </w:tc>
        <w:tc>
          <w:tcPr>
            <w:tcW w:w="6623" w:type="dxa"/>
            <w:gridSpan w:val="5"/>
            <w:tcBorders>
              <w:top w:val="nil"/>
              <w:left w:val="nil"/>
              <w:bottom w:val="nil"/>
              <w:right w:val="nil"/>
            </w:tcBorders>
          </w:tcPr>
          <w:p w:rsidR="003F72C2" w:rsidRDefault="003F72C2">
            <w:pPr>
              <w:spacing w:after="120"/>
              <w:rPr>
                <w:rFonts w:cs="David"/>
                <w:b/>
                <w:bCs/>
                <w:color w:val="FF0000"/>
                <w:sz w:val="26"/>
                <w:szCs w:val="26"/>
                <w:u w:val="single"/>
                <w:rtl/>
              </w:rPr>
            </w:pPr>
            <w:r>
              <w:rPr>
                <w:rFonts w:cs="David"/>
                <w:b/>
                <w:bCs/>
                <w:color w:val="FF0000"/>
                <w:sz w:val="26"/>
                <w:szCs w:val="26"/>
                <w:u w:val="single"/>
                <w:rtl/>
              </w:rPr>
              <w:t>בחוק הסניגוריה הציבורית, התשנ"ו-1995</w:t>
            </w:r>
            <w:r>
              <w:rPr>
                <w:rStyle w:val="aa"/>
                <w:b/>
                <w:bCs/>
                <w:color w:val="FF0000"/>
                <w:sz w:val="26"/>
                <w:szCs w:val="26"/>
                <w:u w:val="single"/>
                <w:rtl/>
              </w:rPr>
              <w:footnoteReference w:id="21"/>
            </w:r>
            <w:r>
              <w:rPr>
                <w:rFonts w:cs="David"/>
                <w:b/>
                <w:bCs/>
                <w:color w:val="FF0000"/>
                <w:sz w:val="26"/>
                <w:szCs w:val="26"/>
                <w:u w:val="single"/>
                <w:rtl/>
              </w:rPr>
              <w:t xml:space="preserve">, בסעיף 18(א), אחרי פסקה (12) יבוא: </w:t>
            </w:r>
          </w:p>
          <w:p w:rsidR="003F72C2" w:rsidRDefault="003F72C2">
            <w:pPr>
              <w:spacing w:after="120"/>
              <w:ind w:left="569" w:hanging="569"/>
              <w:rPr>
                <w:rFonts w:cs="David"/>
                <w:b/>
                <w:bCs/>
                <w:color w:val="FF0000"/>
                <w:sz w:val="26"/>
                <w:szCs w:val="26"/>
                <w:u w:val="single"/>
                <w:rtl/>
              </w:rPr>
            </w:pPr>
            <w:r>
              <w:rPr>
                <w:rFonts w:cs="David"/>
                <w:b/>
                <w:bCs/>
                <w:color w:val="FF0000"/>
                <w:sz w:val="26"/>
                <w:szCs w:val="26"/>
                <w:u w:val="single"/>
                <w:rtl/>
              </w:rPr>
              <w:t xml:space="preserve">"(13) עברין מין שבית המשפט החליט למנות לו סניגור לפי סעיף 6לחוק מגבלות על חזרת עברין מין לסביבת נפגע העבירה, התשס"ד-2004." </w:t>
            </w:r>
          </w:p>
        </w:tc>
      </w:tr>
      <w:tr w:rsidR="003F72C2" w:rsidTr="003F72C2">
        <w:trPr>
          <w:cantSplit/>
          <w:jc w:val="right"/>
        </w:trPr>
        <w:tc>
          <w:tcPr>
            <w:tcW w:w="1352" w:type="dxa"/>
            <w:vMerge w:val="restart"/>
            <w:tcBorders>
              <w:top w:val="nil"/>
              <w:left w:val="nil"/>
              <w:bottom w:val="nil"/>
              <w:right w:val="nil"/>
            </w:tcBorders>
          </w:tcPr>
          <w:p w:rsidR="003F72C2" w:rsidRDefault="003F72C2">
            <w:pPr>
              <w:spacing w:after="120"/>
              <w:rPr>
                <w:rFonts w:cs="David"/>
                <w:b/>
                <w:bCs/>
                <w:color w:val="FF0000"/>
                <w:sz w:val="26"/>
                <w:szCs w:val="26"/>
                <w:u w:val="single"/>
                <w:rtl/>
              </w:rPr>
            </w:pPr>
            <w:r>
              <w:rPr>
                <w:rFonts w:cs="David"/>
                <w:b/>
                <w:bCs/>
                <w:color w:val="FF0000"/>
                <w:sz w:val="26"/>
                <w:szCs w:val="26"/>
                <w:u w:val="single"/>
                <w:rtl/>
              </w:rPr>
              <w:t xml:space="preserve">תיקון חוק שחרור על תנאי ממאסר </w:t>
            </w:r>
          </w:p>
          <w:p w:rsidR="003F72C2" w:rsidRDefault="003F72C2">
            <w:pPr>
              <w:spacing w:after="120"/>
              <w:rPr>
                <w:rFonts w:cs="David"/>
                <w:b/>
                <w:bCs/>
                <w:color w:val="FF0000"/>
                <w:sz w:val="26"/>
                <w:szCs w:val="26"/>
                <w:u w:val="single"/>
                <w:rtl/>
              </w:rPr>
            </w:pPr>
            <w:r>
              <w:rPr>
                <w:rFonts w:cs="David"/>
                <w:b/>
                <w:bCs/>
                <w:color w:val="FF0000"/>
                <w:sz w:val="26"/>
                <w:szCs w:val="26"/>
                <w:u w:val="single"/>
                <w:rtl/>
              </w:rPr>
              <w:t>[מס' ...]</w:t>
            </w:r>
          </w:p>
        </w:tc>
        <w:tc>
          <w:tcPr>
            <w:tcW w:w="542" w:type="dxa"/>
            <w:tcBorders>
              <w:top w:val="nil"/>
              <w:left w:val="nil"/>
              <w:bottom w:val="nil"/>
              <w:right w:val="nil"/>
            </w:tcBorders>
          </w:tcPr>
          <w:p w:rsidR="003F72C2" w:rsidRDefault="003F72C2">
            <w:pPr>
              <w:spacing w:after="120"/>
              <w:rPr>
                <w:rFonts w:cs="David"/>
                <w:b/>
                <w:bCs/>
                <w:color w:val="FF0000"/>
                <w:sz w:val="26"/>
                <w:szCs w:val="26"/>
                <w:u w:val="single"/>
                <w:rtl/>
              </w:rPr>
            </w:pPr>
            <w:r>
              <w:rPr>
                <w:rFonts w:cs="David"/>
                <w:b/>
                <w:bCs/>
                <w:color w:val="FF0000"/>
                <w:sz w:val="26"/>
                <w:szCs w:val="26"/>
                <w:u w:val="single"/>
                <w:rtl/>
              </w:rPr>
              <w:t xml:space="preserve">11. </w:t>
            </w:r>
          </w:p>
        </w:tc>
        <w:tc>
          <w:tcPr>
            <w:tcW w:w="6623" w:type="dxa"/>
            <w:gridSpan w:val="5"/>
            <w:tcBorders>
              <w:top w:val="nil"/>
              <w:left w:val="nil"/>
              <w:bottom w:val="nil"/>
              <w:right w:val="nil"/>
            </w:tcBorders>
          </w:tcPr>
          <w:p w:rsidR="003F72C2" w:rsidRDefault="003F72C2">
            <w:pPr>
              <w:spacing w:after="120"/>
              <w:rPr>
                <w:rFonts w:cs="David"/>
                <w:b/>
                <w:bCs/>
                <w:color w:val="FF0000"/>
                <w:sz w:val="26"/>
                <w:szCs w:val="26"/>
                <w:u w:val="single"/>
                <w:rtl/>
              </w:rPr>
            </w:pPr>
            <w:r>
              <w:rPr>
                <w:rFonts w:cs="David"/>
                <w:b/>
                <w:bCs/>
                <w:color w:val="FF0000"/>
                <w:sz w:val="26"/>
                <w:szCs w:val="26"/>
                <w:u w:val="single"/>
                <w:rtl/>
              </w:rPr>
              <w:t>בחוק שחרור על תנאי ממאסר, התשס"א-2001</w:t>
            </w:r>
            <w:r>
              <w:rPr>
                <w:rStyle w:val="aa"/>
                <w:b/>
                <w:bCs/>
                <w:color w:val="FF0000"/>
                <w:sz w:val="26"/>
                <w:szCs w:val="26"/>
                <w:u w:val="single"/>
                <w:rtl/>
              </w:rPr>
              <w:footnoteReference w:id="22"/>
            </w:r>
            <w:r>
              <w:rPr>
                <w:rFonts w:cs="David"/>
                <w:b/>
                <w:bCs/>
                <w:color w:val="FF0000"/>
                <w:sz w:val="26"/>
                <w:szCs w:val="26"/>
                <w:u w:val="single"/>
                <w:rtl/>
              </w:rPr>
              <w:t xml:space="preserve"> - </w:t>
            </w:r>
          </w:p>
        </w:tc>
      </w:tr>
      <w:tr w:rsidR="003F72C2" w:rsidTr="003F72C2">
        <w:trPr>
          <w:cantSplit/>
          <w:jc w:val="right"/>
        </w:trPr>
        <w:tc>
          <w:tcPr>
            <w:tcW w:w="0" w:type="auto"/>
            <w:vMerge/>
            <w:tcBorders>
              <w:top w:val="nil"/>
              <w:left w:val="nil"/>
              <w:bottom w:val="nil"/>
              <w:right w:val="nil"/>
            </w:tcBorders>
            <w:vAlign w:val="center"/>
          </w:tcPr>
          <w:p w:rsidR="003F72C2" w:rsidRDefault="003F72C2">
            <w:pPr>
              <w:bidi w:val="0"/>
              <w:rPr>
                <w:rFonts w:cs="David"/>
                <w:b/>
                <w:bCs/>
                <w:color w:val="FF0000"/>
                <w:sz w:val="26"/>
                <w:szCs w:val="26"/>
                <w:u w:val="single"/>
              </w:rPr>
            </w:pPr>
          </w:p>
        </w:tc>
        <w:tc>
          <w:tcPr>
            <w:tcW w:w="542" w:type="dxa"/>
            <w:tcBorders>
              <w:top w:val="nil"/>
              <w:left w:val="nil"/>
              <w:bottom w:val="nil"/>
              <w:right w:val="nil"/>
            </w:tcBorders>
          </w:tcPr>
          <w:p w:rsidR="003F72C2" w:rsidRDefault="003F72C2">
            <w:pPr>
              <w:spacing w:after="120"/>
              <w:rPr>
                <w:rFonts w:cs="David"/>
                <w:b/>
                <w:bCs/>
                <w:color w:val="FF0000"/>
                <w:sz w:val="26"/>
                <w:szCs w:val="26"/>
                <w:u w:val="single"/>
                <w:rtl/>
              </w:rPr>
            </w:pPr>
          </w:p>
        </w:tc>
        <w:tc>
          <w:tcPr>
            <w:tcW w:w="626" w:type="dxa"/>
            <w:gridSpan w:val="2"/>
            <w:tcBorders>
              <w:top w:val="nil"/>
              <w:left w:val="nil"/>
              <w:bottom w:val="nil"/>
              <w:right w:val="nil"/>
            </w:tcBorders>
          </w:tcPr>
          <w:p w:rsidR="003F72C2" w:rsidRDefault="003F72C2">
            <w:pPr>
              <w:spacing w:after="120"/>
              <w:rPr>
                <w:rFonts w:cs="David"/>
                <w:b/>
                <w:bCs/>
                <w:color w:val="FF0000"/>
                <w:sz w:val="26"/>
                <w:szCs w:val="26"/>
                <w:u w:val="single"/>
                <w:rtl/>
              </w:rPr>
            </w:pPr>
            <w:r>
              <w:rPr>
                <w:rFonts w:cs="David"/>
                <w:b/>
                <w:bCs/>
                <w:color w:val="FF0000"/>
                <w:sz w:val="26"/>
                <w:szCs w:val="26"/>
                <w:u w:val="single"/>
                <w:rtl/>
              </w:rPr>
              <w:t xml:space="preserve">(1) </w:t>
            </w:r>
          </w:p>
        </w:tc>
        <w:tc>
          <w:tcPr>
            <w:tcW w:w="5997" w:type="dxa"/>
            <w:gridSpan w:val="3"/>
            <w:tcBorders>
              <w:top w:val="nil"/>
              <w:left w:val="nil"/>
              <w:bottom w:val="nil"/>
              <w:right w:val="nil"/>
            </w:tcBorders>
          </w:tcPr>
          <w:p w:rsidR="003F72C2" w:rsidRDefault="003F72C2">
            <w:pPr>
              <w:spacing w:after="120"/>
              <w:rPr>
                <w:rFonts w:cs="David"/>
                <w:b/>
                <w:bCs/>
                <w:color w:val="FF0000"/>
                <w:sz w:val="26"/>
                <w:szCs w:val="26"/>
                <w:u w:val="single"/>
                <w:rtl/>
              </w:rPr>
            </w:pPr>
            <w:r>
              <w:rPr>
                <w:rFonts w:cs="David"/>
                <w:b/>
                <w:bCs/>
                <w:color w:val="FF0000"/>
                <w:sz w:val="26"/>
                <w:szCs w:val="26"/>
                <w:u w:val="single"/>
                <w:rtl/>
              </w:rPr>
              <w:t xml:space="preserve">בסעיף 13, אחרי סעיף קטן (ד) יבוא:  </w:t>
            </w:r>
          </w:p>
        </w:tc>
      </w:tr>
      <w:tr w:rsidR="003F72C2" w:rsidTr="003F72C2">
        <w:trPr>
          <w:cantSplit/>
          <w:jc w:val="right"/>
        </w:trPr>
        <w:tc>
          <w:tcPr>
            <w:tcW w:w="0" w:type="auto"/>
            <w:vMerge/>
            <w:tcBorders>
              <w:top w:val="nil"/>
              <w:left w:val="nil"/>
              <w:bottom w:val="nil"/>
              <w:right w:val="nil"/>
            </w:tcBorders>
            <w:vAlign w:val="center"/>
          </w:tcPr>
          <w:p w:rsidR="003F72C2" w:rsidRDefault="003F72C2">
            <w:pPr>
              <w:bidi w:val="0"/>
              <w:rPr>
                <w:rFonts w:cs="David"/>
                <w:b/>
                <w:bCs/>
                <w:color w:val="FF0000"/>
                <w:sz w:val="26"/>
                <w:szCs w:val="26"/>
                <w:u w:val="single"/>
              </w:rPr>
            </w:pPr>
          </w:p>
        </w:tc>
        <w:tc>
          <w:tcPr>
            <w:tcW w:w="542" w:type="dxa"/>
            <w:tcBorders>
              <w:top w:val="nil"/>
              <w:left w:val="nil"/>
              <w:bottom w:val="nil"/>
              <w:right w:val="nil"/>
            </w:tcBorders>
          </w:tcPr>
          <w:p w:rsidR="003F72C2" w:rsidRDefault="003F72C2">
            <w:pPr>
              <w:spacing w:after="120"/>
              <w:rPr>
                <w:rFonts w:cs="David"/>
                <w:b/>
                <w:bCs/>
                <w:color w:val="FF0000"/>
                <w:sz w:val="26"/>
                <w:szCs w:val="26"/>
                <w:u w:val="single"/>
                <w:rtl/>
              </w:rPr>
            </w:pPr>
          </w:p>
        </w:tc>
        <w:tc>
          <w:tcPr>
            <w:tcW w:w="626" w:type="dxa"/>
            <w:gridSpan w:val="2"/>
            <w:tcBorders>
              <w:top w:val="nil"/>
              <w:left w:val="nil"/>
              <w:bottom w:val="nil"/>
              <w:right w:val="nil"/>
            </w:tcBorders>
          </w:tcPr>
          <w:p w:rsidR="003F72C2" w:rsidRDefault="003F72C2">
            <w:pPr>
              <w:spacing w:after="120"/>
              <w:rPr>
                <w:rFonts w:cs="David"/>
                <w:b/>
                <w:bCs/>
                <w:color w:val="FF0000"/>
                <w:sz w:val="26"/>
                <w:szCs w:val="26"/>
                <w:u w:val="single"/>
                <w:rtl/>
              </w:rPr>
            </w:pPr>
          </w:p>
        </w:tc>
        <w:tc>
          <w:tcPr>
            <w:tcW w:w="540" w:type="dxa"/>
            <w:gridSpan w:val="2"/>
            <w:tcBorders>
              <w:top w:val="nil"/>
              <w:left w:val="nil"/>
              <w:bottom w:val="nil"/>
              <w:right w:val="nil"/>
            </w:tcBorders>
          </w:tcPr>
          <w:p w:rsidR="003F72C2" w:rsidRDefault="003F72C2">
            <w:pPr>
              <w:spacing w:after="120"/>
              <w:rPr>
                <w:rFonts w:cs="David"/>
                <w:b/>
                <w:bCs/>
                <w:color w:val="FF0000"/>
                <w:sz w:val="26"/>
                <w:szCs w:val="26"/>
                <w:u w:val="single"/>
                <w:rtl/>
              </w:rPr>
            </w:pPr>
            <w:r>
              <w:rPr>
                <w:rFonts w:cs="David"/>
                <w:b/>
                <w:bCs/>
                <w:color w:val="FF0000"/>
                <w:sz w:val="24"/>
                <w:u w:val="single"/>
                <w:rtl/>
              </w:rPr>
              <w:t xml:space="preserve">"(ה) </w:t>
            </w:r>
          </w:p>
        </w:tc>
        <w:tc>
          <w:tcPr>
            <w:tcW w:w="5457" w:type="dxa"/>
            <w:tcBorders>
              <w:top w:val="nil"/>
              <w:left w:val="nil"/>
              <w:bottom w:val="nil"/>
              <w:right w:val="nil"/>
            </w:tcBorders>
          </w:tcPr>
          <w:p w:rsidR="003F72C2" w:rsidRDefault="003F72C2">
            <w:pPr>
              <w:spacing w:after="120"/>
              <w:rPr>
                <w:rFonts w:cs="David"/>
                <w:b/>
                <w:bCs/>
                <w:color w:val="FF0000"/>
                <w:sz w:val="26"/>
                <w:szCs w:val="26"/>
                <w:u w:val="single"/>
                <w:rtl/>
              </w:rPr>
            </w:pPr>
            <w:r>
              <w:rPr>
                <w:rFonts w:cs="David"/>
                <w:b/>
                <w:bCs/>
                <w:color w:val="FF0000"/>
                <w:sz w:val="26"/>
                <w:szCs w:val="26"/>
                <w:u w:val="single"/>
                <w:rtl/>
              </w:rPr>
              <w:t xml:space="preserve">מגבלות על עברין מין שהוא משוחרר על-תנאי ממאסר לפי חוק זה, אשר הוטלו בצו לפי סעיף 2 לחוק מגבלות על חזרת עברין מין לסביבת נפגע העבירה,התשס"ד-2004 (בחוק זה - חוק מגבלות על עברין מין), יהוו חלק מתנאי השחרור.";  </w:t>
            </w:r>
          </w:p>
        </w:tc>
      </w:tr>
      <w:tr w:rsidR="003F72C2" w:rsidTr="003F72C2">
        <w:trPr>
          <w:jc w:val="right"/>
        </w:trPr>
        <w:tc>
          <w:tcPr>
            <w:tcW w:w="1352" w:type="dxa"/>
            <w:tcBorders>
              <w:top w:val="nil"/>
              <w:left w:val="nil"/>
              <w:bottom w:val="nil"/>
              <w:right w:val="nil"/>
            </w:tcBorders>
          </w:tcPr>
          <w:p w:rsidR="003F72C2" w:rsidRDefault="003F72C2">
            <w:pPr>
              <w:spacing w:after="120"/>
              <w:rPr>
                <w:rFonts w:cs="David"/>
                <w:b/>
                <w:bCs/>
                <w:color w:val="FF0000"/>
                <w:sz w:val="26"/>
                <w:szCs w:val="26"/>
                <w:u w:val="single"/>
                <w:rtl/>
              </w:rPr>
            </w:pPr>
          </w:p>
        </w:tc>
        <w:tc>
          <w:tcPr>
            <w:tcW w:w="542" w:type="dxa"/>
            <w:tcBorders>
              <w:top w:val="nil"/>
              <w:left w:val="nil"/>
              <w:bottom w:val="nil"/>
              <w:right w:val="nil"/>
            </w:tcBorders>
          </w:tcPr>
          <w:p w:rsidR="003F72C2" w:rsidRDefault="003F72C2">
            <w:pPr>
              <w:spacing w:after="120"/>
              <w:rPr>
                <w:rFonts w:cs="David"/>
                <w:b/>
                <w:bCs/>
                <w:color w:val="FF0000"/>
                <w:sz w:val="26"/>
                <w:szCs w:val="26"/>
                <w:u w:val="single"/>
                <w:rtl/>
              </w:rPr>
            </w:pPr>
          </w:p>
        </w:tc>
        <w:tc>
          <w:tcPr>
            <w:tcW w:w="626" w:type="dxa"/>
            <w:gridSpan w:val="2"/>
            <w:tcBorders>
              <w:top w:val="nil"/>
              <w:left w:val="nil"/>
              <w:bottom w:val="nil"/>
              <w:right w:val="nil"/>
            </w:tcBorders>
          </w:tcPr>
          <w:p w:rsidR="003F72C2" w:rsidRDefault="003F72C2">
            <w:pPr>
              <w:spacing w:after="120"/>
              <w:rPr>
                <w:rFonts w:cs="David"/>
                <w:b/>
                <w:bCs/>
                <w:color w:val="FF0000"/>
                <w:sz w:val="26"/>
                <w:szCs w:val="26"/>
                <w:u w:val="single"/>
                <w:rtl/>
              </w:rPr>
            </w:pPr>
            <w:r>
              <w:rPr>
                <w:rFonts w:cs="David"/>
                <w:b/>
                <w:bCs/>
                <w:color w:val="FF0000"/>
                <w:sz w:val="26"/>
                <w:szCs w:val="26"/>
                <w:u w:val="single"/>
                <w:rtl/>
              </w:rPr>
              <w:t>(2)</w:t>
            </w:r>
          </w:p>
        </w:tc>
        <w:tc>
          <w:tcPr>
            <w:tcW w:w="5997" w:type="dxa"/>
            <w:gridSpan w:val="3"/>
            <w:tcBorders>
              <w:top w:val="nil"/>
              <w:left w:val="nil"/>
              <w:bottom w:val="nil"/>
              <w:right w:val="nil"/>
            </w:tcBorders>
          </w:tcPr>
          <w:p w:rsidR="003F72C2" w:rsidRDefault="003F72C2">
            <w:pPr>
              <w:spacing w:after="120"/>
              <w:rPr>
                <w:rFonts w:cs="David"/>
                <w:b/>
                <w:bCs/>
                <w:color w:val="FF0000"/>
                <w:sz w:val="26"/>
                <w:szCs w:val="26"/>
                <w:u w:val="single"/>
                <w:rtl/>
              </w:rPr>
            </w:pPr>
            <w:r>
              <w:rPr>
                <w:rFonts w:cs="David"/>
                <w:b/>
                <w:bCs/>
                <w:color w:val="FF0000"/>
                <w:sz w:val="26"/>
                <w:szCs w:val="26"/>
                <w:u w:val="single"/>
                <w:rtl/>
              </w:rPr>
              <w:t>בסעיף 21 -</w:t>
            </w:r>
          </w:p>
        </w:tc>
      </w:tr>
      <w:tr w:rsidR="003F72C2" w:rsidTr="003F72C2">
        <w:trPr>
          <w:jc w:val="right"/>
        </w:trPr>
        <w:tc>
          <w:tcPr>
            <w:tcW w:w="1352" w:type="dxa"/>
            <w:tcBorders>
              <w:top w:val="nil"/>
              <w:left w:val="nil"/>
              <w:bottom w:val="nil"/>
              <w:right w:val="nil"/>
            </w:tcBorders>
          </w:tcPr>
          <w:p w:rsidR="003F72C2" w:rsidRDefault="003F72C2">
            <w:pPr>
              <w:spacing w:after="120"/>
              <w:rPr>
                <w:rFonts w:cs="David"/>
                <w:b/>
                <w:bCs/>
                <w:color w:val="FF0000"/>
                <w:sz w:val="26"/>
                <w:szCs w:val="26"/>
                <w:u w:val="single"/>
                <w:rtl/>
              </w:rPr>
            </w:pPr>
          </w:p>
        </w:tc>
        <w:tc>
          <w:tcPr>
            <w:tcW w:w="542" w:type="dxa"/>
            <w:tcBorders>
              <w:top w:val="nil"/>
              <w:left w:val="nil"/>
              <w:bottom w:val="nil"/>
              <w:right w:val="nil"/>
            </w:tcBorders>
          </w:tcPr>
          <w:p w:rsidR="003F72C2" w:rsidRDefault="003F72C2">
            <w:pPr>
              <w:spacing w:after="120"/>
              <w:rPr>
                <w:rFonts w:cs="David"/>
                <w:b/>
                <w:bCs/>
                <w:color w:val="FF0000"/>
                <w:sz w:val="26"/>
                <w:szCs w:val="26"/>
                <w:u w:val="single"/>
                <w:rtl/>
              </w:rPr>
            </w:pPr>
          </w:p>
        </w:tc>
        <w:tc>
          <w:tcPr>
            <w:tcW w:w="626" w:type="dxa"/>
            <w:gridSpan w:val="2"/>
            <w:tcBorders>
              <w:top w:val="nil"/>
              <w:left w:val="nil"/>
              <w:bottom w:val="nil"/>
              <w:right w:val="nil"/>
            </w:tcBorders>
          </w:tcPr>
          <w:p w:rsidR="003F72C2" w:rsidRDefault="003F72C2">
            <w:pPr>
              <w:spacing w:after="120"/>
              <w:rPr>
                <w:rFonts w:cs="David"/>
                <w:b/>
                <w:bCs/>
                <w:color w:val="FF0000"/>
                <w:sz w:val="26"/>
                <w:szCs w:val="26"/>
                <w:u w:val="single"/>
                <w:rtl/>
              </w:rPr>
            </w:pPr>
            <w:r>
              <w:rPr>
                <w:rFonts w:cs="David"/>
                <w:b/>
                <w:bCs/>
                <w:color w:val="FF0000"/>
                <w:sz w:val="26"/>
                <w:szCs w:val="26"/>
                <w:u w:val="single"/>
                <w:rtl/>
              </w:rPr>
              <w:t xml:space="preserve"> </w:t>
            </w:r>
          </w:p>
        </w:tc>
        <w:tc>
          <w:tcPr>
            <w:tcW w:w="540" w:type="dxa"/>
            <w:gridSpan w:val="2"/>
            <w:tcBorders>
              <w:top w:val="nil"/>
              <w:left w:val="nil"/>
              <w:bottom w:val="nil"/>
              <w:right w:val="nil"/>
            </w:tcBorders>
          </w:tcPr>
          <w:p w:rsidR="003F72C2" w:rsidRDefault="003F72C2">
            <w:pPr>
              <w:spacing w:after="120"/>
              <w:rPr>
                <w:rFonts w:cs="David"/>
                <w:b/>
                <w:bCs/>
                <w:color w:val="FF0000"/>
                <w:sz w:val="24"/>
                <w:u w:val="single"/>
                <w:rtl/>
              </w:rPr>
            </w:pPr>
            <w:r>
              <w:rPr>
                <w:rFonts w:cs="David"/>
                <w:b/>
                <w:bCs/>
                <w:color w:val="FF0000"/>
                <w:sz w:val="24"/>
                <w:u w:val="single"/>
                <w:rtl/>
              </w:rPr>
              <w:t xml:space="preserve">(א) </w:t>
            </w:r>
          </w:p>
        </w:tc>
        <w:tc>
          <w:tcPr>
            <w:tcW w:w="5457" w:type="dxa"/>
            <w:tcBorders>
              <w:top w:val="nil"/>
              <w:left w:val="nil"/>
              <w:bottom w:val="nil"/>
              <w:right w:val="nil"/>
            </w:tcBorders>
          </w:tcPr>
          <w:p w:rsidR="003F72C2" w:rsidRDefault="003F72C2">
            <w:pPr>
              <w:spacing w:after="120"/>
              <w:rPr>
                <w:rFonts w:cs="David"/>
                <w:b/>
                <w:bCs/>
                <w:color w:val="FF0000"/>
                <w:sz w:val="26"/>
                <w:szCs w:val="26"/>
                <w:u w:val="single"/>
                <w:rtl/>
              </w:rPr>
            </w:pPr>
            <w:r>
              <w:rPr>
                <w:rFonts w:cs="David"/>
                <w:b/>
                <w:bCs/>
                <w:color w:val="FF0000"/>
                <w:sz w:val="26"/>
                <w:szCs w:val="26"/>
                <w:u w:val="single"/>
                <w:rtl/>
              </w:rPr>
              <w:t>בסעיף קטן (א), במקום "עד (ד)" יבוא "עד (ה)".</w:t>
            </w:r>
          </w:p>
        </w:tc>
      </w:tr>
      <w:tr w:rsidR="003F72C2" w:rsidTr="003F72C2">
        <w:trPr>
          <w:jc w:val="right"/>
        </w:trPr>
        <w:tc>
          <w:tcPr>
            <w:tcW w:w="1352" w:type="dxa"/>
            <w:tcBorders>
              <w:top w:val="nil"/>
              <w:left w:val="nil"/>
              <w:bottom w:val="nil"/>
              <w:right w:val="nil"/>
            </w:tcBorders>
          </w:tcPr>
          <w:p w:rsidR="003F72C2" w:rsidRDefault="003F72C2">
            <w:pPr>
              <w:spacing w:after="120"/>
              <w:rPr>
                <w:rFonts w:cs="David"/>
                <w:b/>
                <w:bCs/>
                <w:color w:val="FF0000"/>
                <w:sz w:val="26"/>
                <w:szCs w:val="26"/>
                <w:u w:val="single"/>
                <w:rtl/>
              </w:rPr>
            </w:pPr>
          </w:p>
        </w:tc>
        <w:tc>
          <w:tcPr>
            <w:tcW w:w="542" w:type="dxa"/>
            <w:tcBorders>
              <w:top w:val="nil"/>
              <w:left w:val="nil"/>
              <w:bottom w:val="nil"/>
              <w:right w:val="nil"/>
            </w:tcBorders>
          </w:tcPr>
          <w:p w:rsidR="003F72C2" w:rsidRDefault="003F72C2">
            <w:pPr>
              <w:spacing w:after="120"/>
              <w:rPr>
                <w:rFonts w:cs="David"/>
                <w:b/>
                <w:bCs/>
                <w:color w:val="FF0000"/>
                <w:sz w:val="26"/>
                <w:szCs w:val="26"/>
                <w:u w:val="single"/>
                <w:rtl/>
              </w:rPr>
            </w:pPr>
          </w:p>
        </w:tc>
        <w:tc>
          <w:tcPr>
            <w:tcW w:w="626" w:type="dxa"/>
            <w:gridSpan w:val="2"/>
            <w:tcBorders>
              <w:top w:val="nil"/>
              <w:left w:val="nil"/>
              <w:bottom w:val="nil"/>
              <w:right w:val="nil"/>
            </w:tcBorders>
          </w:tcPr>
          <w:p w:rsidR="003F72C2" w:rsidRDefault="003F72C2">
            <w:pPr>
              <w:spacing w:after="120"/>
              <w:rPr>
                <w:rFonts w:cs="David"/>
                <w:b/>
                <w:bCs/>
                <w:color w:val="FF0000"/>
                <w:sz w:val="26"/>
                <w:szCs w:val="26"/>
                <w:u w:val="single"/>
                <w:rtl/>
              </w:rPr>
            </w:pPr>
          </w:p>
        </w:tc>
        <w:tc>
          <w:tcPr>
            <w:tcW w:w="540" w:type="dxa"/>
            <w:gridSpan w:val="2"/>
            <w:tcBorders>
              <w:top w:val="nil"/>
              <w:left w:val="nil"/>
              <w:bottom w:val="nil"/>
              <w:right w:val="nil"/>
            </w:tcBorders>
          </w:tcPr>
          <w:p w:rsidR="003F72C2" w:rsidRDefault="003F72C2">
            <w:pPr>
              <w:spacing w:after="120"/>
              <w:rPr>
                <w:rFonts w:cs="David"/>
                <w:b/>
                <w:bCs/>
                <w:color w:val="FF0000"/>
                <w:sz w:val="24"/>
                <w:u w:val="single"/>
                <w:rtl/>
              </w:rPr>
            </w:pPr>
            <w:r>
              <w:rPr>
                <w:rFonts w:cs="David"/>
                <w:b/>
                <w:bCs/>
                <w:color w:val="FF0000"/>
                <w:sz w:val="24"/>
                <w:u w:val="single"/>
                <w:rtl/>
              </w:rPr>
              <w:t xml:space="preserve">(ב) </w:t>
            </w:r>
          </w:p>
        </w:tc>
        <w:tc>
          <w:tcPr>
            <w:tcW w:w="5457" w:type="dxa"/>
            <w:tcBorders>
              <w:top w:val="nil"/>
              <w:left w:val="nil"/>
              <w:bottom w:val="nil"/>
              <w:right w:val="nil"/>
            </w:tcBorders>
          </w:tcPr>
          <w:p w:rsidR="003F72C2" w:rsidRDefault="003F72C2">
            <w:pPr>
              <w:spacing w:after="120"/>
              <w:rPr>
                <w:rFonts w:cs="David"/>
                <w:b/>
                <w:bCs/>
                <w:color w:val="FF0000"/>
                <w:sz w:val="26"/>
                <w:szCs w:val="26"/>
                <w:u w:val="single"/>
                <w:rtl/>
              </w:rPr>
            </w:pPr>
            <w:r>
              <w:rPr>
                <w:rFonts w:cs="David"/>
                <w:b/>
                <w:bCs/>
                <w:color w:val="FF0000"/>
                <w:sz w:val="26"/>
                <w:szCs w:val="26"/>
                <w:u w:val="single"/>
                <w:rtl/>
              </w:rPr>
              <w:t>בסעיף קטן (ג), בסופו יבוא "ובדיון על הפרה של מגבלות שהוטלו בצו לפי סעיף 2 לחוק מגבלות על עברין מין, תיתן הועדה משקל לענינו של נפגע העבירה".</w:t>
            </w:r>
          </w:p>
          <w:p w:rsidR="003F72C2" w:rsidRDefault="003F72C2">
            <w:pPr>
              <w:spacing w:after="120"/>
              <w:rPr>
                <w:rFonts w:cs="David"/>
                <w:b/>
                <w:bCs/>
                <w:color w:val="FF0000"/>
                <w:sz w:val="26"/>
                <w:szCs w:val="26"/>
                <w:u w:val="single"/>
                <w:rtl/>
              </w:rPr>
            </w:pPr>
          </w:p>
        </w:tc>
      </w:tr>
      <w:tr w:rsidR="003F72C2" w:rsidTr="003F72C2">
        <w:trPr>
          <w:cantSplit/>
          <w:jc w:val="right"/>
        </w:trPr>
        <w:tc>
          <w:tcPr>
            <w:tcW w:w="1352" w:type="dxa"/>
            <w:vMerge w:val="restart"/>
            <w:tcBorders>
              <w:top w:val="nil"/>
              <w:left w:val="nil"/>
              <w:bottom w:val="nil"/>
              <w:right w:val="nil"/>
            </w:tcBorders>
          </w:tcPr>
          <w:p w:rsidR="003F72C2" w:rsidRDefault="003F72C2">
            <w:pPr>
              <w:spacing w:after="120"/>
              <w:rPr>
                <w:rFonts w:cs="David"/>
                <w:b/>
                <w:bCs/>
                <w:color w:val="FF0000"/>
                <w:sz w:val="26"/>
                <w:szCs w:val="26"/>
                <w:u w:val="single"/>
                <w:rtl/>
              </w:rPr>
            </w:pPr>
            <w:r>
              <w:rPr>
                <w:rFonts w:cs="David"/>
                <w:b/>
                <w:bCs/>
                <w:color w:val="FF0000"/>
                <w:sz w:val="26"/>
                <w:szCs w:val="26"/>
                <w:u w:val="single"/>
                <w:rtl/>
              </w:rPr>
              <w:t>תחילה, הוראת שעה והוראות מעבר</w:t>
            </w:r>
            <w:r>
              <w:rPr>
                <w:rStyle w:val="aa"/>
                <w:b/>
                <w:bCs/>
                <w:color w:val="FF0000"/>
                <w:sz w:val="26"/>
                <w:szCs w:val="26"/>
                <w:u w:val="single"/>
                <w:rtl/>
              </w:rPr>
              <w:footnoteReference w:id="23"/>
            </w:r>
            <w:r>
              <w:rPr>
                <w:rFonts w:cs="David"/>
                <w:b/>
                <w:bCs/>
                <w:color w:val="FF0000"/>
                <w:sz w:val="26"/>
                <w:szCs w:val="26"/>
                <w:u w:val="single"/>
                <w:rtl/>
              </w:rPr>
              <w:t xml:space="preserve"> </w:t>
            </w:r>
          </w:p>
        </w:tc>
        <w:tc>
          <w:tcPr>
            <w:tcW w:w="542" w:type="dxa"/>
            <w:tcBorders>
              <w:top w:val="nil"/>
              <w:left w:val="nil"/>
              <w:bottom w:val="nil"/>
              <w:right w:val="nil"/>
            </w:tcBorders>
          </w:tcPr>
          <w:p w:rsidR="003F72C2" w:rsidRDefault="003F72C2">
            <w:pPr>
              <w:spacing w:after="120"/>
              <w:rPr>
                <w:rFonts w:cs="David"/>
                <w:b/>
                <w:bCs/>
                <w:color w:val="FF0000"/>
                <w:sz w:val="26"/>
                <w:szCs w:val="26"/>
                <w:u w:val="single"/>
                <w:rtl/>
              </w:rPr>
            </w:pPr>
            <w:r>
              <w:rPr>
                <w:rFonts w:cs="David"/>
                <w:b/>
                <w:bCs/>
                <w:color w:val="FF0000"/>
                <w:sz w:val="26"/>
                <w:szCs w:val="26"/>
                <w:u w:val="single"/>
                <w:rtl/>
              </w:rPr>
              <w:t xml:space="preserve">12. </w:t>
            </w:r>
          </w:p>
        </w:tc>
        <w:tc>
          <w:tcPr>
            <w:tcW w:w="626" w:type="dxa"/>
            <w:gridSpan w:val="2"/>
            <w:tcBorders>
              <w:top w:val="nil"/>
              <w:left w:val="nil"/>
              <w:bottom w:val="nil"/>
              <w:right w:val="nil"/>
            </w:tcBorders>
          </w:tcPr>
          <w:p w:rsidR="003F72C2" w:rsidRDefault="003F72C2">
            <w:pPr>
              <w:spacing w:after="120"/>
              <w:rPr>
                <w:rFonts w:cs="David"/>
                <w:b/>
                <w:bCs/>
                <w:color w:val="FF0000"/>
                <w:sz w:val="26"/>
                <w:szCs w:val="26"/>
                <w:u w:val="single"/>
                <w:rtl/>
              </w:rPr>
            </w:pPr>
            <w:r>
              <w:rPr>
                <w:rFonts w:cs="David"/>
                <w:b/>
                <w:bCs/>
                <w:color w:val="FF0000"/>
                <w:sz w:val="26"/>
                <w:szCs w:val="26"/>
                <w:u w:val="single"/>
                <w:rtl/>
              </w:rPr>
              <w:t>(א)</w:t>
            </w:r>
          </w:p>
        </w:tc>
        <w:tc>
          <w:tcPr>
            <w:tcW w:w="5997" w:type="dxa"/>
            <w:gridSpan w:val="3"/>
            <w:tcBorders>
              <w:top w:val="nil"/>
              <w:left w:val="nil"/>
              <w:bottom w:val="nil"/>
              <w:right w:val="nil"/>
            </w:tcBorders>
          </w:tcPr>
          <w:p w:rsidR="003F72C2" w:rsidRDefault="003F72C2">
            <w:pPr>
              <w:spacing w:after="120"/>
              <w:rPr>
                <w:rFonts w:cs="David"/>
                <w:b/>
                <w:bCs/>
                <w:color w:val="FF0000"/>
                <w:sz w:val="26"/>
                <w:szCs w:val="26"/>
                <w:u w:val="single"/>
                <w:rtl/>
              </w:rPr>
            </w:pPr>
            <w:r>
              <w:rPr>
                <w:rFonts w:cs="David"/>
                <w:b/>
                <w:bCs/>
                <w:color w:val="FF0000"/>
                <w:sz w:val="26"/>
                <w:szCs w:val="26"/>
                <w:u w:val="single"/>
                <w:rtl/>
              </w:rPr>
              <w:t>תחילתו של חוק זה ..... חודשים לאחר מועד פרסומו והוא יעמוד בתוקפו שלוש שנים מיום תחילתו.</w:t>
            </w:r>
          </w:p>
        </w:tc>
      </w:tr>
      <w:tr w:rsidR="003F72C2" w:rsidTr="003F72C2">
        <w:trPr>
          <w:cantSplit/>
          <w:jc w:val="right"/>
        </w:trPr>
        <w:tc>
          <w:tcPr>
            <w:tcW w:w="0" w:type="auto"/>
            <w:vMerge/>
            <w:tcBorders>
              <w:top w:val="nil"/>
              <w:left w:val="nil"/>
              <w:bottom w:val="nil"/>
              <w:right w:val="nil"/>
            </w:tcBorders>
            <w:vAlign w:val="center"/>
          </w:tcPr>
          <w:p w:rsidR="003F72C2" w:rsidRDefault="003F72C2">
            <w:pPr>
              <w:bidi w:val="0"/>
              <w:rPr>
                <w:rFonts w:cs="David"/>
                <w:b/>
                <w:bCs/>
                <w:color w:val="FF0000"/>
                <w:sz w:val="26"/>
                <w:szCs w:val="26"/>
                <w:u w:val="single"/>
              </w:rPr>
            </w:pPr>
          </w:p>
        </w:tc>
        <w:tc>
          <w:tcPr>
            <w:tcW w:w="542" w:type="dxa"/>
            <w:tcBorders>
              <w:top w:val="nil"/>
              <w:left w:val="nil"/>
              <w:bottom w:val="nil"/>
              <w:right w:val="nil"/>
            </w:tcBorders>
          </w:tcPr>
          <w:p w:rsidR="003F72C2" w:rsidRDefault="003F72C2">
            <w:pPr>
              <w:spacing w:after="120"/>
              <w:rPr>
                <w:rFonts w:cs="David"/>
                <w:b/>
                <w:bCs/>
                <w:color w:val="FF0000"/>
                <w:sz w:val="26"/>
                <w:szCs w:val="26"/>
                <w:u w:val="single"/>
                <w:rtl/>
              </w:rPr>
            </w:pPr>
          </w:p>
        </w:tc>
        <w:tc>
          <w:tcPr>
            <w:tcW w:w="626" w:type="dxa"/>
            <w:gridSpan w:val="2"/>
            <w:tcBorders>
              <w:top w:val="nil"/>
              <w:left w:val="nil"/>
              <w:bottom w:val="nil"/>
              <w:right w:val="nil"/>
            </w:tcBorders>
          </w:tcPr>
          <w:p w:rsidR="003F72C2" w:rsidRDefault="003F72C2">
            <w:pPr>
              <w:spacing w:after="120"/>
              <w:rPr>
                <w:rFonts w:cs="David"/>
                <w:b/>
                <w:bCs/>
                <w:color w:val="FF0000"/>
                <w:sz w:val="26"/>
                <w:szCs w:val="26"/>
                <w:u w:val="single"/>
                <w:rtl/>
              </w:rPr>
            </w:pPr>
            <w:r>
              <w:rPr>
                <w:rFonts w:cs="David"/>
                <w:b/>
                <w:bCs/>
                <w:color w:val="FF0000"/>
                <w:sz w:val="26"/>
                <w:szCs w:val="26"/>
                <w:u w:val="single"/>
                <w:rtl/>
              </w:rPr>
              <w:t xml:space="preserve">(ב) </w:t>
            </w:r>
          </w:p>
        </w:tc>
        <w:tc>
          <w:tcPr>
            <w:tcW w:w="5997" w:type="dxa"/>
            <w:gridSpan w:val="3"/>
            <w:tcBorders>
              <w:top w:val="nil"/>
              <w:left w:val="nil"/>
              <w:bottom w:val="nil"/>
              <w:right w:val="nil"/>
            </w:tcBorders>
          </w:tcPr>
          <w:p w:rsidR="003F72C2" w:rsidRDefault="003F72C2">
            <w:pPr>
              <w:spacing w:after="120"/>
              <w:rPr>
                <w:rFonts w:cs="David"/>
                <w:b/>
                <w:bCs/>
                <w:color w:val="FF0000"/>
                <w:sz w:val="26"/>
                <w:szCs w:val="26"/>
                <w:u w:val="single"/>
                <w:rtl/>
              </w:rPr>
            </w:pPr>
            <w:r>
              <w:rPr>
                <w:rFonts w:cs="David"/>
                <w:b/>
                <w:bCs/>
                <w:color w:val="FF0000"/>
                <w:sz w:val="26"/>
                <w:szCs w:val="26"/>
                <w:u w:val="single"/>
                <w:rtl/>
              </w:rPr>
              <w:t xml:space="preserve">הוראות חוק זה יחולו על מי שבמועד תחילתו מתקיים בו אחד מאלה: </w:t>
            </w:r>
          </w:p>
          <w:p w:rsidR="003F72C2" w:rsidRDefault="003F72C2">
            <w:pPr>
              <w:numPr>
                <w:ilvl w:val="0"/>
                <w:numId w:val="11"/>
              </w:numPr>
              <w:spacing w:after="120"/>
              <w:rPr>
                <w:rFonts w:cs="David"/>
                <w:b/>
                <w:bCs/>
                <w:color w:val="FF0000"/>
                <w:sz w:val="26"/>
                <w:szCs w:val="26"/>
                <w:u w:val="single"/>
                <w:rtl/>
              </w:rPr>
            </w:pPr>
            <w:r>
              <w:rPr>
                <w:rFonts w:cs="David"/>
                <w:b/>
                <w:bCs/>
                <w:color w:val="FF0000"/>
                <w:sz w:val="26"/>
                <w:szCs w:val="26"/>
                <w:u w:val="single"/>
                <w:rtl/>
              </w:rPr>
              <w:t>טרם ניתנה הכרעת דין בענינו;</w:t>
            </w:r>
          </w:p>
          <w:p w:rsidR="003F72C2" w:rsidRDefault="003F72C2">
            <w:pPr>
              <w:numPr>
                <w:ilvl w:val="0"/>
                <w:numId w:val="11"/>
              </w:numPr>
              <w:spacing w:after="120"/>
              <w:rPr>
                <w:rFonts w:cs="David"/>
                <w:b/>
                <w:bCs/>
                <w:color w:val="3366FF"/>
                <w:sz w:val="26"/>
                <w:szCs w:val="26"/>
                <w:u w:val="single"/>
                <w:rtl/>
              </w:rPr>
            </w:pPr>
            <w:r>
              <w:rPr>
                <w:rFonts w:cs="David"/>
                <w:b/>
                <w:bCs/>
                <w:color w:val="3366FF"/>
                <w:sz w:val="26"/>
                <w:szCs w:val="26"/>
                <w:u w:val="single"/>
                <w:rtl/>
              </w:rPr>
              <w:t xml:space="preserve">הורשע וטרם נגזר דינו; </w:t>
            </w:r>
          </w:p>
          <w:p w:rsidR="003F72C2" w:rsidRDefault="003F72C2">
            <w:pPr>
              <w:numPr>
                <w:ilvl w:val="0"/>
                <w:numId w:val="11"/>
              </w:numPr>
              <w:spacing w:after="120"/>
              <w:rPr>
                <w:rFonts w:cs="David"/>
                <w:b/>
                <w:bCs/>
                <w:color w:val="FF0000"/>
                <w:sz w:val="26"/>
                <w:szCs w:val="26"/>
                <w:u w:val="single"/>
                <w:rtl/>
              </w:rPr>
            </w:pPr>
            <w:r>
              <w:rPr>
                <w:rFonts w:cs="David"/>
                <w:b/>
                <w:bCs/>
                <w:color w:val="FF0000"/>
                <w:sz w:val="26"/>
                <w:szCs w:val="26"/>
                <w:u w:val="single"/>
                <w:rtl/>
              </w:rPr>
              <w:t>נידון לעונש מאסר בפועל ובמועד תחילתו של חוק זה טרם שוחרר ממאסרו;</w:t>
            </w:r>
          </w:p>
          <w:p w:rsidR="003F72C2" w:rsidRDefault="003F72C2">
            <w:pPr>
              <w:numPr>
                <w:ilvl w:val="0"/>
                <w:numId w:val="11"/>
              </w:numPr>
              <w:spacing w:after="120"/>
              <w:rPr>
                <w:rFonts w:cs="David"/>
                <w:b/>
                <w:bCs/>
                <w:color w:val="3366FF"/>
                <w:sz w:val="26"/>
                <w:szCs w:val="26"/>
                <w:u w:val="single"/>
                <w:rtl/>
              </w:rPr>
            </w:pPr>
            <w:r>
              <w:rPr>
                <w:rFonts w:cs="David"/>
                <w:b/>
                <w:bCs/>
                <w:color w:val="3366FF"/>
                <w:sz w:val="26"/>
                <w:szCs w:val="26"/>
                <w:u w:val="single"/>
                <w:rtl/>
              </w:rPr>
              <w:t>בית משפט הורה על אשפוזו ובמועד תחילתו של חוק זה טרם שוחרר מן האשפוז.</w:t>
            </w:r>
          </w:p>
        </w:tc>
      </w:tr>
    </w:tbl>
    <w:p w:rsidR="00000000" w:rsidRDefault="003F72C2">
      <w:pPr>
        <w:rPr>
          <w:rFonts w:cs="David"/>
          <w:sz w:val="24"/>
          <w:rtl/>
        </w:rPr>
      </w:pPr>
    </w:p>
    <w:p w:rsidR="00000000" w:rsidRDefault="003F72C2">
      <w:pPr>
        <w:rPr>
          <w:rFonts w:cs="David"/>
          <w:sz w:val="24"/>
          <w:rtl/>
          <w:lang w:eastAsia="en-US"/>
        </w:rPr>
      </w:pPr>
    </w:p>
    <w:p w:rsidR="00000000" w:rsidRDefault="003F72C2">
      <w:pPr>
        <w:rPr>
          <w:rFonts w:cs="David"/>
          <w:sz w:val="24"/>
          <w:u w:val="single"/>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F72C2">
      <w:r>
        <w:separator/>
      </w:r>
    </w:p>
  </w:endnote>
  <w:endnote w:type="continuationSeparator" w:id="0">
    <w:p w:rsidR="00000000" w:rsidRDefault="003F72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F72C2">
      <w:r>
        <w:separator/>
      </w:r>
    </w:p>
  </w:footnote>
  <w:footnote w:type="continuationSeparator" w:id="0">
    <w:p w:rsidR="00000000" w:rsidRDefault="003F72C2">
      <w:r>
        <w:continuationSeparator/>
      </w:r>
    </w:p>
  </w:footnote>
  <w:footnote w:id="1">
    <w:p w:rsidR="00000000" w:rsidRDefault="003F72C2">
      <w:pPr>
        <w:pStyle w:val="ab"/>
        <w:jc w:val="both"/>
      </w:pPr>
      <w:r>
        <w:rPr>
          <w:rStyle w:val="aa"/>
          <w:rFonts w:cs="David"/>
          <w:b/>
          <w:bCs/>
          <w:color w:val="FF0000"/>
        </w:rPr>
        <w:footnoteRef/>
      </w:r>
      <w:r>
        <w:rPr>
          <w:rFonts w:cs="David"/>
          <w:b/>
          <w:bCs/>
          <w:color w:val="FF0000"/>
        </w:rPr>
        <w:t xml:space="preserve"> </w:t>
      </w:r>
      <w:r>
        <w:rPr>
          <w:rFonts w:cs="David"/>
          <w:b/>
          <w:bCs/>
          <w:color w:val="FF0000"/>
          <w:rtl/>
        </w:rPr>
        <w:t xml:space="preserve"> מוצע לחוקק את הצעת החוק כהוראת שעה לתקופה של שלוש שנים אשר במל</w:t>
      </w:r>
      <w:r>
        <w:rPr>
          <w:rFonts w:cs="David"/>
          <w:b/>
          <w:bCs/>
          <w:color w:val="FF0000"/>
          <w:rtl/>
        </w:rPr>
        <w:t xml:space="preserve">הכה יועברו לועדה דיווחים שנתיים משר המשפטים ושר הרווחה שיאפשרו ללמוד על התועלת והיישום של החוק – ולאחר שלוש שנים אם יהי רצון להמשיך את החוק יהיה צורך בהליך חקיקה נוסף – זאת לאור החדשנות שבהצעת החוק ובחששות הרבים שהיא מעוררת. </w:t>
      </w:r>
    </w:p>
  </w:footnote>
  <w:footnote w:id="2">
    <w:p w:rsidR="003F72C2" w:rsidRDefault="003F72C2">
      <w:pPr>
        <w:pStyle w:val="ab"/>
      </w:pPr>
      <w:r>
        <w:rPr>
          <w:rStyle w:val="aa"/>
          <w:rFonts w:cs="David"/>
        </w:rPr>
        <w:footnoteRef/>
      </w:r>
      <w:r>
        <w:rPr>
          <w:rFonts w:cs="David"/>
        </w:rPr>
        <w:t xml:space="preserve"> </w:t>
      </w:r>
      <w:r>
        <w:rPr>
          <w:rFonts w:cs="David"/>
          <w:rtl/>
        </w:rPr>
        <w:t xml:space="preserve"> ס"ח התשנ"א, עמ' 58.</w:t>
      </w:r>
    </w:p>
  </w:footnote>
  <w:footnote w:id="3">
    <w:p w:rsidR="003F72C2" w:rsidRDefault="003F72C2">
      <w:pPr>
        <w:pStyle w:val="ab"/>
      </w:pPr>
      <w:r>
        <w:rPr>
          <w:rStyle w:val="aa"/>
          <w:rFonts w:cs="David"/>
          <w:b/>
          <w:bCs/>
          <w:color w:val="FF0000"/>
          <w:rtl/>
        </w:rPr>
        <w:footnoteRef/>
      </w:r>
      <w:r>
        <w:rPr>
          <w:rFonts w:cs="David"/>
          <w:b/>
          <w:bCs/>
          <w:color w:val="FF0000"/>
        </w:rPr>
        <w:t xml:space="preserve"> </w:t>
      </w:r>
      <w:r>
        <w:rPr>
          <w:rFonts w:cs="David"/>
          <w:b/>
          <w:bCs/>
          <w:color w:val="FF0000"/>
          <w:rtl/>
        </w:rPr>
        <w:t xml:space="preserve">ההגדרה רלוונטית הן לסעיף 3 (עיתוי קביעת המגבלות) והן לסעיף התחולה והוראות המעבר. </w:t>
      </w:r>
    </w:p>
  </w:footnote>
  <w:footnote w:id="4">
    <w:p w:rsidR="003F72C2" w:rsidRDefault="003F72C2">
      <w:pPr>
        <w:pStyle w:val="ab"/>
      </w:pPr>
      <w:r>
        <w:rPr>
          <w:rStyle w:val="aa"/>
          <w:rFonts w:cs="David"/>
        </w:rPr>
        <w:footnoteRef/>
      </w:r>
      <w:r>
        <w:rPr>
          <w:rFonts w:cs="David"/>
        </w:rPr>
        <w:t xml:space="preserve"> </w:t>
      </w:r>
      <w:r>
        <w:rPr>
          <w:rFonts w:cs="David"/>
          <w:rtl/>
        </w:rPr>
        <w:t>ס"ח התשמ"ב, עמ' 43.</w:t>
      </w:r>
    </w:p>
  </w:footnote>
  <w:footnote w:id="5">
    <w:p w:rsidR="003F72C2" w:rsidRDefault="003F72C2">
      <w:pPr>
        <w:pStyle w:val="ab"/>
      </w:pPr>
      <w:r>
        <w:rPr>
          <w:rStyle w:val="aa"/>
          <w:rFonts w:cs="David"/>
        </w:rPr>
        <w:footnoteRef/>
      </w:r>
      <w:r>
        <w:rPr>
          <w:rFonts w:cs="David"/>
        </w:rPr>
        <w:t xml:space="preserve"> </w:t>
      </w:r>
      <w:r>
        <w:rPr>
          <w:rFonts w:cs="David"/>
          <w:rtl/>
        </w:rPr>
        <w:t>ס"ח התשל"ז, עמ' 226.</w:t>
      </w:r>
    </w:p>
  </w:footnote>
  <w:footnote w:id="6">
    <w:p w:rsidR="003F72C2" w:rsidRDefault="003F72C2">
      <w:pPr>
        <w:pStyle w:val="ab"/>
      </w:pPr>
      <w:r>
        <w:rPr>
          <w:rStyle w:val="aa"/>
          <w:rFonts w:cs="David"/>
        </w:rPr>
        <w:footnoteRef/>
      </w:r>
      <w:r>
        <w:rPr>
          <w:rFonts w:cs="David"/>
        </w:rPr>
        <w:t xml:space="preserve"> </w:t>
      </w:r>
      <w:r>
        <w:rPr>
          <w:rFonts w:cs="David"/>
          <w:rtl/>
        </w:rPr>
        <w:t xml:space="preserve"> ס"ח התשט"ו, עמ' 171. </w:t>
      </w:r>
    </w:p>
  </w:footnote>
  <w:footnote w:id="7">
    <w:p w:rsidR="003F72C2" w:rsidRDefault="003F72C2">
      <w:pPr>
        <w:pStyle w:val="ab"/>
      </w:pPr>
      <w:r>
        <w:rPr>
          <w:rStyle w:val="aa"/>
          <w:rFonts w:cs="David"/>
          <w:rtl/>
        </w:rPr>
        <w:footnoteRef/>
      </w:r>
      <w:r>
        <w:rPr>
          <w:rFonts w:cs="David"/>
        </w:rPr>
        <w:t xml:space="preserve"> </w:t>
      </w:r>
      <w:r>
        <w:rPr>
          <w:rFonts w:cs="David"/>
          <w:rtl/>
        </w:rPr>
        <w:t xml:space="preserve"> ס"ח התשס"א, עמ' 410. </w:t>
      </w:r>
    </w:p>
  </w:footnote>
  <w:footnote w:id="8">
    <w:p w:rsidR="003F72C2" w:rsidRDefault="003F72C2">
      <w:pPr>
        <w:pStyle w:val="ab"/>
      </w:pPr>
      <w:r>
        <w:rPr>
          <w:rStyle w:val="aa"/>
          <w:rFonts w:cs="David"/>
          <w:color w:val="FF0000"/>
          <w:rtl/>
        </w:rPr>
        <w:footnoteRef/>
      </w:r>
      <w:r>
        <w:rPr>
          <w:rFonts w:cs="David"/>
          <w:color w:val="FF0000"/>
        </w:rPr>
        <w:t xml:space="preserve"> </w:t>
      </w:r>
      <w:r>
        <w:rPr>
          <w:rFonts w:cs="David"/>
          <w:color w:val="FF0000"/>
          <w:rtl/>
        </w:rPr>
        <w:t xml:space="preserve">מוצע למחוק את ההגדרה כי נראה לנו ברור ששחרור כולל גם שחרור על תנאי. </w:t>
      </w:r>
    </w:p>
  </w:footnote>
  <w:footnote w:id="9">
    <w:p w:rsidR="003F72C2" w:rsidRDefault="003F72C2">
      <w:pPr>
        <w:pStyle w:val="ab"/>
      </w:pPr>
      <w:r>
        <w:rPr>
          <w:rStyle w:val="aa"/>
          <w:rFonts w:cs="David"/>
          <w:rtl/>
        </w:rPr>
        <w:footnoteRef/>
      </w:r>
      <w:r>
        <w:rPr>
          <w:rFonts w:cs="David"/>
        </w:rPr>
        <w:t xml:space="preserve"> </w:t>
      </w:r>
      <w:r>
        <w:rPr>
          <w:rFonts w:cs="David"/>
          <w:rtl/>
        </w:rPr>
        <w:t xml:space="preserve">ס"ח התשי"ח, עמ' 103. </w:t>
      </w:r>
    </w:p>
  </w:footnote>
  <w:footnote w:id="10">
    <w:p w:rsidR="003F72C2" w:rsidRDefault="003F72C2">
      <w:pPr>
        <w:pStyle w:val="ab"/>
      </w:pPr>
      <w:r>
        <w:rPr>
          <w:rStyle w:val="aa"/>
          <w:rFonts w:cs="David"/>
          <w:b/>
          <w:bCs/>
          <w:color w:val="FF0000"/>
          <w:u w:val="single"/>
          <w:rtl/>
        </w:rPr>
        <w:footnoteRef/>
      </w:r>
      <w:r>
        <w:rPr>
          <w:rFonts w:cs="David"/>
          <w:b/>
          <w:bCs/>
          <w:color w:val="FF0000"/>
          <w:u w:val="single"/>
        </w:rPr>
        <w:t xml:space="preserve"> </w:t>
      </w:r>
      <w:r>
        <w:rPr>
          <w:rFonts w:cs="David"/>
          <w:b/>
          <w:bCs/>
          <w:color w:val="FF0000"/>
          <w:u w:val="single"/>
          <w:rtl/>
        </w:rPr>
        <w:t xml:space="preserve"> לתשומת לבכם – ההסדר מבוסס על הוראות סעיף 6א לחוק הפיצויים לנפגעי תאונות דרכים ועל הוראות תקנות סדר הדין האזרחי בענין מומחים (ראו ביחוד תקנה 131 וסביבותיה).  </w:t>
      </w:r>
    </w:p>
  </w:footnote>
  <w:footnote w:id="11">
    <w:p w:rsidR="003F72C2" w:rsidRDefault="003F72C2">
      <w:pPr>
        <w:pStyle w:val="ab"/>
      </w:pPr>
      <w:r>
        <w:rPr>
          <w:rStyle w:val="aa"/>
          <w:rFonts w:cs="David"/>
          <w:b/>
          <w:bCs/>
          <w:color w:val="FF0000"/>
          <w:u w:val="single"/>
          <w:rtl/>
        </w:rPr>
        <w:footnoteRef/>
      </w:r>
      <w:r>
        <w:rPr>
          <w:rFonts w:cs="David"/>
          <w:b/>
          <w:bCs/>
          <w:color w:val="FF0000"/>
          <w:u w:val="single"/>
        </w:rPr>
        <w:t xml:space="preserve"> </w:t>
      </w:r>
      <w:r>
        <w:rPr>
          <w:rFonts w:cs="David"/>
          <w:b/>
          <w:bCs/>
          <w:color w:val="FF0000"/>
          <w:u w:val="single"/>
          <w:rtl/>
        </w:rPr>
        <w:t xml:space="preserve">לתשומת לבכם – סעיפים קטנים (ב) ו-(ג) מבוססים על סעיפים קטנים (ד) ו-(ה) של סעיף 187 לחוק סדר הדין הפלילי העוסק בעריכת תסקיר. </w:t>
      </w:r>
    </w:p>
  </w:footnote>
  <w:footnote w:id="12">
    <w:p w:rsidR="003F72C2" w:rsidRDefault="003F72C2">
      <w:pPr>
        <w:pStyle w:val="ab"/>
      </w:pPr>
      <w:r>
        <w:rPr>
          <w:rStyle w:val="aa"/>
          <w:rFonts w:cs="David"/>
          <w:color w:val="FF0000"/>
        </w:rPr>
        <w:footnoteRef/>
      </w:r>
      <w:r>
        <w:rPr>
          <w:rFonts w:cs="David"/>
          <w:color w:val="FF0000"/>
        </w:rPr>
        <w:t xml:space="preserve"> </w:t>
      </w:r>
      <w:r>
        <w:rPr>
          <w:rFonts w:cs="David"/>
          <w:color w:val="FF0000"/>
          <w:rtl/>
        </w:rPr>
        <w:t xml:space="preserve"> תוספת זו באה להבהיר שאם העברין אינו חייל אך הדיון במגבלות נעשה בסמוך לאחר מתן גזר הדין ולא לפני או אחרי שחרור ממאסר בפועל – בכל זאת ידון בענין בית הדין הצבאי כחלק מהדיון בהליך הפלילי בשל ביצוע העבירה. </w:t>
      </w:r>
    </w:p>
  </w:footnote>
  <w:footnote w:id="13">
    <w:p w:rsidR="003F72C2" w:rsidRDefault="003F72C2">
      <w:pPr>
        <w:pStyle w:val="ab"/>
      </w:pPr>
      <w:r>
        <w:rPr>
          <w:rStyle w:val="aa"/>
          <w:rFonts w:cs="David"/>
          <w:color w:val="FF0000"/>
        </w:rPr>
        <w:footnoteRef/>
      </w:r>
      <w:r>
        <w:rPr>
          <w:rFonts w:cs="David"/>
          <w:color w:val="FF0000"/>
        </w:rPr>
        <w:t xml:space="preserve"> </w:t>
      </w:r>
      <w:r>
        <w:rPr>
          <w:rFonts w:cs="David"/>
          <w:color w:val="FF0000"/>
          <w:rtl/>
        </w:rPr>
        <w:t xml:space="preserve"> מוצע להוסיף שבית דין צבאי שדן שלא במעמד גזר הדין – יוכל לדון בדן יחיד של שופט צבאי- משפטאי.</w:t>
      </w:r>
    </w:p>
  </w:footnote>
  <w:footnote w:id="14">
    <w:p w:rsidR="003F72C2" w:rsidRDefault="003F72C2">
      <w:pPr>
        <w:pStyle w:val="ab"/>
      </w:pPr>
      <w:r>
        <w:rPr>
          <w:rStyle w:val="aa"/>
          <w:rFonts w:cs="David"/>
          <w:color w:val="FF0000"/>
          <w:rtl/>
        </w:rPr>
        <w:footnoteRef/>
      </w:r>
      <w:r>
        <w:rPr>
          <w:rFonts w:cs="David"/>
          <w:color w:val="FF0000"/>
        </w:rPr>
        <w:t xml:space="preserve"> </w:t>
      </w:r>
      <w:r>
        <w:rPr>
          <w:rFonts w:cs="David"/>
          <w:color w:val="FF0000"/>
          <w:rtl/>
        </w:rPr>
        <w:t xml:space="preserve">מוצע במקום להחיל את סעיפים 53 - 57 לחוק סדר הדין הפלילי (סמכויות אכיפה מעצרים) אשר חלקם אינם מתאימים, לדעתנו, להחלה על הליכי הערר לפי הצעת חוק זו - להוסיף מספר הוראות רלווטניות. הוראות סדרי דין אחרות ניתן יהיה לקבוע בתקנות. </w:t>
      </w:r>
    </w:p>
  </w:footnote>
  <w:footnote w:id="15">
    <w:p w:rsidR="003F72C2" w:rsidRDefault="003F72C2">
      <w:pPr>
        <w:pStyle w:val="ab"/>
      </w:pPr>
      <w:r>
        <w:rPr>
          <w:rStyle w:val="aa"/>
          <w:rFonts w:cs="David"/>
          <w:color w:val="FF0000"/>
          <w:rtl/>
        </w:rPr>
        <w:footnoteRef/>
      </w:r>
      <w:r>
        <w:rPr>
          <w:rFonts w:cs="David"/>
          <w:color w:val="FF0000"/>
        </w:rPr>
        <w:t xml:space="preserve"> </w:t>
      </w:r>
      <w:r>
        <w:rPr>
          <w:rFonts w:cs="David"/>
          <w:color w:val="FF0000"/>
          <w:rtl/>
        </w:rPr>
        <w:t xml:space="preserve">לאור החלפת "תסקיר נפגע" ב"חוות דעת מומחה" אין סיבה ששר הרווחה יהיה ממונה על ביצוע החוק ואין הצדקה לחייב אותו בדיווח לכנסת.  </w:t>
      </w:r>
    </w:p>
  </w:footnote>
  <w:footnote w:id="16">
    <w:p w:rsidR="003F72C2" w:rsidRDefault="003F72C2">
      <w:pPr>
        <w:pStyle w:val="ab"/>
      </w:pPr>
      <w:r>
        <w:rPr>
          <w:rStyle w:val="aa"/>
          <w:rFonts w:cs="David"/>
          <w:b/>
          <w:bCs/>
          <w:color w:val="FF0000"/>
          <w:u w:val="single"/>
          <w:rtl/>
        </w:rPr>
        <w:footnoteRef/>
      </w:r>
      <w:r>
        <w:rPr>
          <w:rFonts w:cs="David"/>
          <w:b/>
          <w:bCs/>
          <w:color w:val="FF0000"/>
          <w:u w:val="single"/>
        </w:rPr>
        <w:t xml:space="preserve"> </w:t>
      </w:r>
      <w:r>
        <w:rPr>
          <w:rFonts w:cs="David"/>
          <w:b/>
          <w:bCs/>
          <w:color w:val="FF0000"/>
          <w:u w:val="single"/>
          <w:rtl/>
        </w:rPr>
        <w:t xml:space="preserve"> ראו סעיף 26(א)(2) לחוק בית המשפט לעניני משפחה; אני מפנה את תשומת הלב גם לצו בית המשפט לעניני משפחה (הקמת יחידות סיוע, דרכי פעולתן וסדרי עבודתן), התשנ"ו-1996 , הקובע הסדרים מעניינים לענין מינוי מומחים, לרבות מינוי על פי רשימת מומחים אשר מתחייבים לעמוד בתעריף שכר טרחה מסוים ששר המששפטים אמור היה לקבוע. ככה"נ הוראות אלה לא יושמו אך נראה כי הן מודל ראוי. </w:t>
      </w:r>
    </w:p>
  </w:footnote>
  <w:footnote w:id="17">
    <w:p w:rsidR="003F72C2" w:rsidRDefault="003F72C2">
      <w:pPr>
        <w:pStyle w:val="ab"/>
      </w:pPr>
      <w:r>
        <w:rPr>
          <w:rStyle w:val="aa"/>
          <w:rFonts w:cs="David"/>
          <w:rtl/>
        </w:rPr>
        <w:footnoteRef/>
      </w:r>
      <w:r>
        <w:rPr>
          <w:rFonts w:cs="David"/>
        </w:rPr>
        <w:t xml:space="preserve"> </w:t>
      </w:r>
      <w:r>
        <w:rPr>
          <w:rFonts w:cs="David"/>
          <w:rtl/>
        </w:rPr>
        <w:t xml:space="preserve"> </w:t>
      </w:r>
      <w:r>
        <w:rPr>
          <w:rFonts w:cs="David"/>
          <w:color w:val="FF0000"/>
          <w:rtl/>
        </w:rPr>
        <w:t xml:space="preserve">מוצע למחוק את הסעיף, שכן סעיף 19 לחוק הפרשנות קובע עקרון זה כעקרון כללי ואין הוראה בחוק זה שממנה ניתן ללמוד על כוונה מיוחדת שהוראותיו יגברו או יגרעו מסמכויות אחרות בתחום זה. </w:t>
      </w:r>
    </w:p>
  </w:footnote>
  <w:footnote w:id="18">
    <w:p w:rsidR="003F72C2" w:rsidRDefault="003F72C2">
      <w:pPr>
        <w:pStyle w:val="ab"/>
      </w:pPr>
      <w:r>
        <w:rPr>
          <w:rStyle w:val="aa"/>
          <w:rFonts w:cs="David"/>
          <w:color w:val="FF0000"/>
        </w:rPr>
        <w:footnoteRef/>
      </w:r>
      <w:r>
        <w:rPr>
          <w:rFonts w:cs="David"/>
          <w:color w:val="FF0000"/>
        </w:rPr>
        <w:t xml:space="preserve"> </w:t>
      </w:r>
      <w:r>
        <w:rPr>
          <w:rFonts w:cs="David"/>
          <w:color w:val="FF0000"/>
          <w:rtl/>
        </w:rPr>
        <w:t xml:space="preserve"> אם נשאר סעיף שמירת הדינים – להבהיר  גם שאינו גורע מהוראות חוק מניעת העסקת עבריני מין. </w:t>
      </w:r>
    </w:p>
  </w:footnote>
  <w:footnote w:id="19">
    <w:p w:rsidR="003F72C2" w:rsidRDefault="003F72C2">
      <w:pPr>
        <w:pStyle w:val="ab"/>
      </w:pPr>
      <w:r>
        <w:rPr>
          <w:rStyle w:val="aa"/>
          <w:rFonts w:cs="David"/>
        </w:rPr>
        <w:footnoteRef/>
      </w:r>
      <w:r>
        <w:rPr>
          <w:rFonts w:cs="David"/>
        </w:rPr>
        <w:t xml:space="preserve"> </w:t>
      </w:r>
      <w:r>
        <w:rPr>
          <w:rFonts w:cs="David"/>
          <w:rtl/>
        </w:rPr>
        <w:t>ס"ח התשנ"ו, עמ' 138.</w:t>
      </w:r>
    </w:p>
  </w:footnote>
  <w:footnote w:id="20">
    <w:p w:rsidR="003F72C2" w:rsidRDefault="003F72C2">
      <w:pPr>
        <w:pStyle w:val="ab"/>
      </w:pPr>
      <w:r>
        <w:rPr>
          <w:rStyle w:val="aa"/>
          <w:rFonts w:cs="David"/>
        </w:rPr>
        <w:footnoteRef/>
      </w:r>
      <w:r>
        <w:rPr>
          <w:rFonts w:cs="David"/>
        </w:rPr>
        <w:t xml:space="preserve"> </w:t>
      </w:r>
      <w:r>
        <w:rPr>
          <w:rFonts w:cs="David"/>
          <w:rtl/>
        </w:rPr>
        <w:t>ס"ח התשס"ב, עמ' 6.</w:t>
      </w:r>
    </w:p>
  </w:footnote>
  <w:footnote w:id="21">
    <w:p w:rsidR="003F72C2" w:rsidRDefault="003F72C2">
      <w:pPr>
        <w:pStyle w:val="ab"/>
      </w:pPr>
      <w:r>
        <w:rPr>
          <w:rStyle w:val="aa"/>
          <w:rFonts w:cs="David"/>
        </w:rPr>
        <w:footnoteRef/>
      </w:r>
      <w:r>
        <w:rPr>
          <w:rFonts w:cs="David"/>
        </w:rPr>
        <w:t xml:space="preserve"> </w:t>
      </w:r>
      <w:r>
        <w:rPr>
          <w:rFonts w:cs="David"/>
          <w:rtl/>
        </w:rPr>
        <w:t xml:space="preserve"> ס"ח התשנ"ו, עמ' 8. </w:t>
      </w:r>
    </w:p>
  </w:footnote>
  <w:footnote w:id="22">
    <w:p w:rsidR="003F72C2" w:rsidRDefault="003F72C2">
      <w:pPr>
        <w:pStyle w:val="ab"/>
      </w:pPr>
      <w:r>
        <w:rPr>
          <w:rStyle w:val="aa"/>
          <w:rFonts w:cs="David"/>
          <w:rtl/>
        </w:rPr>
        <w:footnoteRef/>
      </w:r>
      <w:r>
        <w:rPr>
          <w:rFonts w:cs="David"/>
        </w:rPr>
        <w:t xml:space="preserve"> </w:t>
      </w:r>
      <w:r>
        <w:rPr>
          <w:rFonts w:cs="David"/>
          <w:rtl/>
        </w:rPr>
        <w:t>ס"ח התשס"א, עמ' 410; התשס"ד....(</w:t>
      </w:r>
      <w:r>
        <w:rPr>
          <w:rFonts w:cs="David"/>
          <w:u w:val="single"/>
          <w:rtl/>
        </w:rPr>
        <w:t>להוסיף תיקון אחרון)</w:t>
      </w:r>
    </w:p>
  </w:footnote>
  <w:footnote w:id="23">
    <w:p w:rsidR="003F72C2" w:rsidRDefault="003F72C2">
      <w:pPr>
        <w:pStyle w:val="ab"/>
      </w:pPr>
      <w:r>
        <w:rPr>
          <w:rStyle w:val="aa"/>
          <w:rFonts w:cs="David"/>
          <w:color w:val="FF0000"/>
          <w:rtl/>
        </w:rPr>
        <w:footnoteRef/>
      </w:r>
      <w:r>
        <w:rPr>
          <w:rFonts w:cs="David"/>
          <w:color w:val="FF0000"/>
        </w:rPr>
        <w:t xml:space="preserve"> </w:t>
      </w:r>
      <w:r>
        <w:rPr>
          <w:rFonts w:cs="David"/>
          <w:color w:val="FF0000"/>
          <w:rtl/>
        </w:rPr>
        <w:t xml:space="preserve"> חשובה לנו התיחסותכם לסעיף התחילה והוראות המעבר.</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72C2">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3F72C2">
    <w:pPr>
      <w:pStyle w:val="a3"/>
      <w:ind w:right="360"/>
      <w:jc w:val="both"/>
      <w:rPr>
        <w:rFonts w:cs="David"/>
        <w:sz w:val="24"/>
        <w:rtl/>
      </w:rPr>
    </w:pPr>
    <w:r>
      <w:rPr>
        <w:rFonts w:cs="David"/>
        <w:sz w:val="24"/>
        <w:rtl/>
      </w:rPr>
      <w:t>ועדת החוקה, חוק ומשפט</w:t>
    </w:r>
  </w:p>
  <w:p w:rsidR="00000000" w:rsidRDefault="003F72C2">
    <w:pPr>
      <w:pStyle w:val="a3"/>
      <w:ind w:right="360"/>
      <w:jc w:val="both"/>
      <w:rPr>
        <w:rStyle w:val="a7"/>
        <w:rFonts w:cs="David"/>
        <w:sz w:val="24"/>
        <w:rtl/>
      </w:rPr>
    </w:pPr>
    <w:r>
      <w:rPr>
        <w:rFonts w:cs="David"/>
        <w:sz w:val="24"/>
        <w:rtl/>
      </w:rPr>
      <w:t>19.8.2004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4237C"/>
    <w:multiLevelType w:val="hybridMultilevel"/>
    <w:tmpl w:val="21A87002"/>
    <w:lvl w:ilvl="0" w:tplc="6BF641EA">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17652FBD"/>
    <w:multiLevelType w:val="hybridMultilevel"/>
    <w:tmpl w:val="FB5ECF68"/>
    <w:lvl w:ilvl="0" w:tplc="A18E52CE">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1ADC0DFD"/>
    <w:multiLevelType w:val="hybridMultilevel"/>
    <w:tmpl w:val="2B1AEE4C"/>
    <w:lvl w:ilvl="0" w:tplc="74F41A38">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36AF1982"/>
    <w:multiLevelType w:val="hybridMultilevel"/>
    <w:tmpl w:val="0C38FC1E"/>
    <w:lvl w:ilvl="0" w:tplc="AF90CD28">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46184BCA"/>
    <w:multiLevelType w:val="hybridMultilevel"/>
    <w:tmpl w:val="88A0CFE0"/>
    <w:lvl w:ilvl="0" w:tplc="9446BB9A">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4BE547D8"/>
    <w:multiLevelType w:val="hybridMultilevel"/>
    <w:tmpl w:val="B04A8E92"/>
    <w:lvl w:ilvl="0" w:tplc="EC26EBC0">
      <w:start w:val="1"/>
      <w:numFmt w:val="decimal"/>
      <w:lvlText w:val="(%1)"/>
      <w:lvlJc w:val="left"/>
      <w:pPr>
        <w:tabs>
          <w:tab w:val="num" w:pos="720"/>
        </w:tabs>
        <w:ind w:left="720" w:hanging="360"/>
      </w:pPr>
      <w:rPr>
        <w:rFonts w:ascii="Times New Roman" w:hAnsi="Times New Roman" w:cs="Times New Roman" w:hint="default"/>
        <w:b w:val="0"/>
        <w:color w:val="auto"/>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2"/>
  </w:num>
  <w:num w:numId="2">
    <w:abstractNumId w:val="4"/>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F72C2"/>
    <w:rsid w:val="003F72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BA1ABEC-F8B8-4672-B143-D6D5EC088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character" w:styleId="aa">
    <w:name w:val="footnote reference"/>
    <w:basedOn w:val="a0"/>
    <w:uiPriority w:val="99"/>
    <w:rPr>
      <w:rFonts w:ascii="Times New Roman" w:hAnsi="Times New Roman" w:cs="Times New Roman"/>
      <w:vertAlign w:val="superscript"/>
    </w:rPr>
  </w:style>
  <w:style w:type="paragraph" w:styleId="31">
    <w:name w:val="Body Text 3"/>
    <w:basedOn w:val="a"/>
    <w:link w:val="32"/>
    <w:uiPriority w:val="99"/>
    <w:pPr>
      <w:overflowPunct/>
      <w:autoSpaceDE/>
      <w:autoSpaceDN/>
      <w:adjustRightInd/>
      <w:spacing w:after="120"/>
      <w:jc w:val="left"/>
      <w:textAlignment w:val="auto"/>
    </w:pPr>
    <w:rPr>
      <w:color w:val="FF0000"/>
    </w:r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paragraph" w:styleId="ab">
    <w:name w:val="footnote text"/>
    <w:basedOn w:val="a"/>
    <w:link w:val="ac"/>
    <w:uiPriority w:val="99"/>
    <w:pPr>
      <w:overflowPunct/>
      <w:autoSpaceDE/>
      <w:autoSpaceDN/>
      <w:adjustRightInd/>
      <w:jc w:val="left"/>
      <w:textAlignment w:val="auto"/>
    </w:pPr>
    <w:rPr>
      <w:sz w:val="20"/>
      <w:szCs w:val="20"/>
    </w:rPr>
  </w:style>
  <w:style w:type="character" w:customStyle="1" w:styleId="ac">
    <w:name w:val="טקסט הערת שוליים תו"/>
    <w:basedOn w:val="a0"/>
    <w:link w:val="ab"/>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BA10B4-1FE9-4D4F-B510-C5904F5E0116}"/>
</file>

<file path=customXml/itemProps2.xml><?xml version="1.0" encoding="utf-8"?>
<ds:datastoreItem xmlns:ds="http://schemas.openxmlformats.org/officeDocument/2006/customXml" ds:itemID="{642C1871-C985-4E56-833D-83BAE66E3FA7}"/>
</file>

<file path=customXml/itemProps3.xml><?xml version="1.0" encoding="utf-8"?>
<ds:datastoreItem xmlns:ds="http://schemas.openxmlformats.org/officeDocument/2006/customXml" ds:itemID="{8E44E1E0-3ED2-42A7-BD7B-F3A2129FE7B4}"/>
</file>

<file path=docProps/app.xml><?xml version="1.0" encoding="utf-8"?>
<Properties xmlns="http://schemas.openxmlformats.org/officeDocument/2006/extended-properties" xmlns:vt="http://schemas.openxmlformats.org/officeDocument/2006/docPropsVTypes">
  <Template>Normal.dotm</Template>
  <TotalTime>0</TotalTime>
  <Pages>3</Pages>
  <Words>11996</Words>
  <Characters>59985</Characters>
  <Application>Microsoft Office Word</Application>
  <DocSecurity>4</DocSecurity>
  <Lines>499</Lines>
  <Paragraphs>143</Paragraphs>
  <ScaleCrop>false</ScaleCrop>
  <Company>כנסת</Company>
  <LinksUpToDate>false</LinksUpToDate>
  <CharactersWithSpaces>71838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הגבלות על חזרתו של עבריין מין לסביבת נפגע העבירה, התשס"ד-2004 - הכנה לקריאה שנייה ושלישית.</dc:title>
  <dc:subject/>
  <dc:creator>תמר שפנייר</dc:creator>
  <cp:keywords/>
  <dc:description/>
  <cp:lastModifiedBy>שמואל כוכב</cp:lastModifiedBy>
  <cp:revision>2</cp:revision>
  <cp:lastPrinted>2004-09-21T09:43:00Z</cp:lastPrinted>
  <dcterms:created xsi:type="dcterms:W3CDTF">2018-06-19T14:29:00Z</dcterms:created>
  <dcterms:modified xsi:type="dcterms:W3CDTF">2018-06-19T14:29:00Z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518556004</vt:i4>
  </property>
  <property fmtid="{D5CDD505-2E9C-101B-9397-08002B2CF9AE}" pid="3" name="_EmailSubject">
    <vt:lpwstr>ועדת חוקה 19.8.2004</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KodTemplate">
    <vt:i4>201</vt:i4>
  </property>
  <property fmtid="{D5CDD505-2E9C-101B-9397-08002B2CF9AE}" pid="7" name="MechaberMismach">
    <vt:lpwstr>הדס דויטש</vt:lpwstr>
  </property>
  <property fmtid="{D5CDD505-2E9C-101B-9397-08002B2CF9AE}" pid="8" name="MisYeshiva">
    <vt:i4>292</vt:i4>
  </property>
  <property fmtid="{D5CDD505-2E9C-101B-9397-08002B2CF9AE}" pid="9" name="Nose">
    <vt:lpwstr>':מחלקת הפרוטוקולים:ועדת חוקה'_x000d__x000d_</vt:lpwstr>
  </property>
  <property fmtid="{D5CDD505-2E9C-101B-9397-08002B2CF9AE}" pid="10" name="TaarichYeshiva">
    <vt:filetime>2004-08-17T21:00:00Z</vt:filetime>
  </property>
  <property fmtid="{D5CDD505-2E9C-101B-9397-08002B2CF9AE}" pid="11" name="סימוכין">
    <vt:i4>3035004</vt:i4>
  </property>
  <property fmtid="{D5CDD505-2E9C-101B-9397-08002B2CF9AE}" pid="12" name="שעת ישיבה">
    <vt:lpwstr>9:00</vt:lpwstr>
  </property>
  <property fmtid="{D5CDD505-2E9C-101B-9397-08002B2CF9AE}" pid="13" name="תאריך המסמך">
    <vt:filetime>2004-08-17T21:00:00Z</vt:filetime>
  </property>
  <property fmtid="{D5CDD505-2E9C-101B-9397-08002B2CF9AE}" pid="14" name="Int_ModifyDate">
    <vt:lpwstr>21/09/2004</vt:lpwstr>
  </property>
  <property fmtid="{D5CDD505-2E9C-101B-9397-08002B2CF9AE}" pid="15" name="Int_Category">
    <vt:lpwstr>החוקה, חוק ומשפט</vt:lpwstr>
  </property>
  <property fmtid="{D5CDD505-2E9C-101B-9397-08002B2CF9AE}" pid="16" name="_ReviewingToolsShownOnce">
    <vt:lpwstr/>
  </property>
  <property fmtid="{D5CDD505-2E9C-101B-9397-08002B2CF9AE}" pid="17" name="ContentTypeId">
    <vt:lpwstr>0x010100B126DF0F8D0A5A4EB112ABD857421DAD</vt:lpwstr>
  </property>
  <property fmtid="{D5CDD505-2E9C-101B-9397-08002B2CF9AE}" pid="18" name="SanhedrinItemID">
    <vt:r8>78329</vt:r8>
  </property>
  <property fmtid="{D5CDD505-2E9C-101B-9397-08002B2CF9AE}" pid="19" name="SanhedrinDocumentType">
    <vt:r8>167</vt:r8>
  </property>
</Properties>
</file>