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7C06">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3C7C06">
      <w:pPr>
        <w:widowControl/>
        <w:rPr>
          <w:rFonts w:cs="David"/>
          <w:b/>
          <w:bCs/>
          <w:sz w:val="24"/>
          <w:rtl/>
        </w:rPr>
      </w:pPr>
      <w:r>
        <w:rPr>
          <w:rFonts w:cs="David"/>
          <w:b/>
          <w:bCs/>
          <w:sz w:val="24"/>
          <w:rtl/>
        </w:rPr>
        <w:t>מושב שלישי</w:t>
      </w:r>
    </w:p>
    <w:p w:rsidR="00000000" w:rsidRDefault="003C7C06">
      <w:pPr>
        <w:widowControl/>
        <w:rPr>
          <w:rFonts w:cs="David"/>
          <w:b/>
          <w:bCs/>
          <w:sz w:val="24"/>
          <w:rtl/>
        </w:rPr>
      </w:pPr>
    </w:p>
    <w:p w:rsidR="00000000" w:rsidRDefault="003C7C06">
      <w:pPr>
        <w:widowControl/>
        <w:rPr>
          <w:rFonts w:cs="David"/>
          <w:b/>
          <w:bCs/>
          <w:sz w:val="24"/>
          <w:rtl/>
        </w:rPr>
      </w:pPr>
    </w:p>
    <w:p w:rsidR="00000000" w:rsidRDefault="003C7C06">
      <w:pPr>
        <w:widowControl/>
        <w:jc w:val="center"/>
        <w:rPr>
          <w:rFonts w:cs="David"/>
          <w:b/>
          <w:bCs/>
          <w:sz w:val="24"/>
          <w:rtl/>
        </w:rPr>
      </w:pPr>
      <w:r>
        <w:rPr>
          <w:rFonts w:cs="David"/>
          <w:b/>
          <w:bCs/>
          <w:sz w:val="24"/>
          <w:rtl/>
        </w:rPr>
        <w:t>פרוטוקול מס' 431</w:t>
      </w:r>
    </w:p>
    <w:p w:rsidR="00000000" w:rsidRDefault="003C7C06">
      <w:pPr>
        <w:pStyle w:val="4"/>
        <w:keepNext w:val="0"/>
        <w:widowControl/>
        <w:rPr>
          <w:rFonts w:cs="David"/>
          <w:b w:val="0"/>
          <w:bCs w:val="0"/>
          <w:sz w:val="24"/>
          <w:rtl/>
        </w:rPr>
      </w:pPr>
      <w:r>
        <w:rPr>
          <w:rFonts w:cs="David"/>
          <w:sz w:val="24"/>
          <w:rtl/>
        </w:rPr>
        <w:t>מישיבת ועדת הפנים ואיכות הסביבה</w:t>
      </w:r>
    </w:p>
    <w:p w:rsidR="00000000" w:rsidRDefault="003C7C06">
      <w:pPr>
        <w:widowControl/>
        <w:jc w:val="center"/>
        <w:rPr>
          <w:rFonts w:cs="David"/>
          <w:sz w:val="24"/>
          <w:u w:val="single"/>
          <w:rtl/>
        </w:rPr>
      </w:pPr>
      <w:r>
        <w:rPr>
          <w:rFonts w:cs="David"/>
          <w:b/>
          <w:bCs/>
          <w:sz w:val="24"/>
          <w:u w:val="single"/>
          <w:rtl/>
        </w:rPr>
        <w:t>‏יום שני, כ"א באייר התשס"ה (‏30 במאי, 2005), שעה 12:10</w:t>
      </w:r>
    </w:p>
    <w:p w:rsidR="00000000" w:rsidRDefault="003C7C06">
      <w:pPr>
        <w:pStyle w:val="3"/>
        <w:keepNext w:val="0"/>
        <w:widowControl/>
        <w:rPr>
          <w:rFonts w:cs="David"/>
          <w:sz w:val="24"/>
          <w:rtl/>
        </w:rPr>
      </w:pPr>
    </w:p>
    <w:p w:rsidR="00000000" w:rsidRDefault="003C7C06">
      <w:pPr>
        <w:widowControl/>
        <w:tabs>
          <w:tab w:val="left" w:pos="1134"/>
          <w:tab w:val="left" w:pos="1418"/>
        </w:tabs>
        <w:ind w:left="1418" w:hanging="1418"/>
        <w:rPr>
          <w:rFonts w:cs="David"/>
          <w:b/>
          <w:bCs/>
          <w:sz w:val="24"/>
          <w:u w:val="single"/>
          <w:rtl/>
        </w:rPr>
      </w:pPr>
    </w:p>
    <w:p w:rsidR="00000000" w:rsidRDefault="003C7C0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העיריו</w:t>
      </w:r>
      <w:r>
        <w:rPr>
          <w:rFonts w:cs="David"/>
          <w:sz w:val="24"/>
          <w:rtl/>
        </w:rPr>
        <w:t>ת (דרכי מסירת מידע בידי משטרת ישראל), התשס"ה-2005</w:t>
      </w:r>
    </w:p>
    <w:p w:rsidR="00000000" w:rsidRDefault="003C7C06">
      <w:pPr>
        <w:widowControl/>
        <w:tabs>
          <w:tab w:val="left" w:pos="1134"/>
          <w:tab w:val="left" w:pos="1418"/>
        </w:tabs>
        <w:ind w:left="1418" w:hanging="284"/>
        <w:rPr>
          <w:rFonts w:cs="David"/>
          <w:sz w:val="24"/>
          <w:rtl/>
        </w:rPr>
      </w:pPr>
    </w:p>
    <w:p w:rsidR="00000000" w:rsidRDefault="003C7C06">
      <w:pPr>
        <w:widowControl/>
        <w:rPr>
          <w:rFonts w:cs="David"/>
          <w:b/>
          <w:bCs/>
          <w:sz w:val="24"/>
          <w:rtl/>
        </w:rPr>
      </w:pPr>
    </w:p>
    <w:p w:rsidR="00000000" w:rsidRDefault="003C7C0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C7C06">
      <w:pPr>
        <w:widowControl/>
        <w:tabs>
          <w:tab w:val="left" w:pos="1276"/>
        </w:tabs>
        <w:rPr>
          <w:rFonts w:cs="David"/>
          <w:b/>
          <w:bCs/>
          <w:sz w:val="24"/>
          <w:u w:val="single"/>
          <w:rtl/>
        </w:rPr>
      </w:pPr>
    </w:p>
    <w:p w:rsidR="00000000" w:rsidRDefault="003C7C0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ר'אלב מג'אדלה – היו"ר</w:t>
      </w:r>
    </w:p>
    <w:p w:rsidR="00000000" w:rsidRDefault="003C7C06">
      <w:pPr>
        <w:widowControl/>
        <w:tabs>
          <w:tab w:val="left" w:pos="1276"/>
        </w:tabs>
        <w:ind w:left="1276"/>
        <w:rPr>
          <w:rFonts w:cs="David"/>
          <w:sz w:val="24"/>
          <w:rtl/>
        </w:rPr>
      </w:pPr>
      <w:r>
        <w:rPr>
          <w:rFonts w:cs="David"/>
          <w:sz w:val="24"/>
          <w:rtl/>
        </w:rPr>
        <w:t>ואסל טאהא</w:t>
      </w:r>
    </w:p>
    <w:p w:rsidR="00000000" w:rsidRDefault="003C7C06">
      <w:pPr>
        <w:widowControl/>
        <w:tabs>
          <w:tab w:val="left" w:pos="1276"/>
        </w:tabs>
        <w:ind w:left="1276"/>
        <w:rPr>
          <w:rFonts w:cs="David"/>
          <w:sz w:val="24"/>
          <w:rtl/>
        </w:rPr>
      </w:pPr>
      <w:r>
        <w:rPr>
          <w:rFonts w:cs="David"/>
          <w:sz w:val="24"/>
          <w:rtl/>
        </w:rPr>
        <w:t>לאה נס</w:t>
      </w:r>
    </w:p>
    <w:p w:rsidR="00000000" w:rsidRDefault="003C7C06">
      <w:pPr>
        <w:widowControl/>
        <w:tabs>
          <w:tab w:val="left" w:pos="1276"/>
        </w:tabs>
        <w:ind w:left="1276"/>
        <w:rPr>
          <w:rFonts w:cs="David"/>
          <w:sz w:val="24"/>
          <w:rtl/>
        </w:rPr>
      </w:pPr>
    </w:p>
    <w:p w:rsidR="00000000" w:rsidRDefault="003C7C0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יעל נבון</w:t>
      </w:r>
      <w:r>
        <w:rPr>
          <w:rFonts w:cs="David"/>
          <w:sz w:val="24"/>
          <w:rtl/>
        </w:rPr>
        <w:tab/>
        <w:t>-</w:t>
      </w:r>
      <w:r>
        <w:rPr>
          <w:rFonts w:cs="David"/>
          <w:sz w:val="24"/>
          <w:rtl/>
        </w:rPr>
        <w:tab/>
        <w:t>מח' יועמ"ש, המשרד לביטחון פנים</w:t>
      </w:r>
    </w:p>
    <w:p w:rsidR="00000000" w:rsidRDefault="003C7C06">
      <w:pPr>
        <w:widowControl/>
        <w:tabs>
          <w:tab w:val="left" w:pos="1276"/>
          <w:tab w:val="left" w:pos="3969"/>
          <w:tab w:val="left" w:pos="4253"/>
        </w:tabs>
        <w:ind w:left="4253" w:hanging="2977"/>
        <w:rPr>
          <w:rFonts w:cs="David"/>
          <w:sz w:val="24"/>
          <w:rtl/>
        </w:rPr>
      </w:pPr>
      <w:r>
        <w:rPr>
          <w:rFonts w:cs="David"/>
          <w:sz w:val="24"/>
          <w:rtl/>
        </w:rPr>
        <w:t>תנ"צ שמואל ברגר</w:t>
      </w:r>
      <w:r>
        <w:rPr>
          <w:rFonts w:cs="David"/>
          <w:sz w:val="24"/>
          <w:rtl/>
        </w:rPr>
        <w:tab/>
        <w:t>-</w:t>
      </w:r>
      <w:r>
        <w:rPr>
          <w:rFonts w:cs="David"/>
          <w:sz w:val="24"/>
          <w:rtl/>
        </w:rPr>
        <w:tab/>
        <w:t>רמ"ד מידע פלילי, המשרד לביטחון פנים</w:t>
      </w:r>
    </w:p>
    <w:p w:rsidR="00000000" w:rsidRDefault="003C7C06">
      <w:pPr>
        <w:widowControl/>
        <w:tabs>
          <w:tab w:val="left" w:pos="1276"/>
          <w:tab w:val="left" w:pos="3969"/>
          <w:tab w:val="left" w:pos="4253"/>
        </w:tabs>
        <w:ind w:left="4253" w:hanging="2977"/>
        <w:rPr>
          <w:rFonts w:cs="David"/>
          <w:sz w:val="24"/>
          <w:rtl/>
        </w:rPr>
      </w:pPr>
      <w:r>
        <w:rPr>
          <w:rFonts w:cs="David"/>
          <w:sz w:val="24"/>
          <w:rtl/>
        </w:rPr>
        <w:t>עו"ד גבי פיסמן</w:t>
      </w:r>
      <w:r>
        <w:rPr>
          <w:rFonts w:cs="David"/>
          <w:sz w:val="24"/>
          <w:rtl/>
        </w:rPr>
        <w:tab/>
        <w:t>-</w:t>
      </w:r>
      <w:r>
        <w:rPr>
          <w:rFonts w:cs="David"/>
          <w:sz w:val="24"/>
          <w:rtl/>
        </w:rPr>
        <w:tab/>
        <w:t>משרד המשפטים</w:t>
      </w:r>
    </w:p>
    <w:p w:rsidR="00000000" w:rsidRDefault="003C7C06">
      <w:pPr>
        <w:widowControl/>
        <w:tabs>
          <w:tab w:val="left" w:pos="1276"/>
          <w:tab w:val="left" w:pos="3969"/>
          <w:tab w:val="left" w:pos="4253"/>
        </w:tabs>
        <w:ind w:left="4253" w:hanging="2977"/>
        <w:rPr>
          <w:rFonts w:cs="David"/>
          <w:sz w:val="24"/>
          <w:rtl/>
        </w:rPr>
      </w:pPr>
      <w:r>
        <w:rPr>
          <w:rFonts w:cs="David"/>
          <w:sz w:val="24"/>
          <w:rtl/>
        </w:rPr>
        <w:t>שלמ</w:t>
      </w:r>
      <w:r>
        <w:rPr>
          <w:rFonts w:cs="David"/>
          <w:sz w:val="24"/>
          <w:rtl/>
        </w:rPr>
        <w:t>ה ללוש</w:t>
      </w:r>
      <w:r>
        <w:rPr>
          <w:rFonts w:cs="David"/>
          <w:sz w:val="24"/>
          <w:rtl/>
        </w:rPr>
        <w:tab/>
        <w:t>-</w:t>
      </w:r>
      <w:r>
        <w:rPr>
          <w:rFonts w:cs="David"/>
          <w:sz w:val="24"/>
          <w:rtl/>
        </w:rPr>
        <w:tab/>
        <w:t>מרכז השלטון המקומי</w:t>
      </w:r>
    </w:p>
    <w:p w:rsidR="00000000" w:rsidRDefault="003C7C06">
      <w:pPr>
        <w:widowControl/>
        <w:rPr>
          <w:rFonts w:cs="David"/>
          <w:sz w:val="24"/>
          <w:rtl/>
        </w:rPr>
      </w:pPr>
    </w:p>
    <w:p w:rsidR="00000000" w:rsidRDefault="003C7C06">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עידו בן-יצחק</w:t>
      </w:r>
    </w:p>
    <w:p w:rsidR="00000000" w:rsidRDefault="003C7C06">
      <w:pPr>
        <w:widowControl/>
        <w:tabs>
          <w:tab w:val="left" w:pos="1559"/>
        </w:tabs>
        <w:ind w:left="1559" w:hanging="1559"/>
        <w:rPr>
          <w:rFonts w:cs="David"/>
          <w:sz w:val="24"/>
          <w:rtl/>
        </w:rPr>
      </w:pPr>
    </w:p>
    <w:p w:rsidR="00000000" w:rsidRDefault="003C7C0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3C7C06">
      <w:pPr>
        <w:widowControl/>
        <w:tabs>
          <w:tab w:val="left" w:pos="1701"/>
        </w:tabs>
        <w:ind w:left="1701" w:hanging="1701"/>
        <w:rPr>
          <w:rFonts w:cs="David"/>
          <w:b/>
          <w:bCs/>
          <w:sz w:val="24"/>
          <w:u w:val="single"/>
          <w:rtl/>
        </w:rPr>
      </w:pPr>
    </w:p>
    <w:p w:rsidR="00000000" w:rsidRDefault="003C7C0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C7C06">
      <w:pPr>
        <w:widowControl/>
        <w:tabs>
          <w:tab w:val="left" w:pos="1559"/>
        </w:tabs>
        <w:rPr>
          <w:rFonts w:cs="David"/>
          <w:sz w:val="24"/>
          <w:rtl/>
        </w:rPr>
      </w:pPr>
    </w:p>
    <w:p w:rsidR="00000000" w:rsidRDefault="003C7C06">
      <w:pPr>
        <w:widowControl/>
        <w:rPr>
          <w:rFonts w:cs="David"/>
          <w:sz w:val="24"/>
          <w:rtl/>
        </w:rPr>
      </w:pPr>
      <w:r>
        <w:rPr>
          <w:rFonts w:cs="David"/>
          <w:sz w:val="24"/>
          <w:rtl/>
        </w:rPr>
        <w:br w:type="page"/>
      </w:r>
    </w:p>
    <w:p w:rsidR="00000000" w:rsidRDefault="003C7C06">
      <w:pPr>
        <w:pStyle w:val="5"/>
        <w:rPr>
          <w:rFonts w:cs="David"/>
          <w:sz w:val="24"/>
          <w:rtl/>
        </w:rPr>
      </w:pPr>
      <w:r>
        <w:rPr>
          <w:rFonts w:cs="David"/>
          <w:sz w:val="24"/>
          <w:rtl/>
        </w:rPr>
        <w:t>תקנות העיריות (דרכי מסירת מידע בידי משטרת ישראל), התשס"ה-2005</w:t>
      </w:r>
    </w:p>
    <w:p w:rsidR="00000000" w:rsidRDefault="003C7C06">
      <w:pPr>
        <w:widowControl/>
        <w:rPr>
          <w:rFonts w:cs="David"/>
          <w:sz w:val="24"/>
          <w:rtl/>
        </w:rPr>
      </w:pP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היו"ר ר'אלב מג'אדלה:</w:t>
      </w:r>
    </w:p>
    <w:p w:rsidR="00000000" w:rsidRDefault="003C7C06">
      <w:pPr>
        <w:rPr>
          <w:rFonts w:cs="David"/>
          <w:sz w:val="24"/>
          <w:rtl/>
        </w:rPr>
      </w:pPr>
    </w:p>
    <w:p w:rsidR="00000000" w:rsidRDefault="003C7C06">
      <w:pPr>
        <w:widowControl/>
        <w:rPr>
          <w:rFonts w:cs="David"/>
          <w:sz w:val="24"/>
          <w:rtl/>
        </w:rPr>
      </w:pPr>
      <w:r>
        <w:rPr>
          <w:rFonts w:cs="David"/>
          <w:sz w:val="24"/>
          <w:rtl/>
        </w:rPr>
        <w:tab/>
        <w:t>אני מתכבד לפתוח את ישיבת ועדת הפנים ואיכות הסביבה. על סדר היום תק</w:t>
      </w:r>
      <w:r>
        <w:rPr>
          <w:rFonts w:cs="David"/>
          <w:sz w:val="24"/>
          <w:rtl/>
        </w:rPr>
        <w:t xml:space="preserve">נות העיריות (דרכי מסירת מידע בידי משטרת ישראל), התשס"ה-2005.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עידו בן-יצחק:</w:t>
      </w:r>
    </w:p>
    <w:p w:rsidR="00000000" w:rsidRDefault="003C7C06">
      <w:pPr>
        <w:widowControl/>
        <w:rPr>
          <w:rFonts w:cs="David"/>
          <w:sz w:val="24"/>
          <w:rtl/>
        </w:rPr>
      </w:pPr>
    </w:p>
    <w:p w:rsidR="00000000" w:rsidRDefault="003C7C06">
      <w:pPr>
        <w:widowControl/>
        <w:rPr>
          <w:rFonts w:cs="David"/>
          <w:sz w:val="24"/>
          <w:rtl/>
        </w:rPr>
      </w:pPr>
      <w:r>
        <w:rPr>
          <w:rFonts w:cs="David"/>
          <w:sz w:val="24"/>
          <w:rtl/>
        </w:rPr>
        <w:tab/>
        <w:t xml:space="preserve">אני מציע שנציג המשרד לביטחון פנים יציג את התקנות. יש לי כמה הערות ואומר אותן במהלך הדיון.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יעל נבון: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לפי תיקון 77 לפקודת העיריות נקבע, כי לצורך מינוי משרות מסוימות בעירייה יש</w:t>
      </w:r>
      <w:r>
        <w:rPr>
          <w:rFonts w:cs="David"/>
          <w:sz w:val="24"/>
          <w:rtl/>
        </w:rPr>
        <w:t xml:space="preserve"> צורך בחוות דעת היועץ המשפטי של העירייה על הרשעות קודמות של המועמד למינוי, ולצורך מינוי יועץ משפטי לעירייה יהיה צורך בחוות דעת היועץ המשפטי של משרד הפנים. בנוסף נקבע, כי השר לביטחון פנים, בהתייעצות עם שר המשפטים ובאישור ועדת הפנים ואיכות הסביבה של הכנסת, י</w:t>
      </w:r>
      <w:r>
        <w:rPr>
          <w:rFonts w:cs="David"/>
          <w:sz w:val="24"/>
          <w:rtl/>
        </w:rPr>
        <w:t>יקבע דרכי מסירת מידע בדבר קיום הרשעה של מועמד. כלומר, נקבע כיצד המשטרה תעביר ליועץ המשפטי של העירייה או ליועץ המשפטי של משרד הפנים את המידע בדבר ההרשעות הקודמות של המועמד, מתוך נקודת הנחה שמדובר במידע רגיש, שלא כדאי שייחשף לגורמים שלא צריכים לראות אותו. הת</w:t>
      </w:r>
      <w:r>
        <w:rPr>
          <w:rFonts w:cs="David"/>
          <w:sz w:val="24"/>
          <w:rtl/>
        </w:rPr>
        <w:t xml:space="preserve">קנות שאנחנו מביאים באות להסדיר את דרכי מסירת המידע. </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תקנות העיריות (דרכי מסירת מידע בידי משטרת ישראל), התשס"ה-2005</w:t>
      </w:r>
    </w:p>
    <w:p w:rsidR="00000000" w:rsidRDefault="003C7C06">
      <w:pPr>
        <w:widowControl/>
        <w:rPr>
          <w:rFonts w:cs="David"/>
          <w:sz w:val="24"/>
          <w:rtl/>
        </w:rPr>
      </w:pPr>
    </w:p>
    <w:p w:rsidR="00000000" w:rsidRDefault="003C7C06">
      <w:pPr>
        <w:widowControl/>
        <w:ind w:left="567"/>
        <w:rPr>
          <w:rFonts w:cs="David"/>
          <w:sz w:val="24"/>
          <w:rtl/>
        </w:rPr>
      </w:pPr>
      <w:r>
        <w:rPr>
          <w:rFonts w:cs="David"/>
          <w:sz w:val="24"/>
          <w:rtl/>
        </w:rPr>
        <w:t xml:space="preserve">"בתוקף סמכותי לפי סעיף 170(ב1)(3) לפקודת העיריות (להלן – הפקודה), בהתייעצות עם שר המשפטים, ובאישור ועדת הפנים ואיכות הסביבה של הכנסת, אני </w:t>
      </w:r>
      <w:r>
        <w:rPr>
          <w:rFonts w:cs="David"/>
          <w:sz w:val="24"/>
          <w:rtl/>
        </w:rPr>
        <w:t>מתקין תקנות אלה:</w:t>
      </w:r>
    </w:p>
    <w:p w:rsidR="00000000" w:rsidRDefault="003C7C06">
      <w:pPr>
        <w:widowControl/>
        <w:rPr>
          <w:rFonts w:cs="David"/>
          <w:sz w:val="24"/>
          <w:rtl/>
        </w:rPr>
      </w:pPr>
    </w:p>
    <w:p w:rsidR="00000000" w:rsidRDefault="003C7C06">
      <w:pPr>
        <w:widowControl/>
        <w:rPr>
          <w:rFonts w:cs="David"/>
          <w:b/>
          <w:bCs/>
          <w:i/>
          <w:iCs/>
          <w:sz w:val="24"/>
          <w:u w:val="single"/>
          <w:rtl/>
        </w:rPr>
      </w:pPr>
      <w:r>
        <w:rPr>
          <w:rFonts w:cs="David"/>
          <w:sz w:val="24"/>
          <w:rtl/>
        </w:rPr>
        <w:tab/>
      </w:r>
      <w:r>
        <w:rPr>
          <w:rFonts w:cs="David"/>
          <w:b/>
          <w:bCs/>
          <w:sz w:val="24"/>
          <w:u w:val="single"/>
          <w:rtl/>
        </w:rPr>
        <w:t xml:space="preserve">תקנה 1 – </w:t>
      </w:r>
      <w:r>
        <w:rPr>
          <w:rFonts w:cs="David"/>
          <w:b/>
          <w:bCs/>
          <w:i/>
          <w:iCs/>
          <w:sz w:val="24"/>
          <w:u w:val="single"/>
          <w:rtl/>
        </w:rPr>
        <w:t>הגדרות</w:t>
      </w:r>
    </w:p>
    <w:p w:rsidR="00000000" w:rsidRDefault="003C7C06">
      <w:pPr>
        <w:widowControl/>
        <w:rPr>
          <w:rFonts w:cs="David"/>
          <w:sz w:val="24"/>
          <w:rtl/>
        </w:rPr>
      </w:pPr>
    </w:p>
    <w:p w:rsidR="00000000" w:rsidRDefault="003C7C06">
      <w:pPr>
        <w:widowControl/>
        <w:ind w:left="567"/>
        <w:rPr>
          <w:rFonts w:cs="David"/>
          <w:sz w:val="24"/>
          <w:rtl/>
        </w:rPr>
      </w:pPr>
      <w:r>
        <w:rPr>
          <w:rFonts w:cs="David"/>
          <w:sz w:val="24"/>
          <w:rtl/>
        </w:rPr>
        <w:t>"מבקש" – היועץ המשפטי לעירייה הנוגעת בדבר, או היועץ המשפטי של משרד הפנים, במקרה בו נדרש המידע לצורך מינוי יועץ משפטי לעירייה;"</w:t>
      </w:r>
    </w:p>
    <w:p w:rsidR="00000000" w:rsidRDefault="003C7C06">
      <w:pPr>
        <w:rPr>
          <w:rFonts w:cs="David"/>
          <w:sz w:val="24"/>
          <w:rtl/>
        </w:rPr>
      </w:pPr>
    </w:p>
    <w:p w:rsidR="00000000" w:rsidRDefault="003C7C06">
      <w:pPr>
        <w:rPr>
          <w:rFonts w:cs="David"/>
          <w:sz w:val="24"/>
          <w:rtl/>
        </w:rPr>
      </w:pPr>
      <w:r>
        <w:rPr>
          <w:rFonts w:cs="David"/>
          <w:sz w:val="24"/>
          <w:rtl/>
        </w:rPr>
        <w:tab/>
        <w:t xml:space="preserve">"המבקש", על-פי פקודת העיריות, אלה האנשים שמבקשים את החומר. </w:t>
      </w:r>
    </w:p>
    <w:p w:rsidR="00000000" w:rsidRDefault="003C7C06">
      <w:pPr>
        <w:rPr>
          <w:rFonts w:cs="David"/>
          <w:sz w:val="24"/>
          <w:rtl/>
        </w:rPr>
      </w:pPr>
    </w:p>
    <w:p w:rsidR="00000000" w:rsidRDefault="003C7C06">
      <w:pPr>
        <w:widowControl/>
        <w:ind w:left="567"/>
        <w:rPr>
          <w:rFonts w:cs="David"/>
          <w:sz w:val="24"/>
          <w:rtl/>
        </w:rPr>
      </w:pPr>
      <w:r>
        <w:rPr>
          <w:rFonts w:cs="David"/>
          <w:sz w:val="24"/>
          <w:rtl/>
        </w:rPr>
        <w:t>""מאגר מידע" – אוסף נתוני מידע</w:t>
      </w:r>
      <w:r>
        <w:rPr>
          <w:rFonts w:cs="David"/>
          <w:sz w:val="24"/>
          <w:rtl/>
        </w:rPr>
        <w:t xml:space="preserve"> המוחזק במחשב כהגדרתו בחוק המחשבים, התשנ"ה-1995;</w:t>
      </w:r>
    </w:p>
    <w:p w:rsidR="00000000" w:rsidRDefault="003C7C06">
      <w:pPr>
        <w:widowControl/>
        <w:ind w:left="567"/>
        <w:rPr>
          <w:rFonts w:cs="David"/>
          <w:sz w:val="24"/>
          <w:rtl/>
        </w:rPr>
      </w:pPr>
    </w:p>
    <w:p w:rsidR="00000000" w:rsidRDefault="003C7C06">
      <w:pPr>
        <w:widowControl/>
        <w:ind w:left="567"/>
        <w:rPr>
          <w:rFonts w:cs="David"/>
          <w:sz w:val="24"/>
          <w:rtl/>
        </w:rPr>
      </w:pPr>
      <w:r>
        <w:rPr>
          <w:rFonts w:cs="David"/>
          <w:sz w:val="24"/>
          <w:rtl/>
        </w:rPr>
        <w:t>"מח"ק" – מחלקת חקירות ותביעות במטה הארצי של משטרת ישראל;</w:t>
      </w:r>
    </w:p>
    <w:p w:rsidR="00000000" w:rsidRDefault="003C7C06">
      <w:pPr>
        <w:widowControl/>
        <w:ind w:left="567"/>
        <w:rPr>
          <w:rFonts w:cs="David"/>
          <w:sz w:val="24"/>
          <w:rtl/>
        </w:rPr>
      </w:pPr>
    </w:p>
    <w:p w:rsidR="00000000" w:rsidRDefault="003C7C06">
      <w:pPr>
        <w:widowControl/>
        <w:ind w:left="567"/>
        <w:rPr>
          <w:rFonts w:cs="David"/>
          <w:sz w:val="24"/>
          <w:rtl/>
        </w:rPr>
      </w:pPr>
      <w:r>
        <w:rPr>
          <w:rFonts w:cs="David"/>
          <w:sz w:val="24"/>
          <w:rtl/>
        </w:rPr>
        <w:t>"מנ"ט" – מינהל טכנולוגיות במטה הארצי של משטרת ישראל.</w:t>
      </w:r>
    </w:p>
    <w:p w:rsidR="00000000" w:rsidRDefault="003C7C06">
      <w:pPr>
        <w:widowControl/>
        <w:rPr>
          <w:rFonts w:cs="David"/>
          <w:sz w:val="24"/>
          <w:rtl/>
        </w:rPr>
      </w:pPr>
    </w:p>
    <w:p w:rsidR="00000000" w:rsidRDefault="003C7C06">
      <w:pPr>
        <w:widowControl/>
        <w:rPr>
          <w:rFonts w:cs="David"/>
          <w:b/>
          <w:bCs/>
          <w:i/>
          <w:iCs/>
          <w:sz w:val="24"/>
          <w:u w:val="single"/>
          <w:rtl/>
        </w:rPr>
      </w:pPr>
      <w:r>
        <w:rPr>
          <w:rFonts w:cs="David"/>
          <w:sz w:val="24"/>
          <w:rtl/>
        </w:rPr>
        <w:tab/>
      </w:r>
      <w:r>
        <w:rPr>
          <w:rFonts w:cs="David"/>
          <w:b/>
          <w:bCs/>
          <w:sz w:val="24"/>
          <w:u w:val="single"/>
          <w:rtl/>
        </w:rPr>
        <w:t xml:space="preserve">תקנה 2 – </w:t>
      </w:r>
      <w:r>
        <w:rPr>
          <w:rFonts w:cs="David"/>
          <w:b/>
          <w:bCs/>
          <w:i/>
          <w:iCs/>
          <w:sz w:val="24"/>
          <w:u w:val="single"/>
          <w:rtl/>
        </w:rPr>
        <w:t>מסירת מידע</w:t>
      </w:r>
    </w:p>
    <w:p w:rsidR="00000000" w:rsidRDefault="003C7C06">
      <w:pPr>
        <w:widowControl/>
        <w:rPr>
          <w:rFonts w:cs="David"/>
          <w:sz w:val="24"/>
          <w:rtl/>
        </w:rPr>
      </w:pPr>
    </w:p>
    <w:p w:rsidR="00000000" w:rsidRDefault="003C7C06">
      <w:pPr>
        <w:widowControl/>
        <w:ind w:left="1134" w:hanging="567"/>
        <w:rPr>
          <w:rFonts w:cs="David"/>
          <w:sz w:val="24"/>
          <w:rtl/>
        </w:rPr>
      </w:pPr>
      <w:r>
        <w:rPr>
          <w:rFonts w:cs="David"/>
          <w:sz w:val="24"/>
          <w:rtl/>
        </w:rPr>
        <w:t>(א)</w:t>
      </w:r>
      <w:r>
        <w:rPr>
          <w:rFonts w:cs="David"/>
          <w:sz w:val="24"/>
          <w:rtl/>
        </w:rPr>
        <w:tab/>
        <w:t>מידע לשם מינוי של אדם למשרות המפורטות בסעיף 170(ב1)(1) לפקודה או לתפ</w:t>
      </w:r>
      <w:r>
        <w:rPr>
          <w:rFonts w:cs="David"/>
          <w:sz w:val="24"/>
          <w:rtl/>
        </w:rPr>
        <w:t>קידים שנקבעו לפי סעיף 170(ב1)(2) לפקודה (להלן – מידע) יימסר בידי מח"ק."</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גבי פיסמן: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יש לי הערה לתקנת ההגדרות. חלף זמן מאז השר לביטחון פנים חתם על התקנות ומאז היה רה-ארגון במח"ק במשטרת ישראל. היום מחלקת החקירות והתביעות היא רק מחלקת חקירות, לכן כדאי שנשנה</w:t>
      </w:r>
      <w:r>
        <w:rPr>
          <w:rFonts w:cs="David"/>
          <w:sz w:val="24"/>
          <w:rtl/>
        </w:rPr>
        <w:t xml:space="preserve"> את ההגדרה הזאת. צריך למחוק את המילה "ותביעות".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לאה נס:</w:t>
      </w:r>
    </w:p>
    <w:p w:rsidR="00000000" w:rsidRDefault="003C7C06">
      <w:pPr>
        <w:rPr>
          <w:rFonts w:cs="David"/>
          <w:sz w:val="24"/>
          <w:rtl/>
        </w:rPr>
      </w:pPr>
    </w:p>
    <w:p w:rsidR="00000000" w:rsidRDefault="003C7C06">
      <w:pPr>
        <w:widowControl/>
        <w:rPr>
          <w:rFonts w:cs="David"/>
          <w:sz w:val="24"/>
          <w:rtl/>
        </w:rPr>
      </w:pPr>
      <w:r>
        <w:rPr>
          <w:rFonts w:cs="David"/>
          <w:sz w:val="24"/>
          <w:rtl/>
        </w:rPr>
        <w:tab/>
        <w:t>איפה נמצאות התביעות?</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גבי פיסמן: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לחוד, יש הפרדה בין החקירות והתביעות.</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עידו בן-יצחק:</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לגבי תקנת משנה 2(א) – היה תיקון בפקודת העיריות, שכיום המשרות המפורטות הן כבר לא בסעיף 170(ב1)(1), אלא מופיע</w:t>
      </w:r>
      <w:r>
        <w:rPr>
          <w:rFonts w:cs="David"/>
          <w:sz w:val="24"/>
          <w:rtl/>
        </w:rPr>
        <w:t>ות בתוספת החמישית. היה תיקון של כל דרכי המינוי של עובדים בכירים ברשויות המקומיות. סעיף 170(ב1)(1) המתוקן פותח במילים: "במהלך מינוי למשרה המנויה בתוספת החמישית או למשרת פקח ...", והמשרות המנויות בתוספת החמישית הן למעשה אותן משרות שהיו מנויות קודם בסעיף 170(</w:t>
      </w:r>
      <w:r>
        <w:rPr>
          <w:rFonts w:cs="David"/>
          <w:sz w:val="24"/>
          <w:rtl/>
        </w:rPr>
        <w:t xml:space="preserve">ב1)(1), בתוספת רופא וטרינר ומנהל מחלקת חינוך.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יעל נבון: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 xml:space="preserve">לפי מה שהקראת, זה צריך להיות "התפקידים המנויים בתוספת החמישית", וכן פקח. אז אולי עדיף כן להפנות לסעיף 170(ב1)(1), שמפנה לתוספת החמישית ומוסיף את הפקח.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גבי פיסמן: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אני חושבת שעו"ד יעל נבון צודקת</w:t>
      </w:r>
      <w:r>
        <w:rPr>
          <w:rFonts w:cs="David"/>
          <w:sz w:val="24"/>
          <w:rtl/>
        </w:rPr>
        <w:t xml:space="preserve">. אולי עדיף להשאיר את ההפניה לסעיף 170(ב1)(1), ובמילא סעיף 170(ב1)(1) מפנה לתוספת. צריך לומר "המשרות המפורטות </w:t>
      </w:r>
      <w:r>
        <w:rPr>
          <w:rFonts w:cs="David"/>
          <w:sz w:val="24"/>
          <w:u w:val="single"/>
          <w:rtl/>
        </w:rPr>
        <w:t>לפי סעיף</w:t>
      </w:r>
      <w:r>
        <w:rPr>
          <w:rFonts w:cs="David"/>
          <w:sz w:val="24"/>
          <w:rtl/>
        </w:rPr>
        <w:t xml:space="preserve"> 170(ב1)(1)", ולא "</w:t>
      </w:r>
      <w:r>
        <w:rPr>
          <w:rFonts w:cs="David"/>
          <w:sz w:val="24"/>
          <w:u w:val="single"/>
          <w:rtl/>
        </w:rPr>
        <w:t>בסעיף</w:t>
      </w:r>
      <w:r>
        <w:rPr>
          <w:rFonts w:cs="David"/>
          <w:sz w:val="24"/>
          <w:rtl/>
        </w:rPr>
        <w:t xml:space="preserve"> 170(ב1)(1)".</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יעל נבון:</w:t>
      </w:r>
    </w:p>
    <w:p w:rsidR="00000000" w:rsidRDefault="003C7C06">
      <w:pPr>
        <w:widowControl/>
        <w:ind w:left="1134" w:hanging="567"/>
        <w:rPr>
          <w:rFonts w:cs="David"/>
          <w:sz w:val="24"/>
          <w:rtl/>
        </w:rPr>
      </w:pPr>
    </w:p>
    <w:p w:rsidR="00000000" w:rsidRDefault="003C7C06">
      <w:pPr>
        <w:widowControl/>
        <w:ind w:left="1134" w:hanging="567"/>
        <w:rPr>
          <w:rFonts w:cs="David"/>
          <w:sz w:val="24"/>
          <w:rtl/>
        </w:rPr>
      </w:pPr>
      <w:r>
        <w:rPr>
          <w:rFonts w:cs="David"/>
          <w:sz w:val="24"/>
          <w:rtl/>
        </w:rPr>
        <w:t>"(ב)</w:t>
      </w:r>
      <w:r>
        <w:rPr>
          <w:rFonts w:cs="David"/>
          <w:sz w:val="24"/>
          <w:rtl/>
        </w:rPr>
        <w:tab/>
        <w:t>לא יימסר מידע אלא לאחר שמח"ק בדקה כי הוגשה בקשה לקבלתו כאמור בתקנה 3.</w:t>
      </w:r>
    </w:p>
    <w:p w:rsidR="00000000" w:rsidRDefault="003C7C06">
      <w:pPr>
        <w:widowControl/>
        <w:ind w:left="1134" w:hanging="567"/>
        <w:rPr>
          <w:rFonts w:cs="David"/>
          <w:sz w:val="24"/>
          <w:rtl/>
        </w:rPr>
      </w:pPr>
    </w:p>
    <w:p w:rsidR="00000000" w:rsidRDefault="003C7C06">
      <w:pPr>
        <w:widowControl/>
        <w:ind w:left="1134" w:hanging="567"/>
        <w:rPr>
          <w:rFonts w:cs="David"/>
          <w:sz w:val="24"/>
          <w:rtl/>
        </w:rPr>
      </w:pPr>
      <w:r>
        <w:rPr>
          <w:rFonts w:cs="David"/>
          <w:sz w:val="24"/>
          <w:rtl/>
        </w:rPr>
        <w:t>(ג)</w:t>
      </w:r>
      <w:r>
        <w:rPr>
          <w:rFonts w:cs="David"/>
          <w:sz w:val="24"/>
          <w:rtl/>
        </w:rPr>
        <w:tab/>
        <w:t>המידע יש</w:t>
      </w:r>
      <w:r>
        <w:rPr>
          <w:rFonts w:cs="David"/>
          <w:sz w:val="24"/>
          <w:rtl/>
        </w:rPr>
        <w:t>לח למבקש באמצעות אחת מדרכים אלה:</w:t>
      </w:r>
    </w:p>
    <w:p w:rsidR="00000000" w:rsidRDefault="003C7C06">
      <w:pPr>
        <w:widowControl/>
        <w:ind w:left="1134" w:hanging="567"/>
        <w:rPr>
          <w:rFonts w:cs="David"/>
          <w:sz w:val="24"/>
          <w:rtl/>
        </w:rPr>
      </w:pPr>
    </w:p>
    <w:p w:rsidR="00000000" w:rsidRDefault="003C7C06">
      <w:pPr>
        <w:widowControl/>
        <w:ind w:left="1701" w:hanging="567"/>
        <w:rPr>
          <w:rFonts w:cs="David"/>
          <w:sz w:val="24"/>
          <w:rtl/>
        </w:rPr>
      </w:pPr>
      <w:r>
        <w:rPr>
          <w:rFonts w:cs="David"/>
          <w:sz w:val="24"/>
          <w:rtl/>
        </w:rPr>
        <w:t>(1)</w:t>
      </w:r>
      <w:r>
        <w:rPr>
          <w:rFonts w:cs="David"/>
          <w:sz w:val="24"/>
          <w:rtl/>
        </w:rPr>
        <w:tab/>
        <w:t>דואר רשום;</w:t>
      </w:r>
    </w:p>
    <w:p w:rsidR="00000000" w:rsidRDefault="003C7C06">
      <w:pPr>
        <w:widowControl/>
        <w:ind w:left="1701" w:hanging="567"/>
        <w:rPr>
          <w:rFonts w:cs="David"/>
          <w:sz w:val="24"/>
          <w:rtl/>
        </w:rPr>
      </w:pPr>
    </w:p>
    <w:p w:rsidR="00000000" w:rsidRDefault="003C7C06">
      <w:pPr>
        <w:widowControl/>
        <w:ind w:left="1701" w:hanging="567"/>
        <w:rPr>
          <w:rFonts w:cs="David"/>
          <w:sz w:val="24"/>
          <w:rtl/>
        </w:rPr>
      </w:pPr>
      <w:r>
        <w:rPr>
          <w:rFonts w:cs="David"/>
          <w:sz w:val="24"/>
          <w:rtl/>
        </w:rPr>
        <w:t>(2)</w:t>
      </w:r>
      <w:r>
        <w:rPr>
          <w:rFonts w:cs="David"/>
          <w:sz w:val="24"/>
          <w:rtl/>
        </w:rPr>
        <w:tab/>
        <w:t>שליח ובמעטפה סגורה שתיפתח רק בידי המבקש;</w:t>
      </w:r>
    </w:p>
    <w:p w:rsidR="00000000" w:rsidRDefault="003C7C06">
      <w:pPr>
        <w:widowControl/>
        <w:ind w:left="1701" w:hanging="567"/>
        <w:rPr>
          <w:rFonts w:cs="David"/>
          <w:sz w:val="24"/>
          <w:rtl/>
        </w:rPr>
      </w:pPr>
    </w:p>
    <w:p w:rsidR="00000000" w:rsidRDefault="003C7C06">
      <w:pPr>
        <w:widowControl/>
        <w:ind w:left="1701" w:hanging="567"/>
        <w:rPr>
          <w:rFonts w:cs="David"/>
          <w:sz w:val="24"/>
          <w:rtl/>
        </w:rPr>
      </w:pPr>
      <w:r>
        <w:rPr>
          <w:rFonts w:cs="David"/>
          <w:sz w:val="24"/>
          <w:rtl/>
        </w:rPr>
        <w:t>(3)</w:t>
      </w:r>
      <w:r>
        <w:rPr>
          <w:rFonts w:cs="David"/>
          <w:sz w:val="24"/>
          <w:rtl/>
        </w:rPr>
        <w:tab/>
        <w:t>קו תקשורת מוצפן שיאשר ראש היחידה לביטחון מידע במשטרה ובכפוף לתנאים שהוא יחליט עליהם יחד עם ראש מדור מידע פלילי במח"ק.</w:t>
      </w:r>
    </w:p>
    <w:p w:rsidR="00000000" w:rsidRDefault="003C7C06">
      <w:pPr>
        <w:widowControl/>
        <w:ind w:left="1701" w:hanging="567"/>
        <w:rPr>
          <w:rFonts w:cs="David"/>
          <w:sz w:val="24"/>
          <w:rtl/>
        </w:rPr>
      </w:pPr>
    </w:p>
    <w:p w:rsidR="00000000" w:rsidRDefault="003C7C06">
      <w:pPr>
        <w:widowControl/>
        <w:ind w:left="1134" w:hanging="567"/>
        <w:rPr>
          <w:rFonts w:cs="David"/>
          <w:sz w:val="24"/>
          <w:rtl/>
        </w:rPr>
      </w:pPr>
      <w:r>
        <w:rPr>
          <w:rFonts w:cs="David"/>
          <w:sz w:val="24"/>
          <w:rtl/>
        </w:rPr>
        <w:t>(ד)</w:t>
      </w:r>
      <w:r>
        <w:rPr>
          <w:rFonts w:cs="David"/>
          <w:sz w:val="24"/>
          <w:rtl/>
        </w:rPr>
        <w:tab/>
        <w:t>המידע יימסר למבקש בתוך 30 ימים מי</w:t>
      </w:r>
      <w:r>
        <w:rPr>
          <w:rFonts w:cs="David"/>
          <w:sz w:val="24"/>
          <w:rtl/>
        </w:rPr>
        <w:t xml:space="preserve">ום קבלת הבקשה."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עידו בן-יצחק:</w:t>
      </w:r>
    </w:p>
    <w:p w:rsidR="00000000" w:rsidRDefault="003C7C06">
      <w:pPr>
        <w:widowControl/>
        <w:rPr>
          <w:rFonts w:cs="David"/>
          <w:sz w:val="24"/>
          <w:rtl/>
        </w:rPr>
      </w:pPr>
    </w:p>
    <w:p w:rsidR="00000000" w:rsidRDefault="003C7C06">
      <w:pPr>
        <w:widowControl/>
        <w:rPr>
          <w:rFonts w:cs="David"/>
          <w:sz w:val="24"/>
          <w:rtl/>
        </w:rPr>
      </w:pPr>
      <w:r>
        <w:rPr>
          <w:rFonts w:cs="David"/>
          <w:sz w:val="24"/>
          <w:rtl/>
        </w:rPr>
        <w:tab/>
        <w:t xml:space="preserve">אני רוצה להעיר לגבי דואר רשום. המידע הזה פרטי, וגם על-פי חוק המרשם הפלילי הוא מידע חסוי. נדמה לי שדואר רשום, שעובר כל-כך הרבה ידיים ויכול להישאר ללא השגחה לפרק זמן מסוים, הוא לא אמצעי ראוי להעביר מידע מן הסוג הזה.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 xml:space="preserve">שמואל </w:t>
      </w:r>
      <w:r>
        <w:rPr>
          <w:rFonts w:cs="David"/>
          <w:sz w:val="24"/>
          <w:u w:val="single"/>
          <w:rtl/>
        </w:rPr>
        <w:t>ברגר:</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גם היום אנחנו מעבירים מידע באמצעות דואר רשום לחלק מהלקוחות שלנו.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br w:type="page"/>
      </w:r>
      <w:r>
        <w:rPr>
          <w:rFonts w:cs="David"/>
          <w:sz w:val="24"/>
          <w:u w:val="single"/>
          <w:rtl/>
        </w:rPr>
        <w:lastRenderedPageBreak/>
        <w:t>לאה נס:</w:t>
      </w:r>
    </w:p>
    <w:p w:rsidR="00000000" w:rsidRDefault="003C7C06">
      <w:pPr>
        <w:rPr>
          <w:rFonts w:cs="David"/>
          <w:sz w:val="24"/>
          <w:rtl/>
        </w:rPr>
      </w:pPr>
    </w:p>
    <w:p w:rsidR="00000000" w:rsidRDefault="003C7C06">
      <w:pPr>
        <w:widowControl/>
        <w:rPr>
          <w:rFonts w:cs="David"/>
          <w:sz w:val="24"/>
          <w:rtl/>
        </w:rPr>
      </w:pPr>
      <w:r>
        <w:rPr>
          <w:rFonts w:cs="David"/>
          <w:sz w:val="24"/>
          <w:rtl/>
        </w:rPr>
        <w:tab/>
        <w:t>כשקו התקשורת המוצפן כבר לא מוצפן היום, מה אפשר עוד לומר?</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שתי הדרכים הראשונות: דואר רשום ושליח במעטפה סגורה, הולכות ופסות מן העולם ומחליף אותן השימוש בקו תק</w:t>
      </w:r>
      <w:r>
        <w:rPr>
          <w:rFonts w:cs="David"/>
          <w:sz w:val="24"/>
          <w:rtl/>
        </w:rPr>
        <w:t xml:space="preserve">שורת מוצפן. הדרך השלישית היא הדרך המועדפת ואנחנו עוברים אליה בהדרגה.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עידו בן-יצחק:</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מתי אתם משתמשים בדואר רשום?</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אנחנו נמצאים עכשיו בשלב מעבר, משתמשים פחות ופחות בדואר רשום ויותר ויותר בקו תקשורת מאובטח.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לאה נס:</w:t>
      </w:r>
    </w:p>
    <w:p w:rsidR="00000000" w:rsidRDefault="003C7C06">
      <w:pPr>
        <w:rPr>
          <w:rFonts w:cs="David"/>
          <w:sz w:val="24"/>
          <w:rtl/>
        </w:rPr>
      </w:pPr>
    </w:p>
    <w:p w:rsidR="00000000" w:rsidRDefault="003C7C06">
      <w:pPr>
        <w:widowControl/>
        <w:rPr>
          <w:rFonts w:cs="David"/>
          <w:sz w:val="24"/>
          <w:rtl/>
        </w:rPr>
      </w:pPr>
      <w:r>
        <w:rPr>
          <w:rFonts w:cs="David"/>
          <w:sz w:val="24"/>
          <w:rtl/>
        </w:rPr>
        <w:tab/>
        <w:t>כלומר, עד היום הכול עבר</w:t>
      </w:r>
      <w:r>
        <w:rPr>
          <w:rFonts w:cs="David"/>
          <w:sz w:val="24"/>
          <w:rtl/>
        </w:rPr>
        <w:t xml:space="preserve"> בדואר רשום.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עד היום הכול עבר בדואר רשום, או באמצעות שליח, בהתאם ללקוח.</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יעל נבון: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 xml:space="preserve">זאת אפשרות שצריכה להיות פתוחה.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מחר עשוי ליפול קו התקשורת ובכל זאת יהיה צורך להעביר מידע, אז האפשרות צריכה להתקיים.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היו"ר ר'אלב מג'אדלה:</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ביום כזה, אחרי שפרצו למחשבים, קשה לדבר על סודיות מידע.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זה לא רלוונטי. שיטות ההעברה המוצפנות הן מערכות אחרות לגמרי.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גבי פיסמן: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 xml:space="preserve">צריך לזכור שבכל זאת יש הוראות סנקציה בחוק המרשם הפלילי לגבי מי שקיבל את המידע שלא כדין.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עידו בן-יצחק:</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אבל</w:t>
      </w:r>
      <w:r>
        <w:rPr>
          <w:rFonts w:cs="David"/>
          <w:sz w:val="24"/>
          <w:rtl/>
        </w:rPr>
        <w:t xml:space="preserve"> בכל זאת יש להימנע מחשיפת מידע.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br w:type="page"/>
      </w:r>
      <w:r>
        <w:rPr>
          <w:rFonts w:cs="David"/>
          <w:sz w:val="24"/>
          <w:u w:val="single"/>
          <w:rtl/>
        </w:rPr>
        <w:lastRenderedPageBreak/>
        <w:t>גבי פיסמן: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 xml:space="preserve">על-פי תפיסתנו המידע המועבר בדואר רשום לא פרוץ אם הוא נמסר רק לאדם הנוגע בדבר, כפי שנקבע בתקנות.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הרי לא יודעים מה תוכן המעטפה. יש עליה שֵם של נמען וזה הכול. קטן מאוד הסיכוי שמישהו יחליט לחטט בי</w:t>
      </w:r>
      <w:r>
        <w:rPr>
          <w:rFonts w:cs="David"/>
          <w:sz w:val="24"/>
          <w:rtl/>
        </w:rPr>
        <w:t xml:space="preserve">ן המעטפות ולפתוח את המעטפה ובדיוק יקלע למעטפה שמכילה את המידע הפלילי. זאת פרקטיקה שאנחנו משתמשים בה.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לאה נס:</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אלא אם כן זה מישהו שמחכה לאינפורמציה הזאת.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יש סנקציה בחוק המרשם הפלילי. מי שקיבל מידע במישרין או בעקיפין שלא לפי החוק יש סנקציה</w:t>
      </w:r>
      <w:r>
        <w:rPr>
          <w:rFonts w:cs="David"/>
          <w:sz w:val="24"/>
          <w:rtl/>
        </w:rPr>
        <w:t xml:space="preserve"> פלילית נגדו. השאלה לאיזה מרחק אפשר ללכת. מה שלא תעשה, יתכן שמישהו ינסה לגנוב את המידע.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עידו בן-יצחק:</w:t>
      </w:r>
    </w:p>
    <w:p w:rsidR="00000000" w:rsidRDefault="003C7C06">
      <w:pPr>
        <w:widowControl/>
        <w:rPr>
          <w:rFonts w:cs="David"/>
          <w:sz w:val="24"/>
          <w:rtl/>
        </w:rPr>
      </w:pPr>
    </w:p>
    <w:p w:rsidR="00000000" w:rsidRDefault="003C7C06">
      <w:pPr>
        <w:widowControl/>
        <w:rPr>
          <w:rFonts w:cs="David"/>
          <w:sz w:val="24"/>
          <w:rtl/>
        </w:rPr>
      </w:pPr>
      <w:r>
        <w:rPr>
          <w:rFonts w:cs="David"/>
          <w:sz w:val="24"/>
          <w:rtl/>
        </w:rPr>
        <w:tab/>
        <w:t xml:space="preserve">אולי כדאי לציין שבמידת האפשר ייעשה שימוש באמצעים האחרים.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אני חושב שצריך להשאיר את הדרכים האלה פתוחות. נדמה לי שבהמשך כתוב גם שנתונה לנ</w:t>
      </w:r>
      <w:r>
        <w:rPr>
          <w:rFonts w:cs="David"/>
          <w:sz w:val="24"/>
          <w:rtl/>
        </w:rPr>
        <w:t xml:space="preserve">ו החירות לקבוע עם הלקוח כיצד אנחנו מעבירים את המידע. אני אומר כבר כעת שההעדפה שלנו היא לשימוש בקווים מאובטחים ולא בדואר רשום.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לאה נס:</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אבל לפעמים לאנשים אין אפשרות לקבל את המידע על-ידי קו תקשורת.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יתכן שיש איזו עירייה נידחת שאין לה תשתית </w:t>
      </w:r>
      <w:r>
        <w:rPr>
          <w:rFonts w:cs="David"/>
          <w:sz w:val="24"/>
          <w:rtl/>
        </w:rPr>
        <w:t xml:space="preserve">לעניין הזה. גם השימוש בכספות וירטואליות עולה כסף. לכן צריך לשמור את האופציה הזאת קיימת.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לאה נס:</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האמת היא שבעידן שלנו, כשאפשר לפרוץ כל דבר, מה שאתה אומר כבר פחות רלוונטי. לפי דעתי אפשר להשאיר את הדברים. </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דרך אגב, אפשר אולי לרשום את הפסקאות בסדר הרצוי</w:t>
      </w:r>
      <w:r>
        <w:rPr>
          <w:rFonts w:cs="David"/>
          <w:sz w:val="24"/>
          <w:rtl/>
        </w:rPr>
        <w:t xml:space="preserve">. אפשר לשנות את הסדר, על-פי סדר העדיפות שאתה רוצה. אבל ברגע שהכול פתוח זה כבר לא משנה.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עידו בן-יצחק:</w:t>
      </w:r>
    </w:p>
    <w:p w:rsidR="00000000" w:rsidRDefault="003C7C06">
      <w:pPr>
        <w:widowControl/>
        <w:rPr>
          <w:rFonts w:cs="David"/>
          <w:sz w:val="24"/>
          <w:rtl/>
        </w:rPr>
      </w:pPr>
    </w:p>
    <w:p w:rsidR="00000000" w:rsidRDefault="003C7C06">
      <w:pPr>
        <w:widowControl/>
        <w:rPr>
          <w:rFonts w:cs="David"/>
          <w:sz w:val="24"/>
          <w:rtl/>
        </w:rPr>
      </w:pPr>
      <w:r>
        <w:rPr>
          <w:rFonts w:cs="David"/>
          <w:sz w:val="24"/>
          <w:rtl/>
        </w:rPr>
        <w:tab/>
        <w:t xml:space="preserve">הסדר כבר לא משנה, זה מחייב באותה מידה.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br w:type="page"/>
      </w:r>
      <w:r>
        <w:rPr>
          <w:rFonts w:cs="David"/>
          <w:sz w:val="24"/>
          <w:u w:val="single"/>
          <w:rtl/>
        </w:rPr>
        <w:lastRenderedPageBreak/>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אני מציע בכל זאת לא להגביל כאן. דואר רשום זה פרקטיקה קיימת, שעובדת כבר עשרות שנים; שליחים – במק</w:t>
      </w:r>
      <w:r>
        <w:rPr>
          <w:rFonts w:cs="David"/>
          <w:sz w:val="24"/>
          <w:rtl/>
        </w:rPr>
        <w:t>רים שהלקוח מעוניין, כמו למשל קונסוליות שלא כל-כך סומכות על הדואר, במיוחד לא על לוח הזמנים של הדואר, זה עיקר הבעיה, לוח הזמנים יותר מאשר האבטחה; והשימוש בקווים מאובטחים – לארגונים גדולים עם כמויות פונים גדולות זו במילא הדרך שאנחנו נחייב לפנות באמצעותה, כי ל</w:t>
      </w:r>
      <w:r>
        <w:rPr>
          <w:rFonts w:cs="David"/>
          <w:sz w:val="24"/>
          <w:rtl/>
        </w:rPr>
        <w:t xml:space="preserve">א נוכל לטפל בכמות גדולה של שאילתות מאנשים באופן ידני על-ידי ניירות. אין שום טעם להיכנס אל תוך זה. כל הדרכים טובות באותה מידה.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ואסל טאהא:</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כל עוד השיטות האחרות לא מאובטחות או לא קיימות בצורה מסודרת, אין דרך אחרת.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לאה נס:</w:t>
      </w:r>
    </w:p>
    <w:p w:rsidR="00000000" w:rsidRDefault="003C7C06">
      <w:pPr>
        <w:rPr>
          <w:rFonts w:cs="David"/>
          <w:sz w:val="24"/>
          <w:rtl/>
        </w:rPr>
      </w:pPr>
    </w:p>
    <w:p w:rsidR="00000000" w:rsidRDefault="003C7C06">
      <w:pPr>
        <w:widowControl/>
        <w:rPr>
          <w:rFonts w:cs="David"/>
          <w:sz w:val="24"/>
          <w:rtl/>
        </w:rPr>
      </w:pPr>
      <w:r>
        <w:rPr>
          <w:rFonts w:cs="David"/>
          <w:sz w:val="24"/>
          <w:rtl/>
        </w:rPr>
        <w:tab/>
        <w:t>לעתים דואר רשום מגיע לאיזו מז</w:t>
      </w:r>
      <w:r>
        <w:rPr>
          <w:rFonts w:cs="David"/>
          <w:sz w:val="24"/>
          <w:rtl/>
        </w:rPr>
        <w:t xml:space="preserve">כירה ולא אל מי שהוא צריך להגיע.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גבי פיסמן: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 xml:space="preserve">זה צריך להיות ממוען באופן אישי ליועץ המשפטי, רק לבעל התפקיד שמוסמך לקבל את החומר.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לאה נס:</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השאלה אם הפירוט הזה מופיע, כי אכן דואר רשום יכול להגיע למזכירה.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גבי פיסמן: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אם זה שליח, כתוב: "במעטפה סגורה שתיפ</w:t>
      </w:r>
      <w:r>
        <w:rPr>
          <w:rFonts w:cs="David"/>
          <w:sz w:val="24"/>
          <w:rtl/>
        </w:rPr>
        <w:t xml:space="preserve">תח רק בידי המבקש".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לאה נס:</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אבל בדואר רשום לא כתוב אל מי זה מגיע.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גבי פיסמן: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 xml:space="preserve">רק למבקש. המבקש הוא היועץ המשפטי של העירייה או היועץ המשפטי של משרד הפנים, לא כל אדם.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ואסל טאהא:</w:t>
      </w:r>
    </w:p>
    <w:p w:rsidR="00000000" w:rsidRDefault="003C7C06">
      <w:pPr>
        <w:rPr>
          <w:rFonts w:cs="David"/>
          <w:sz w:val="24"/>
          <w:rtl/>
        </w:rPr>
      </w:pPr>
    </w:p>
    <w:p w:rsidR="00000000" w:rsidRDefault="003C7C06">
      <w:pPr>
        <w:widowControl/>
        <w:rPr>
          <w:rFonts w:cs="David"/>
          <w:sz w:val="24"/>
          <w:rtl/>
        </w:rPr>
      </w:pPr>
      <w:r>
        <w:rPr>
          <w:rFonts w:cs="David"/>
          <w:sz w:val="24"/>
          <w:rtl/>
        </w:rPr>
        <w:tab/>
        <w:t>בדרך כלל בעיריות אוספים את כל הדואר בבת-אחת ואז המזכירה או המזכיר חותמי</w:t>
      </w:r>
      <w:r>
        <w:rPr>
          <w:rFonts w:cs="David"/>
          <w:sz w:val="24"/>
          <w:rtl/>
        </w:rPr>
        <w:t xml:space="preserve">ם ומקבלים את דברי הדואר. חברת הכנסת לאה נס צודק, זה עובר בידיהם של כל מיני אנשים.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עידו בן-יצחק:</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אולי נוסיף כאן "דואר רשום הממוען למבקש בלבד".</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ברגר:</w:t>
      </w:r>
    </w:p>
    <w:p w:rsidR="00000000" w:rsidRDefault="003C7C06">
      <w:pPr>
        <w:rPr>
          <w:rFonts w:cs="David"/>
          <w:sz w:val="24"/>
          <w:rtl/>
        </w:rPr>
      </w:pPr>
    </w:p>
    <w:p w:rsidR="00000000" w:rsidRDefault="003C7C06">
      <w:pPr>
        <w:rPr>
          <w:rFonts w:cs="David"/>
          <w:sz w:val="24"/>
          <w:rtl/>
        </w:rPr>
      </w:pPr>
      <w:r>
        <w:rPr>
          <w:rFonts w:cs="David"/>
          <w:sz w:val="24"/>
          <w:rtl/>
        </w:rPr>
        <w:tab/>
        <w:t xml:space="preserve">אין מניעה להוסיף את זה. </w:t>
      </w:r>
    </w:p>
    <w:p w:rsidR="00000000" w:rsidRDefault="003C7C06">
      <w:pPr>
        <w:rPr>
          <w:rFonts w:cs="David"/>
          <w:sz w:val="24"/>
          <w:rtl/>
        </w:rPr>
      </w:pPr>
    </w:p>
    <w:p w:rsidR="00000000" w:rsidRDefault="003C7C06">
      <w:pPr>
        <w:rPr>
          <w:rFonts w:cs="David"/>
          <w:sz w:val="24"/>
          <w:u w:val="single"/>
          <w:rtl/>
        </w:rPr>
      </w:pPr>
      <w:r>
        <w:rPr>
          <w:rFonts w:cs="David"/>
          <w:sz w:val="24"/>
          <w:u w:val="single"/>
          <w:rtl/>
        </w:rPr>
        <w:br w:type="page"/>
        <w:t>לאה נס:</w:t>
      </w:r>
    </w:p>
    <w:p w:rsidR="00000000" w:rsidRDefault="003C7C06">
      <w:pPr>
        <w:rPr>
          <w:rFonts w:cs="David"/>
          <w:sz w:val="24"/>
          <w:rtl/>
        </w:rPr>
      </w:pPr>
    </w:p>
    <w:p w:rsidR="00000000" w:rsidRDefault="003C7C06">
      <w:pPr>
        <w:rPr>
          <w:rFonts w:cs="David"/>
          <w:sz w:val="24"/>
          <w:rtl/>
        </w:rPr>
      </w:pPr>
      <w:r>
        <w:rPr>
          <w:rFonts w:cs="David"/>
          <w:sz w:val="24"/>
          <w:rtl/>
        </w:rPr>
        <w:tab/>
        <w:t xml:space="preserve">אפשר להוסיף, שיהיה לנו עוד ביטחון. </w:t>
      </w:r>
    </w:p>
    <w:p w:rsidR="00000000" w:rsidRDefault="003C7C06">
      <w:pPr>
        <w:rPr>
          <w:rFonts w:cs="David"/>
          <w:sz w:val="24"/>
          <w:rtl/>
        </w:rPr>
      </w:pPr>
    </w:p>
    <w:p w:rsidR="00000000" w:rsidRDefault="003C7C06">
      <w:pPr>
        <w:widowControl/>
        <w:rPr>
          <w:rFonts w:cs="David"/>
          <w:sz w:val="24"/>
          <w:u w:val="single"/>
          <w:rtl/>
        </w:rPr>
      </w:pPr>
      <w:r>
        <w:rPr>
          <w:rFonts w:cs="David"/>
          <w:sz w:val="24"/>
          <w:u w:val="single"/>
          <w:rtl/>
        </w:rPr>
        <w:t>יעל נבון:</w:t>
      </w:r>
    </w:p>
    <w:p w:rsidR="00000000" w:rsidRDefault="003C7C06">
      <w:pPr>
        <w:widowControl/>
        <w:rPr>
          <w:rFonts w:cs="David"/>
          <w:sz w:val="24"/>
          <w:rtl/>
        </w:rPr>
      </w:pPr>
    </w:p>
    <w:p w:rsidR="00000000" w:rsidRDefault="003C7C06">
      <w:pPr>
        <w:widowControl/>
        <w:rPr>
          <w:rFonts w:cs="David"/>
          <w:b/>
          <w:bCs/>
          <w:i/>
          <w:iCs/>
          <w:sz w:val="24"/>
          <w:u w:val="single"/>
          <w:rtl/>
        </w:rPr>
      </w:pPr>
      <w:r>
        <w:rPr>
          <w:rFonts w:cs="David"/>
          <w:sz w:val="24"/>
          <w:rtl/>
        </w:rPr>
        <w:tab/>
      </w:r>
      <w:r>
        <w:rPr>
          <w:rFonts w:cs="David"/>
          <w:b/>
          <w:bCs/>
          <w:sz w:val="24"/>
          <w:u w:val="single"/>
          <w:rtl/>
        </w:rPr>
        <w:t xml:space="preserve">תקנה 3 – </w:t>
      </w:r>
      <w:r>
        <w:rPr>
          <w:rFonts w:cs="David"/>
          <w:b/>
          <w:bCs/>
          <w:i/>
          <w:iCs/>
          <w:sz w:val="24"/>
          <w:u w:val="single"/>
          <w:rtl/>
        </w:rPr>
        <w:t>בקשה לקבלת מידע</w:t>
      </w:r>
    </w:p>
    <w:p w:rsidR="00000000" w:rsidRDefault="003C7C06">
      <w:pPr>
        <w:widowControl/>
        <w:rPr>
          <w:rFonts w:cs="David"/>
          <w:sz w:val="24"/>
          <w:rtl/>
        </w:rPr>
      </w:pPr>
    </w:p>
    <w:p w:rsidR="00000000" w:rsidRDefault="003C7C06">
      <w:pPr>
        <w:widowControl/>
        <w:ind w:left="567"/>
        <w:rPr>
          <w:rFonts w:cs="David"/>
          <w:sz w:val="24"/>
          <w:rtl/>
        </w:rPr>
      </w:pPr>
      <w:r>
        <w:rPr>
          <w:rFonts w:cs="David"/>
          <w:sz w:val="24"/>
          <w:rtl/>
        </w:rPr>
        <w:t>"בקשה לקבלת מידע (להלן – הבקשה) תוגש באחת מדרכים אלה:</w:t>
      </w:r>
    </w:p>
    <w:p w:rsidR="00000000" w:rsidRDefault="003C7C06">
      <w:pPr>
        <w:widowControl/>
        <w:ind w:left="567"/>
        <w:rPr>
          <w:rFonts w:cs="David"/>
          <w:sz w:val="24"/>
          <w:rtl/>
        </w:rPr>
      </w:pPr>
    </w:p>
    <w:p w:rsidR="00000000" w:rsidRDefault="003C7C06">
      <w:pPr>
        <w:widowControl/>
        <w:ind w:left="567"/>
        <w:rPr>
          <w:rFonts w:cs="David"/>
          <w:sz w:val="24"/>
          <w:rtl/>
        </w:rPr>
      </w:pPr>
      <w:r>
        <w:rPr>
          <w:rFonts w:cs="David"/>
          <w:sz w:val="24"/>
          <w:rtl/>
        </w:rPr>
        <w:t>(1)</w:t>
      </w:r>
      <w:r>
        <w:rPr>
          <w:rFonts w:cs="David"/>
          <w:sz w:val="24"/>
          <w:rtl/>
        </w:rPr>
        <w:tab/>
        <w:t>באמצעות מסמך חתום ביד המבקש, שבו צוינו הפרטים האלה:</w:t>
      </w:r>
    </w:p>
    <w:p w:rsidR="00000000" w:rsidRDefault="003C7C06">
      <w:pPr>
        <w:widowControl/>
        <w:ind w:left="567"/>
        <w:rPr>
          <w:rFonts w:cs="David"/>
          <w:sz w:val="24"/>
          <w:rtl/>
        </w:rPr>
      </w:pPr>
    </w:p>
    <w:p w:rsidR="00000000" w:rsidRDefault="003C7C06">
      <w:pPr>
        <w:widowControl/>
        <w:ind w:left="1134"/>
        <w:rPr>
          <w:rFonts w:cs="David"/>
          <w:sz w:val="24"/>
          <w:rtl/>
        </w:rPr>
      </w:pPr>
      <w:r>
        <w:rPr>
          <w:rFonts w:cs="David"/>
          <w:sz w:val="24"/>
          <w:rtl/>
        </w:rPr>
        <w:t>(א)</w:t>
      </w:r>
      <w:r>
        <w:rPr>
          <w:rFonts w:cs="David"/>
          <w:sz w:val="24"/>
          <w:rtl/>
        </w:rPr>
        <w:tab/>
        <w:t>שם המבקש, מספר זהותו ותפקידו;</w:t>
      </w:r>
    </w:p>
    <w:p w:rsidR="00000000" w:rsidRDefault="003C7C06">
      <w:pPr>
        <w:widowControl/>
        <w:ind w:left="1134"/>
        <w:rPr>
          <w:rFonts w:cs="David"/>
          <w:sz w:val="24"/>
          <w:rtl/>
        </w:rPr>
      </w:pPr>
    </w:p>
    <w:p w:rsidR="00000000" w:rsidRDefault="003C7C06">
      <w:pPr>
        <w:widowControl/>
        <w:ind w:left="1134"/>
        <w:rPr>
          <w:rFonts w:cs="David"/>
          <w:sz w:val="24"/>
          <w:rtl/>
        </w:rPr>
      </w:pPr>
      <w:r>
        <w:rPr>
          <w:rFonts w:cs="David"/>
          <w:sz w:val="24"/>
          <w:rtl/>
        </w:rPr>
        <w:t>(ב)</w:t>
      </w:r>
      <w:r>
        <w:rPr>
          <w:rFonts w:cs="David"/>
          <w:sz w:val="24"/>
          <w:rtl/>
        </w:rPr>
        <w:tab/>
        <w:t>שמו של האדם אליו מתייחסת הבקשה, מספר זהותו ומענו;</w:t>
      </w:r>
    </w:p>
    <w:p w:rsidR="00000000" w:rsidRDefault="003C7C06">
      <w:pPr>
        <w:widowControl/>
        <w:ind w:left="1134"/>
        <w:rPr>
          <w:rFonts w:cs="David"/>
          <w:sz w:val="24"/>
          <w:rtl/>
        </w:rPr>
      </w:pPr>
    </w:p>
    <w:p w:rsidR="00000000" w:rsidRDefault="003C7C06">
      <w:pPr>
        <w:widowControl/>
        <w:ind w:left="1134"/>
        <w:rPr>
          <w:rFonts w:cs="David"/>
          <w:sz w:val="24"/>
          <w:rtl/>
        </w:rPr>
      </w:pPr>
      <w:r>
        <w:rPr>
          <w:rFonts w:cs="David"/>
          <w:sz w:val="24"/>
          <w:rtl/>
        </w:rPr>
        <w:t>(ג)</w:t>
      </w:r>
      <w:r>
        <w:rPr>
          <w:rFonts w:cs="David"/>
          <w:sz w:val="24"/>
          <w:rtl/>
        </w:rPr>
        <w:tab/>
        <w:t xml:space="preserve">העילה לבקשת המידע. </w:t>
      </w:r>
    </w:p>
    <w:p w:rsidR="00000000" w:rsidRDefault="003C7C06">
      <w:pPr>
        <w:widowControl/>
        <w:ind w:left="1134"/>
        <w:rPr>
          <w:rFonts w:cs="David"/>
          <w:sz w:val="24"/>
          <w:rtl/>
        </w:rPr>
      </w:pPr>
    </w:p>
    <w:p w:rsidR="00000000" w:rsidRDefault="003C7C06">
      <w:pPr>
        <w:pStyle w:val="21"/>
        <w:rPr>
          <w:rFonts w:cs="David"/>
          <w:sz w:val="24"/>
          <w:rtl/>
        </w:rPr>
      </w:pPr>
      <w:r>
        <w:rPr>
          <w:rFonts w:cs="David"/>
          <w:sz w:val="24"/>
          <w:rtl/>
        </w:rPr>
        <w:t>(2)</w:t>
      </w:r>
      <w:r>
        <w:rPr>
          <w:rFonts w:cs="David"/>
          <w:sz w:val="24"/>
          <w:rtl/>
        </w:rPr>
        <w:tab/>
        <w:t>על גבי א</w:t>
      </w:r>
      <w:r>
        <w:rPr>
          <w:rFonts w:cs="David"/>
          <w:sz w:val="24"/>
          <w:rtl/>
        </w:rPr>
        <w:t>מצעי מגנטי, לפי דרישת מנ"ט; במקרים שידרוש מנ"ט, יצורף מסמך הכולל את הפרטים המפורטים בפסקה (1)."</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אני חושב שזה מנוסח לא נכון. בכל מקרה יתבקש המסמך הזה, בין אם זה בנייר ובין אם במדיה מגנטית.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יעל נבון: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זה מה שכתוב. בכל מקרה יהיה מסמך, אבל במ</w:t>
      </w:r>
      <w:r>
        <w:rPr>
          <w:rFonts w:cs="David"/>
          <w:sz w:val="24"/>
          <w:rtl/>
        </w:rPr>
        <w:t xml:space="preserve">קרים שיידרש הבקשה תישלח על גבי אמצעי מגנטי בצירוף מסמך. </w:t>
      </w:r>
    </w:p>
    <w:p w:rsidR="00000000" w:rsidRDefault="003C7C06">
      <w:pPr>
        <w:widowControl/>
        <w:rPr>
          <w:rFonts w:cs="David"/>
          <w:sz w:val="24"/>
          <w:rtl/>
        </w:rPr>
      </w:pPr>
    </w:p>
    <w:p w:rsidR="00000000" w:rsidRDefault="003C7C06">
      <w:pPr>
        <w:widowControl/>
        <w:rPr>
          <w:rFonts w:cs="David"/>
          <w:b/>
          <w:bCs/>
          <w:i/>
          <w:iCs/>
          <w:sz w:val="24"/>
          <w:u w:val="single"/>
          <w:rtl/>
        </w:rPr>
      </w:pPr>
      <w:r>
        <w:rPr>
          <w:rFonts w:cs="David"/>
          <w:sz w:val="24"/>
          <w:rtl/>
        </w:rPr>
        <w:tab/>
      </w:r>
      <w:r>
        <w:rPr>
          <w:rFonts w:cs="David"/>
          <w:b/>
          <w:bCs/>
          <w:sz w:val="24"/>
          <w:u w:val="single"/>
          <w:rtl/>
        </w:rPr>
        <w:t xml:space="preserve">תקנה 4 – </w:t>
      </w:r>
      <w:r>
        <w:rPr>
          <w:rFonts w:cs="David"/>
          <w:b/>
          <w:bCs/>
          <w:i/>
          <w:iCs/>
          <w:sz w:val="24"/>
          <w:u w:val="single"/>
          <w:rtl/>
        </w:rPr>
        <w:t>רישום מסירת מידע</w:t>
      </w:r>
    </w:p>
    <w:p w:rsidR="00000000" w:rsidRDefault="003C7C06">
      <w:pPr>
        <w:widowControl/>
        <w:rPr>
          <w:rFonts w:cs="David"/>
          <w:sz w:val="24"/>
          <w:rtl/>
        </w:rPr>
      </w:pPr>
    </w:p>
    <w:p w:rsidR="00000000" w:rsidRDefault="003C7C06">
      <w:pPr>
        <w:widowControl/>
        <w:ind w:left="1134" w:hanging="567"/>
        <w:rPr>
          <w:rFonts w:cs="David"/>
          <w:sz w:val="24"/>
          <w:rtl/>
        </w:rPr>
      </w:pPr>
      <w:r>
        <w:rPr>
          <w:rFonts w:cs="David"/>
          <w:sz w:val="24"/>
          <w:rtl/>
        </w:rPr>
        <w:t>"(א)</w:t>
      </w:r>
      <w:r>
        <w:rPr>
          <w:rFonts w:cs="David"/>
          <w:sz w:val="24"/>
          <w:rtl/>
        </w:rPr>
        <w:tab/>
        <w:t xml:space="preserve">נמסר מידע על-פי תקנות אלה, יירשמו במאגר המידע שם המבקש, תפקידו ופרטים מזהים; היה המבקש יועץ משפטי לעירייה, יצוין שם העירייה לה הוא משמש יועץ משפטי. </w:t>
      </w:r>
    </w:p>
    <w:p w:rsidR="00000000" w:rsidRDefault="003C7C06">
      <w:pPr>
        <w:widowControl/>
        <w:ind w:left="1134" w:hanging="567"/>
        <w:rPr>
          <w:rFonts w:cs="David"/>
          <w:sz w:val="24"/>
          <w:rtl/>
        </w:rPr>
      </w:pPr>
    </w:p>
    <w:p w:rsidR="00000000" w:rsidRDefault="003C7C06">
      <w:pPr>
        <w:widowControl/>
        <w:ind w:left="1134" w:hanging="567"/>
        <w:rPr>
          <w:rFonts w:cs="David"/>
          <w:sz w:val="24"/>
          <w:rtl/>
        </w:rPr>
      </w:pPr>
      <w:r>
        <w:rPr>
          <w:rFonts w:cs="David"/>
          <w:sz w:val="24"/>
          <w:rtl/>
        </w:rPr>
        <w:t>(ב)</w:t>
      </w:r>
      <w:r>
        <w:rPr>
          <w:rFonts w:cs="David"/>
          <w:sz w:val="24"/>
          <w:rtl/>
        </w:rPr>
        <w:tab/>
        <w:t>רישום כאמור</w:t>
      </w:r>
      <w:r>
        <w:rPr>
          <w:rFonts w:cs="David"/>
          <w:sz w:val="24"/>
          <w:rtl/>
        </w:rPr>
        <w:t xml:space="preserve"> יישמר לתקופה של חמש שנים ממועד מסירת המידע.</w:t>
      </w:r>
    </w:p>
    <w:p w:rsidR="00000000" w:rsidRDefault="003C7C06">
      <w:pPr>
        <w:widowControl/>
        <w:rPr>
          <w:rFonts w:cs="David"/>
          <w:sz w:val="24"/>
          <w:rtl/>
        </w:rPr>
      </w:pPr>
    </w:p>
    <w:p w:rsidR="00000000" w:rsidRDefault="003C7C06">
      <w:pPr>
        <w:widowControl/>
        <w:rPr>
          <w:rFonts w:cs="David"/>
          <w:b/>
          <w:bCs/>
          <w:i/>
          <w:iCs/>
          <w:sz w:val="24"/>
          <w:u w:val="single"/>
          <w:rtl/>
        </w:rPr>
      </w:pPr>
      <w:r>
        <w:rPr>
          <w:rFonts w:cs="David"/>
          <w:sz w:val="24"/>
          <w:rtl/>
        </w:rPr>
        <w:tab/>
      </w:r>
      <w:r>
        <w:rPr>
          <w:rFonts w:cs="David"/>
          <w:b/>
          <w:bCs/>
          <w:sz w:val="24"/>
          <w:u w:val="single"/>
          <w:rtl/>
        </w:rPr>
        <w:t xml:space="preserve">תקנה 5 - </w:t>
      </w:r>
      <w:r>
        <w:rPr>
          <w:rFonts w:cs="David"/>
          <w:b/>
          <w:bCs/>
          <w:i/>
          <w:iCs/>
          <w:sz w:val="24"/>
          <w:u w:val="single"/>
          <w:rtl/>
        </w:rPr>
        <w:t>תחילה</w:t>
      </w:r>
    </w:p>
    <w:p w:rsidR="00000000" w:rsidRDefault="003C7C06">
      <w:pPr>
        <w:widowControl/>
        <w:rPr>
          <w:rFonts w:cs="David"/>
          <w:sz w:val="24"/>
          <w:rtl/>
        </w:rPr>
      </w:pPr>
    </w:p>
    <w:p w:rsidR="00000000" w:rsidRDefault="003C7C06">
      <w:pPr>
        <w:widowControl/>
        <w:ind w:left="567"/>
        <w:rPr>
          <w:rFonts w:cs="David"/>
          <w:sz w:val="24"/>
          <w:rtl/>
        </w:rPr>
      </w:pPr>
      <w:r>
        <w:rPr>
          <w:rFonts w:cs="David"/>
          <w:sz w:val="24"/>
          <w:rtl/>
        </w:rPr>
        <w:t>תחילתן של תקנות אלה תשעים ימים מיום פרסומן."</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היו"ר ר'אלב מג'אדלה:</w:t>
      </w:r>
    </w:p>
    <w:p w:rsidR="00000000" w:rsidRDefault="003C7C06">
      <w:pPr>
        <w:rPr>
          <w:rFonts w:cs="David"/>
          <w:sz w:val="24"/>
          <w:rtl/>
        </w:rPr>
      </w:pPr>
    </w:p>
    <w:p w:rsidR="00000000" w:rsidRDefault="003C7C06">
      <w:pPr>
        <w:widowControl/>
        <w:rPr>
          <w:rFonts w:cs="David"/>
          <w:sz w:val="24"/>
          <w:rtl/>
        </w:rPr>
      </w:pPr>
      <w:r>
        <w:rPr>
          <w:rFonts w:cs="David"/>
          <w:sz w:val="24"/>
          <w:rtl/>
        </w:rPr>
        <w:tab/>
        <w:t>למה אחרי חמש שנים הרישום לא יישמר יותר?</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גבי פיסמן:</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זה הנוהל הקיים גם בתקנות המרשם הפלילי (כללי מסירת מידע בידי משטרת ישרא</w:t>
      </w:r>
      <w:r>
        <w:rPr>
          <w:rFonts w:cs="David"/>
          <w:sz w:val="24"/>
          <w:rtl/>
        </w:rPr>
        <w:t xml:space="preserve">ל), שהוא מודל התחיקה שלנו. 5 שנים נראה זמן סביר. לא ראינו סיבה לשנות מהנוהל הקיים לגבי העברת מידע לגופים אחרים.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br w:type="page"/>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זה נראה לנו זמן סביר, שבו אם מישהו יתעורר וישאל מה פתאום מבקשים מידע על אדם נוכל לראות מי היה מבקש ולאיזו מטרה ביקש את המידע.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היו"ר ר'אלב מג'אדלה:</w:t>
      </w:r>
    </w:p>
    <w:p w:rsidR="00000000" w:rsidRDefault="003C7C06">
      <w:pPr>
        <w:rPr>
          <w:rFonts w:cs="David"/>
          <w:sz w:val="24"/>
          <w:rtl/>
        </w:rPr>
      </w:pPr>
    </w:p>
    <w:p w:rsidR="00000000" w:rsidRDefault="003C7C06">
      <w:pPr>
        <w:widowControl/>
        <w:rPr>
          <w:rFonts w:cs="David"/>
          <w:sz w:val="24"/>
          <w:rtl/>
        </w:rPr>
      </w:pPr>
      <w:r>
        <w:rPr>
          <w:rFonts w:cs="David"/>
          <w:sz w:val="24"/>
          <w:rtl/>
        </w:rPr>
        <w:tab/>
        <w:t>ב-5 שנים הנסיבות יכולות להשתנות.</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ברגר:</w:t>
      </w:r>
    </w:p>
    <w:p w:rsidR="00000000" w:rsidRDefault="003C7C06">
      <w:pPr>
        <w:rPr>
          <w:rFonts w:cs="David"/>
          <w:sz w:val="24"/>
          <w:rtl/>
        </w:rPr>
      </w:pPr>
    </w:p>
    <w:p w:rsidR="00000000" w:rsidRDefault="003C7C06">
      <w:pPr>
        <w:widowControl/>
        <w:rPr>
          <w:rFonts w:cs="David"/>
          <w:sz w:val="24"/>
          <w:rtl/>
        </w:rPr>
      </w:pPr>
      <w:r>
        <w:rPr>
          <w:rFonts w:cs="David"/>
          <w:sz w:val="24"/>
          <w:rtl/>
        </w:rPr>
        <w:tab/>
        <w:t>אנחנו מדברים על רישום של שֵם מבקש המידע ולאיזו מטרה התבקש המידע, כדי שאם יום אחד יתעורר אחד העובדים וישאל מה פתאום ביקשו עליו מידע נוכל לראות מי ביקש ומה היתה עילת הבקשה. המודל של 5 שנ</w:t>
      </w:r>
      <w:r>
        <w:rPr>
          <w:rFonts w:cs="David"/>
          <w:sz w:val="24"/>
          <w:rtl/>
        </w:rPr>
        <w:t xml:space="preserve">ים הועתק מתקנות המרשם הפלילי. הכוונה לא למידע עצמו, אלא המידע אודות המבקש.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עידו בן-יצחק:</w:t>
      </w:r>
    </w:p>
    <w:p w:rsidR="00000000" w:rsidRDefault="003C7C06">
      <w:pPr>
        <w:widowControl/>
        <w:rPr>
          <w:rFonts w:cs="David"/>
          <w:sz w:val="24"/>
          <w:rtl/>
        </w:rPr>
      </w:pPr>
    </w:p>
    <w:p w:rsidR="00000000" w:rsidRDefault="003C7C06">
      <w:pPr>
        <w:widowControl/>
        <w:rPr>
          <w:rFonts w:cs="David"/>
          <w:sz w:val="24"/>
          <w:rtl/>
        </w:rPr>
      </w:pPr>
      <w:r>
        <w:rPr>
          <w:rFonts w:cs="David"/>
          <w:sz w:val="24"/>
          <w:rtl/>
        </w:rPr>
        <w:tab/>
        <w:t xml:space="preserve">זה מה שמקובל.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ואסל טאהא:</w:t>
      </w:r>
    </w:p>
    <w:p w:rsidR="00000000" w:rsidRDefault="003C7C06">
      <w:pPr>
        <w:rPr>
          <w:rFonts w:cs="David"/>
          <w:sz w:val="24"/>
          <w:rtl/>
        </w:rPr>
      </w:pPr>
    </w:p>
    <w:p w:rsidR="00000000" w:rsidRDefault="003C7C06">
      <w:pPr>
        <w:widowControl/>
        <w:rPr>
          <w:rFonts w:cs="David"/>
          <w:sz w:val="24"/>
          <w:rtl/>
        </w:rPr>
      </w:pPr>
      <w:r>
        <w:rPr>
          <w:rFonts w:cs="David"/>
          <w:sz w:val="24"/>
          <w:rtl/>
        </w:rPr>
        <w:tab/>
        <w:t>זה קדנציה של ראש עירייה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היו"ר ר'אלב מג'אדלה:</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חברי הכנסת רוצים להעיר דבר מה?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ואסל טאהא:</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אחרי 5 שנים גונזים את זה? </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שמואל בר</w:t>
      </w:r>
      <w:r>
        <w:rPr>
          <w:rFonts w:cs="David"/>
          <w:sz w:val="24"/>
          <w:u w:val="single"/>
          <w:rtl/>
        </w:rPr>
        <w:t>גר:</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זה רשומה של מחשב שמוחקים אותה. אין צורך לשמור את זה. </w:t>
      </w:r>
    </w:p>
    <w:p w:rsidR="00000000" w:rsidRDefault="003C7C06">
      <w:pPr>
        <w:widowControl/>
        <w:rPr>
          <w:rFonts w:cs="David"/>
          <w:sz w:val="24"/>
          <w:rtl/>
        </w:rPr>
      </w:pPr>
    </w:p>
    <w:p w:rsidR="00000000" w:rsidRDefault="003C7C06">
      <w:pPr>
        <w:widowControl/>
        <w:rPr>
          <w:rFonts w:cs="David"/>
          <w:sz w:val="24"/>
          <w:u w:val="single"/>
          <w:rtl/>
        </w:rPr>
      </w:pPr>
      <w:r>
        <w:rPr>
          <w:rFonts w:cs="David"/>
          <w:sz w:val="24"/>
          <w:u w:val="single"/>
          <w:rtl/>
        </w:rPr>
        <w:t>עידו בן-יצחק:</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אני מבקש לחזור על התיקונים שהוועדה הכניסה:</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בהגדרת "מח"ק" – הורדנו את המילה "ותביעות";</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בתקנה 2(א), במקום "בסעיף 170(ב1)(1)" יבוא "לפי סעיף 170(ב1)(1)".</w:t>
      </w:r>
    </w:p>
    <w:p w:rsidR="00000000" w:rsidRDefault="003C7C06">
      <w:pPr>
        <w:widowControl/>
        <w:rPr>
          <w:rFonts w:cs="David"/>
          <w:sz w:val="24"/>
          <w:rtl/>
        </w:rPr>
      </w:pPr>
    </w:p>
    <w:p w:rsidR="00000000" w:rsidRDefault="003C7C06">
      <w:pPr>
        <w:widowControl/>
        <w:rPr>
          <w:rFonts w:cs="David"/>
          <w:sz w:val="24"/>
          <w:rtl/>
        </w:rPr>
      </w:pPr>
      <w:r>
        <w:rPr>
          <w:rFonts w:cs="David"/>
          <w:sz w:val="24"/>
          <w:rtl/>
        </w:rPr>
        <w:tab/>
        <w:t>ובתקנה 2(ג)(1) יכתב: "</w:t>
      </w:r>
      <w:r>
        <w:rPr>
          <w:rFonts w:cs="David"/>
          <w:sz w:val="24"/>
          <w:rtl/>
        </w:rPr>
        <w:t>דואר רשום הממוען למבקש בלבד".</w:t>
      </w:r>
    </w:p>
    <w:p w:rsidR="00000000" w:rsidRDefault="003C7C06">
      <w:pPr>
        <w:widowControl/>
        <w:rPr>
          <w:rFonts w:cs="David"/>
          <w:sz w:val="24"/>
          <w:rtl/>
        </w:rPr>
      </w:pPr>
    </w:p>
    <w:p w:rsidR="00000000" w:rsidRDefault="003C7C06">
      <w:pPr>
        <w:rPr>
          <w:rFonts w:cs="David"/>
          <w:sz w:val="24"/>
          <w:u w:val="single"/>
          <w:rtl/>
        </w:rPr>
      </w:pPr>
      <w:r>
        <w:rPr>
          <w:rFonts w:cs="David"/>
          <w:sz w:val="24"/>
          <w:u w:val="single"/>
          <w:rtl/>
        </w:rPr>
        <w:t>היו"ר ר'אלב מג'אדלה:</w:t>
      </w:r>
    </w:p>
    <w:p w:rsidR="00000000" w:rsidRDefault="003C7C06">
      <w:pPr>
        <w:rPr>
          <w:rFonts w:cs="David"/>
          <w:sz w:val="24"/>
          <w:rtl/>
        </w:rPr>
      </w:pPr>
    </w:p>
    <w:p w:rsidR="00000000" w:rsidRDefault="003C7C06">
      <w:pPr>
        <w:widowControl/>
        <w:rPr>
          <w:rFonts w:cs="David"/>
          <w:sz w:val="24"/>
          <w:rtl/>
        </w:rPr>
      </w:pPr>
      <w:r>
        <w:rPr>
          <w:rFonts w:cs="David"/>
          <w:sz w:val="24"/>
          <w:rtl/>
        </w:rPr>
        <w:tab/>
        <w:t xml:space="preserve">תקנות העיריות (דרכי מסירת מידע בידי משטרת ישראל), התשס"ה-2005 מאושרות. </w:t>
      </w:r>
    </w:p>
    <w:p w:rsidR="00000000" w:rsidRDefault="003C7C06">
      <w:pPr>
        <w:widowControl/>
        <w:rPr>
          <w:rFonts w:cs="David"/>
          <w:sz w:val="24"/>
          <w:rtl/>
        </w:rPr>
      </w:pPr>
    </w:p>
    <w:p w:rsidR="00000000" w:rsidRDefault="003C7C06">
      <w:pPr>
        <w:widowControl/>
        <w:rPr>
          <w:rFonts w:cs="David"/>
          <w:sz w:val="24"/>
          <w:rtl/>
        </w:rPr>
      </w:pPr>
      <w:r>
        <w:rPr>
          <w:rFonts w:cs="David"/>
          <w:sz w:val="24"/>
          <w:rtl/>
        </w:rPr>
        <w:tab/>
        <w:t xml:space="preserve">תודה רבה.  </w:t>
      </w:r>
    </w:p>
    <w:p w:rsidR="00000000" w:rsidRDefault="003C7C06">
      <w:pPr>
        <w:widowControl/>
        <w:rPr>
          <w:rFonts w:cs="David"/>
          <w:sz w:val="24"/>
          <w:rtl/>
        </w:rPr>
      </w:pPr>
    </w:p>
    <w:p w:rsidR="00000000" w:rsidRDefault="003C7C06">
      <w:pPr>
        <w:widowControl/>
        <w:rPr>
          <w:rFonts w:cs="David"/>
          <w:sz w:val="24"/>
          <w:rtl/>
        </w:rPr>
      </w:pPr>
    </w:p>
    <w:p w:rsidR="00000000" w:rsidRDefault="003C7C06">
      <w:pPr>
        <w:pStyle w:val="6"/>
        <w:rPr>
          <w:rFonts w:cs="David"/>
          <w:sz w:val="24"/>
          <w:rtl/>
        </w:rPr>
      </w:pPr>
      <w:r>
        <w:rPr>
          <w:rFonts w:cs="David"/>
          <w:sz w:val="24"/>
          <w:rtl/>
        </w:rPr>
        <w:t>הישיבה ננעלה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7C06">
      <w:r>
        <w:separator/>
      </w:r>
    </w:p>
  </w:endnote>
  <w:endnote w:type="continuationSeparator" w:id="0">
    <w:p w:rsidR="00000000" w:rsidRDefault="003C7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7C06">
      <w:r>
        <w:separator/>
      </w:r>
    </w:p>
  </w:footnote>
  <w:footnote w:type="continuationSeparator" w:id="0">
    <w:p w:rsidR="00000000" w:rsidRDefault="003C7C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C06">
    <w:pPr>
      <w:pStyle w:val="a3"/>
      <w:tabs>
        <w:tab w:val="clear" w:pos="4153"/>
      </w:tabs>
      <w:rPr>
        <w:rFonts w:cs="David"/>
        <w:sz w:val="24"/>
        <w:rtl/>
      </w:rPr>
    </w:pPr>
    <w:r>
      <w:rPr>
        <w:rFonts w:cs="David"/>
        <w:sz w:val="24"/>
        <w:rtl/>
      </w:rPr>
      <w:t>ועדת הפנים ואיכות הסביבה (431)</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3C7C06">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30/5/2005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7C06"/>
    <w:rsid w:val="003C7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F14902-DEAA-4D94-BE4A-64FC96EF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1134" w:hanging="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46A413-A794-452F-98C5-0932AD5569ED}"/>
</file>

<file path=customXml/itemProps2.xml><?xml version="1.0" encoding="utf-8"?>
<ds:datastoreItem xmlns:ds="http://schemas.openxmlformats.org/officeDocument/2006/customXml" ds:itemID="{88335A21-233B-48D5-ADB0-5E220EEA6DB9}"/>
</file>

<file path=customXml/itemProps3.xml><?xml version="1.0" encoding="utf-8"?>
<ds:datastoreItem xmlns:ds="http://schemas.openxmlformats.org/officeDocument/2006/customXml" ds:itemID="{FF5388AB-E71D-4CB3-B958-D3E687674C93}"/>
</file>

<file path=docProps/app.xml><?xml version="1.0" encoding="utf-8"?>
<Properties xmlns="http://schemas.openxmlformats.org/officeDocument/2006/extended-properties" xmlns:vt="http://schemas.openxmlformats.org/officeDocument/2006/docPropsVTypes">
  <Template>Normal</Template>
  <TotalTime>0</TotalTime>
  <Pages>6</Pages>
  <Words>1677</Words>
  <Characters>8389</Characters>
  <Application>Microsoft Office Word</Application>
  <DocSecurity>0</DocSecurity>
  <Lines>69</Lines>
  <Paragraphs>20</Paragraphs>
  <ScaleCrop>false</ScaleCrop>
  <Company>כנסת</Company>
  <LinksUpToDate>false</LinksUpToDate>
  <CharactersWithSpaces>10046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העיריות (דרכי מסירת מידע בידי משטרת ישראל)</dc:title>
  <dc:subject/>
  <dc:creator>knesset</dc:creator>
  <cp:keywords/>
  <dc:description/>
  <cp:lastModifiedBy>רינה דבורה קדרון</cp:lastModifiedBy>
  <cp:revision>2</cp:revision>
  <cp:lastPrinted>2005-06-05T08:13:00Z</cp:lastPrinted>
  <dcterms:created xsi:type="dcterms:W3CDTF">2017-04-19T08:14:00Z</dcterms:created>
  <dcterms:modified xsi:type="dcterms:W3CDTF">2017-04-19T08:14:00Z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30/5/2005</vt:lpwstr>
  </property>
  <property fmtid="{D5CDD505-2E9C-101B-9397-08002B2CF9AE}" pid="3" name="CodeProfile">
    <vt:lpwstr>389.000000000000</vt:lpwstr>
  </property>
  <property fmtid="{D5CDD505-2E9C-101B-9397-08002B2CF9AE}" pid="4" name="AutoNumber">
    <vt:lpwstr>100270905</vt:lpwstr>
  </property>
  <property fmtid="{D5CDD505-2E9C-101B-9397-08002B2CF9AE}" pid="5" name="SDDocDate">
    <vt:lpwstr>2005-06-09T08:00:00Z</vt:lpwstr>
  </property>
  <property fmtid="{D5CDD505-2E9C-101B-9397-08002B2CF9AE}" pid="6" name="SDHebDate">
    <vt:lpwstr>ב' בסיון, התשס"ה</vt:lpwstr>
  </property>
  <property fmtid="{D5CDD505-2E9C-101B-9397-08002B2CF9AE}" pid="7" name="SDCategories">
    <vt:lpwstr>:דף הבית:נושאים:פרוטוקולי וועדות פרלמטריות:הפנים ואיכות הסביבה;#</vt:lpwstr>
  </property>
  <property fmtid="{D5CDD505-2E9C-101B-9397-08002B2CF9AE}" pid="8" name="MisYeshiva">
    <vt:lpwstr>431.000000000000</vt:lpwstr>
  </property>
  <property fmtid="{D5CDD505-2E9C-101B-9397-08002B2CF9AE}" pid="9" name="SDAuthor">
    <vt:lpwstr>תמר שפנייר</vt:lpwstr>
  </property>
  <property fmtid="{D5CDD505-2E9C-101B-9397-08002B2CF9AE}" pid="10" name="TaarichYeshiva">
    <vt:lpwstr>2005-05-30T08:00:00Z</vt:lpwstr>
  </property>
  <property fmtid="{D5CDD505-2E9C-101B-9397-08002B2CF9AE}" pid="11" name="שעת ישיבה">
    <vt:lpwstr>11:45</vt:lpwstr>
  </property>
  <property fmtid="{D5CDD505-2E9C-101B-9397-08002B2CF9AE}" pid="12" name="GetLastModified">
    <vt:lpwstr>09/06/2005 12:57:19</vt:lpwstr>
  </property>
  <property fmtid="{D5CDD505-2E9C-101B-9397-08002B2CF9AE}" pid="13" name="ContentTypeId">
    <vt:lpwstr>0x010100B126DF0F8D0A5A4EB112ABD857421DAD</vt:lpwstr>
  </property>
  <property fmtid="{D5CDD505-2E9C-101B-9397-08002B2CF9AE}" pid="14" name="SanhedrinItemID">
    <vt:r8>100846</vt:r8>
  </property>
  <property fmtid="{D5CDD505-2E9C-101B-9397-08002B2CF9AE}" pid="15" name="SanhedrinDocumentType">
    <vt:r8>167</vt:r8>
  </property>
</Properties>
</file>