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4F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94F86">
      <w:pPr>
        <w:rPr>
          <w:rFonts w:cs="David"/>
          <w:b/>
          <w:bCs/>
          <w:sz w:val="24"/>
          <w:rtl/>
        </w:rPr>
      </w:pPr>
      <w:r>
        <w:rPr>
          <w:rFonts w:cs="David"/>
          <w:b/>
          <w:bCs/>
          <w:sz w:val="24"/>
          <w:rtl/>
        </w:rPr>
        <w:t>מושב שלישי</w:t>
      </w:r>
    </w:p>
    <w:p w:rsidR="00000000" w:rsidRDefault="00F94F86">
      <w:pPr>
        <w:rPr>
          <w:rFonts w:cs="David"/>
          <w:b/>
          <w:bCs/>
          <w:sz w:val="24"/>
          <w:rtl/>
        </w:rPr>
      </w:pPr>
    </w:p>
    <w:p w:rsidR="00000000" w:rsidRDefault="00F94F86">
      <w:pPr>
        <w:rPr>
          <w:rFonts w:cs="David"/>
          <w:b/>
          <w:bCs/>
          <w:sz w:val="24"/>
          <w:rtl/>
        </w:rPr>
      </w:pPr>
    </w:p>
    <w:p w:rsidR="00000000" w:rsidRDefault="00F94F86">
      <w:pPr>
        <w:rPr>
          <w:rFonts w:cs="David"/>
          <w:b/>
          <w:bCs/>
          <w:sz w:val="24"/>
          <w:rtl/>
        </w:rPr>
      </w:pPr>
    </w:p>
    <w:p w:rsidR="00000000" w:rsidRDefault="00F94F86">
      <w:pPr>
        <w:rPr>
          <w:rFonts w:cs="David"/>
          <w:b/>
          <w:bCs/>
          <w:sz w:val="24"/>
          <w:rtl/>
        </w:rPr>
      </w:pPr>
    </w:p>
    <w:p w:rsidR="00000000" w:rsidRDefault="00F94F86">
      <w:pPr>
        <w:pStyle w:val="7"/>
        <w:rPr>
          <w:rFonts w:cs="David"/>
          <w:sz w:val="24"/>
          <w:rtl/>
        </w:rPr>
      </w:pPr>
      <w:r>
        <w:rPr>
          <w:rFonts w:cs="David"/>
          <w:sz w:val="24"/>
          <w:rtl/>
        </w:rPr>
        <w:t>פרוטוקול מס'</w:t>
      </w:r>
      <w:r>
        <w:rPr>
          <w:rFonts w:cs="David"/>
          <w:sz w:val="24"/>
          <w:rtl/>
        </w:rPr>
        <w:t xml:space="preserve"> 458</w:t>
      </w:r>
    </w:p>
    <w:p w:rsidR="00000000" w:rsidRDefault="00F94F86">
      <w:pPr>
        <w:pStyle w:val="8"/>
        <w:rPr>
          <w:rFonts w:cs="David"/>
          <w:sz w:val="24"/>
          <w:rtl/>
        </w:rPr>
      </w:pPr>
      <w:r>
        <w:rPr>
          <w:rFonts w:cs="David"/>
          <w:sz w:val="24"/>
          <w:rtl/>
        </w:rPr>
        <w:t>מישיבת ועדת החוקה, חוק ומשפט</w:t>
      </w:r>
    </w:p>
    <w:p w:rsidR="00000000" w:rsidRDefault="00F94F86">
      <w:pPr>
        <w:pStyle w:val="9"/>
        <w:rPr>
          <w:rFonts w:cs="David"/>
          <w:sz w:val="24"/>
          <w:rtl/>
        </w:rPr>
      </w:pPr>
      <w:r>
        <w:rPr>
          <w:rFonts w:cs="David"/>
          <w:sz w:val="24"/>
          <w:rtl/>
        </w:rPr>
        <w:t>שהתקיימה ביום רביעי, י"ב באדר ב' התשס"ה - 23 במרס 2005 - בשעה 09:00</w:t>
      </w:r>
    </w:p>
    <w:p w:rsidR="00000000" w:rsidRDefault="00F94F86">
      <w:pPr>
        <w:rPr>
          <w:rFonts w:cs="David"/>
          <w:b/>
          <w:bCs/>
          <w:sz w:val="24"/>
          <w:rtl/>
        </w:rPr>
      </w:pPr>
    </w:p>
    <w:p w:rsidR="00000000" w:rsidRDefault="00F94F86">
      <w:pPr>
        <w:rPr>
          <w:rFonts w:cs="David"/>
          <w:b/>
          <w:bCs/>
          <w:sz w:val="24"/>
          <w:rtl/>
        </w:rPr>
      </w:pPr>
    </w:p>
    <w:p w:rsidR="00000000" w:rsidRDefault="00F94F86">
      <w:pPr>
        <w:tabs>
          <w:tab w:val="left" w:pos="1221"/>
        </w:tabs>
        <w:rPr>
          <w:rFonts w:cs="David"/>
          <w:b/>
          <w:bCs/>
          <w:sz w:val="24"/>
          <w:u w:val="single"/>
          <w:rtl/>
        </w:rPr>
      </w:pPr>
    </w:p>
    <w:p w:rsidR="00000000" w:rsidRDefault="00F94F8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העונשין (</w:t>
      </w:r>
      <w:r>
        <w:rPr>
          <w:szCs w:val="22"/>
          <w:rtl/>
        </w:rPr>
        <w:t>ת</w:t>
      </w:r>
      <w:r>
        <w:rPr>
          <w:rFonts w:cs="David"/>
          <w:sz w:val="24"/>
          <w:rtl/>
        </w:rPr>
        <w:t>יקון מס' 83) (צווי הפסקת שימוש למקום המשמש לביצוע עברות זנות), התשס"ה-2004 (קריאה ראשונה), של חה"כ זהבה גלאון (פ/1316). אי</w:t>
      </w:r>
      <w:r>
        <w:rPr>
          <w:rFonts w:cs="David"/>
          <w:sz w:val="24"/>
          <w:rtl/>
        </w:rPr>
        <w:t>שור לקריאה שנייה ושלישית - סיום הדיון והצבעה</w:t>
      </w:r>
    </w:p>
    <w:p w:rsidR="00000000" w:rsidRDefault="00F94F86">
      <w:pPr>
        <w:rPr>
          <w:rFonts w:cs="David"/>
          <w:b/>
          <w:bCs/>
          <w:sz w:val="24"/>
          <w:rtl/>
        </w:rPr>
      </w:pPr>
    </w:p>
    <w:p w:rsidR="00000000" w:rsidRDefault="00F94F86">
      <w:pPr>
        <w:rPr>
          <w:rFonts w:cs="David"/>
          <w:sz w:val="24"/>
          <w:rtl/>
        </w:rPr>
      </w:pPr>
    </w:p>
    <w:p w:rsidR="00000000" w:rsidRDefault="00F94F86">
      <w:pPr>
        <w:rPr>
          <w:rFonts w:cs="David"/>
          <w:sz w:val="24"/>
          <w:rtl/>
        </w:rPr>
      </w:pPr>
    </w:p>
    <w:p w:rsidR="00000000" w:rsidRDefault="00F94F86">
      <w:pPr>
        <w:rPr>
          <w:rFonts w:cs="David"/>
          <w:b/>
          <w:bCs/>
          <w:sz w:val="24"/>
          <w:u w:val="single"/>
          <w:rtl/>
        </w:rPr>
      </w:pPr>
      <w:r>
        <w:rPr>
          <w:rFonts w:cs="David"/>
          <w:b/>
          <w:bCs/>
          <w:sz w:val="24"/>
          <w:u w:val="single"/>
          <w:rtl/>
        </w:rPr>
        <w:t>נכחו</w:t>
      </w:r>
      <w:r>
        <w:rPr>
          <w:rFonts w:cs="David"/>
          <w:sz w:val="24"/>
          <w:rtl/>
        </w:rPr>
        <w:t>:</w:t>
      </w:r>
    </w:p>
    <w:p w:rsidR="00000000" w:rsidRDefault="00F94F86">
      <w:pPr>
        <w:rPr>
          <w:rFonts w:cs="David"/>
          <w:sz w:val="24"/>
          <w:rtl/>
        </w:rPr>
      </w:pPr>
    </w:p>
    <w:p w:rsidR="00000000" w:rsidRDefault="00F94F86">
      <w:pPr>
        <w:rPr>
          <w:rFonts w:cs="David"/>
          <w:sz w:val="24"/>
          <w:rtl/>
        </w:rPr>
      </w:pPr>
    </w:p>
    <w:p w:rsidR="00000000" w:rsidRDefault="00F94F8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94F86">
      <w:pPr>
        <w:rPr>
          <w:rFonts w:cs="David"/>
          <w:sz w:val="24"/>
          <w:rtl/>
        </w:rPr>
      </w:pPr>
      <w:r>
        <w:rPr>
          <w:rFonts w:cs="David"/>
          <w:sz w:val="24"/>
          <w:rtl/>
        </w:rPr>
        <w:tab/>
      </w:r>
      <w:r>
        <w:rPr>
          <w:rFonts w:cs="David"/>
          <w:sz w:val="24"/>
          <w:rtl/>
        </w:rPr>
        <w:tab/>
      </w:r>
      <w:r>
        <w:rPr>
          <w:rFonts w:cs="David"/>
          <w:sz w:val="24"/>
          <w:rtl/>
        </w:rPr>
        <w:tab/>
        <w:t xml:space="preserve">  נסים זאב</w:t>
      </w:r>
    </w:p>
    <w:p w:rsidR="00000000" w:rsidRDefault="00F94F86">
      <w:pPr>
        <w:rPr>
          <w:rFonts w:cs="David"/>
          <w:sz w:val="24"/>
          <w:rtl/>
        </w:rPr>
      </w:pPr>
    </w:p>
    <w:p w:rsidR="00000000" w:rsidRDefault="00F94F86">
      <w:pPr>
        <w:rPr>
          <w:rFonts w:cs="David"/>
          <w:sz w:val="24"/>
          <w:rtl/>
        </w:rPr>
      </w:pPr>
    </w:p>
    <w:p w:rsidR="00000000" w:rsidRDefault="00F94F8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 ממונה על חקירה במשפט ציבורי, משרד המשפטים</w:t>
      </w:r>
    </w:p>
    <w:p w:rsidR="00000000" w:rsidRDefault="00F94F86">
      <w:pPr>
        <w:tabs>
          <w:tab w:val="left" w:pos="1788"/>
          <w:tab w:val="left" w:pos="3631"/>
        </w:tabs>
        <w:rPr>
          <w:rFonts w:cs="David"/>
          <w:sz w:val="24"/>
          <w:rtl/>
        </w:rPr>
      </w:pPr>
      <w:r>
        <w:rPr>
          <w:rFonts w:cs="David"/>
          <w:sz w:val="24"/>
          <w:rtl/>
        </w:rPr>
        <w:tab/>
        <w:t>רונה קדמי, הייעוץ המשפטי, המשרד לביטחון פנים</w:t>
      </w:r>
    </w:p>
    <w:p w:rsidR="00000000" w:rsidRDefault="00F94F86">
      <w:pPr>
        <w:tabs>
          <w:tab w:val="left" w:pos="1788"/>
          <w:tab w:val="left" w:pos="3631"/>
        </w:tabs>
        <w:rPr>
          <w:rFonts w:cs="David"/>
          <w:sz w:val="24"/>
          <w:rtl/>
        </w:rPr>
      </w:pPr>
      <w:r>
        <w:rPr>
          <w:rFonts w:cs="David"/>
          <w:sz w:val="24"/>
          <w:rtl/>
        </w:rPr>
        <w:tab/>
        <w:t>עודד ברוק, המשרד לביטחון פנים</w:t>
      </w:r>
    </w:p>
    <w:p w:rsidR="00000000" w:rsidRDefault="00F94F86">
      <w:pPr>
        <w:rPr>
          <w:rFonts w:cs="David"/>
          <w:sz w:val="24"/>
          <w:rtl/>
        </w:rPr>
      </w:pPr>
      <w:r>
        <w:rPr>
          <w:rFonts w:cs="David"/>
          <w:sz w:val="24"/>
          <w:rtl/>
        </w:rPr>
        <w:tab/>
      </w:r>
      <w:r>
        <w:rPr>
          <w:rFonts w:cs="David"/>
          <w:sz w:val="24"/>
          <w:rtl/>
        </w:rPr>
        <w:tab/>
      </w:r>
      <w:r>
        <w:rPr>
          <w:rFonts w:cs="David"/>
          <w:sz w:val="24"/>
          <w:rtl/>
        </w:rPr>
        <w:tab/>
        <w:t xml:space="preserve">  רפ</w:t>
      </w:r>
      <w:r>
        <w:rPr>
          <w:rFonts w:cs="David"/>
          <w:sz w:val="24"/>
          <w:rtl/>
        </w:rPr>
        <w:t>"ק אלי דוידזון, קצין מדור חקירות, המשרד לביטחון פנים</w:t>
      </w:r>
    </w:p>
    <w:p w:rsidR="00000000" w:rsidRDefault="00F94F86">
      <w:pPr>
        <w:rPr>
          <w:rFonts w:cs="David"/>
          <w:sz w:val="24"/>
          <w:rtl/>
        </w:rPr>
      </w:pPr>
      <w:r>
        <w:rPr>
          <w:rFonts w:cs="David"/>
          <w:sz w:val="24"/>
          <w:rtl/>
        </w:rPr>
        <w:tab/>
      </w:r>
      <w:r>
        <w:rPr>
          <w:rFonts w:cs="David"/>
          <w:sz w:val="24"/>
          <w:rtl/>
        </w:rPr>
        <w:tab/>
      </w:r>
      <w:r>
        <w:rPr>
          <w:rFonts w:cs="David"/>
          <w:sz w:val="24"/>
          <w:rtl/>
        </w:rPr>
        <w:tab/>
        <w:t xml:space="preserve">  צוערת יעל אהרונוביץ, קמ"ד חקירות, המשרד לביטחון פנים</w:t>
      </w:r>
    </w:p>
    <w:p w:rsidR="00000000" w:rsidRDefault="00F94F86">
      <w:pPr>
        <w:rPr>
          <w:rFonts w:cs="David"/>
          <w:sz w:val="24"/>
          <w:rtl/>
        </w:rPr>
      </w:pPr>
      <w:r>
        <w:rPr>
          <w:rFonts w:cs="David"/>
          <w:sz w:val="24"/>
          <w:rtl/>
        </w:rPr>
        <w:tab/>
      </w:r>
      <w:r>
        <w:rPr>
          <w:rFonts w:cs="David"/>
          <w:sz w:val="24"/>
          <w:rtl/>
        </w:rPr>
        <w:tab/>
      </w:r>
      <w:r>
        <w:rPr>
          <w:rFonts w:cs="David"/>
          <w:sz w:val="24"/>
          <w:rtl/>
        </w:rPr>
        <w:tab/>
        <w:t xml:space="preserve">  נועה עזרא</w:t>
      </w:r>
    </w:p>
    <w:p w:rsidR="00000000" w:rsidRDefault="00F94F86">
      <w:pPr>
        <w:rPr>
          <w:rFonts w:cs="David"/>
          <w:sz w:val="24"/>
          <w:rtl/>
        </w:rPr>
      </w:pPr>
      <w:r>
        <w:rPr>
          <w:rFonts w:cs="David"/>
          <w:sz w:val="24"/>
          <w:rtl/>
        </w:rPr>
        <w:tab/>
      </w:r>
      <w:r>
        <w:rPr>
          <w:rFonts w:cs="David"/>
          <w:sz w:val="24"/>
          <w:rtl/>
        </w:rPr>
        <w:tab/>
      </w:r>
      <w:r>
        <w:rPr>
          <w:rFonts w:cs="David"/>
          <w:sz w:val="24"/>
          <w:rtl/>
        </w:rPr>
        <w:tab/>
        <w:t xml:space="preserve">  אורי שדה, מוקד סיוע לעובדים זרים</w:t>
      </w:r>
    </w:p>
    <w:p w:rsidR="00000000" w:rsidRDefault="00F94F86">
      <w:pPr>
        <w:rPr>
          <w:rFonts w:cs="David"/>
          <w:sz w:val="24"/>
          <w:rtl/>
        </w:rPr>
      </w:pPr>
    </w:p>
    <w:p w:rsidR="00000000" w:rsidRDefault="00F94F86">
      <w:pPr>
        <w:rPr>
          <w:rFonts w:cs="David"/>
          <w:sz w:val="24"/>
          <w:rtl/>
        </w:rPr>
      </w:pPr>
    </w:p>
    <w:p w:rsidR="00000000" w:rsidRDefault="00F94F86">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אייל זנדברג</w:t>
      </w:r>
    </w:p>
    <w:p w:rsidR="00000000" w:rsidRDefault="00F94F86">
      <w:pPr>
        <w:rPr>
          <w:rFonts w:cs="David"/>
          <w:sz w:val="24"/>
          <w:rtl/>
        </w:rPr>
      </w:pPr>
    </w:p>
    <w:p w:rsidR="00000000" w:rsidRDefault="00F94F86">
      <w:pPr>
        <w:rPr>
          <w:rFonts w:cs="David"/>
          <w:sz w:val="24"/>
          <w:rtl/>
        </w:rPr>
      </w:pPr>
    </w:p>
    <w:p w:rsidR="00000000" w:rsidRDefault="00F94F8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94F86">
      <w:pPr>
        <w:rPr>
          <w:rFonts w:cs="David"/>
          <w:sz w:val="24"/>
          <w:rtl/>
        </w:rPr>
      </w:pPr>
    </w:p>
    <w:p w:rsidR="00000000" w:rsidRDefault="00F94F86">
      <w:pPr>
        <w:rPr>
          <w:rFonts w:cs="David"/>
          <w:sz w:val="24"/>
          <w:rtl/>
        </w:rPr>
      </w:pPr>
    </w:p>
    <w:p w:rsidR="00000000" w:rsidRDefault="00F94F86">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94F86">
      <w:pPr>
        <w:rPr>
          <w:rFonts w:cs="David"/>
          <w:b/>
          <w:bCs/>
          <w:sz w:val="24"/>
          <w:rtl/>
        </w:rPr>
      </w:pPr>
    </w:p>
    <w:p w:rsidR="00000000" w:rsidRDefault="00F94F8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w:t>
      </w:r>
      <w:r>
        <w:rPr>
          <w:rFonts w:cs="David"/>
          <w:b/>
          <w:bCs/>
          <w:sz w:val="24"/>
          <w:u w:val="single"/>
          <w:rtl/>
        </w:rPr>
        <w:t>עונשין (</w:t>
      </w:r>
      <w:r>
        <w:rPr>
          <w:b/>
          <w:bCs/>
          <w:szCs w:val="22"/>
          <w:u w:val="single"/>
          <w:rtl/>
        </w:rPr>
        <w:t>ת</w:t>
      </w:r>
      <w:r>
        <w:rPr>
          <w:rFonts w:cs="David"/>
          <w:b/>
          <w:bCs/>
          <w:sz w:val="24"/>
          <w:u w:val="single"/>
          <w:rtl/>
        </w:rPr>
        <w:t>יקון מס' 83) (צווי הפסקת שימוש למקום המשמש לביצוע עברות זנות), התשס"ה-2004 (קריאה ראשונה), של חה"כ זהבה גלאון (פ/1316). אישור לקריאה שנייה ושלישית - סיום הדיון והצבעה</w:t>
      </w:r>
    </w:p>
    <w:p w:rsidR="00000000" w:rsidRDefault="00F94F86">
      <w:pPr>
        <w:tabs>
          <w:tab w:val="left" w:pos="1221"/>
        </w:tabs>
        <w:jc w:val="center"/>
        <w:rPr>
          <w:rFonts w:cs="David"/>
          <w:b/>
          <w:bCs/>
          <w:sz w:val="24"/>
          <w:u w:val="single"/>
          <w:rtl/>
        </w:rPr>
      </w:pPr>
    </w:p>
    <w:p w:rsidR="00000000" w:rsidRDefault="00F94F86">
      <w:pPr>
        <w:rPr>
          <w:rFonts w:cs="David"/>
          <w:b/>
          <w:bCs/>
          <w:sz w:val="24"/>
          <w:rtl/>
        </w:rPr>
      </w:pPr>
    </w:p>
    <w:p w:rsidR="00000000" w:rsidRDefault="00F94F86">
      <w:pPr>
        <w:rPr>
          <w:rFonts w:cs="David"/>
          <w:b/>
          <w:bCs/>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בוקר טוב, אני מתכבד לפתוח את הישיבה.</w:t>
      </w:r>
    </w:p>
    <w:p w:rsidR="00000000" w:rsidRDefault="00F94F86">
      <w:pPr>
        <w:rPr>
          <w:rFonts w:cs="David"/>
          <w:sz w:val="24"/>
          <w:rtl/>
        </w:rPr>
      </w:pPr>
    </w:p>
    <w:p w:rsidR="00000000" w:rsidRDefault="00F94F86">
      <w:pPr>
        <w:rPr>
          <w:rFonts w:cs="David"/>
          <w:sz w:val="24"/>
          <w:rtl/>
        </w:rPr>
      </w:pPr>
      <w:r>
        <w:rPr>
          <w:rFonts w:cs="David"/>
          <w:sz w:val="24"/>
          <w:rtl/>
        </w:rPr>
        <w:tab/>
        <w:t>קורא סעיף 1.</w:t>
      </w:r>
    </w:p>
    <w:p w:rsidR="00000000" w:rsidRDefault="00F94F86">
      <w:pPr>
        <w:rPr>
          <w:rFonts w:cs="David"/>
          <w:sz w:val="24"/>
          <w:rtl/>
        </w:rPr>
      </w:pPr>
    </w:p>
    <w:p w:rsidR="00000000" w:rsidRDefault="00F94F86">
      <w:pPr>
        <w:rPr>
          <w:rFonts w:cs="David"/>
          <w:sz w:val="24"/>
          <w:rtl/>
        </w:rPr>
      </w:pPr>
      <w:r>
        <w:rPr>
          <w:rFonts w:cs="David"/>
          <w:sz w:val="24"/>
          <w:u w:val="single"/>
          <w:rtl/>
        </w:rPr>
        <w:t>רונ</w:t>
      </w:r>
      <w:r>
        <w:rPr>
          <w:rFonts w:cs="David"/>
          <w:sz w:val="24"/>
          <w:u w:val="single"/>
          <w:rtl/>
        </w:rPr>
        <w:t>ה קדמי:</w:t>
      </w:r>
    </w:p>
    <w:p w:rsidR="00000000" w:rsidRDefault="00F94F86">
      <w:pPr>
        <w:rPr>
          <w:rFonts w:cs="David"/>
          <w:sz w:val="24"/>
          <w:rtl/>
        </w:rPr>
      </w:pPr>
    </w:p>
    <w:p w:rsidR="00000000" w:rsidRDefault="00F94F86">
      <w:pPr>
        <w:rPr>
          <w:rFonts w:cs="David"/>
          <w:sz w:val="24"/>
          <w:rtl/>
        </w:rPr>
      </w:pPr>
      <w:r>
        <w:rPr>
          <w:rFonts w:cs="David"/>
          <w:sz w:val="24"/>
          <w:rtl/>
        </w:rPr>
        <w:tab/>
        <w:t>אנו מבקשים לכתוב: תובע – כמשמעותו או קצין בדרגת פקד שהוסמך לכך בידי המפקח הכללי של משטרת ישראל.</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זה כולל פרקליט, תובע משטרתי, והם מבקשים להוסיף גם קצין חקירות.</w:t>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שהוסמך להגשת בקשות על פי חוק זה. זה חשוב, כי בשלב זה לא נמ</w:t>
      </w:r>
      <w:r>
        <w:rPr>
          <w:rFonts w:cs="David"/>
          <w:sz w:val="24"/>
          <w:rtl/>
        </w:rPr>
        <w:t>צאים בהליך שכבר הוגש כתב אישום בהכרח, אנו נמצאים בשלב של חקירה. בדרך כלל בשלבים האלה מי שמטפל בהגשת בקשות אלה חוקרים, קצינים. שיטת ההסמכה הזו מצויה גם בחוקים אחרים, שחוקרים או קצינים הוסמכו על ידי מפכ"ל מדרגה מסוימת והלאה - מוסמכים להגיש בקשות לבית המשפט.</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מאיזה דרגה?</w:t>
      </w:r>
      <w:r>
        <w:rPr>
          <w:rFonts w:cs="David"/>
          <w:sz w:val="24"/>
          <w:rtl/>
        </w:rPr>
        <w:tab/>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לקחנו את זה בדומה להצעה שיש כרגע לגבי קניין רוחני, דובר שם על קצין בדרגת פקד ומעלה שהוסמך על ידי המפקח הכללי של משטרת ישראל. המפכ"ל צריך שתהיה הסמכה.</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מה זה ההסמכה הזו? מביאים פתק, הוא </w:t>
      </w:r>
      <w:r>
        <w:rPr>
          <w:rFonts w:cs="David"/>
          <w:sz w:val="24"/>
          <w:rtl/>
        </w:rPr>
        <w:t>חותם פעם במאה שנה, והוא הוסמך. הוא רואה אותו? שואל אותו? שואל מי זה?</w:t>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זה יכול להיות בעלי תפקידים מסוימים.</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מה שיקול הדעת שלו? אני לא הייתי מסכים לעולם, גם בחוקים אחרים, שזה יהיה סתם הסמכה. אני לא צריך את ההסמכה. זה פיקציה</w:t>
      </w:r>
      <w:r>
        <w:rPr>
          <w:rFonts w:cs="David"/>
          <w:sz w:val="24"/>
          <w:rtl/>
        </w:rPr>
        <w:t>.</w:t>
      </w:r>
    </w:p>
    <w:p w:rsidR="00000000" w:rsidRDefault="00F94F86">
      <w:pPr>
        <w:rPr>
          <w:rFonts w:cs="David"/>
          <w:sz w:val="24"/>
          <w:rtl/>
        </w:rPr>
      </w:pPr>
    </w:p>
    <w:p w:rsidR="00000000" w:rsidRDefault="00F94F86">
      <w:pPr>
        <w:rPr>
          <w:rFonts w:cs="David"/>
          <w:sz w:val="24"/>
          <w:rtl/>
        </w:rPr>
      </w:pPr>
      <w:r>
        <w:rPr>
          <w:rFonts w:cs="David"/>
          <w:sz w:val="24"/>
          <w:u w:val="single"/>
          <w:rtl/>
        </w:rPr>
        <w:br w:type="page"/>
      </w:r>
      <w:r>
        <w:rPr>
          <w:rFonts w:cs="David"/>
          <w:sz w:val="24"/>
          <w:u w:val="single"/>
          <w:rtl/>
        </w:rPr>
        <w:lastRenderedPageBreak/>
        <w:t>רונה קדמי:</w:t>
      </w:r>
    </w:p>
    <w:p w:rsidR="00000000" w:rsidRDefault="00F94F86">
      <w:pPr>
        <w:rPr>
          <w:rFonts w:cs="David"/>
          <w:sz w:val="24"/>
          <w:rtl/>
        </w:rPr>
      </w:pPr>
    </w:p>
    <w:p w:rsidR="00000000" w:rsidRDefault="00F94F86">
      <w:pPr>
        <w:rPr>
          <w:rFonts w:cs="David"/>
          <w:sz w:val="24"/>
          <w:rtl/>
        </w:rPr>
      </w:pPr>
      <w:r>
        <w:rPr>
          <w:rFonts w:cs="David"/>
          <w:sz w:val="24"/>
          <w:rtl/>
        </w:rPr>
        <w:tab/>
        <w:t xml:space="preserve"> ממש לא.</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תיתנו הוראות לפקדים. מה, קם פקד בבוקר והולך לבית המשפט? מחליט שהוא תובע לפי הצעת החוק הזו והולך לבית המשפט?</w:t>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כדי שיהיה סדר וזה יתאים גם לחקיקה אחרת- -</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גם בחקיקה אחרת זה לא </w:t>
      </w:r>
      <w:r>
        <w:rPr>
          <w:rFonts w:cs="David"/>
          <w:sz w:val="24"/>
          <w:rtl/>
        </w:rPr>
        <w:t>בסדר. תשנו שם. למה אני צריך את זה בחוק? למפכ"ל יש סמכות מחר בבוקר להוציא הנחיה פנימית ששום פקד לא יגיש אלא אם הוא קיבל ממנו הסמכה. מה זה כל זה? אתם לא קובעים כלום, אתם עושים צחוק מהחוק, אין לו מלה ומשמעות. למה בחוק צריך להיות כתוב משהו שאין לו משמעות מבחינ</w:t>
      </w:r>
      <w:r>
        <w:rPr>
          <w:rFonts w:cs="David"/>
          <w:sz w:val="24"/>
          <w:rtl/>
        </w:rPr>
        <w:t>ת המחוקק?</w:t>
      </w:r>
    </w:p>
    <w:p w:rsidR="00000000" w:rsidRDefault="00F94F86">
      <w:pPr>
        <w:rPr>
          <w:rFonts w:cs="David"/>
          <w:sz w:val="24"/>
          <w:rtl/>
        </w:rPr>
      </w:pPr>
    </w:p>
    <w:p w:rsidR="00000000" w:rsidRDefault="00F94F86">
      <w:pPr>
        <w:rPr>
          <w:rFonts w:cs="David"/>
          <w:sz w:val="24"/>
          <w:rtl/>
        </w:rPr>
      </w:pPr>
      <w:r>
        <w:rPr>
          <w:rFonts w:cs="David"/>
          <w:sz w:val="24"/>
          <w:rtl/>
        </w:rPr>
        <w:tab/>
        <w:t xml:space="preserve">המשטרה זה ארגון היררכי, יש שם הוראות, פקודות והנחיות. אתם רוצים לא כל פקד, רק פקד שקיבל הסמכה. תעשו את זה. למה את צריכה שזה יהיה כתוב בחוק? אני לא מרחיב. אם אתם אומרים: הסמכה - אני מוכן, יסמיך מי שעבר קורס, השתלמות. סתם לומר הסמכה - תעשו את זה </w:t>
      </w:r>
      <w:r>
        <w:rPr>
          <w:rFonts w:cs="David"/>
          <w:sz w:val="24"/>
          <w:rtl/>
        </w:rPr>
        <w:t>אצלכם, יש לכם הסמכות. למה אני צריך לכתוב דבר מיותר בחוק, שלמשטרה יש סמכות ממילא, למפכ"ל להסמיך את מי שהוא רוצה? מה אכפת לך? למה את צריכה שיהיה כתוב כאן דווקא פקד? הוא יכול לקחת כל פקד, יסמיך את מי שהוא רוצה. אם אני כותב שהוא יסמיך, זה ממילא קיים בפקודת המש</w:t>
      </w:r>
      <w:r>
        <w:rPr>
          <w:rFonts w:cs="David"/>
          <w:sz w:val="24"/>
          <w:rtl/>
        </w:rPr>
        <w:t>טרה, אני לא מרגיש שאני עושה משהו נכון.</w:t>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זה יצור סדר.</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 xml:space="preserve">זה מכוון את המשטרה לחשוב, זה לא עניין של מה בכך. </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בסדר, אני מסכים.</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 xml:space="preserve">אז מוסיפים: קצין בדרגת פקד ומעלה שהוסמך לכך בידי המפכ"ל למשטרה, המפקח </w:t>
      </w:r>
      <w:r>
        <w:rPr>
          <w:rFonts w:cs="David"/>
          <w:sz w:val="24"/>
          <w:rtl/>
        </w:rPr>
        <w:t>הכללי של משטרת ישראל.</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קורא סעיף 2(א)(1).</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ביטלנו את התנאי של ביצוע עברות בעבר.</w:t>
      </w:r>
    </w:p>
    <w:p w:rsidR="00000000" w:rsidRDefault="00F94F86">
      <w:pPr>
        <w:rPr>
          <w:rFonts w:cs="David"/>
          <w:sz w:val="24"/>
          <w:rtl/>
        </w:rPr>
      </w:pPr>
    </w:p>
    <w:p w:rsidR="00000000" w:rsidRDefault="00F94F86">
      <w:pPr>
        <w:rPr>
          <w:rFonts w:cs="David"/>
          <w:sz w:val="24"/>
          <w:u w:val="single"/>
          <w:rtl/>
        </w:rPr>
      </w:pPr>
      <w:r>
        <w:rPr>
          <w:rFonts w:cs="David"/>
          <w:sz w:val="24"/>
          <w:u w:val="single"/>
          <w:rtl/>
        </w:rPr>
        <w:br w:type="page"/>
      </w:r>
      <w:r>
        <w:rPr>
          <w:rFonts w:cs="David"/>
          <w:sz w:val="24"/>
          <w:u w:val="single"/>
          <w:rtl/>
        </w:rPr>
        <w:lastRenderedPageBreak/>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קורא סעיף 2(א)(2).</w:t>
      </w:r>
    </w:p>
    <w:p w:rsidR="00000000" w:rsidRDefault="00F94F86">
      <w:pPr>
        <w:rPr>
          <w:rFonts w:cs="David"/>
          <w:sz w:val="24"/>
          <w:rtl/>
        </w:rPr>
      </w:pPr>
      <w:r>
        <w:rPr>
          <w:rFonts w:cs="David"/>
          <w:sz w:val="24"/>
          <w:rtl/>
        </w:rPr>
        <w:tab/>
      </w: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 xml:space="preserve">ראוי שלאור הרמה הראייתית הנדרשת, שאומרת אם שוכנע כי קיים יסוד סביר לחשד שהוא יבצע, </w:t>
      </w:r>
      <w:r>
        <w:rPr>
          <w:rFonts w:cs="David"/>
          <w:sz w:val="24"/>
          <w:rtl/>
        </w:rPr>
        <w:t>היסוד הסביר צריך להישקל בין היתר גם על בסיס קיומו של חשד סביר לביצוע עברות קודמות. כלומר סעיף (2), זה עלול לכוון אותו לכך שהיו הרשעות על עברות קודמות בעבר, לכוון אותו לכך שהוא יוכל גם להשתכנע על בסיס זה שיש חשד סביר לביצוע עברות קודמות במקום, לאו דווקא הרש</w:t>
      </w:r>
      <w:r>
        <w:rPr>
          <w:rFonts w:cs="David"/>
          <w:sz w:val="24"/>
          <w:rtl/>
        </w:rPr>
        <w:t>עות. אני מבקשת להוסיף כמה מלים לפני המלים "ביצוע עברות", בין היתר – קיומו של חשד סביר לביצוע העברות, והיתר נשאר אותו דבר.</w:t>
      </w:r>
    </w:p>
    <w:p w:rsidR="00000000" w:rsidRDefault="00F94F86">
      <w:pPr>
        <w:rPr>
          <w:rFonts w:cs="David"/>
          <w:sz w:val="24"/>
          <w:u w:val="single"/>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לא צריך.</w:t>
      </w:r>
    </w:p>
    <w:p w:rsidR="00000000" w:rsidRDefault="00F94F86">
      <w:pPr>
        <w:rPr>
          <w:rFonts w:cs="David"/>
          <w:sz w:val="24"/>
          <w:rtl/>
        </w:rPr>
      </w:pPr>
    </w:p>
    <w:p w:rsidR="00000000" w:rsidRDefault="00F94F86">
      <w:pPr>
        <w:rPr>
          <w:rFonts w:cs="David"/>
          <w:sz w:val="24"/>
          <w:rtl/>
        </w:rPr>
      </w:pPr>
      <w:r>
        <w:rPr>
          <w:rFonts w:cs="David"/>
          <w:sz w:val="24"/>
          <w:u w:val="single"/>
          <w:rtl/>
        </w:rPr>
        <w:t>עודד ברוק:</w:t>
      </w:r>
    </w:p>
    <w:p w:rsidR="00000000" w:rsidRDefault="00F94F86">
      <w:pPr>
        <w:rPr>
          <w:rFonts w:cs="David"/>
          <w:sz w:val="24"/>
          <w:rtl/>
        </w:rPr>
      </w:pPr>
    </w:p>
    <w:p w:rsidR="00000000" w:rsidRDefault="00F94F86">
      <w:pPr>
        <w:rPr>
          <w:rFonts w:cs="David"/>
          <w:sz w:val="24"/>
          <w:rtl/>
        </w:rPr>
      </w:pPr>
      <w:r>
        <w:rPr>
          <w:rFonts w:cs="David"/>
          <w:sz w:val="24"/>
          <w:rtl/>
        </w:rPr>
        <w:tab/>
        <w:t xml:space="preserve">ביצוע עברות זה אומר שהיתה הרשעה. </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rPr>
          <w:rFonts w:cs="David"/>
          <w:sz w:val="24"/>
          <w:rtl/>
        </w:rPr>
      </w:pPr>
      <w:r>
        <w:rPr>
          <w:rFonts w:cs="David"/>
          <w:sz w:val="24"/>
          <w:rtl/>
        </w:rPr>
        <w:tab/>
        <w:t>לא בהכרח.</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עוברים</w:t>
      </w:r>
      <w:r>
        <w:rPr>
          <w:rFonts w:cs="David"/>
          <w:sz w:val="24"/>
          <w:rtl/>
        </w:rPr>
        <w:t xml:space="preserve"> הלאה.</w:t>
      </w:r>
    </w:p>
    <w:p w:rsidR="00000000" w:rsidRDefault="00F94F86">
      <w:pPr>
        <w:rPr>
          <w:rFonts w:cs="David"/>
          <w:sz w:val="24"/>
          <w:rtl/>
        </w:rPr>
      </w:pPr>
    </w:p>
    <w:p w:rsidR="00000000" w:rsidRDefault="00F94F86">
      <w:pPr>
        <w:rPr>
          <w:rFonts w:cs="David"/>
          <w:sz w:val="24"/>
          <w:rtl/>
        </w:rPr>
      </w:pPr>
      <w:r>
        <w:rPr>
          <w:rFonts w:cs="David"/>
          <w:sz w:val="24"/>
          <w:rtl/>
        </w:rPr>
        <w:tab/>
        <w:t>קורא סעיף 2(ב), (ג), (ד), (ה).</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 xml:space="preserve"> כאן הערה שהעירה לי רחל, צריך לראות אם היא מוצדקת; האם יש צורך לאפשר גם לתובע לבקש שוב לשנות את תנאי הצו אחרי שהוא ניתן, או אולי רק צריך לאפשר לתובע לצמצם את הצו, אבל לא לשנותו.</w:t>
      </w:r>
    </w:p>
    <w:p w:rsidR="00000000" w:rsidRDefault="00F94F86">
      <w:pPr>
        <w:rPr>
          <w:rFonts w:cs="David"/>
          <w:sz w:val="24"/>
          <w:rtl/>
        </w:rPr>
      </w:pPr>
    </w:p>
    <w:p w:rsidR="00000000" w:rsidRDefault="00F94F86">
      <w:pPr>
        <w:rPr>
          <w:rFonts w:cs="David"/>
          <w:sz w:val="24"/>
          <w:rtl/>
        </w:rPr>
      </w:pPr>
      <w:r>
        <w:rPr>
          <w:rFonts w:cs="David"/>
          <w:sz w:val="24"/>
          <w:u w:val="single"/>
          <w:rtl/>
        </w:rPr>
        <w:t>רחל גרשוני:</w:t>
      </w:r>
    </w:p>
    <w:p w:rsidR="00000000" w:rsidRDefault="00F94F86">
      <w:pPr>
        <w:rPr>
          <w:rFonts w:cs="David"/>
          <w:sz w:val="24"/>
          <w:rtl/>
        </w:rPr>
      </w:pPr>
    </w:p>
    <w:p w:rsidR="00000000" w:rsidRDefault="00F94F86">
      <w:pPr>
        <w:rPr>
          <w:rFonts w:cs="David"/>
          <w:sz w:val="24"/>
          <w:rtl/>
        </w:rPr>
      </w:pPr>
      <w:r>
        <w:rPr>
          <w:rFonts w:cs="David"/>
          <w:sz w:val="24"/>
          <w:rtl/>
        </w:rPr>
        <w:tab/>
        <w:t xml:space="preserve">יש סעיף </w:t>
      </w:r>
      <w:r>
        <w:rPr>
          <w:rFonts w:cs="David"/>
          <w:sz w:val="24"/>
          <w:rtl/>
        </w:rPr>
        <w:t>לאחר מכן על שינוי נסיבות. (ה)(2) זה על שינוי נסיבות. האם צריך יותר מזה?</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אפשר: בית משפט וכו' רשאי לצמצם את ההגבלות בצו.</w:t>
      </w:r>
    </w:p>
    <w:p w:rsidR="00000000" w:rsidRDefault="00F94F86">
      <w:pPr>
        <w:rPr>
          <w:rFonts w:cs="David"/>
          <w:sz w:val="24"/>
          <w:rtl/>
        </w:rPr>
      </w:pPr>
    </w:p>
    <w:p w:rsidR="00000000" w:rsidRDefault="00F94F86">
      <w:pPr>
        <w:rPr>
          <w:rFonts w:cs="David"/>
          <w:sz w:val="24"/>
          <w:rtl/>
        </w:rPr>
      </w:pPr>
      <w:r>
        <w:rPr>
          <w:rFonts w:cs="David"/>
          <w:sz w:val="24"/>
          <w:u w:val="single"/>
          <w:rtl/>
        </w:rPr>
        <w:t>רונה קדמי:</w:t>
      </w:r>
    </w:p>
    <w:p w:rsidR="00000000" w:rsidRDefault="00F94F86">
      <w:pPr>
        <w:rPr>
          <w:rFonts w:cs="David"/>
          <w:sz w:val="24"/>
          <w:rtl/>
        </w:rPr>
      </w:pPr>
    </w:p>
    <w:p w:rsidR="00000000" w:rsidRDefault="00F94F86">
      <w:pPr>
        <w:rPr>
          <w:rFonts w:cs="David"/>
          <w:sz w:val="24"/>
          <w:rtl/>
        </w:rPr>
      </w:pPr>
      <w:r>
        <w:rPr>
          <w:rFonts w:cs="David"/>
          <w:sz w:val="24"/>
          <w:rtl/>
        </w:rPr>
        <w:tab/>
        <w:t>יכול להיות שזה לא רק לצמצם, אולי לשנות, כי הגבלה מסוימת לא מתאימה.</w:t>
      </w:r>
    </w:p>
    <w:p w:rsidR="00000000" w:rsidRDefault="00F94F86">
      <w:pPr>
        <w:rPr>
          <w:rFonts w:cs="David"/>
          <w:sz w:val="24"/>
          <w:rtl/>
        </w:rPr>
      </w:pPr>
    </w:p>
    <w:p w:rsidR="00000000" w:rsidRDefault="00F94F86">
      <w:pPr>
        <w:rPr>
          <w:rFonts w:cs="David"/>
          <w:sz w:val="24"/>
          <w:rtl/>
        </w:rPr>
      </w:pPr>
      <w:r>
        <w:rPr>
          <w:rFonts w:cs="David"/>
          <w:sz w:val="24"/>
          <w:u w:val="single"/>
          <w:rtl/>
        </w:rPr>
        <w:t>איל זנדברג:</w:t>
      </w:r>
    </w:p>
    <w:p w:rsidR="00000000" w:rsidRDefault="00F94F86">
      <w:pPr>
        <w:rPr>
          <w:rFonts w:cs="David"/>
          <w:sz w:val="24"/>
          <w:rtl/>
        </w:rPr>
      </w:pPr>
    </w:p>
    <w:p w:rsidR="00000000" w:rsidRDefault="00F94F86">
      <w:pPr>
        <w:rPr>
          <w:rFonts w:cs="David"/>
          <w:sz w:val="24"/>
          <w:rtl/>
        </w:rPr>
      </w:pPr>
      <w:r>
        <w:rPr>
          <w:rFonts w:cs="David"/>
          <w:sz w:val="24"/>
          <w:rtl/>
        </w:rPr>
        <w:tab/>
        <w:t xml:space="preserve"> בלאו הכי הם יכולי</w:t>
      </w:r>
      <w:r>
        <w:rPr>
          <w:rFonts w:cs="David"/>
          <w:sz w:val="24"/>
          <w:rtl/>
        </w:rPr>
        <w:t>ם ליזום את ההליך תמיד.</w:t>
      </w:r>
    </w:p>
    <w:p w:rsidR="00000000" w:rsidRDefault="00F94F86">
      <w:pPr>
        <w:rPr>
          <w:rFonts w:cs="David"/>
          <w:sz w:val="24"/>
          <w:rtl/>
        </w:rPr>
      </w:pPr>
    </w:p>
    <w:p w:rsidR="00000000" w:rsidRDefault="00F94F86">
      <w:pPr>
        <w:rPr>
          <w:rFonts w:cs="David"/>
          <w:sz w:val="24"/>
          <w:rtl/>
        </w:rPr>
      </w:pPr>
      <w:r>
        <w:rPr>
          <w:rFonts w:cs="David"/>
          <w:sz w:val="24"/>
          <w:u w:val="single"/>
          <w:rtl/>
        </w:rPr>
        <w:br w:type="page"/>
      </w:r>
      <w:r>
        <w:rPr>
          <w:rFonts w:cs="David"/>
          <w:sz w:val="24"/>
          <w:u w:val="single"/>
          <w:rtl/>
        </w:rPr>
        <w:lastRenderedPageBreak/>
        <w:t>עודד ברוק:</w:t>
      </w:r>
    </w:p>
    <w:p w:rsidR="00000000" w:rsidRDefault="00F94F86">
      <w:pPr>
        <w:rPr>
          <w:rFonts w:cs="David"/>
          <w:sz w:val="24"/>
          <w:rtl/>
        </w:rPr>
      </w:pPr>
    </w:p>
    <w:p w:rsidR="00000000" w:rsidRDefault="00F94F86">
      <w:pPr>
        <w:rPr>
          <w:rFonts w:cs="David"/>
          <w:sz w:val="24"/>
          <w:rtl/>
        </w:rPr>
      </w:pPr>
      <w:r>
        <w:rPr>
          <w:rFonts w:cs="David"/>
          <w:sz w:val="24"/>
          <w:rtl/>
        </w:rPr>
        <w:tab/>
        <w:t>מצד שני, מה זה "לצמצם"?</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אז תשאירו את זה כך ונגמר העניין.</w:t>
      </w:r>
    </w:p>
    <w:p w:rsidR="00000000" w:rsidRDefault="00F94F86">
      <w:pPr>
        <w:rPr>
          <w:rFonts w:cs="David"/>
          <w:sz w:val="24"/>
          <w:rtl/>
        </w:rPr>
      </w:pPr>
    </w:p>
    <w:p w:rsidR="00000000" w:rsidRDefault="00F94F86">
      <w:pPr>
        <w:rPr>
          <w:rFonts w:cs="David"/>
          <w:sz w:val="24"/>
          <w:rtl/>
        </w:rPr>
      </w:pPr>
      <w:r>
        <w:rPr>
          <w:rFonts w:cs="David"/>
          <w:sz w:val="24"/>
          <w:rtl/>
        </w:rPr>
        <w:tab/>
        <w:t>קורא סעיף 2(ו), (ז).</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rPr>
          <w:rFonts w:cs="David"/>
          <w:sz w:val="24"/>
          <w:rtl/>
        </w:rPr>
      </w:pPr>
      <w:r>
        <w:rPr>
          <w:rFonts w:cs="David"/>
          <w:sz w:val="24"/>
          <w:rtl/>
        </w:rPr>
        <w:tab/>
        <w:t>זה חשוב – הכל מחדש, יצטרכו להוכיח.</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קורא סעיף (3)(א)(1).</w:t>
      </w:r>
    </w:p>
    <w:p w:rsidR="00000000" w:rsidRDefault="00F94F86">
      <w:pPr>
        <w:rPr>
          <w:rFonts w:cs="David"/>
          <w:sz w:val="24"/>
          <w:rtl/>
        </w:rPr>
      </w:pPr>
    </w:p>
    <w:p w:rsidR="00000000" w:rsidRDefault="00F94F86">
      <w:pPr>
        <w:rPr>
          <w:rFonts w:cs="David"/>
          <w:sz w:val="24"/>
          <w:rtl/>
        </w:rPr>
      </w:pPr>
      <w:r>
        <w:rPr>
          <w:rFonts w:cs="David"/>
          <w:sz w:val="24"/>
          <w:u w:val="single"/>
          <w:rtl/>
        </w:rPr>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יש התייח</w:t>
      </w:r>
      <w:r>
        <w:rPr>
          <w:rFonts w:cs="David"/>
          <w:sz w:val="24"/>
          <w:rtl/>
        </w:rPr>
        <w:t>סות למה שהערתי בזמנו, אם יש חדר בבית מלון, מבחינת התופעה ששוכרים חדרים, וזה נהפך להיות בית בושת.</w:t>
      </w:r>
    </w:p>
    <w:p w:rsidR="00000000" w:rsidRDefault="00F94F86">
      <w:pPr>
        <w:rPr>
          <w:rFonts w:cs="David"/>
          <w:sz w:val="24"/>
          <w:rtl/>
        </w:rPr>
      </w:pPr>
      <w:r>
        <w:rPr>
          <w:rFonts w:cs="David"/>
          <w:sz w:val="24"/>
          <w:rtl/>
        </w:rPr>
        <w:tab/>
      </w: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אז נגד בעל בית המלון, אם זה ישמש באופן קבוע.</w:t>
      </w:r>
    </w:p>
    <w:p w:rsidR="00000000" w:rsidRDefault="00F94F86">
      <w:pPr>
        <w:rPr>
          <w:rFonts w:cs="David"/>
          <w:sz w:val="24"/>
          <w:rtl/>
        </w:rPr>
      </w:pPr>
    </w:p>
    <w:p w:rsidR="00000000" w:rsidRDefault="00F94F86">
      <w:pPr>
        <w:rPr>
          <w:rFonts w:cs="David"/>
          <w:sz w:val="24"/>
          <w:rtl/>
        </w:rPr>
      </w:pPr>
      <w:r>
        <w:rPr>
          <w:rFonts w:cs="David"/>
          <w:sz w:val="24"/>
          <w:u w:val="single"/>
          <w:rtl/>
        </w:rPr>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נגיד שכרו חדר 101, מחר שוכרים חדר 102.</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אנו לא יכולים </w:t>
      </w:r>
      <w:r>
        <w:rPr>
          <w:rFonts w:cs="David"/>
          <w:sz w:val="24"/>
          <w:rtl/>
        </w:rPr>
        <w:t>לפתור את כל הבעיות.</w:t>
      </w:r>
    </w:p>
    <w:p w:rsidR="00000000" w:rsidRDefault="00F94F86">
      <w:pPr>
        <w:rPr>
          <w:rFonts w:cs="David"/>
          <w:sz w:val="24"/>
          <w:rtl/>
        </w:rPr>
      </w:pPr>
    </w:p>
    <w:p w:rsidR="00000000" w:rsidRDefault="00F94F86">
      <w:pPr>
        <w:rPr>
          <w:rFonts w:cs="David"/>
          <w:sz w:val="24"/>
          <w:rtl/>
        </w:rPr>
      </w:pPr>
      <w:r>
        <w:rPr>
          <w:rFonts w:cs="David"/>
          <w:sz w:val="24"/>
          <w:u w:val="single"/>
          <w:rtl/>
        </w:rPr>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אני רוצה שיבוא לידי ביטוי, שמי ששוכר חדר במבנה – לא משנה אם הוא עובר חדר, יראו את המקום כמקום- -</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אם בית מלון משמש באופן קבוע, אפשר יהיה לסגור אותו, לא משנה באיזה חדר עושים את זה. אם תוכיח שבית מלון מ</w:t>
      </w:r>
      <w:r>
        <w:rPr>
          <w:rFonts w:cs="David"/>
          <w:sz w:val="24"/>
          <w:rtl/>
        </w:rPr>
        <w:t>סוים מנוהל על מנת לשמש לזנות באופן קבוע, יסגרו לך את כל בית המלון.</w:t>
      </w:r>
    </w:p>
    <w:p w:rsidR="00000000" w:rsidRDefault="00F94F86">
      <w:pPr>
        <w:rPr>
          <w:rFonts w:cs="David"/>
          <w:sz w:val="24"/>
          <w:rtl/>
        </w:rPr>
      </w:pPr>
    </w:p>
    <w:p w:rsidR="00000000" w:rsidRDefault="00F94F86">
      <w:pPr>
        <w:rPr>
          <w:rFonts w:cs="David"/>
          <w:sz w:val="24"/>
          <w:rtl/>
        </w:rPr>
      </w:pPr>
      <w:r>
        <w:rPr>
          <w:rFonts w:cs="David"/>
          <w:sz w:val="24"/>
          <w:rtl/>
        </w:rPr>
        <w:tab/>
        <w:t>קורא סעיף 3(א)(2).</w:t>
      </w:r>
    </w:p>
    <w:p w:rsidR="00000000" w:rsidRDefault="00F94F86">
      <w:pPr>
        <w:rPr>
          <w:rFonts w:cs="David"/>
          <w:sz w:val="24"/>
          <w:rtl/>
        </w:rPr>
      </w:pPr>
    </w:p>
    <w:p w:rsidR="00000000" w:rsidRDefault="00F94F86">
      <w:pPr>
        <w:rPr>
          <w:rFonts w:cs="David"/>
          <w:sz w:val="24"/>
          <w:rtl/>
        </w:rPr>
      </w:pPr>
      <w:r>
        <w:rPr>
          <w:rFonts w:cs="David"/>
          <w:sz w:val="24"/>
          <w:rtl/>
        </w:rPr>
        <w:tab/>
        <w:t>קורא סעיף 3(ב).</w:t>
      </w:r>
    </w:p>
    <w:p w:rsidR="00000000" w:rsidRDefault="00F94F86">
      <w:pPr>
        <w:rPr>
          <w:rFonts w:cs="David"/>
          <w:sz w:val="24"/>
          <w:rtl/>
        </w:rPr>
      </w:pPr>
    </w:p>
    <w:p w:rsidR="00000000" w:rsidRDefault="00F94F86">
      <w:pPr>
        <w:rPr>
          <w:rFonts w:cs="David"/>
          <w:sz w:val="24"/>
          <w:rtl/>
        </w:rPr>
      </w:pPr>
      <w:r>
        <w:rPr>
          <w:rFonts w:cs="David"/>
          <w:sz w:val="24"/>
          <w:rtl/>
        </w:rPr>
        <w:tab/>
        <w:t xml:space="preserve">קורא סעיפים 4, 5, 6, 7. </w:t>
      </w:r>
    </w:p>
    <w:p w:rsidR="00000000" w:rsidRDefault="00F94F86">
      <w:pPr>
        <w:rPr>
          <w:rFonts w:cs="David"/>
          <w:sz w:val="24"/>
          <w:rtl/>
        </w:rPr>
      </w:pPr>
    </w:p>
    <w:p w:rsidR="00000000" w:rsidRDefault="00F94F86">
      <w:pPr>
        <w:rPr>
          <w:rFonts w:cs="David"/>
          <w:sz w:val="24"/>
          <w:rtl/>
        </w:rPr>
      </w:pPr>
      <w:r>
        <w:rPr>
          <w:rFonts w:cs="David"/>
          <w:sz w:val="24"/>
          <w:u w:val="single"/>
          <w:rtl/>
        </w:rPr>
        <w:br w:type="page"/>
      </w:r>
      <w:r>
        <w:rPr>
          <w:rFonts w:cs="David"/>
          <w:sz w:val="24"/>
          <w:u w:val="single"/>
          <w:rtl/>
        </w:rPr>
        <w:lastRenderedPageBreak/>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הצווים האלה הם מינהליים?</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יש ויש.</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pStyle w:val="a8"/>
        <w:rPr>
          <w:rFonts w:cs="David"/>
          <w:sz w:val="24"/>
          <w:rtl/>
        </w:rPr>
      </w:pPr>
      <w:r>
        <w:rPr>
          <w:rFonts w:cs="David"/>
          <w:sz w:val="24"/>
          <w:rtl/>
        </w:rPr>
        <w:tab/>
        <w:t>יש מסלול מינהלי ויש מסלול שיפוטי. המס</w:t>
      </w:r>
      <w:r>
        <w:rPr>
          <w:rFonts w:cs="David"/>
          <w:sz w:val="24"/>
          <w:rtl/>
        </w:rPr>
        <w:t xml:space="preserve">לול המינהלי מוגבל עד כדי 30 יום לתקופות קצרות לפי הצורך, אבל מקסימום 30 יום. </w:t>
      </w:r>
    </w:p>
    <w:p w:rsidR="00000000" w:rsidRDefault="00F94F86">
      <w:pPr>
        <w:rPr>
          <w:rFonts w:cs="David"/>
          <w:sz w:val="24"/>
          <w:rtl/>
        </w:rPr>
      </w:pPr>
    </w:p>
    <w:p w:rsidR="00000000" w:rsidRDefault="00F94F86">
      <w:pPr>
        <w:rPr>
          <w:rFonts w:cs="David"/>
          <w:sz w:val="24"/>
          <w:rtl/>
        </w:rPr>
      </w:pPr>
      <w:r>
        <w:rPr>
          <w:rFonts w:cs="David"/>
          <w:sz w:val="24"/>
          <w:u w:val="single"/>
          <w:rtl/>
        </w:rPr>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זה בא להחלטת שופט, גם המינהלי, נכון?</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לא, אם הוא נותן צו לשבעה ימים והצו פוקע ואף אחד לא עותר נגד, נגמר. אך יש זכות לבוא לבית המשפט, לבקר, לשנות. הצו </w:t>
      </w:r>
      <w:r>
        <w:rPr>
          <w:rFonts w:cs="David"/>
          <w:sz w:val="24"/>
          <w:rtl/>
        </w:rPr>
        <w:t>השיפוטי הוא עד 90 יום, ואפשר להאריכו שוב ושוב.</w:t>
      </w:r>
    </w:p>
    <w:p w:rsidR="00000000" w:rsidRDefault="00F94F86">
      <w:pPr>
        <w:rPr>
          <w:rFonts w:cs="David"/>
          <w:sz w:val="24"/>
          <w:rtl/>
        </w:rPr>
      </w:pPr>
    </w:p>
    <w:p w:rsidR="00000000" w:rsidRDefault="00F94F86">
      <w:pPr>
        <w:rPr>
          <w:rFonts w:cs="David"/>
          <w:sz w:val="24"/>
          <w:rtl/>
        </w:rPr>
      </w:pPr>
      <w:r>
        <w:rPr>
          <w:rFonts w:cs="David"/>
          <w:sz w:val="24"/>
          <w:u w:val="single"/>
          <w:rtl/>
        </w:rPr>
        <w:t>נסים זאב:</w:t>
      </w:r>
    </w:p>
    <w:p w:rsidR="00000000" w:rsidRDefault="00F94F86">
      <w:pPr>
        <w:rPr>
          <w:rFonts w:cs="David"/>
          <w:sz w:val="24"/>
          <w:rtl/>
        </w:rPr>
      </w:pPr>
    </w:p>
    <w:p w:rsidR="00000000" w:rsidRDefault="00F94F86">
      <w:pPr>
        <w:rPr>
          <w:rFonts w:cs="David"/>
          <w:sz w:val="24"/>
          <w:rtl/>
        </w:rPr>
      </w:pPr>
      <w:r>
        <w:rPr>
          <w:rFonts w:cs="David"/>
          <w:sz w:val="24"/>
          <w:rtl/>
        </w:rPr>
        <w:tab/>
        <w:t xml:space="preserve"> למשל בצווי הריסה, גם מינהלי מחייב החלטת שופט.</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rPr>
          <w:rFonts w:cs="David"/>
          <w:sz w:val="24"/>
          <w:rtl/>
        </w:rPr>
      </w:pPr>
      <w:r>
        <w:rPr>
          <w:rFonts w:cs="David"/>
          <w:sz w:val="24"/>
          <w:rtl/>
        </w:rPr>
        <w:tab/>
        <w:t>אך התוצאה פה היא זמנית, לא מיידית.</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שם הרסת את המקום. פה אתה לא הורס. סוגר – יכול לפתוח.</w:t>
      </w:r>
    </w:p>
    <w:p w:rsidR="00000000" w:rsidRDefault="00F94F86">
      <w:pPr>
        <w:rPr>
          <w:rFonts w:cs="David"/>
          <w:sz w:val="24"/>
          <w:rtl/>
        </w:rPr>
      </w:pPr>
    </w:p>
    <w:p w:rsidR="00000000" w:rsidRDefault="00F94F86">
      <w:pPr>
        <w:rPr>
          <w:rFonts w:cs="David"/>
          <w:sz w:val="24"/>
          <w:u w:val="single"/>
          <w:rtl/>
        </w:rPr>
      </w:pPr>
      <w:r>
        <w:rPr>
          <w:rFonts w:cs="David"/>
          <w:sz w:val="24"/>
          <w:u w:val="single"/>
          <w:rtl/>
        </w:rPr>
        <w:t>איל זנדברג:</w:t>
      </w:r>
    </w:p>
    <w:p w:rsidR="00000000" w:rsidRDefault="00F94F86">
      <w:pPr>
        <w:rPr>
          <w:rFonts w:cs="David"/>
          <w:sz w:val="24"/>
          <w:u w:val="single"/>
          <w:rtl/>
        </w:rPr>
      </w:pPr>
    </w:p>
    <w:p w:rsidR="00000000" w:rsidRDefault="00F94F86">
      <w:pPr>
        <w:rPr>
          <w:rFonts w:cs="David"/>
          <w:sz w:val="24"/>
          <w:rtl/>
        </w:rPr>
      </w:pPr>
      <w:r>
        <w:rPr>
          <w:rFonts w:cs="David"/>
          <w:sz w:val="24"/>
          <w:rtl/>
        </w:rPr>
        <w:tab/>
        <w:t>אתה לא ח</w:t>
      </w:r>
      <w:r>
        <w:rPr>
          <w:rFonts w:cs="David"/>
          <w:sz w:val="24"/>
          <w:rtl/>
        </w:rPr>
        <w:t>ייב לסגור אפילו. אתה יכול לומר לו: אל תפעל בלילה.</w:t>
      </w:r>
    </w:p>
    <w:p w:rsidR="00000000" w:rsidRDefault="00F94F86">
      <w:pPr>
        <w:rPr>
          <w:rFonts w:cs="David"/>
          <w:sz w:val="24"/>
          <w:rtl/>
        </w:rPr>
      </w:pPr>
    </w:p>
    <w:p w:rsidR="00000000" w:rsidRDefault="00F94F86">
      <w:pPr>
        <w:rPr>
          <w:rFonts w:cs="David"/>
          <w:sz w:val="24"/>
          <w:rtl/>
        </w:rPr>
      </w:pPr>
      <w:r>
        <w:rPr>
          <w:rFonts w:cs="David"/>
          <w:sz w:val="24"/>
          <w:u w:val="single"/>
          <w:rtl/>
        </w:rPr>
        <w:t>עודד ברוק:</w:t>
      </w:r>
    </w:p>
    <w:p w:rsidR="00000000" w:rsidRDefault="00F94F86">
      <w:pPr>
        <w:rPr>
          <w:rFonts w:cs="David"/>
          <w:sz w:val="24"/>
          <w:rtl/>
        </w:rPr>
      </w:pPr>
    </w:p>
    <w:p w:rsidR="00000000" w:rsidRDefault="00F94F86">
      <w:pPr>
        <w:rPr>
          <w:rFonts w:cs="David"/>
          <w:sz w:val="24"/>
          <w:rtl/>
        </w:rPr>
      </w:pPr>
      <w:r>
        <w:rPr>
          <w:rFonts w:cs="David"/>
          <w:sz w:val="24"/>
          <w:rtl/>
        </w:rPr>
        <w:tab/>
        <w:t>אם אפשר להבהיר את הנקודה שדיברנו עליה קודם; החוק מנחה את בית המשפט אילו שיקולים לשקול כאשר הוא- -</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אולי נצביע קודם ואז תעירו את הערותיכם.</w:t>
      </w:r>
    </w:p>
    <w:p w:rsidR="00000000" w:rsidRDefault="00F94F86">
      <w:pPr>
        <w:rPr>
          <w:rFonts w:cs="David"/>
          <w:sz w:val="24"/>
          <w:rtl/>
        </w:rPr>
      </w:pPr>
    </w:p>
    <w:p w:rsidR="00000000" w:rsidRDefault="00F94F86">
      <w:pPr>
        <w:rPr>
          <w:rFonts w:cs="David"/>
          <w:sz w:val="24"/>
          <w:rtl/>
        </w:rPr>
      </w:pPr>
      <w:r>
        <w:rPr>
          <w:rFonts w:cs="David"/>
          <w:sz w:val="24"/>
          <w:u w:val="single"/>
          <w:rtl/>
        </w:rPr>
        <w:t>אורי שדה:</w:t>
      </w:r>
    </w:p>
    <w:p w:rsidR="00000000" w:rsidRDefault="00F94F86">
      <w:pPr>
        <w:rPr>
          <w:rFonts w:cs="David"/>
          <w:sz w:val="24"/>
          <w:rtl/>
        </w:rPr>
      </w:pPr>
    </w:p>
    <w:p w:rsidR="00000000" w:rsidRDefault="00F94F86">
      <w:pPr>
        <w:rPr>
          <w:rFonts w:cs="David"/>
          <w:sz w:val="24"/>
          <w:rtl/>
        </w:rPr>
      </w:pPr>
      <w:r>
        <w:rPr>
          <w:rFonts w:cs="David"/>
          <w:sz w:val="24"/>
          <w:rtl/>
        </w:rPr>
        <w:tab/>
        <w:t>יש מספר הערות שנראו</w:t>
      </w:r>
      <w:r>
        <w:rPr>
          <w:rFonts w:cs="David"/>
          <w:sz w:val="24"/>
          <w:rtl/>
        </w:rPr>
        <w:t>ת לנו רלוונטיות לעניין של סחר. כשאנו באים לתת את הסמכות הזו, מנינו פה ארבע עברות, ויש עוד עברה או שתיים שרלוונטיות; יש חטיפה לשם חבלה או עברת מין- -</w:t>
      </w:r>
    </w:p>
    <w:p w:rsidR="00000000" w:rsidRDefault="00F94F86">
      <w:pPr>
        <w:rPr>
          <w:rFonts w:cs="David"/>
          <w:sz w:val="24"/>
          <w:rtl/>
        </w:rPr>
      </w:pPr>
    </w:p>
    <w:p w:rsidR="00000000" w:rsidRDefault="00F94F86">
      <w:pPr>
        <w:rPr>
          <w:rFonts w:cs="David"/>
          <w:sz w:val="24"/>
          <w:u w:val="single"/>
          <w:rtl/>
        </w:rPr>
      </w:pPr>
      <w:r>
        <w:rPr>
          <w:rFonts w:cs="David"/>
          <w:sz w:val="24"/>
          <w:u w:val="single"/>
          <w:rtl/>
        </w:rPr>
        <w:br w:type="page"/>
      </w:r>
      <w:r>
        <w:rPr>
          <w:rFonts w:cs="David"/>
          <w:sz w:val="24"/>
          <w:u w:val="single"/>
          <w:rtl/>
        </w:rPr>
        <w:lastRenderedPageBreak/>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מה זה קשור למקום? אדם כזה ילך לבית סוהר בכל מקרה. הוא משתמש במקום קבוע לחטיפה? </w:t>
      </w:r>
    </w:p>
    <w:p w:rsidR="00000000" w:rsidRDefault="00F94F86">
      <w:pPr>
        <w:rPr>
          <w:rFonts w:cs="David"/>
          <w:sz w:val="24"/>
          <w:rtl/>
        </w:rPr>
      </w:pPr>
    </w:p>
    <w:p w:rsidR="00000000" w:rsidRDefault="00F94F86">
      <w:pPr>
        <w:rPr>
          <w:rFonts w:cs="David"/>
          <w:sz w:val="24"/>
          <w:rtl/>
        </w:rPr>
      </w:pPr>
      <w:r>
        <w:rPr>
          <w:rFonts w:cs="David"/>
          <w:sz w:val="24"/>
          <w:u w:val="single"/>
          <w:rtl/>
        </w:rPr>
        <w:t>או</w:t>
      </w:r>
      <w:r>
        <w:rPr>
          <w:rFonts w:cs="David"/>
          <w:sz w:val="24"/>
          <w:u w:val="single"/>
          <w:rtl/>
        </w:rPr>
        <w:t>רי שדה:</w:t>
      </w:r>
    </w:p>
    <w:p w:rsidR="00000000" w:rsidRDefault="00F94F86">
      <w:pPr>
        <w:rPr>
          <w:rFonts w:cs="David"/>
          <w:sz w:val="24"/>
          <w:rtl/>
        </w:rPr>
      </w:pPr>
    </w:p>
    <w:p w:rsidR="00000000" w:rsidRDefault="00F94F86">
      <w:pPr>
        <w:rPr>
          <w:rFonts w:cs="David"/>
          <w:sz w:val="24"/>
          <w:rtl/>
        </w:rPr>
      </w:pPr>
      <w:r>
        <w:rPr>
          <w:rFonts w:cs="David"/>
          <w:sz w:val="24"/>
          <w:rtl/>
        </w:rPr>
        <w:tab/>
        <w:t>כשמדברים על סחר בבני אדם, זה לאו דווקא קשור למקום.</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הוא קשור. גם חטיפה קשורה למקום הכליאה של אדם. סחר מרמז יותר על מקום, משרד, מסמכים, כספת, יש כל מיני מקומות שאנשים עושים בהם פעולות סחר. אם יש מקום קבוע כזה – כן. </w:t>
      </w:r>
    </w:p>
    <w:p w:rsidR="00000000" w:rsidRDefault="00F94F86">
      <w:pPr>
        <w:rPr>
          <w:rFonts w:cs="David"/>
          <w:sz w:val="24"/>
          <w:rtl/>
        </w:rPr>
      </w:pPr>
    </w:p>
    <w:p w:rsidR="00000000" w:rsidRDefault="00F94F86">
      <w:pPr>
        <w:rPr>
          <w:rFonts w:cs="David"/>
          <w:sz w:val="24"/>
          <w:rtl/>
        </w:rPr>
      </w:pPr>
      <w:r>
        <w:rPr>
          <w:rFonts w:cs="David"/>
          <w:sz w:val="24"/>
          <w:u w:val="single"/>
          <w:rtl/>
        </w:rPr>
        <w:t>אורי שדה</w:t>
      </w:r>
      <w:r>
        <w:rPr>
          <w:rFonts w:cs="David"/>
          <w:sz w:val="24"/>
          <w:u w:val="single"/>
          <w:rtl/>
        </w:rPr>
        <w:t>:</w:t>
      </w:r>
    </w:p>
    <w:p w:rsidR="00000000" w:rsidRDefault="00F94F86">
      <w:pPr>
        <w:rPr>
          <w:rFonts w:cs="David"/>
          <w:sz w:val="24"/>
          <w:rtl/>
        </w:rPr>
      </w:pPr>
    </w:p>
    <w:p w:rsidR="00000000" w:rsidRDefault="00F94F86">
      <w:pPr>
        <w:rPr>
          <w:rFonts w:cs="David"/>
          <w:sz w:val="24"/>
          <w:rtl/>
        </w:rPr>
      </w:pPr>
      <w:r>
        <w:rPr>
          <w:rFonts w:cs="David"/>
          <w:sz w:val="24"/>
          <w:rtl/>
        </w:rPr>
        <w:tab/>
        <w:t>מקום שמשמש להחזיק את הנשים כשהן יוצאות לשירות ליווי.</w:t>
      </w:r>
    </w:p>
    <w:p w:rsidR="00000000" w:rsidRDefault="00F94F86">
      <w:pPr>
        <w:rPr>
          <w:rFonts w:cs="David"/>
          <w:sz w:val="24"/>
          <w:rtl/>
        </w:rPr>
      </w:pPr>
    </w:p>
    <w:p w:rsidR="00000000" w:rsidRDefault="00F94F86">
      <w:pPr>
        <w:rPr>
          <w:rFonts w:cs="David"/>
          <w:sz w:val="24"/>
          <w:rtl/>
        </w:rPr>
      </w:pPr>
      <w:r>
        <w:rPr>
          <w:rFonts w:cs="David"/>
          <w:sz w:val="24"/>
          <w:u w:val="single"/>
          <w:rtl/>
        </w:rPr>
        <w:t>רחל גרשוני:</w:t>
      </w:r>
    </w:p>
    <w:p w:rsidR="00000000" w:rsidRDefault="00F94F86">
      <w:pPr>
        <w:rPr>
          <w:rFonts w:cs="David"/>
          <w:sz w:val="24"/>
          <w:rtl/>
        </w:rPr>
      </w:pPr>
    </w:p>
    <w:p w:rsidR="00000000" w:rsidRDefault="00F94F86">
      <w:pPr>
        <w:rPr>
          <w:rFonts w:cs="David"/>
          <w:sz w:val="24"/>
          <w:rtl/>
        </w:rPr>
      </w:pPr>
      <w:r>
        <w:rPr>
          <w:rFonts w:cs="David"/>
          <w:sz w:val="24"/>
          <w:rtl/>
        </w:rPr>
        <w:tab/>
        <w:t>זה לא מיועד לדברים כמו כליאת שווא, שאמנם קשורים למסכת הסחר, אך זה חוק שמיועד- -</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למה לא למשל למקום שמאחסנים רכוש גנוב?</w:t>
      </w:r>
    </w:p>
    <w:p w:rsidR="00000000" w:rsidRDefault="00F94F86">
      <w:pPr>
        <w:rPr>
          <w:rFonts w:cs="David"/>
          <w:sz w:val="24"/>
          <w:rtl/>
        </w:rPr>
      </w:pPr>
    </w:p>
    <w:p w:rsidR="00000000" w:rsidRDefault="00F94F86">
      <w:pPr>
        <w:rPr>
          <w:rFonts w:cs="David"/>
          <w:sz w:val="24"/>
          <w:rtl/>
        </w:rPr>
      </w:pPr>
      <w:r>
        <w:rPr>
          <w:rFonts w:cs="David"/>
          <w:sz w:val="24"/>
          <w:u w:val="single"/>
          <w:rtl/>
        </w:rPr>
        <w:t>אורי שדה:</w:t>
      </w:r>
    </w:p>
    <w:p w:rsidR="00000000" w:rsidRDefault="00F94F86">
      <w:pPr>
        <w:rPr>
          <w:rFonts w:cs="David"/>
          <w:sz w:val="24"/>
          <w:rtl/>
        </w:rPr>
      </w:pPr>
    </w:p>
    <w:p w:rsidR="00000000" w:rsidRDefault="00F94F86">
      <w:pPr>
        <w:rPr>
          <w:rFonts w:cs="David"/>
          <w:sz w:val="24"/>
          <w:rtl/>
        </w:rPr>
      </w:pPr>
      <w:r>
        <w:rPr>
          <w:rFonts w:cs="David"/>
          <w:sz w:val="24"/>
          <w:rtl/>
        </w:rPr>
        <w:tab/>
        <w:t>כרגע מחפשים את עניין הסחר.</w:t>
      </w:r>
    </w:p>
    <w:p w:rsidR="00000000" w:rsidRDefault="00F94F86">
      <w:pPr>
        <w:rPr>
          <w:rFonts w:cs="David"/>
          <w:sz w:val="24"/>
          <w:rtl/>
        </w:rPr>
      </w:pPr>
    </w:p>
    <w:p w:rsidR="00000000" w:rsidRDefault="00F94F86">
      <w:pPr>
        <w:rPr>
          <w:rFonts w:cs="David"/>
          <w:sz w:val="24"/>
          <w:u w:val="single"/>
          <w:rtl/>
        </w:rPr>
      </w:pPr>
      <w:r>
        <w:rPr>
          <w:rFonts w:cs="David"/>
          <w:sz w:val="24"/>
          <w:u w:val="single"/>
          <w:rtl/>
        </w:rPr>
        <w:t>הי</w:t>
      </w:r>
      <w:r>
        <w:rPr>
          <w:rFonts w:cs="David"/>
          <w:sz w:val="24"/>
          <w:u w:val="single"/>
          <w:rtl/>
        </w:rPr>
        <w:t xml:space="preserve">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רחל האירה את עיניי; האופי של החוק הזה מיועד למקומות שיפריעו בעיקר ללקוחות להגיע, למנוע את הגישה של הלקוחות.</w:t>
      </w:r>
    </w:p>
    <w:p w:rsidR="00000000" w:rsidRDefault="00F94F86">
      <w:pPr>
        <w:rPr>
          <w:rFonts w:cs="David"/>
          <w:sz w:val="24"/>
          <w:rtl/>
        </w:rPr>
      </w:pPr>
    </w:p>
    <w:p w:rsidR="00000000" w:rsidRDefault="00F94F86">
      <w:pPr>
        <w:rPr>
          <w:rFonts w:cs="David"/>
          <w:sz w:val="24"/>
          <w:rtl/>
        </w:rPr>
      </w:pPr>
      <w:r>
        <w:rPr>
          <w:rFonts w:cs="David"/>
          <w:sz w:val="24"/>
          <w:u w:val="single"/>
          <w:rtl/>
        </w:rPr>
        <w:t>עודד ברוק:</w:t>
      </w:r>
    </w:p>
    <w:p w:rsidR="00000000" w:rsidRDefault="00F94F86">
      <w:pPr>
        <w:rPr>
          <w:rFonts w:cs="David"/>
          <w:sz w:val="24"/>
          <w:rtl/>
        </w:rPr>
      </w:pPr>
    </w:p>
    <w:p w:rsidR="00000000" w:rsidRDefault="00F94F86">
      <w:pPr>
        <w:rPr>
          <w:rFonts w:cs="David"/>
          <w:sz w:val="24"/>
          <w:rtl/>
        </w:rPr>
      </w:pPr>
      <w:r>
        <w:rPr>
          <w:rFonts w:cs="David"/>
          <w:sz w:val="24"/>
          <w:rtl/>
        </w:rPr>
        <w:tab/>
        <w:t>הצעת החוק מנחה את בית המשפט, אילו בחינות הוא צריך לבחון כשהוא נותן צו הגבלה שיפוטי. אחת הבחינות היא שנעברה עברה, א</w:t>
      </w:r>
      <w:r>
        <w:rPr>
          <w:rFonts w:cs="David"/>
          <w:sz w:val="24"/>
          <w:rtl/>
        </w:rPr>
        <w:t>פשר להגיד שזה כאשר האדם הורשע. זה אומר שיכול להיווצר מצב שתפסתי במקום הזה זנות, העמדתי אפילו לדין אבל עדיין אין הכרעת דין, אני לא יכול להשתמש בזה כדי להוכיח.</w:t>
      </w:r>
    </w:p>
    <w:p w:rsidR="00000000" w:rsidRDefault="00F94F86">
      <w:pPr>
        <w:rPr>
          <w:rFonts w:cs="David"/>
          <w:sz w:val="24"/>
          <w:rtl/>
        </w:rPr>
      </w:pPr>
    </w:p>
    <w:p w:rsidR="00000000" w:rsidRDefault="00F94F86">
      <w:pPr>
        <w:rPr>
          <w:rFonts w:cs="David"/>
          <w:sz w:val="24"/>
          <w:u w:val="single"/>
          <w:rtl/>
        </w:rPr>
      </w:pPr>
      <w:r>
        <w:rPr>
          <w:rFonts w:cs="David"/>
          <w:sz w:val="24"/>
          <w:u w:val="single"/>
          <w:rtl/>
        </w:rPr>
        <w:t xml:space="preserve">היו"ר מיכאל איתן: </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לא רוצה להיכנס לזה.</w:t>
      </w:r>
    </w:p>
    <w:p w:rsidR="00000000" w:rsidRDefault="00F94F86">
      <w:pPr>
        <w:rPr>
          <w:rFonts w:cs="David"/>
          <w:sz w:val="24"/>
          <w:u w:val="single"/>
          <w:rtl/>
        </w:rPr>
      </w:pPr>
    </w:p>
    <w:p w:rsidR="00000000" w:rsidRDefault="00F94F86">
      <w:pPr>
        <w:rPr>
          <w:rFonts w:cs="David"/>
          <w:sz w:val="24"/>
          <w:rtl/>
        </w:rPr>
      </w:pPr>
      <w:r>
        <w:rPr>
          <w:rFonts w:cs="David"/>
          <w:sz w:val="24"/>
          <w:rtl/>
        </w:rPr>
        <w:tab/>
        <w:t xml:space="preserve"> מי בעד העברת החוק לקריאה שנייה ושלישית? פה אחד.</w:t>
      </w:r>
    </w:p>
    <w:p w:rsidR="00000000" w:rsidRDefault="00F94F86">
      <w:pPr>
        <w:rPr>
          <w:rFonts w:cs="David"/>
          <w:sz w:val="24"/>
          <w:rtl/>
        </w:rPr>
      </w:pPr>
    </w:p>
    <w:p w:rsidR="00000000" w:rsidRDefault="00F94F86">
      <w:pPr>
        <w:rPr>
          <w:rFonts w:cs="David"/>
          <w:sz w:val="24"/>
          <w:rtl/>
        </w:rPr>
      </w:pPr>
      <w:r>
        <w:rPr>
          <w:rFonts w:cs="David"/>
          <w:sz w:val="24"/>
          <w:rtl/>
        </w:rPr>
        <w:tab/>
        <w:t>תו</w:t>
      </w:r>
      <w:r>
        <w:rPr>
          <w:rFonts w:cs="David"/>
          <w:sz w:val="24"/>
          <w:rtl/>
        </w:rPr>
        <w:t>דה רבה, הישיבה נעולה.</w:t>
      </w:r>
    </w:p>
    <w:p w:rsidR="00000000" w:rsidRDefault="00F94F86">
      <w:pPr>
        <w:rPr>
          <w:rFonts w:cs="David"/>
          <w:sz w:val="24"/>
          <w:rtl/>
        </w:rPr>
      </w:pPr>
    </w:p>
    <w:p w:rsidR="00000000" w:rsidRDefault="00F94F86">
      <w:pPr>
        <w:rPr>
          <w:rFonts w:cs="David"/>
          <w:sz w:val="24"/>
          <w:rtl/>
        </w:rPr>
      </w:pPr>
    </w:p>
    <w:p w:rsidR="00000000" w:rsidRDefault="00F94F86">
      <w:pPr>
        <w:rPr>
          <w:rFonts w:cs="David"/>
          <w:sz w:val="24"/>
          <w:rtl/>
        </w:rPr>
      </w:pPr>
      <w:r>
        <w:rPr>
          <w:rFonts w:cs="David"/>
          <w:sz w:val="24"/>
          <w:u w:val="single"/>
          <w:rtl/>
        </w:rPr>
        <w:t>הישיבה ננעלה בשעה 09:45.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4F86">
      <w:r>
        <w:separator/>
      </w:r>
    </w:p>
  </w:endnote>
  <w:endnote w:type="continuationSeparator" w:id="0">
    <w:p w:rsidR="00000000" w:rsidRDefault="00F94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4F86">
      <w:r>
        <w:separator/>
      </w:r>
    </w:p>
  </w:footnote>
  <w:footnote w:type="continuationSeparator" w:id="0">
    <w:p w:rsidR="00000000" w:rsidRDefault="00F94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4F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7</w:t>
    </w:r>
    <w:r>
      <w:rPr>
        <w:rStyle w:val="a7"/>
        <w:rFonts w:cs="David"/>
      </w:rPr>
      <w:fldChar w:fldCharType="end"/>
    </w:r>
  </w:p>
  <w:p w:rsidR="00000000" w:rsidRDefault="00F94F86">
    <w:pPr>
      <w:pStyle w:val="a3"/>
      <w:ind w:right="360"/>
      <w:rPr>
        <w:rFonts w:cs="David"/>
        <w:sz w:val="24"/>
        <w:rtl/>
      </w:rPr>
    </w:pPr>
    <w:r>
      <w:rPr>
        <w:rFonts w:cs="David"/>
        <w:sz w:val="24"/>
        <w:rtl/>
      </w:rPr>
      <w:t>ועדת החוקה, חוק ומשפט</w:t>
    </w:r>
  </w:p>
  <w:p w:rsidR="00000000" w:rsidRDefault="00F94F86">
    <w:pPr>
      <w:pStyle w:val="a3"/>
      <w:ind w:right="360"/>
      <w:rPr>
        <w:rStyle w:val="a7"/>
        <w:rFonts w:cs="David"/>
        <w:sz w:val="24"/>
        <w:rtl/>
      </w:rPr>
    </w:pPr>
    <w:r>
      <w:rPr>
        <w:rFonts w:cs="David"/>
        <w:sz w:val="24"/>
        <w:rtl/>
      </w:rPr>
      <w:t>23.3.2005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F86"/>
    <w:rsid w:val="00F94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11D055-AC9F-45C3-80FF-126C2146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F9C0C-DCD1-4C0E-A608-2B13115D6643}"/>
</file>

<file path=customXml/itemProps2.xml><?xml version="1.0" encoding="utf-8"?>
<ds:datastoreItem xmlns:ds="http://schemas.openxmlformats.org/officeDocument/2006/customXml" ds:itemID="{89E6F0A3-2225-4FFE-8600-45452A28EA69}"/>
</file>

<file path=customXml/itemProps3.xml><?xml version="1.0" encoding="utf-8"?>
<ds:datastoreItem xmlns:ds="http://schemas.openxmlformats.org/officeDocument/2006/customXml" ds:itemID="{0336EC88-D61D-4B6C-91B5-C3A21DFA3866}"/>
</file>

<file path=docProps/app.xml><?xml version="1.0" encoding="utf-8"?>
<Properties xmlns="http://schemas.openxmlformats.org/officeDocument/2006/extended-properties" xmlns:vt="http://schemas.openxmlformats.org/officeDocument/2006/docPropsVTypes">
  <Template>Normal.dotm</Template>
  <TotalTime>0</TotalTime>
  <Pages>7</Pages>
  <Words>1298</Words>
  <Characters>6495</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הצעת חוק העונשין (תיקון מס' 83) (צווי הפסקת שימוש למקום המשמש לביצוע עברות זנות)</vt:lpstr>
    </vt:vector>
  </TitlesOfParts>
  <Company>כנסת</Company>
  <LinksUpToDate>false</LinksUpToDate>
  <CharactersWithSpaces>7778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מס' 83) (צווי הפסקת שימוש למקום המשמש לביצוע עברות זנות)</dc:title>
  <dc:subject/>
  <dc:creator>תמר שפנייר</dc:creator>
  <cp:keywords/>
  <dc:description/>
  <cp:lastModifiedBy>שמואל כוכב</cp:lastModifiedBy>
  <cp:revision>2</cp:revision>
  <cp:lastPrinted>2005-03-23T19:23:00Z</cp:lastPrinted>
  <dcterms:created xsi:type="dcterms:W3CDTF">2019-07-15T06:38:00Z</dcterms:created>
  <dcterms:modified xsi:type="dcterms:W3CDTF">2019-07-15T06:38:00Z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458</vt:i4>
  </property>
  <property fmtid="{D5CDD505-2E9C-101B-9397-08002B2CF9AE}" pid="5" name="Nose">
    <vt:lpwstr>':מחלקת הפרוטוקולים:ועדת חוקה'_x000d__x000d_</vt:lpwstr>
  </property>
  <property fmtid="{D5CDD505-2E9C-101B-9397-08002B2CF9AE}" pid="6" name="TaarichYeshiva">
    <vt:filetime>2005-03-21T21:00:00Z</vt:filetime>
  </property>
  <property fmtid="{D5CDD505-2E9C-101B-9397-08002B2CF9AE}" pid="7" name="סימוכין">
    <vt:i4>3749805</vt:i4>
  </property>
  <property fmtid="{D5CDD505-2E9C-101B-9397-08002B2CF9AE}" pid="8" name="שעת ישיבה">
    <vt:lpwstr>9:00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97462</vt:r8>
  </property>
  <property fmtid="{D5CDD505-2E9C-101B-9397-08002B2CF9AE}" pid="14" name="SanhedrinDocumentType">
    <vt:r8>167</vt:r8>
  </property>
</Properties>
</file>