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2C62">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w:t>
      </w:r>
      <w:r>
        <w:rPr>
          <w:rFonts w:cs="David"/>
          <w:b/>
          <w:bCs/>
          <w:noProof w:val="0"/>
          <w:sz w:val="24"/>
          <w:rtl/>
        </w:rPr>
        <w:t xml:space="preserve"> לא מתוקן</w:t>
      </w:r>
    </w:p>
    <w:p w:rsidR="00000000" w:rsidRDefault="000F2C62">
      <w:pPr>
        <w:rPr>
          <w:rFonts w:cs="David"/>
          <w:b/>
          <w:bCs/>
          <w:noProof w:val="0"/>
          <w:sz w:val="24"/>
          <w:rtl/>
        </w:rPr>
      </w:pPr>
      <w:r>
        <w:rPr>
          <w:rFonts w:cs="David"/>
          <w:b/>
          <w:bCs/>
          <w:noProof w:val="0"/>
          <w:sz w:val="24"/>
          <w:rtl/>
        </w:rPr>
        <w:t>מושב שלישי</w:t>
      </w:r>
    </w:p>
    <w:p w:rsidR="00000000" w:rsidRDefault="000F2C62">
      <w:pPr>
        <w:rPr>
          <w:rFonts w:cs="David"/>
          <w:b/>
          <w:bCs/>
          <w:noProof w:val="0"/>
          <w:sz w:val="24"/>
          <w:rtl/>
        </w:rPr>
      </w:pPr>
    </w:p>
    <w:p w:rsidR="00000000" w:rsidRDefault="000F2C62">
      <w:pPr>
        <w:rPr>
          <w:rFonts w:cs="David"/>
          <w:b/>
          <w:bCs/>
          <w:noProof w:val="0"/>
          <w:sz w:val="24"/>
          <w:rtl/>
        </w:rPr>
      </w:pPr>
    </w:p>
    <w:p w:rsidR="00000000" w:rsidRDefault="000F2C62">
      <w:pPr>
        <w:rPr>
          <w:rFonts w:cs="David"/>
          <w:b/>
          <w:bCs/>
          <w:noProof w:val="0"/>
          <w:sz w:val="24"/>
          <w:rtl/>
        </w:rPr>
      </w:pPr>
    </w:p>
    <w:p w:rsidR="00000000" w:rsidRDefault="000F2C62">
      <w:pPr>
        <w:rPr>
          <w:rFonts w:cs="David"/>
          <w:b/>
          <w:bCs/>
          <w:noProof w:val="0"/>
          <w:sz w:val="24"/>
          <w:rtl/>
        </w:rPr>
      </w:pPr>
    </w:p>
    <w:p w:rsidR="00000000" w:rsidRDefault="000F2C62">
      <w:pPr>
        <w:pStyle w:val="6"/>
        <w:jc w:val="center"/>
        <w:rPr>
          <w:rFonts w:cs="David"/>
          <w:noProof w:val="0"/>
          <w:sz w:val="24"/>
          <w:u w:val="single"/>
          <w:rtl/>
        </w:rPr>
      </w:pPr>
      <w:r>
        <w:rPr>
          <w:rFonts w:cs="David"/>
          <w:noProof w:val="0"/>
          <w:sz w:val="24"/>
          <w:rtl/>
        </w:rPr>
        <w:t>פרוטוקול מס' 488</w:t>
      </w:r>
    </w:p>
    <w:p w:rsidR="00000000" w:rsidRDefault="000F2C62">
      <w:pPr>
        <w:pStyle w:val="9"/>
        <w:rPr>
          <w:rFonts w:cs="David"/>
          <w:noProof w:val="0"/>
          <w:sz w:val="24"/>
          <w:rtl/>
        </w:rPr>
      </w:pPr>
      <w:r>
        <w:rPr>
          <w:rFonts w:cs="David"/>
          <w:noProof w:val="0"/>
          <w:sz w:val="24"/>
          <w:rtl/>
        </w:rPr>
        <w:t xml:space="preserve">מישיבת ועדת הפנים ואיכות הסביבה </w:t>
      </w:r>
    </w:p>
    <w:p w:rsidR="00000000" w:rsidRDefault="000F2C62">
      <w:pPr>
        <w:tabs>
          <w:tab w:val="left" w:pos="1221"/>
        </w:tabs>
        <w:jc w:val="center"/>
        <w:rPr>
          <w:rFonts w:cs="David"/>
          <w:b/>
          <w:bCs/>
          <w:noProof w:val="0"/>
          <w:sz w:val="24"/>
          <w:u w:val="single"/>
          <w:rtl/>
        </w:rPr>
      </w:pPr>
      <w:r>
        <w:rPr>
          <w:rFonts w:cs="David"/>
          <w:b/>
          <w:bCs/>
          <w:noProof w:val="0"/>
          <w:sz w:val="24"/>
          <w:u w:val="single"/>
          <w:rtl/>
        </w:rPr>
        <w:t>יום שלישי, י"ט בתמוז התשס"ה (26.07.2005), בשעה 11:30</w:t>
      </w:r>
    </w:p>
    <w:p w:rsidR="00000000" w:rsidRDefault="000F2C62">
      <w:pPr>
        <w:tabs>
          <w:tab w:val="left" w:pos="1221"/>
        </w:tabs>
        <w:rPr>
          <w:rFonts w:cs="David"/>
          <w:b/>
          <w:bCs/>
          <w:noProof w:val="0"/>
          <w:sz w:val="24"/>
          <w:u w:val="single"/>
          <w:rtl/>
        </w:rPr>
      </w:pPr>
    </w:p>
    <w:p w:rsidR="00000000" w:rsidRDefault="000F2C62">
      <w:pPr>
        <w:tabs>
          <w:tab w:val="left" w:pos="1221"/>
        </w:tabs>
        <w:rPr>
          <w:rFonts w:cs="David"/>
          <w:b/>
          <w:bCs/>
          <w:noProof w:val="0"/>
          <w:sz w:val="24"/>
          <w:rtl/>
        </w:rPr>
      </w:pPr>
    </w:p>
    <w:p w:rsidR="00000000" w:rsidRDefault="000F2C62">
      <w:pPr>
        <w:rPr>
          <w:rFonts w:cs="David"/>
          <w:b/>
          <w:bCs/>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הצעת חוק לתיקון פקודת המשטרה (מס' 19) (אירוע אסון המוני), התשס"ה-2005</w:t>
      </w:r>
    </w:p>
    <w:p w:rsidR="00000000" w:rsidRDefault="000F2C62">
      <w:pPr>
        <w:rPr>
          <w:rFonts w:cs="David"/>
          <w:b/>
          <w:bCs/>
          <w:noProof w:val="0"/>
          <w:sz w:val="24"/>
          <w:rtl/>
        </w:rPr>
      </w:pPr>
    </w:p>
    <w:p w:rsidR="00000000" w:rsidRDefault="000F2C62">
      <w:pPr>
        <w:rPr>
          <w:rFonts w:cs="David"/>
          <w:b/>
          <w:bCs/>
          <w:noProof w:val="0"/>
          <w:sz w:val="24"/>
          <w:rtl/>
        </w:rPr>
      </w:pPr>
    </w:p>
    <w:p w:rsidR="00000000" w:rsidRDefault="000F2C62">
      <w:pPr>
        <w:rPr>
          <w:rFonts w:cs="David"/>
          <w:b/>
          <w:bCs/>
          <w:noProof w:val="0"/>
          <w:sz w:val="24"/>
          <w:u w:val="single"/>
          <w:rtl/>
        </w:rPr>
      </w:pPr>
      <w:r>
        <w:rPr>
          <w:rFonts w:cs="David"/>
          <w:b/>
          <w:bCs/>
          <w:noProof w:val="0"/>
          <w:sz w:val="24"/>
          <w:rtl/>
        </w:rPr>
        <w:t xml:space="preserve"> </w:t>
      </w:r>
      <w:r>
        <w:rPr>
          <w:rFonts w:cs="David"/>
          <w:b/>
          <w:bCs/>
          <w:noProof w:val="0"/>
          <w:sz w:val="24"/>
          <w:u w:val="single"/>
          <w:rtl/>
        </w:rPr>
        <w:t>נכחו:</w:t>
      </w:r>
    </w:p>
    <w:p w:rsidR="00000000" w:rsidRDefault="000F2C62">
      <w:pPr>
        <w:rPr>
          <w:rFonts w:cs="David"/>
          <w:b/>
          <w:bCs/>
          <w:noProof w:val="0"/>
          <w:sz w:val="24"/>
          <w:rtl/>
        </w:rPr>
      </w:pPr>
    </w:p>
    <w:p w:rsidR="00000000" w:rsidRDefault="000F2C62">
      <w:pPr>
        <w:rPr>
          <w:rFonts w:cs="David"/>
          <w:b/>
          <w:bCs/>
          <w:noProof w:val="0"/>
          <w:sz w:val="24"/>
          <w:u w:val="single"/>
          <w:rtl/>
        </w:rPr>
      </w:pPr>
    </w:p>
    <w:p w:rsidR="00000000" w:rsidRDefault="000F2C62">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0F2C62">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0F2C62">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0F2C62">
      <w:pPr>
        <w:rPr>
          <w:rFonts w:cs="David"/>
          <w:noProof w:val="0"/>
          <w:sz w:val="24"/>
          <w:rtl/>
        </w:rPr>
      </w:pPr>
    </w:p>
    <w:p w:rsidR="00000000" w:rsidRDefault="000F2C62">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סגן השר לביטחון פנים יעקב אדרי</w:t>
      </w:r>
    </w:p>
    <w:p w:rsidR="00000000" w:rsidRDefault="000F2C62">
      <w:pPr>
        <w:ind w:left="1134" w:firstLine="567"/>
        <w:rPr>
          <w:rFonts w:cs="David"/>
          <w:noProof w:val="0"/>
          <w:sz w:val="24"/>
          <w:rtl/>
        </w:rPr>
      </w:pPr>
      <w:r>
        <w:rPr>
          <w:rFonts w:cs="David"/>
          <w:noProof w:val="0"/>
          <w:sz w:val="24"/>
          <w:rtl/>
        </w:rPr>
        <w:t>יואל הדר</w:t>
      </w:r>
      <w:r>
        <w:rPr>
          <w:rFonts w:cs="David"/>
          <w:noProof w:val="0"/>
          <w:sz w:val="24"/>
          <w:rtl/>
        </w:rPr>
        <w:tab/>
      </w:r>
      <w:r>
        <w:rPr>
          <w:rFonts w:cs="David"/>
          <w:noProof w:val="0"/>
          <w:sz w:val="24"/>
          <w:rtl/>
        </w:rPr>
        <w:tab/>
      </w:r>
      <w:r>
        <w:rPr>
          <w:rFonts w:cs="David"/>
          <w:noProof w:val="0"/>
          <w:sz w:val="24"/>
          <w:rtl/>
        </w:rPr>
        <w:tab/>
        <w:t>-יועמ"ש, המשרד לביטחון פנים</w:t>
      </w:r>
    </w:p>
    <w:p w:rsidR="00000000" w:rsidRDefault="000F2C62">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עודד ברוק</w:t>
      </w:r>
      <w:r>
        <w:rPr>
          <w:rFonts w:cs="David"/>
          <w:noProof w:val="0"/>
          <w:sz w:val="24"/>
          <w:rtl/>
        </w:rPr>
        <w:tab/>
      </w:r>
      <w:r>
        <w:rPr>
          <w:rFonts w:cs="David"/>
          <w:noProof w:val="0"/>
          <w:sz w:val="24"/>
          <w:rtl/>
        </w:rPr>
        <w:tab/>
        <w:t>-לשכה משפטית, המשרד לביטחון פנים</w:t>
      </w:r>
    </w:p>
    <w:p w:rsidR="00000000" w:rsidRDefault="000F2C62">
      <w:pPr>
        <w:rPr>
          <w:rFonts w:cs="David"/>
          <w:noProof w:val="0"/>
          <w:sz w:val="24"/>
          <w:rtl/>
        </w:rPr>
      </w:pPr>
      <w:r>
        <w:rPr>
          <w:rFonts w:cs="David"/>
          <w:noProof w:val="0"/>
          <w:sz w:val="24"/>
          <w:rtl/>
        </w:rPr>
        <w:tab/>
      </w:r>
      <w:r>
        <w:rPr>
          <w:rFonts w:cs="David"/>
          <w:noProof w:val="0"/>
          <w:sz w:val="24"/>
          <w:rtl/>
        </w:rPr>
        <w:tab/>
      </w:r>
      <w:r>
        <w:rPr>
          <w:rFonts w:cs="David"/>
          <w:noProof w:val="0"/>
          <w:sz w:val="24"/>
          <w:rtl/>
        </w:rPr>
        <w:tab/>
        <w:t>תנ"צ ענת שפי</w:t>
      </w:r>
      <w:r>
        <w:rPr>
          <w:rFonts w:cs="David"/>
          <w:noProof w:val="0"/>
          <w:sz w:val="24"/>
          <w:rtl/>
        </w:rPr>
        <w:tab/>
      </w:r>
      <w:r>
        <w:rPr>
          <w:rFonts w:cs="David"/>
          <w:noProof w:val="0"/>
          <w:sz w:val="24"/>
          <w:rtl/>
        </w:rPr>
        <w:tab/>
        <w:t>-יועמ"ש, המשרד לביטחון פנים</w:t>
      </w:r>
    </w:p>
    <w:p w:rsidR="00000000" w:rsidRDefault="000F2C62">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ישי יודקביץ</w:t>
      </w:r>
      <w:r>
        <w:rPr>
          <w:rFonts w:cs="David"/>
          <w:noProof w:val="0"/>
          <w:sz w:val="24"/>
          <w:rtl/>
        </w:rPr>
        <w:tab/>
      </w:r>
      <w:r>
        <w:rPr>
          <w:rFonts w:cs="David"/>
          <w:noProof w:val="0"/>
          <w:sz w:val="24"/>
          <w:rtl/>
        </w:rPr>
        <w:tab/>
        <w:t>-לשכה משפטית, משרד הביטחון</w:t>
      </w:r>
    </w:p>
    <w:p w:rsidR="00000000" w:rsidRDefault="000F2C62">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t xml:space="preserve">עו"ד </w:t>
      </w:r>
      <w:r>
        <w:rPr>
          <w:rFonts w:cs="David"/>
          <w:noProof w:val="0"/>
          <w:sz w:val="24"/>
          <w:rtl/>
        </w:rPr>
        <w:t>אורית מלמד</w:t>
      </w:r>
      <w:r>
        <w:rPr>
          <w:rFonts w:cs="David"/>
          <w:noProof w:val="0"/>
          <w:sz w:val="24"/>
          <w:rtl/>
        </w:rPr>
        <w:tab/>
      </w:r>
      <w:r>
        <w:rPr>
          <w:rFonts w:cs="David"/>
          <w:noProof w:val="0"/>
          <w:sz w:val="24"/>
          <w:rtl/>
        </w:rPr>
        <w:tab/>
        <w:t>-הלשכה המשפטית, משרד הפנים</w:t>
      </w:r>
      <w:r>
        <w:rPr>
          <w:rFonts w:cs="David"/>
          <w:noProof w:val="0"/>
          <w:sz w:val="24"/>
          <w:rtl/>
        </w:rPr>
        <w:tab/>
      </w:r>
    </w:p>
    <w:p w:rsidR="00000000" w:rsidRDefault="000F2C62">
      <w:pPr>
        <w:rPr>
          <w:rFonts w:cs="David"/>
          <w:b/>
          <w:bCs/>
          <w:noProof w:val="0"/>
          <w:sz w:val="24"/>
          <w:u w:val="single"/>
          <w:rtl/>
        </w:rPr>
      </w:pPr>
    </w:p>
    <w:p w:rsidR="00000000" w:rsidRDefault="000F2C62">
      <w:pPr>
        <w:rPr>
          <w:rFonts w:cs="David"/>
          <w:b/>
          <w:bCs/>
          <w:noProof w:val="0"/>
          <w:sz w:val="24"/>
          <w:u w:val="single"/>
          <w:rtl/>
        </w:rPr>
      </w:pPr>
    </w:p>
    <w:p w:rsidR="00000000" w:rsidRDefault="000F2C62">
      <w:pPr>
        <w:rPr>
          <w:rFonts w:cs="David"/>
          <w:b/>
          <w:bCs/>
          <w:noProof w:val="0"/>
          <w:sz w:val="24"/>
          <w:u w:val="single"/>
          <w:rtl/>
        </w:rPr>
      </w:pPr>
    </w:p>
    <w:p w:rsidR="00000000" w:rsidRDefault="000F2C62">
      <w:pPr>
        <w:rPr>
          <w:rFonts w:cs="David"/>
          <w:b/>
          <w:bCs/>
          <w:noProof w:val="0"/>
          <w:sz w:val="24"/>
          <w:u w:val="single"/>
          <w:rtl/>
        </w:rPr>
      </w:pPr>
    </w:p>
    <w:p w:rsidR="00000000" w:rsidRDefault="000F2C62">
      <w:pPr>
        <w:rPr>
          <w:rFonts w:cs="David"/>
          <w:b/>
          <w:bCs/>
          <w:noProof w:val="0"/>
          <w:sz w:val="24"/>
          <w:u w:val="single"/>
          <w:rtl/>
        </w:rPr>
      </w:pPr>
    </w:p>
    <w:p w:rsidR="00000000" w:rsidRDefault="000F2C62">
      <w:pPr>
        <w:rPr>
          <w:rFonts w:cs="David"/>
          <w:b/>
          <w:bCs/>
          <w:noProof w:val="0"/>
          <w:sz w:val="24"/>
          <w:u w:val="single"/>
          <w:rtl/>
        </w:rPr>
      </w:pPr>
    </w:p>
    <w:p w:rsidR="00000000" w:rsidRDefault="000F2C62">
      <w:pPr>
        <w:rPr>
          <w:rFonts w:cs="David"/>
          <w:b/>
          <w:bCs/>
          <w:noProof w:val="0"/>
          <w:sz w:val="24"/>
          <w:u w:val="single"/>
          <w:rtl/>
        </w:rPr>
      </w:pPr>
    </w:p>
    <w:p w:rsidR="00000000" w:rsidRDefault="000F2C62">
      <w:pPr>
        <w:rPr>
          <w:rFonts w:cs="David"/>
          <w:noProof w:val="0"/>
          <w:sz w:val="24"/>
          <w:rtl/>
        </w:rPr>
      </w:pPr>
      <w:r>
        <w:rPr>
          <w:rFonts w:cs="David"/>
          <w:b/>
          <w:bCs/>
          <w:noProof w:val="0"/>
          <w:sz w:val="24"/>
          <w:u w:val="single"/>
          <w:rtl/>
        </w:rPr>
        <w:t>יועצת משפטית:</w:t>
      </w:r>
      <w:r>
        <w:rPr>
          <w:rFonts w:cs="David"/>
          <w:noProof w:val="0"/>
          <w:sz w:val="24"/>
          <w:rtl/>
        </w:rPr>
        <w:t xml:space="preserve"> איילת עציון</w:t>
      </w:r>
    </w:p>
    <w:p w:rsidR="00000000" w:rsidRDefault="000F2C62">
      <w:pPr>
        <w:rPr>
          <w:rFonts w:cs="David"/>
          <w:noProof w:val="0"/>
          <w:sz w:val="24"/>
          <w:rtl/>
        </w:rPr>
      </w:pPr>
    </w:p>
    <w:p w:rsidR="00000000" w:rsidRDefault="000F2C62">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0F2C62">
      <w:pPr>
        <w:rPr>
          <w:rFonts w:cs="David"/>
          <w:b/>
          <w:bCs/>
          <w:noProof w:val="0"/>
          <w:sz w:val="24"/>
          <w:u w:val="single"/>
          <w:rtl/>
        </w:rPr>
      </w:pPr>
    </w:p>
    <w:p w:rsidR="00000000" w:rsidRDefault="000F2C62">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0F2C62">
      <w:pPr>
        <w:rPr>
          <w:rFonts w:cs="David"/>
          <w:b/>
          <w:bCs/>
          <w:noProof w:val="0"/>
          <w:sz w:val="24"/>
          <w:rtl/>
        </w:rPr>
      </w:pPr>
    </w:p>
    <w:p w:rsidR="00000000" w:rsidRDefault="000F2C62">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jc w:val="center"/>
        <w:rPr>
          <w:rFonts w:cs="David"/>
          <w:b/>
          <w:bCs/>
          <w:noProof w:val="0"/>
          <w:sz w:val="24"/>
          <w:u w:val="single"/>
          <w:rtl/>
        </w:rPr>
      </w:pPr>
      <w:r>
        <w:rPr>
          <w:rFonts w:cs="David"/>
          <w:b/>
          <w:bCs/>
          <w:noProof w:val="0"/>
          <w:sz w:val="24"/>
          <w:u w:val="single"/>
          <w:rtl/>
        </w:rPr>
        <w:t>הצעת חוק לתיקון פקודת המשטרה (מס' 19) (אירוע אסון המוני), התשס"ה</w:t>
      </w:r>
      <w:r>
        <w:rPr>
          <w:rFonts w:cs="David"/>
          <w:b/>
          <w:bCs/>
          <w:noProof w:val="0"/>
          <w:sz w:val="24"/>
          <w:u w:val="single"/>
          <w:rtl/>
        </w:rPr>
        <w:t>-2005</w:t>
      </w:r>
    </w:p>
    <w:p w:rsidR="00000000" w:rsidRDefault="000F2C62">
      <w:pPr>
        <w:rPr>
          <w:rFonts w:cs="David"/>
          <w:noProof w:val="0"/>
          <w:sz w:val="24"/>
          <w:u w:val="single"/>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lastRenderedPageBreak/>
        <w:tab/>
        <w:t>שלום, אני פותח את ישיבת הוועדה. הצעת החוק הזו כבר עמדה להצבעה בקריאה שנייה ושלישית במליאת הכנסת, ו-8 חברי כנסת הפילו אותה כי רצו להעניש את הממשלה. אני הרגשתי רע מאוד עם מה שקרה. זו הצעת חוק שעבדו עליה 12 שנה. אני אמרתי להם, שהם</w:t>
      </w:r>
      <w:r>
        <w:rPr>
          <w:rFonts w:cs="David"/>
          <w:noProof w:val="0"/>
          <w:sz w:val="24"/>
          <w:rtl/>
        </w:rPr>
        <w:t xml:space="preserve"> הענישו או הציבור ולא את הממשלה. זה שהממשלה והקואליציה לא היו, זה חוסר אחריות וזלזול, אבל זה שהם החזירו לממשלה באמצעות הענשת החברה הישראלית, זו בושה. אני דיברתי על זה בכמה הזדמנויות. באו אלי חברי כנסת ושאלו אותי למה העליתי את זה כל כך הרבה פעמים, ואני אמרת</w:t>
      </w:r>
      <w:r>
        <w:rPr>
          <w:rFonts w:cs="David"/>
          <w:noProof w:val="0"/>
          <w:sz w:val="24"/>
          <w:rtl/>
        </w:rPr>
        <w:t xml:space="preserve">י להם שעשיתי זאת, כדי שהציבור בבית יידע שדבר כזה הם הפילו בגלל שזו הצעת חוק ממשלתית.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סגן השר לביטחון פנים יעקב אדרי:</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מחר אנחנו נעביר את ההצעה.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כיוון שכולם מכירים את הצעת החוק, אנחנו נקרא את הסעיפים ונאשר אותם. התעכבנו כבר הרבה</w:t>
      </w:r>
      <w:r>
        <w:rPr>
          <w:rFonts w:cs="David"/>
          <w:noProof w:val="0"/>
          <w:sz w:val="24"/>
          <w:rtl/>
        </w:rPr>
        <w:t xml:space="preserve"> שנים.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מקריאה את סעיף 1.</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אנו מצביעים על סעיף 1. </w:t>
      </w:r>
    </w:p>
    <w:p w:rsidR="00000000" w:rsidRDefault="000F2C62">
      <w:pPr>
        <w:rPr>
          <w:rFonts w:cs="David"/>
          <w:noProof w:val="0"/>
          <w:sz w:val="24"/>
          <w:rtl/>
        </w:rPr>
      </w:pPr>
    </w:p>
    <w:p w:rsidR="00000000" w:rsidRDefault="000F2C62">
      <w:pPr>
        <w:jc w:val="center"/>
        <w:rPr>
          <w:rFonts w:cs="David"/>
          <w:b/>
          <w:bCs/>
          <w:noProof w:val="0"/>
          <w:sz w:val="24"/>
          <w:rtl/>
        </w:rPr>
      </w:pPr>
      <w:r>
        <w:rPr>
          <w:rFonts w:cs="David"/>
          <w:b/>
          <w:bCs/>
          <w:noProof w:val="0"/>
          <w:sz w:val="24"/>
          <w:rtl/>
        </w:rPr>
        <w:t>ה צ ב ע ה</w:t>
      </w:r>
    </w:p>
    <w:p w:rsidR="00000000" w:rsidRDefault="000F2C62">
      <w:pPr>
        <w:jc w:val="center"/>
        <w:rPr>
          <w:rFonts w:cs="David"/>
          <w:noProof w:val="0"/>
          <w:sz w:val="24"/>
          <w:rtl/>
        </w:rPr>
      </w:pPr>
      <w:r>
        <w:rPr>
          <w:rFonts w:cs="David"/>
          <w:noProof w:val="0"/>
          <w:sz w:val="24"/>
          <w:rtl/>
        </w:rPr>
        <w:t>בעד – 2</w:t>
      </w:r>
    </w:p>
    <w:p w:rsidR="00000000" w:rsidRDefault="000F2C62">
      <w:pPr>
        <w:jc w:val="center"/>
        <w:rPr>
          <w:rFonts w:cs="David"/>
          <w:noProof w:val="0"/>
          <w:sz w:val="24"/>
          <w:rtl/>
        </w:rPr>
      </w:pPr>
      <w:r>
        <w:rPr>
          <w:rFonts w:cs="David"/>
          <w:noProof w:val="0"/>
          <w:sz w:val="24"/>
          <w:rtl/>
        </w:rPr>
        <w:t>נגד – אין</w:t>
      </w:r>
    </w:p>
    <w:p w:rsidR="00000000" w:rsidRDefault="000F2C62">
      <w:pPr>
        <w:jc w:val="center"/>
        <w:rPr>
          <w:rFonts w:cs="David"/>
          <w:noProof w:val="0"/>
          <w:sz w:val="24"/>
          <w:rtl/>
        </w:rPr>
      </w:pPr>
      <w:r>
        <w:rPr>
          <w:rFonts w:cs="David"/>
          <w:noProof w:val="0"/>
          <w:sz w:val="24"/>
          <w:rtl/>
        </w:rPr>
        <w:t>נמנעים - אין</w:t>
      </w:r>
    </w:p>
    <w:p w:rsidR="00000000" w:rsidRDefault="000F2C62">
      <w:pPr>
        <w:rPr>
          <w:rFonts w:cs="David"/>
          <w:noProof w:val="0"/>
          <w:sz w:val="24"/>
          <w:rtl/>
        </w:rPr>
      </w:pP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ind w:firstLine="567"/>
        <w:rPr>
          <w:rFonts w:cs="David"/>
          <w:noProof w:val="0"/>
          <w:sz w:val="24"/>
          <w:rtl/>
        </w:rPr>
      </w:pPr>
    </w:p>
    <w:p w:rsidR="00000000" w:rsidRDefault="000F2C62">
      <w:pPr>
        <w:ind w:firstLine="567"/>
        <w:rPr>
          <w:rFonts w:cs="David"/>
          <w:noProof w:val="0"/>
          <w:sz w:val="24"/>
          <w:rtl/>
        </w:rPr>
      </w:pPr>
      <w:r>
        <w:rPr>
          <w:rFonts w:cs="David"/>
          <w:noProof w:val="0"/>
          <w:sz w:val="24"/>
          <w:rtl/>
        </w:rPr>
        <w:t>הסעיף התקבל פה אחד.</w:t>
      </w:r>
    </w:p>
    <w:p w:rsidR="00000000" w:rsidRDefault="000F2C62">
      <w:pPr>
        <w:rPr>
          <w:rFonts w:cs="David"/>
          <w:noProof w:val="0"/>
          <w:sz w:val="24"/>
          <w:u w:val="single"/>
          <w:rtl/>
        </w:rPr>
      </w:pPr>
    </w:p>
    <w:p w:rsidR="00000000" w:rsidRDefault="000F2C62">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מקריאה את סעיף 2.</w:t>
      </w:r>
    </w:p>
    <w:p w:rsidR="00000000" w:rsidRDefault="000F2C62">
      <w:pPr>
        <w:rPr>
          <w:rFonts w:cs="David"/>
          <w:noProof w:val="0"/>
          <w:sz w:val="24"/>
          <w:u w:val="single"/>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אנו מצביעים על סעיף 2 . </w:t>
      </w:r>
    </w:p>
    <w:p w:rsidR="00000000" w:rsidRDefault="000F2C62">
      <w:pPr>
        <w:rPr>
          <w:rFonts w:cs="David"/>
          <w:noProof w:val="0"/>
          <w:sz w:val="24"/>
          <w:rtl/>
        </w:rPr>
      </w:pPr>
    </w:p>
    <w:p w:rsidR="00000000" w:rsidRDefault="000F2C62">
      <w:pPr>
        <w:jc w:val="center"/>
        <w:rPr>
          <w:rFonts w:cs="David"/>
          <w:b/>
          <w:bCs/>
          <w:noProof w:val="0"/>
          <w:sz w:val="24"/>
          <w:rtl/>
        </w:rPr>
      </w:pPr>
      <w:r>
        <w:rPr>
          <w:rFonts w:cs="David"/>
          <w:b/>
          <w:bCs/>
          <w:noProof w:val="0"/>
          <w:sz w:val="24"/>
          <w:rtl/>
        </w:rPr>
        <w:t>ה צ ב ע ה</w:t>
      </w:r>
    </w:p>
    <w:p w:rsidR="00000000" w:rsidRDefault="000F2C62">
      <w:pPr>
        <w:jc w:val="center"/>
        <w:rPr>
          <w:rFonts w:cs="David"/>
          <w:noProof w:val="0"/>
          <w:sz w:val="24"/>
          <w:rtl/>
        </w:rPr>
      </w:pPr>
      <w:r>
        <w:rPr>
          <w:rFonts w:cs="David"/>
          <w:noProof w:val="0"/>
          <w:sz w:val="24"/>
          <w:rtl/>
        </w:rPr>
        <w:t>בעד – 2</w:t>
      </w:r>
    </w:p>
    <w:p w:rsidR="00000000" w:rsidRDefault="000F2C62">
      <w:pPr>
        <w:jc w:val="center"/>
        <w:rPr>
          <w:rFonts w:cs="David"/>
          <w:noProof w:val="0"/>
          <w:sz w:val="24"/>
          <w:rtl/>
        </w:rPr>
      </w:pPr>
      <w:r>
        <w:rPr>
          <w:rFonts w:cs="David"/>
          <w:noProof w:val="0"/>
          <w:sz w:val="24"/>
          <w:rtl/>
        </w:rPr>
        <w:t>נגד – אין</w:t>
      </w:r>
    </w:p>
    <w:p w:rsidR="00000000" w:rsidRDefault="000F2C62">
      <w:pPr>
        <w:jc w:val="center"/>
        <w:rPr>
          <w:rFonts w:cs="David"/>
          <w:noProof w:val="0"/>
          <w:sz w:val="24"/>
          <w:rtl/>
        </w:rPr>
      </w:pPr>
      <w:r>
        <w:rPr>
          <w:rFonts w:cs="David"/>
          <w:noProof w:val="0"/>
          <w:sz w:val="24"/>
          <w:rtl/>
        </w:rPr>
        <w:t>נמנעים - אין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br w:type="page"/>
      </w:r>
      <w:r>
        <w:rPr>
          <w:rFonts w:cs="David"/>
          <w:noProof w:val="0"/>
          <w:sz w:val="24"/>
          <w:u w:val="single"/>
          <w:rtl/>
        </w:rPr>
        <w:lastRenderedPageBreak/>
        <w:t>היו"ר גאלב מג'אדלה:</w:t>
      </w:r>
    </w:p>
    <w:p w:rsidR="00000000" w:rsidRDefault="000F2C62">
      <w:pPr>
        <w:ind w:firstLine="567"/>
        <w:rPr>
          <w:rFonts w:cs="David"/>
          <w:noProof w:val="0"/>
          <w:sz w:val="24"/>
          <w:rtl/>
        </w:rPr>
      </w:pPr>
    </w:p>
    <w:p w:rsidR="00000000" w:rsidRDefault="000F2C62">
      <w:pPr>
        <w:ind w:firstLine="567"/>
        <w:rPr>
          <w:rFonts w:cs="David"/>
          <w:noProof w:val="0"/>
          <w:sz w:val="24"/>
          <w:rtl/>
        </w:rPr>
      </w:pPr>
      <w:r>
        <w:rPr>
          <w:rFonts w:cs="David"/>
          <w:noProof w:val="0"/>
          <w:sz w:val="24"/>
          <w:rtl/>
        </w:rPr>
        <w:t>הסעיף התקבל פה אחד.</w:t>
      </w:r>
    </w:p>
    <w:p w:rsidR="00000000" w:rsidRDefault="000F2C62">
      <w:pPr>
        <w:rPr>
          <w:rFonts w:cs="David"/>
          <w:noProof w:val="0"/>
          <w:sz w:val="24"/>
          <w:u w:val="single"/>
          <w:rtl/>
        </w:rPr>
      </w:pPr>
    </w:p>
    <w:p w:rsidR="00000000" w:rsidRDefault="000F2C62">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מקריאה את סעיף 3.</w:t>
      </w:r>
    </w:p>
    <w:p w:rsidR="00000000" w:rsidRDefault="000F2C62">
      <w:pPr>
        <w:rPr>
          <w:rFonts w:cs="David"/>
          <w:noProof w:val="0"/>
          <w:sz w:val="24"/>
          <w:u w:val="single"/>
          <w:rtl/>
        </w:rPr>
      </w:pPr>
    </w:p>
    <w:p w:rsidR="00000000" w:rsidRDefault="000F2C62">
      <w:pPr>
        <w:rPr>
          <w:rFonts w:cs="David"/>
          <w:noProof w:val="0"/>
          <w:sz w:val="24"/>
          <w:rtl/>
        </w:rPr>
      </w:pPr>
      <w:r>
        <w:rPr>
          <w:rFonts w:cs="David"/>
          <w:noProof w:val="0"/>
          <w:sz w:val="24"/>
          <w:u w:val="single"/>
          <w:rtl/>
        </w:rPr>
        <w:t>עודד ברוק:</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לכאן הוספו שתי הגדרות. אדוני היושב ראש, בנוסח שעלה לקריאה שנייה ושלישית היו שני נושאים שפוצלו מהחוק העיקרי. בינתיים שני הנו</w:t>
      </w:r>
      <w:r>
        <w:rPr>
          <w:rFonts w:cs="David"/>
          <w:noProof w:val="0"/>
          <w:sz w:val="24"/>
          <w:rtl/>
        </w:rPr>
        <w:t>שאים האלה הוסדרו, ולכן אנחנו מחזירים אותם לחוק.לא נבקש יותר פיצול. החוק הזה הוא אפילו משופר לעומת החוק שעלה לקריאה שנייה ושלישית.</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האם זה על דעת כל הצדדים?</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עודד ברוק:</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על דעת כל הצדדים. זה נקבע לאחר ישיבה עם מד"א ועם קצין הכנסת. שני</w:t>
      </w:r>
      <w:r>
        <w:rPr>
          <w:rFonts w:cs="David"/>
          <w:noProof w:val="0"/>
          <w:sz w:val="24"/>
          <w:rtl/>
        </w:rPr>
        <w:t xml:space="preserve"> הנושאים נוגעים למה שיחול באירוע אסון המוני בכנסת, ולתורת ההפעלה. השאלה היא, האם זה יהיה בהתייעצות או בהסכמה.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מה היה ההסדר?</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עודד ברוק:</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הוחלט שהנושא יהיה בהתייעצות, אבל כל גוף הוא עומד בפני עצמו וראשי לקדם את הנושאים שלו.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ישי יו</w:t>
      </w:r>
      <w:r>
        <w:rPr>
          <w:rFonts w:cs="David"/>
          <w:noProof w:val="0"/>
          <w:sz w:val="24"/>
          <w:u w:val="single"/>
          <w:rtl/>
        </w:rPr>
        <w:t>דקביץ:</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יש פה פיצול בין הוראות להפעלה משולבת, שזה באחריות המשטרה והצבא לפי העניין, בהתייעצות עם גופי מד"א, ויש הגדרה נוספת שנקראת הוראות מקצועיות ספציפיות לכל גוף בעצמו.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עודד ברוק:</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כל אחד יהיה בפני עצמו, אבל הכל ביחד ישתלב בתורה אחת גדולה.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ענת שפי:</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במובן הזה שמרנו על ההוראות המקצועיות. הם היו חרדים מכך שנתערב בהוראות המקצועיות שלהם. שמרנו על העצמאות שלהם בעניין הזה. זה על דעת כל הגורמים.</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איילת עציון:</w:t>
      </w:r>
    </w:p>
    <w:p w:rsidR="00000000" w:rsidRDefault="000F2C62">
      <w:pPr>
        <w:rPr>
          <w:rFonts w:cs="David"/>
          <w:noProof w:val="0"/>
          <w:sz w:val="24"/>
          <w:rtl/>
        </w:rPr>
      </w:pPr>
    </w:p>
    <w:p w:rsidR="00000000" w:rsidRDefault="000F2C62">
      <w:pPr>
        <w:pStyle w:val="a8"/>
        <w:overflowPunct w:val="0"/>
        <w:autoSpaceDE w:val="0"/>
        <w:autoSpaceDN w:val="0"/>
        <w:adjustRightInd w:val="0"/>
        <w:textAlignment w:val="baseline"/>
        <w:rPr>
          <w:rFonts w:cs="David"/>
          <w:rtl/>
        </w:rPr>
      </w:pPr>
      <w:r>
        <w:rPr>
          <w:rtl/>
        </w:rPr>
        <w:tab/>
      </w:r>
      <w:r>
        <w:rPr>
          <w:rFonts w:cs="David"/>
          <w:rtl/>
        </w:rPr>
        <w:t>"הוראות להפעלה משולבת". בסעיף 90יז נכנסת תוספת שמתייחסת למצב של אירוע אסון המוני במשכן הכנסת. לכ</w:t>
      </w:r>
      <w:r>
        <w:rPr>
          <w:rFonts w:cs="David"/>
          <w:rtl/>
        </w:rPr>
        <w:t xml:space="preserve">נסת יש מעמד מיוחד. היא אקסטריטוריאלית מבחינת המשטרה, ולכן הוחלט שהמשטרה והכנסת יקבעו נהלים לגבי מערכת היחסים ביניהן במקרה של אסון המוני או תרגיל, וכן את כל חלוקת הסמכויות שנובעת מכך. </w:t>
      </w:r>
    </w:p>
    <w:p w:rsidR="00000000" w:rsidRDefault="000F2C62">
      <w:pPr>
        <w:pStyle w:val="a8"/>
        <w:overflowPunct w:val="0"/>
        <w:autoSpaceDE w:val="0"/>
        <w:autoSpaceDN w:val="0"/>
        <w:adjustRightInd w:val="0"/>
        <w:textAlignment w:val="baseline"/>
        <w:rPr>
          <w:rFonts w:cs="David"/>
          <w:rtl/>
        </w:rPr>
      </w:pPr>
    </w:p>
    <w:p w:rsidR="00000000" w:rsidRDefault="000F2C62">
      <w:pPr>
        <w:pStyle w:val="a8"/>
        <w:overflowPunct w:val="0"/>
        <w:autoSpaceDE w:val="0"/>
        <w:autoSpaceDN w:val="0"/>
        <w:adjustRightInd w:val="0"/>
        <w:ind w:firstLine="567"/>
        <w:textAlignment w:val="baseline"/>
        <w:rPr>
          <w:rFonts w:cs="David"/>
          <w:rtl/>
        </w:rPr>
      </w:pPr>
      <w:r>
        <w:rPr>
          <w:rFonts w:cs="David"/>
          <w:rtl/>
        </w:rPr>
        <w:t>אני אקריא את הסעיף: 90יז. בלי לגרוע מהוראות חוק משכן הכנסת, רחבתו ומשמר</w:t>
      </w:r>
      <w:r>
        <w:rPr>
          <w:rFonts w:cs="David"/>
          <w:rtl/>
        </w:rPr>
        <w:t xml:space="preserve"> הכנסת, התשכ"ח-1968 (בסעיף זה- חוק המשכן), הפעלת הסמכויות לפי פרק זה לגבי אירוע אסון </w:t>
      </w:r>
      <w:r>
        <w:rPr>
          <w:rFonts w:cs="David"/>
          <w:rtl/>
        </w:rPr>
        <w:lastRenderedPageBreak/>
        <w:t>המוני במשכן הכנסת או ברחבת הכנסת, כהגדרתם בחוק המשכן, תהא בנוהל שיתוף פעולה, שייקבע בהסכמה בין קצין הכנסת או מי שהוא הסמיך לכך, לבין המפקח הכללי או הרמטכ"ל, לפי העניין, או</w:t>
      </w:r>
      <w:r>
        <w:rPr>
          <w:rFonts w:cs="David"/>
          <w:rtl/>
        </w:rPr>
        <w:t xml:space="preserve"> מי שהם הסמיכו לכך.</w:t>
      </w:r>
    </w:p>
    <w:p w:rsidR="00000000" w:rsidRDefault="000F2C62">
      <w:pPr>
        <w:pStyle w:val="a8"/>
        <w:overflowPunct w:val="0"/>
        <w:autoSpaceDE w:val="0"/>
        <w:autoSpaceDN w:val="0"/>
        <w:adjustRightInd w:val="0"/>
        <w:ind w:firstLine="567"/>
        <w:textAlignment w:val="baseline"/>
        <w:rPr>
          <w:rFonts w:cs="David"/>
          <w:rtl/>
        </w:rPr>
      </w:pPr>
    </w:p>
    <w:p w:rsidR="00000000" w:rsidRDefault="000F2C62">
      <w:pPr>
        <w:pStyle w:val="a8"/>
        <w:overflowPunct w:val="0"/>
        <w:autoSpaceDE w:val="0"/>
        <w:autoSpaceDN w:val="0"/>
        <w:adjustRightInd w:val="0"/>
        <w:ind w:firstLine="567"/>
        <w:textAlignment w:val="baseline"/>
        <w:rPr>
          <w:rFonts w:cs="David"/>
          <w:rtl/>
        </w:rPr>
      </w:pPr>
      <w:r>
        <w:rPr>
          <w:rFonts w:cs="David"/>
          <w:rtl/>
        </w:rPr>
        <w:t xml:space="preserve">סעיף 90 יז' יהפוך לסעיף 90 יח', שמירת דינים: "אין באמור בפרק זה כדי לגרוע מסמכויות שוטר או חייל לפי כל דין". </w:t>
      </w:r>
    </w:p>
    <w:p w:rsidR="00000000" w:rsidRDefault="000F2C62">
      <w:pPr>
        <w:rPr>
          <w:rFonts w:cs="David"/>
          <w:noProof w:val="0"/>
          <w:sz w:val="24"/>
          <w:rtl/>
        </w:rPr>
      </w:pPr>
      <w:r>
        <w:rPr>
          <w:rFonts w:cs="David"/>
          <w:b/>
          <w:bCs/>
          <w:noProof w:val="0"/>
          <w:sz w:val="24"/>
          <w:rtl/>
        </w:rPr>
        <w:tab/>
      </w:r>
      <w:r>
        <w:rPr>
          <w:rFonts w:cs="David"/>
          <w:noProof w:val="0"/>
          <w:sz w:val="24"/>
          <w:rtl/>
        </w:rPr>
        <w:tab/>
      </w: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אנו מצביעים על סעיף 3. </w:t>
      </w:r>
    </w:p>
    <w:p w:rsidR="00000000" w:rsidRDefault="000F2C62">
      <w:pPr>
        <w:rPr>
          <w:rFonts w:cs="David"/>
          <w:noProof w:val="0"/>
          <w:sz w:val="24"/>
          <w:rtl/>
        </w:rPr>
      </w:pPr>
    </w:p>
    <w:p w:rsidR="00000000" w:rsidRDefault="000F2C62">
      <w:pPr>
        <w:jc w:val="center"/>
        <w:rPr>
          <w:rFonts w:cs="David"/>
          <w:b/>
          <w:bCs/>
          <w:noProof w:val="0"/>
          <w:sz w:val="24"/>
          <w:rtl/>
        </w:rPr>
      </w:pPr>
      <w:r>
        <w:rPr>
          <w:rFonts w:cs="David"/>
          <w:b/>
          <w:bCs/>
          <w:noProof w:val="0"/>
          <w:sz w:val="24"/>
          <w:rtl/>
        </w:rPr>
        <w:t>ה צ ב ע ה</w:t>
      </w:r>
    </w:p>
    <w:p w:rsidR="00000000" w:rsidRDefault="000F2C62">
      <w:pPr>
        <w:jc w:val="center"/>
        <w:rPr>
          <w:rFonts w:cs="David"/>
          <w:noProof w:val="0"/>
          <w:sz w:val="24"/>
          <w:rtl/>
        </w:rPr>
      </w:pPr>
      <w:r>
        <w:rPr>
          <w:rFonts w:cs="David"/>
          <w:noProof w:val="0"/>
          <w:sz w:val="24"/>
          <w:rtl/>
        </w:rPr>
        <w:t>בעד – 1</w:t>
      </w:r>
    </w:p>
    <w:p w:rsidR="00000000" w:rsidRDefault="000F2C62">
      <w:pPr>
        <w:jc w:val="center"/>
        <w:rPr>
          <w:rFonts w:cs="David"/>
          <w:noProof w:val="0"/>
          <w:sz w:val="24"/>
          <w:rtl/>
        </w:rPr>
      </w:pPr>
      <w:r>
        <w:rPr>
          <w:rFonts w:cs="David"/>
          <w:noProof w:val="0"/>
          <w:sz w:val="24"/>
          <w:rtl/>
        </w:rPr>
        <w:t>נגד – אין</w:t>
      </w:r>
    </w:p>
    <w:p w:rsidR="00000000" w:rsidRDefault="000F2C62">
      <w:pPr>
        <w:jc w:val="center"/>
        <w:rPr>
          <w:rFonts w:cs="David"/>
          <w:noProof w:val="0"/>
          <w:sz w:val="24"/>
          <w:rtl/>
        </w:rPr>
      </w:pPr>
      <w:r>
        <w:rPr>
          <w:rFonts w:cs="David"/>
          <w:noProof w:val="0"/>
          <w:sz w:val="24"/>
          <w:rtl/>
        </w:rPr>
        <w:t>נמנעים - אין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ind w:firstLine="567"/>
        <w:rPr>
          <w:rFonts w:cs="David"/>
          <w:noProof w:val="0"/>
          <w:sz w:val="24"/>
          <w:rtl/>
        </w:rPr>
      </w:pPr>
    </w:p>
    <w:p w:rsidR="00000000" w:rsidRDefault="000F2C62">
      <w:pPr>
        <w:ind w:firstLine="567"/>
        <w:rPr>
          <w:rFonts w:cs="David"/>
          <w:noProof w:val="0"/>
          <w:sz w:val="24"/>
          <w:rtl/>
        </w:rPr>
      </w:pPr>
      <w:r>
        <w:rPr>
          <w:rFonts w:cs="David"/>
          <w:noProof w:val="0"/>
          <w:sz w:val="24"/>
          <w:rtl/>
        </w:rPr>
        <w:t xml:space="preserve">הסעיף התקבל </w:t>
      </w:r>
      <w:r>
        <w:rPr>
          <w:rFonts w:cs="David"/>
          <w:noProof w:val="0"/>
          <w:sz w:val="24"/>
          <w:rtl/>
        </w:rPr>
        <w:t>פה אחד.</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מקריאה את סעיף 4, תיקון חוק מגן דוד אדום. </w:t>
      </w:r>
    </w:p>
    <w:p w:rsidR="00000000" w:rsidRDefault="000F2C62">
      <w:pPr>
        <w:rPr>
          <w:rFonts w:cs="David"/>
          <w:noProof w:val="0"/>
          <w:sz w:val="24"/>
          <w:rtl/>
        </w:rPr>
      </w:pP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אנו מצביעים על סעיף 4. </w:t>
      </w:r>
    </w:p>
    <w:p w:rsidR="00000000" w:rsidRDefault="000F2C62">
      <w:pPr>
        <w:rPr>
          <w:rFonts w:cs="David"/>
          <w:noProof w:val="0"/>
          <w:sz w:val="24"/>
          <w:rtl/>
        </w:rPr>
      </w:pPr>
    </w:p>
    <w:p w:rsidR="00000000" w:rsidRDefault="000F2C62">
      <w:pPr>
        <w:jc w:val="center"/>
        <w:rPr>
          <w:rFonts w:cs="David"/>
          <w:b/>
          <w:bCs/>
          <w:noProof w:val="0"/>
          <w:sz w:val="24"/>
          <w:rtl/>
        </w:rPr>
      </w:pPr>
      <w:r>
        <w:rPr>
          <w:rFonts w:cs="David"/>
          <w:b/>
          <w:bCs/>
          <w:noProof w:val="0"/>
          <w:sz w:val="24"/>
          <w:rtl/>
        </w:rPr>
        <w:t>ה צ ב ע ה</w:t>
      </w:r>
    </w:p>
    <w:p w:rsidR="00000000" w:rsidRDefault="000F2C62">
      <w:pPr>
        <w:jc w:val="center"/>
        <w:rPr>
          <w:rFonts w:cs="David"/>
          <w:noProof w:val="0"/>
          <w:sz w:val="24"/>
          <w:rtl/>
        </w:rPr>
      </w:pPr>
      <w:r>
        <w:rPr>
          <w:rFonts w:cs="David"/>
          <w:noProof w:val="0"/>
          <w:sz w:val="24"/>
          <w:rtl/>
        </w:rPr>
        <w:t>בעד – 1</w:t>
      </w:r>
    </w:p>
    <w:p w:rsidR="00000000" w:rsidRDefault="000F2C62">
      <w:pPr>
        <w:jc w:val="center"/>
        <w:rPr>
          <w:rFonts w:cs="David"/>
          <w:noProof w:val="0"/>
          <w:sz w:val="24"/>
          <w:rtl/>
        </w:rPr>
      </w:pPr>
      <w:r>
        <w:rPr>
          <w:rFonts w:cs="David"/>
          <w:noProof w:val="0"/>
          <w:sz w:val="24"/>
          <w:rtl/>
        </w:rPr>
        <w:t>נגד – אין</w:t>
      </w:r>
    </w:p>
    <w:p w:rsidR="00000000" w:rsidRDefault="000F2C62">
      <w:pPr>
        <w:jc w:val="center"/>
        <w:rPr>
          <w:rFonts w:cs="David"/>
          <w:noProof w:val="0"/>
          <w:sz w:val="24"/>
          <w:rtl/>
        </w:rPr>
      </w:pPr>
      <w:r>
        <w:rPr>
          <w:rFonts w:cs="David"/>
          <w:noProof w:val="0"/>
          <w:sz w:val="24"/>
          <w:rtl/>
        </w:rPr>
        <w:t>נמנעים - אין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ind w:firstLine="567"/>
        <w:rPr>
          <w:rFonts w:cs="David"/>
          <w:noProof w:val="0"/>
          <w:sz w:val="24"/>
          <w:rtl/>
        </w:rPr>
      </w:pPr>
    </w:p>
    <w:p w:rsidR="00000000" w:rsidRDefault="000F2C62">
      <w:pPr>
        <w:ind w:firstLine="567"/>
        <w:rPr>
          <w:rFonts w:cs="David"/>
          <w:noProof w:val="0"/>
          <w:sz w:val="24"/>
          <w:rtl/>
        </w:rPr>
      </w:pPr>
      <w:r>
        <w:rPr>
          <w:rFonts w:cs="David"/>
          <w:noProof w:val="0"/>
          <w:sz w:val="24"/>
          <w:rtl/>
        </w:rPr>
        <w:t>הסעיף התקבל פה אחד.</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מקריאה את סעיף 5, תיקון חוק שירות עבודה ב</w:t>
      </w:r>
      <w:r>
        <w:rPr>
          <w:rFonts w:cs="David"/>
          <w:noProof w:val="0"/>
          <w:sz w:val="24"/>
          <w:rtl/>
        </w:rPr>
        <w:t>שעת חירום.</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אנו מצביעים על סעיף 5. </w:t>
      </w:r>
    </w:p>
    <w:p w:rsidR="00000000" w:rsidRDefault="000F2C62">
      <w:pPr>
        <w:rPr>
          <w:rFonts w:cs="David"/>
          <w:noProof w:val="0"/>
          <w:sz w:val="24"/>
          <w:rtl/>
        </w:rPr>
      </w:pPr>
    </w:p>
    <w:p w:rsidR="00000000" w:rsidRDefault="000F2C62">
      <w:pPr>
        <w:jc w:val="center"/>
        <w:rPr>
          <w:rFonts w:cs="David"/>
          <w:b/>
          <w:bCs/>
          <w:noProof w:val="0"/>
          <w:sz w:val="24"/>
          <w:rtl/>
        </w:rPr>
      </w:pPr>
      <w:r>
        <w:rPr>
          <w:rFonts w:cs="David"/>
          <w:b/>
          <w:bCs/>
          <w:noProof w:val="0"/>
          <w:sz w:val="24"/>
          <w:rtl/>
        </w:rPr>
        <w:t>ה צ ב ע ה</w:t>
      </w:r>
    </w:p>
    <w:p w:rsidR="00000000" w:rsidRDefault="000F2C62">
      <w:pPr>
        <w:jc w:val="center"/>
        <w:rPr>
          <w:rFonts w:cs="David"/>
          <w:noProof w:val="0"/>
          <w:sz w:val="24"/>
          <w:rtl/>
        </w:rPr>
      </w:pPr>
      <w:r>
        <w:rPr>
          <w:rFonts w:cs="David"/>
          <w:noProof w:val="0"/>
          <w:sz w:val="24"/>
          <w:rtl/>
        </w:rPr>
        <w:t>בעד – 1</w:t>
      </w:r>
    </w:p>
    <w:p w:rsidR="00000000" w:rsidRDefault="000F2C62">
      <w:pPr>
        <w:jc w:val="center"/>
        <w:rPr>
          <w:rFonts w:cs="David"/>
          <w:noProof w:val="0"/>
          <w:sz w:val="24"/>
          <w:rtl/>
        </w:rPr>
      </w:pPr>
      <w:r>
        <w:rPr>
          <w:rFonts w:cs="David"/>
          <w:noProof w:val="0"/>
          <w:sz w:val="24"/>
          <w:rtl/>
        </w:rPr>
        <w:t>נגד – אין</w:t>
      </w:r>
    </w:p>
    <w:p w:rsidR="00000000" w:rsidRDefault="000F2C62">
      <w:pPr>
        <w:jc w:val="center"/>
        <w:rPr>
          <w:rFonts w:cs="David"/>
          <w:noProof w:val="0"/>
          <w:sz w:val="24"/>
          <w:rtl/>
        </w:rPr>
      </w:pPr>
      <w:r>
        <w:rPr>
          <w:rFonts w:cs="David"/>
          <w:noProof w:val="0"/>
          <w:sz w:val="24"/>
          <w:rtl/>
        </w:rPr>
        <w:t>נמנעים - אין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br w:type="page"/>
      </w:r>
      <w:r>
        <w:rPr>
          <w:rFonts w:cs="David"/>
          <w:noProof w:val="0"/>
          <w:sz w:val="24"/>
          <w:u w:val="single"/>
          <w:rtl/>
        </w:rPr>
        <w:lastRenderedPageBreak/>
        <w:t>היו"ר גאלב מג'אדלה:</w:t>
      </w:r>
    </w:p>
    <w:p w:rsidR="00000000" w:rsidRDefault="000F2C62">
      <w:pPr>
        <w:ind w:firstLine="567"/>
        <w:rPr>
          <w:rFonts w:cs="David"/>
          <w:noProof w:val="0"/>
          <w:sz w:val="24"/>
          <w:rtl/>
        </w:rPr>
      </w:pPr>
    </w:p>
    <w:p w:rsidR="00000000" w:rsidRDefault="000F2C62">
      <w:pPr>
        <w:ind w:firstLine="567"/>
        <w:rPr>
          <w:rFonts w:cs="David"/>
          <w:noProof w:val="0"/>
          <w:sz w:val="24"/>
          <w:rtl/>
        </w:rPr>
      </w:pPr>
      <w:r>
        <w:rPr>
          <w:rFonts w:cs="David"/>
          <w:noProof w:val="0"/>
          <w:sz w:val="24"/>
          <w:rtl/>
        </w:rPr>
        <w:t>הסעיף התקבל פה אחד.</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מקריאה את סעיף 6, תיקון חוק רישום ציוד וגיוסו לצבא הגנה לישראל.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אנו מצביע</w:t>
      </w:r>
      <w:r>
        <w:rPr>
          <w:rFonts w:cs="David"/>
          <w:noProof w:val="0"/>
          <w:sz w:val="24"/>
          <w:rtl/>
        </w:rPr>
        <w:t xml:space="preserve">ים על סעיף 6. </w:t>
      </w:r>
    </w:p>
    <w:p w:rsidR="00000000" w:rsidRDefault="000F2C62">
      <w:pPr>
        <w:rPr>
          <w:rFonts w:cs="David"/>
          <w:noProof w:val="0"/>
          <w:sz w:val="24"/>
          <w:rtl/>
        </w:rPr>
      </w:pPr>
    </w:p>
    <w:p w:rsidR="00000000" w:rsidRDefault="000F2C62">
      <w:pPr>
        <w:jc w:val="center"/>
        <w:rPr>
          <w:rFonts w:cs="David"/>
          <w:b/>
          <w:bCs/>
          <w:noProof w:val="0"/>
          <w:sz w:val="24"/>
          <w:rtl/>
        </w:rPr>
      </w:pPr>
      <w:r>
        <w:rPr>
          <w:rFonts w:cs="David"/>
          <w:b/>
          <w:bCs/>
          <w:noProof w:val="0"/>
          <w:sz w:val="24"/>
          <w:rtl/>
        </w:rPr>
        <w:t>ה צ ב ע ה</w:t>
      </w:r>
    </w:p>
    <w:p w:rsidR="00000000" w:rsidRDefault="000F2C62">
      <w:pPr>
        <w:jc w:val="center"/>
        <w:rPr>
          <w:rFonts w:cs="David"/>
          <w:noProof w:val="0"/>
          <w:sz w:val="24"/>
          <w:rtl/>
        </w:rPr>
      </w:pPr>
      <w:r>
        <w:rPr>
          <w:rFonts w:cs="David"/>
          <w:noProof w:val="0"/>
          <w:sz w:val="24"/>
          <w:rtl/>
        </w:rPr>
        <w:t>בעד – 1</w:t>
      </w:r>
    </w:p>
    <w:p w:rsidR="00000000" w:rsidRDefault="000F2C62">
      <w:pPr>
        <w:jc w:val="center"/>
        <w:rPr>
          <w:rFonts w:cs="David"/>
          <w:noProof w:val="0"/>
          <w:sz w:val="24"/>
          <w:rtl/>
        </w:rPr>
      </w:pPr>
      <w:r>
        <w:rPr>
          <w:rFonts w:cs="David"/>
          <w:noProof w:val="0"/>
          <w:sz w:val="24"/>
          <w:rtl/>
        </w:rPr>
        <w:t>נגד – אין</w:t>
      </w:r>
    </w:p>
    <w:p w:rsidR="00000000" w:rsidRDefault="000F2C62">
      <w:pPr>
        <w:jc w:val="center"/>
        <w:rPr>
          <w:rFonts w:cs="David"/>
          <w:noProof w:val="0"/>
          <w:sz w:val="24"/>
          <w:rtl/>
        </w:rPr>
      </w:pPr>
      <w:r>
        <w:rPr>
          <w:rFonts w:cs="David"/>
          <w:noProof w:val="0"/>
          <w:sz w:val="24"/>
          <w:rtl/>
        </w:rPr>
        <w:t>נמנעים - אין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ind w:firstLine="567"/>
        <w:rPr>
          <w:rFonts w:cs="David"/>
          <w:noProof w:val="0"/>
          <w:sz w:val="24"/>
          <w:rtl/>
        </w:rPr>
      </w:pPr>
    </w:p>
    <w:p w:rsidR="00000000" w:rsidRDefault="000F2C62">
      <w:pPr>
        <w:ind w:firstLine="567"/>
        <w:rPr>
          <w:rFonts w:cs="David"/>
          <w:noProof w:val="0"/>
          <w:sz w:val="24"/>
          <w:rtl/>
        </w:rPr>
      </w:pPr>
      <w:r>
        <w:rPr>
          <w:rFonts w:cs="David"/>
          <w:noProof w:val="0"/>
          <w:sz w:val="24"/>
          <w:rtl/>
        </w:rPr>
        <w:t>הסעיף התקבל פה אחד.</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מקריאה את סעיף 7. אנחנו רוצים להוסיף בסופו של סעיף 16 ד' בחוק חומרים מסוכנים את המילים: "מבלי לגרוע מהוראות סעיף 16ג4". סעיף 16ד בחוק חומרים </w:t>
      </w:r>
      <w:r>
        <w:rPr>
          <w:rFonts w:cs="David"/>
          <w:noProof w:val="0"/>
          <w:sz w:val="24"/>
          <w:rtl/>
        </w:rPr>
        <w:t xml:space="preserve">מסוכנים קובע על מי לא יחול החוק, ובין היתר הוא כולל את הגורמים שציינתי: הממונה על חומרים מסוכנים, הוועדה לאנרגיה אטומית ושטח המוחזק על ידי צה"ל.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ענת שפי:</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זה צריך להיות על דעת המשרד לאיכות הסביבה.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איילת עציון: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אני חושבת, שעידו סגר את זה איתם. אנחנו </w:t>
      </w:r>
      <w:r>
        <w:rPr>
          <w:rFonts w:cs="David"/>
          <w:noProof w:val="0"/>
          <w:sz w:val="24"/>
          <w:rtl/>
        </w:rPr>
        <w:t xml:space="preserve">לא קובעים פה שום דבר חדש. זה למען הסר ספק.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ישי יודקביץ:</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מאחר וסעיף 16ג4 הוא הסדר ספציפי, הם רצו פשוט להבהיר את היחסים בין הסעיף הזה לבין סעיף 16ד בחוק חומרים מסוכנים.</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עודד ברוק:</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בסדר.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אנו מצביעים על סעיף 7. </w:t>
      </w:r>
    </w:p>
    <w:p w:rsidR="00000000" w:rsidRDefault="000F2C62">
      <w:pPr>
        <w:rPr>
          <w:rFonts w:cs="David"/>
          <w:noProof w:val="0"/>
          <w:sz w:val="24"/>
          <w:rtl/>
        </w:rPr>
      </w:pPr>
    </w:p>
    <w:p w:rsidR="00000000" w:rsidRDefault="000F2C62">
      <w:pPr>
        <w:jc w:val="center"/>
        <w:rPr>
          <w:rFonts w:cs="David"/>
          <w:b/>
          <w:bCs/>
          <w:noProof w:val="0"/>
          <w:sz w:val="24"/>
          <w:rtl/>
        </w:rPr>
      </w:pPr>
      <w:r>
        <w:rPr>
          <w:rFonts w:cs="David"/>
          <w:b/>
          <w:bCs/>
          <w:noProof w:val="0"/>
          <w:sz w:val="24"/>
          <w:rtl/>
        </w:rPr>
        <w:t>ה צ ב ע ה</w:t>
      </w:r>
    </w:p>
    <w:p w:rsidR="00000000" w:rsidRDefault="000F2C62">
      <w:pPr>
        <w:jc w:val="center"/>
        <w:rPr>
          <w:rFonts w:cs="David"/>
          <w:noProof w:val="0"/>
          <w:sz w:val="24"/>
          <w:rtl/>
        </w:rPr>
      </w:pPr>
      <w:r>
        <w:rPr>
          <w:rFonts w:cs="David"/>
          <w:noProof w:val="0"/>
          <w:sz w:val="24"/>
          <w:rtl/>
        </w:rPr>
        <w:t xml:space="preserve">בעד – </w:t>
      </w:r>
      <w:r>
        <w:rPr>
          <w:rFonts w:cs="David"/>
          <w:noProof w:val="0"/>
          <w:sz w:val="24"/>
          <w:rtl/>
        </w:rPr>
        <w:t>1</w:t>
      </w:r>
    </w:p>
    <w:p w:rsidR="00000000" w:rsidRDefault="000F2C62">
      <w:pPr>
        <w:jc w:val="center"/>
        <w:rPr>
          <w:rFonts w:cs="David"/>
          <w:noProof w:val="0"/>
          <w:sz w:val="24"/>
          <w:rtl/>
        </w:rPr>
      </w:pPr>
      <w:r>
        <w:rPr>
          <w:rFonts w:cs="David"/>
          <w:noProof w:val="0"/>
          <w:sz w:val="24"/>
          <w:rtl/>
        </w:rPr>
        <w:t>נגד – אין</w:t>
      </w:r>
    </w:p>
    <w:p w:rsidR="00000000" w:rsidRDefault="000F2C62">
      <w:pPr>
        <w:jc w:val="center"/>
        <w:rPr>
          <w:rFonts w:cs="David"/>
          <w:noProof w:val="0"/>
          <w:sz w:val="24"/>
          <w:rtl/>
        </w:rPr>
      </w:pPr>
      <w:r>
        <w:rPr>
          <w:rFonts w:cs="David"/>
          <w:noProof w:val="0"/>
          <w:sz w:val="24"/>
          <w:rtl/>
        </w:rPr>
        <w:t>נמנעים - אין</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ind w:firstLine="567"/>
        <w:rPr>
          <w:rFonts w:cs="David"/>
          <w:noProof w:val="0"/>
          <w:sz w:val="24"/>
          <w:rtl/>
        </w:rPr>
      </w:pPr>
    </w:p>
    <w:p w:rsidR="00000000" w:rsidRDefault="000F2C62">
      <w:pPr>
        <w:ind w:firstLine="567"/>
        <w:rPr>
          <w:rFonts w:cs="David"/>
          <w:noProof w:val="0"/>
          <w:sz w:val="24"/>
          <w:rtl/>
        </w:rPr>
      </w:pPr>
      <w:r>
        <w:rPr>
          <w:rFonts w:cs="David"/>
          <w:noProof w:val="0"/>
          <w:sz w:val="24"/>
          <w:rtl/>
        </w:rPr>
        <w:lastRenderedPageBreak/>
        <w:t>הסעיף התקבל פה אחד. אנחנו מאשרים את כל הצעת החוק, כולל ההבנות לגבי תורת ההפעלה ולגבי משכן הכנסת. אני רוצה להודות לכם על כך שכל אחד תרם מחלקו על מנת שנביא הצעת חוק לטובת החברה הישראלית, בתקווה שמחר נקדם את העני</w:t>
      </w:r>
      <w:r>
        <w:rPr>
          <w:rFonts w:cs="David"/>
          <w:noProof w:val="0"/>
          <w:sz w:val="24"/>
          <w:rtl/>
        </w:rPr>
        <w:t>ין והיא תאושר לקריאה שנייה ושלישית.</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סגן השר לביטחון פנים יעקב אדרי:</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 xml:space="preserve">אני רוצה להודות ליושב-ראש הוועדה, על הרצון הטוב לקדם את החוק, וכך גם ליועצת המשפטית. </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u w:val="single"/>
          <w:rtl/>
        </w:rPr>
        <w:t>היו"ר גאלב מג'אדלה:</w:t>
      </w:r>
    </w:p>
    <w:p w:rsidR="00000000" w:rsidRDefault="000F2C62">
      <w:pPr>
        <w:rPr>
          <w:rFonts w:cs="David"/>
          <w:noProof w:val="0"/>
          <w:sz w:val="24"/>
          <w:rtl/>
        </w:rPr>
      </w:pPr>
    </w:p>
    <w:p w:rsidR="00000000" w:rsidRDefault="000F2C62">
      <w:pPr>
        <w:rPr>
          <w:rFonts w:cs="David"/>
          <w:noProof w:val="0"/>
          <w:sz w:val="24"/>
          <w:rtl/>
        </w:rPr>
      </w:pPr>
      <w:r>
        <w:rPr>
          <w:rFonts w:cs="David"/>
          <w:noProof w:val="0"/>
          <w:sz w:val="24"/>
          <w:rtl/>
        </w:rPr>
        <w:tab/>
        <w:t>תודה רבה הישיבה נעולה.</w:t>
      </w:r>
    </w:p>
    <w:p w:rsidR="00000000" w:rsidRDefault="000F2C62">
      <w:pPr>
        <w:rPr>
          <w:rFonts w:cs="David"/>
          <w:noProof w:val="0"/>
          <w:sz w:val="24"/>
          <w:rtl/>
        </w:rPr>
      </w:pPr>
    </w:p>
    <w:p w:rsidR="00000000" w:rsidRDefault="000F2C62">
      <w:pPr>
        <w:rPr>
          <w:rFonts w:cs="David"/>
          <w:noProof w:val="0"/>
          <w:sz w:val="24"/>
          <w:u w:val="single"/>
          <w:rtl/>
        </w:rPr>
      </w:pPr>
      <w:r>
        <w:rPr>
          <w:rFonts w:cs="David"/>
          <w:noProof w:val="0"/>
          <w:sz w:val="24"/>
          <w:u w:val="single"/>
          <w:rtl/>
        </w:rPr>
        <w:t>הישיבה ננעלה בשעה 12:30</w:t>
      </w:r>
    </w:p>
    <w:p w:rsidR="00000000" w:rsidRDefault="000F2C62">
      <w:pPr>
        <w:rPr>
          <w:rFonts w:cs="David"/>
          <w:noProof w:val="0"/>
          <w:sz w:val="24"/>
          <w:rtl/>
        </w:rPr>
      </w:pPr>
    </w:p>
    <w:p w:rsidR="00000000" w:rsidRDefault="000F2C62">
      <w:pPr>
        <w:pStyle w:val="3"/>
        <w:jc w:val="both"/>
        <w:rPr>
          <w:rFonts w:cs="David"/>
          <w:sz w:val="24"/>
          <w:rtl/>
        </w:rPr>
      </w:pPr>
      <w:r>
        <w:rPr>
          <w:rFonts w:cs="David"/>
          <w:noProof w:val="0"/>
          <w:sz w:val="24"/>
          <w:rtl/>
        </w:rPr>
        <w:br w:type="page"/>
      </w:r>
      <w:r>
        <w:rPr>
          <w:rFonts w:cs="David"/>
          <w:sz w:val="24"/>
          <w:rtl/>
        </w:rPr>
        <w:t>הצעת חוק לקריאה השניה ולקר</w:t>
      </w:r>
      <w:r>
        <w:rPr>
          <w:rFonts w:cs="David"/>
          <w:sz w:val="24"/>
          <w:rtl/>
        </w:rPr>
        <w:t>יאה השלישית</w:t>
      </w:r>
    </w:p>
    <w:p w:rsidR="00000000" w:rsidRDefault="000F2C62">
      <w:pPr>
        <w:spacing w:line="360" w:lineRule="auto"/>
        <w:rPr>
          <w:rFonts w:cs="David"/>
          <w:b/>
          <w:bCs/>
          <w:sz w:val="28"/>
          <w:szCs w:val="28"/>
          <w:rtl/>
        </w:rPr>
      </w:pPr>
    </w:p>
    <w:p w:rsidR="00000000" w:rsidRDefault="000F2C62">
      <w:pPr>
        <w:pStyle w:val="2"/>
        <w:jc w:val="right"/>
        <w:rPr>
          <w:rFonts w:cs="David"/>
          <w:i/>
          <w:iCs/>
          <w:sz w:val="24"/>
          <w:rtl/>
        </w:rPr>
      </w:pPr>
      <w:r>
        <w:rPr>
          <w:rFonts w:cs="David"/>
          <w:i/>
          <w:iCs/>
          <w:sz w:val="24"/>
          <w:rtl/>
        </w:rPr>
        <w:t>נספח מס' מ-194/א'</w:t>
      </w:r>
    </w:p>
    <w:p w:rsidR="00000000" w:rsidRDefault="000F2C62">
      <w:pPr>
        <w:spacing w:line="360" w:lineRule="auto"/>
        <w:rPr>
          <w:rFonts w:cs="David"/>
          <w:b/>
          <w:bCs/>
          <w:sz w:val="28"/>
          <w:szCs w:val="28"/>
          <w:rtl/>
        </w:rPr>
      </w:pPr>
    </w:p>
    <w:p w:rsidR="00000000" w:rsidRDefault="000F2C62">
      <w:pPr>
        <w:pStyle w:val="4"/>
        <w:spacing w:line="360" w:lineRule="auto"/>
        <w:jc w:val="center"/>
        <w:rPr>
          <w:rFonts w:cs="David"/>
          <w:b/>
          <w:bCs/>
          <w:sz w:val="24"/>
          <w:rtl/>
        </w:rPr>
      </w:pPr>
      <w:r>
        <w:rPr>
          <w:rFonts w:cs="David"/>
          <w:b/>
          <w:bCs/>
          <w:sz w:val="24"/>
          <w:rtl/>
        </w:rPr>
        <w:t>חוק לתיקון פקודת המשטרה (מס' 19), התשס"ה-2005</w:t>
      </w:r>
    </w:p>
    <w:p w:rsidR="00000000" w:rsidRDefault="000F2C62">
      <w:pPr>
        <w:spacing w:line="360" w:lineRule="auto"/>
        <w:rPr>
          <w:rFonts w:cs="David"/>
          <w:sz w:val="26"/>
          <w:szCs w:val="26"/>
          <w:rtl/>
        </w:rPr>
      </w:pPr>
    </w:p>
    <w:tbl>
      <w:tblPr>
        <w:bidiVisual/>
        <w:tblW w:w="0" w:type="auto"/>
        <w:jc w:val="right"/>
        <w:tblLayout w:type="fixed"/>
        <w:tblCellMar>
          <w:left w:w="57" w:type="dxa"/>
          <w:right w:w="57" w:type="dxa"/>
        </w:tblCellMar>
        <w:tblLook w:val="0000" w:firstRow="0" w:lastRow="0" w:firstColumn="0" w:lastColumn="0" w:noHBand="0" w:noVBand="0"/>
      </w:tblPr>
      <w:tblGrid>
        <w:gridCol w:w="1163"/>
        <w:gridCol w:w="549"/>
        <w:gridCol w:w="1191"/>
        <w:gridCol w:w="567"/>
        <w:gridCol w:w="567"/>
        <w:gridCol w:w="567"/>
        <w:gridCol w:w="3950"/>
      </w:tblGrid>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rPr>
                <w:rFonts w:cs="David"/>
                <w:sz w:val="26"/>
                <w:szCs w:val="26"/>
                <w:rtl/>
              </w:rPr>
            </w:pPr>
            <w:r>
              <w:rPr>
                <w:rFonts w:cs="David"/>
                <w:sz w:val="26"/>
                <w:szCs w:val="26"/>
                <w:rtl/>
              </w:rPr>
              <w:t>הוספת סעיף 4א</w:t>
            </w:r>
          </w:p>
        </w:tc>
        <w:tc>
          <w:tcPr>
            <w:tcW w:w="549"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6842"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בפקודת המשטרה [נוסח חדש], התשל"א-1971</w:t>
            </w:r>
            <w:r>
              <w:rPr>
                <w:rStyle w:val="aa"/>
                <w:sz w:val="26"/>
                <w:szCs w:val="26"/>
              </w:rPr>
              <w:footnoteReference w:id="1"/>
            </w:r>
            <w:r>
              <w:rPr>
                <w:rFonts w:cs="David"/>
                <w:sz w:val="26"/>
                <w:szCs w:val="26"/>
                <w:rtl/>
              </w:rPr>
              <w:t xml:space="preserve"> (להלן – הפקודה), אחרי סעיף 4 יבוא:</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"חשש ממשי לפגיעה חמורה – סמכות ואחריות</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4א.</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51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מצא שוטר כי קיים חשש ממשי לפגיעה חמורה בבטחון הנפש או הרכוש, רשאי הוא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395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להורות לכל אדם הנמצא באזור או במקום שבו קיים החשש האמור, הוראה סבירה הדרושה באופן חיוני לשם הצלת הנפש או הרכוש או למניעת הפגיעה, ובכלל זה להורות על מניעת גישה לאזור או למקום, או יציאה ממנו;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395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להורות לגוף הצלה, כהגדרתו בסעיף </w:t>
            </w:r>
            <w:r>
              <w:rPr>
                <w:rFonts w:cs="David"/>
                <w:sz w:val="26"/>
                <w:szCs w:val="26"/>
                <w:rtl/>
              </w:rPr>
              <w:br/>
              <w:t>90א, לפעול במסגרת תפקידו וסמכויותיו על פי כל דין;</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395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לצורך הצלת הנפש או הרכוש, להיכנס לכל מקום שהכניסה אליו נדרשת באופן חיוני ולהשתמש בכוח סביר לצורך ביצוע סמכות הכניסה כאמור, ובלבד שהשוטר זיהה עצמו לפני מי שנמצא במקום והודיע לו את המטרה שלשמה נדרשת הכניסה, ביקש את הסכמתו לכניסה והזהירו כי יש בכוונתו להשתמש בכוח לצורך הכניסה; חובת הזיהוי, ההודעה והאזהרה כאמור לא יחולו אם נוכח השוטר לדעת כי לא נמצא איש במקום.</w:t>
            </w:r>
          </w:p>
        </w:tc>
      </w:tr>
    </w:tbl>
    <w:p w:rsidR="00000000" w:rsidRDefault="000F2C62">
      <w:pPr>
        <w:rPr>
          <w:rFonts w:cs="David"/>
          <w:sz w:val="24"/>
          <w:rtl/>
        </w:rPr>
      </w:pPr>
      <w:r>
        <w:rPr>
          <w:rFonts w:cs="David"/>
        </w:rPr>
        <w:br w:type="page"/>
      </w:r>
    </w:p>
    <w:tbl>
      <w:tblPr>
        <w:bidiVisual/>
        <w:tblW w:w="0" w:type="auto"/>
        <w:jc w:val="right"/>
        <w:tblLayout w:type="fixed"/>
        <w:tblCellMar>
          <w:left w:w="57" w:type="dxa"/>
          <w:right w:w="57" w:type="dxa"/>
        </w:tblCellMar>
        <w:tblLook w:val="0000" w:firstRow="0" w:lastRow="0" w:firstColumn="0" w:lastColumn="0" w:noHBand="0" w:noVBand="0"/>
      </w:tblPr>
      <w:tblGrid>
        <w:gridCol w:w="1163"/>
        <w:gridCol w:w="549"/>
        <w:gridCol w:w="642"/>
        <w:gridCol w:w="549"/>
        <w:gridCol w:w="194"/>
        <w:gridCol w:w="373"/>
        <w:gridCol w:w="18"/>
        <w:gridCol w:w="149"/>
        <w:gridCol w:w="400"/>
        <w:gridCol w:w="18"/>
        <w:gridCol w:w="549"/>
        <w:gridCol w:w="18"/>
        <w:gridCol w:w="3932"/>
      </w:tblGrid>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517" w:type="dxa"/>
            <w:gridSpan w:val="4"/>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שימוש בסמכויות כאמור בסעיף קטן (א) ייעשה, ככל שהנסיבות מאפשרות זאת, באישור קצין משטרה.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3950" w:type="dxa"/>
            <w:gridSpan w:val="2"/>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לא תוגש תובענה נגד אדם על מעשה או מחדל שעשה בתום לב על פי הוראה שקיבל לפי סעיף קטן (א)(1) או (2) (בסעיף קטן זה – מבצע הוראה) והמקים אחריות בנזיקין.</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3950" w:type="dxa"/>
            <w:gridSpan w:val="2"/>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בתובענה נגד המדינה על מעשה או מחדל של מבצע הוראה לא יחולו הוראות סעיפים 25 ו-28 לפקודת הנזיקין [נוסח חדש]</w:t>
            </w:r>
            <w:r>
              <w:rPr>
                <w:rStyle w:val="aa"/>
                <w:sz w:val="26"/>
                <w:szCs w:val="26"/>
              </w:rPr>
              <w:footnoteReference w:id="2"/>
            </w:r>
            <w:r>
              <w:rPr>
                <w:rFonts w:cs="David"/>
                <w:sz w:val="26"/>
                <w:szCs w:val="26"/>
                <w:rtl/>
              </w:rPr>
              <w:t>.</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w:t>
            </w:r>
          </w:p>
        </w:tc>
        <w:tc>
          <w:tcPr>
            <w:tcW w:w="4517" w:type="dxa"/>
            <w:gridSpan w:val="4"/>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פעל אדם, בלא שכר, בהתאם להוראה שניתנה לו לפי סעיף קטן (א) או לפי סעיף 90ד – יראו אותו כמתנדב כהגדרתו בסעיף 287 לחוק הביטוח הלאומי [נוסח משולב], התשנ"ה-</w:t>
            </w:r>
            <w:r>
              <w:rPr>
                <w:rFonts w:cs="David"/>
                <w:sz w:val="26"/>
                <w:szCs w:val="26"/>
                <w:rtl/>
              </w:rPr>
              <w:br/>
              <w:t>1995</w:t>
            </w:r>
            <w:r>
              <w:rPr>
                <w:rStyle w:val="aa"/>
                <w:sz w:val="26"/>
                <w:szCs w:val="26"/>
              </w:rPr>
              <w:footnoteReference w:id="3"/>
            </w:r>
            <w:r>
              <w:rPr>
                <w:rFonts w:cs="David"/>
                <w:sz w:val="26"/>
                <w:szCs w:val="26"/>
                <w:rtl/>
              </w:rPr>
              <w:t>, ויחולו עליו הוראות פרק י"ג לאותו חוק.</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49"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w:t>
            </w:r>
          </w:p>
        </w:tc>
        <w:tc>
          <w:tcPr>
            <w:tcW w:w="4517" w:type="dxa"/>
            <w:gridSpan w:val="4"/>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 xml:space="preserve">האמור בסעיף קטן (א) אינו בא לגרוע מסמכויות שוטר לפי כל דין."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rPr>
                <w:rFonts w:cs="David"/>
                <w:sz w:val="26"/>
                <w:szCs w:val="26"/>
                <w:rtl/>
              </w:rPr>
            </w:pPr>
            <w:r>
              <w:rPr>
                <w:rFonts w:cs="David"/>
                <w:sz w:val="26"/>
                <w:szCs w:val="26"/>
                <w:rtl/>
              </w:rPr>
              <w:t>תיקון סעיף 5</w:t>
            </w:r>
          </w:p>
        </w:tc>
        <w:tc>
          <w:tcPr>
            <w:tcW w:w="549"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6842" w:type="dxa"/>
            <w:gridSpan w:val="11"/>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בסעיף 5 לפקודה, ברישה, במקום "מכלליות סעיף 4" יבוא "מהוראות סעיפים 4 ו-4א".</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rPr>
                <w:rFonts w:cs="David"/>
                <w:sz w:val="26"/>
                <w:szCs w:val="26"/>
                <w:rtl/>
              </w:rPr>
            </w:pPr>
            <w:r>
              <w:rPr>
                <w:rFonts w:cs="David"/>
                <w:sz w:val="26"/>
                <w:szCs w:val="26"/>
                <w:rtl/>
              </w:rPr>
              <w:t>הוספת פרק ששי 1</w:t>
            </w:r>
          </w:p>
        </w:tc>
        <w:tc>
          <w:tcPr>
            <w:tcW w:w="549"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6842" w:type="dxa"/>
            <w:gridSpan w:val="11"/>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אחרי סעיף 90 לפקודה יבוא:</w:t>
            </w:r>
          </w:p>
        </w:tc>
      </w:tr>
      <w:tr w:rsidR="000F2C62" w:rsidTr="000F2C62">
        <w:tblPrEx>
          <w:tblCellMar>
            <w:top w:w="0" w:type="dxa"/>
            <w:bottom w:w="0" w:type="dxa"/>
          </w:tblCellMar>
        </w:tblPrEx>
        <w:trPr>
          <w:cantSplit/>
          <w:jc w:val="right"/>
        </w:trPr>
        <w:tc>
          <w:tcPr>
            <w:tcW w:w="8554" w:type="dxa"/>
            <w:gridSpan w:val="13"/>
            <w:tcBorders>
              <w:top w:val="nil"/>
              <w:left w:val="nil"/>
              <w:bottom w:val="nil"/>
              <w:right w:val="nil"/>
            </w:tcBorders>
          </w:tcPr>
          <w:p w:rsidR="00000000" w:rsidRDefault="000F2C62">
            <w:pPr>
              <w:spacing w:after="120" w:line="360" w:lineRule="auto"/>
              <w:jc w:val="center"/>
              <w:rPr>
                <w:rFonts w:cs="David"/>
                <w:b/>
                <w:bCs/>
                <w:sz w:val="26"/>
                <w:szCs w:val="26"/>
                <w:rtl/>
              </w:rPr>
            </w:pPr>
            <w:r>
              <w:rPr>
                <w:rFonts w:cs="David"/>
                <w:b/>
                <w:bCs/>
                <w:sz w:val="26"/>
                <w:szCs w:val="26"/>
                <w:rtl/>
              </w:rPr>
              <w:t>"פרק ששי 1:  אירוע אסון המוני</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הגדרות</w:t>
            </w: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90א.</w:t>
            </w: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בפרק זה -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"אירוע אסון המוני" – אירוע הגורם לפגיעה חמורה בשלום הציבור, בבטחון הנפש או ברכוש המתייחס לציבור גדול או לשטח גדול, או אירוע שיש בו חשש לפגיעה כאמור, לרבות מחמת פגע טבע, מפגע סביבתי, אירוע חומרים מסוכנים, אירוע כימי או ביולוגי, אירוע קרינה רדיולוגי, תאונה או פעילות חבלנית עוינת;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highlight w:val="lightGray"/>
                <w:rtl/>
              </w:rPr>
            </w:pPr>
            <w:r>
              <w:rPr>
                <w:rFonts w:cs="David"/>
                <w:sz w:val="26"/>
                <w:szCs w:val="26"/>
                <w:rtl/>
              </w:rPr>
              <w:t>"אירוע חומרים מסוכנים", "חומר מסוכן" – כהגדרתם בחוק החומרים המסוכנים, התשנ"ג-1993</w:t>
            </w:r>
            <w:r>
              <w:rPr>
                <w:rStyle w:val="aa"/>
                <w:sz w:val="26"/>
                <w:szCs w:val="26"/>
              </w:rPr>
              <w:footnoteReference w:id="4"/>
            </w:r>
            <w:r>
              <w:rPr>
                <w:rFonts w:cs="David"/>
                <w:sz w:val="26"/>
                <w:szCs w:val="26"/>
                <w:rtl/>
              </w:rPr>
              <w:t xml:space="preserve"> (בפרק זה - חוק החומרים המסוכנים);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rPr>
                <w:rFonts w:cs="David"/>
                <w:szCs w:val="22"/>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"אירוע כימי או ביולוגי" – אירוע שנגרם כתוצאה מפעילות חבלנית עוינת, שבעקבותיו נחשף או עלול הציבור להיחשף לחומרים כימיים או ביולוגיים שעלולים לגרום לפגיעה בשלום הציבור או בבריאותו;</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highlight w:val="yellow"/>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"אירוע קרינה רדיולוגי" – אירוע שבעקבותיו נחשף או עלול הציבור להיחשף לקרינה מייננת במנה החורגת מרמת ההתערבות הנמוכה ביותר שנקבעה לאוכלוסיה בלוח </w:t>
            </w:r>
            <w:r>
              <w:rPr>
                <w:rFonts w:cs="David"/>
                <w:sz w:val="26"/>
                <w:szCs w:val="26"/>
              </w:rPr>
              <w:t>V</w:t>
            </w:r>
            <w:r>
              <w:rPr>
                <w:rFonts w:cs="David"/>
                <w:sz w:val="26"/>
                <w:szCs w:val="26"/>
                <w:rtl/>
              </w:rPr>
              <w:t xml:space="preserve"> של המהדורה האחרונה של התקן הבין-לאומי להגנה מפני קרינה (</w:t>
            </w:r>
            <w:r>
              <w:rPr>
                <w:rFonts w:cs="David"/>
              </w:rPr>
              <w:t>International Basic Safety Standards</w:t>
            </w:r>
            <w:r>
              <w:rPr>
                <w:rFonts w:cs="David"/>
              </w:rPr>
              <w:br/>
              <w:t>for Protection against Ionizing Radiation and for Safety of Radiation Sources - IAEA</w:t>
            </w:r>
            <w:r>
              <w:rPr>
                <w:rFonts w:cs="David"/>
                <w:sz w:val="26"/>
                <w:szCs w:val="26"/>
                <w:rtl/>
              </w:rPr>
              <w:t>); התקן האמור יפורסם באתר האינטרנט של הוועדה לאנרגיה אטומית ויופקד לעיון הציבור באגף הרישוי של הוועדה האמורה;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"גוף הצלה" – גוף שעזרתו נדרשת בעת אירוע אסון המוני והוא אחד מאלה: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391"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5066"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אגודת מגן דוד אדום בישראל, שהוקמה בחוק מגן דוד אדום, התש"י-1950</w:t>
            </w:r>
            <w:r>
              <w:rPr>
                <w:rStyle w:val="aa"/>
                <w:sz w:val="26"/>
                <w:szCs w:val="26"/>
              </w:rPr>
              <w:footnoteReference w:id="5"/>
            </w:r>
            <w:r>
              <w:rPr>
                <w:rFonts w:cs="David"/>
                <w:sz w:val="26"/>
                <w:szCs w:val="26"/>
                <w:rtl/>
              </w:rPr>
              <w:t>;</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391"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5066"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רשות כבאות, כהגדרתה בחוק שירותי הכבאות, התשי"ט-1959</w:t>
            </w:r>
            <w:r>
              <w:rPr>
                <w:rStyle w:val="aa"/>
                <w:sz w:val="26"/>
                <w:szCs w:val="26"/>
              </w:rPr>
              <w:footnoteReference w:id="6"/>
            </w:r>
            <w:r>
              <w:rPr>
                <w:rFonts w:cs="David"/>
                <w:sz w:val="26"/>
                <w:szCs w:val="26"/>
                <w:rtl/>
              </w:rPr>
              <w:t xml:space="preserve"> (בפרק זה – חוק שירותי הכבאות);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391"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5066"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רשות מקומית, כהגדרתה בחוק ההתגוננות האזרחית, התשי"א-1951</w:t>
            </w:r>
            <w:r>
              <w:rPr>
                <w:rStyle w:val="aa"/>
                <w:sz w:val="26"/>
                <w:szCs w:val="26"/>
              </w:rPr>
              <w:footnoteReference w:id="7"/>
            </w:r>
            <w:r>
              <w:rPr>
                <w:rFonts w:cs="David"/>
                <w:sz w:val="26"/>
                <w:szCs w:val="26"/>
                <w:rtl/>
              </w:rPr>
              <w:t xml:space="preserve"> (בפרק זה – חוק ההתגוננות האזרחית), או איגוד ערים, כהגדרתו בחוק איגודי ערים, התשט"ו-1955</w:t>
            </w:r>
            <w:r>
              <w:rPr>
                <w:rStyle w:val="aa"/>
                <w:sz w:val="26"/>
                <w:szCs w:val="26"/>
              </w:rPr>
              <w:footnoteReference w:id="8"/>
            </w:r>
            <w:r>
              <w:rPr>
                <w:rFonts w:cs="David"/>
                <w:sz w:val="26"/>
                <w:szCs w:val="26"/>
                <w:rtl/>
              </w:rPr>
              <w:t>;</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391"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w:t>
            </w:r>
          </w:p>
        </w:tc>
        <w:tc>
          <w:tcPr>
            <w:tcW w:w="5066"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ממונה על אירוע חומרים מסוכנים, כהגדרתו בחוק החומרים המסוכנים;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391"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(5)</w:t>
            </w:r>
          </w:p>
        </w:tc>
        <w:tc>
          <w:tcPr>
            <w:tcW w:w="5066"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גוף, לרבות ארגון, מוסד, מפעל או יחידה, או חלק של גוף כאמור, העושה שירות לציבור, אשר השר הכריז עליו בהודעה ברשומות, בהסכמת השר שנקבע כאחראי על אותו גוף, אם נקבע שר כאמור, שהוא גוף הצלה;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Cs w:val="22"/>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"הוראות להפעלה משולבת" – הוראות המחייבות טיפול באירוע אסון המוני ובהיערכות לו, כפי שקבעו המשטרה וצבא הגנה לישראל, כל אחד בתחום אחריותו, בהתייעצות עם גופי ההצלה, הכוללות בין השאר הוראות לענין מענה מערכתי לאירוע אסון המוני, פיקוד ושליטה בעת אירוע כאמור, וכן תיאומים בין הארגונים והגופים הפועלים במהלכו;</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"הוראות מקצועיות" – הוראות המסדירות את אופן הטיפול המקצועי של גוף הצלה באירוע אסון המוני, במסגרת מילוי תפקידו וסמכויותיו לפי כל דין, כפי שקבע אותו גוף, בהתאם להוראות להפעלה משולבת;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Cs w:val="22"/>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"הרמטכ"ל, "חייל", "פקודות הצבא" – כהגדרתם בחוק השיפוט הצבאי, התשט"ו-1955</w:t>
            </w:r>
            <w:r>
              <w:rPr>
                <w:rStyle w:val="aa"/>
                <w:sz w:val="26"/>
                <w:szCs w:val="26"/>
              </w:rPr>
              <w:footnoteReference w:id="9"/>
            </w:r>
            <w:r>
              <w:rPr>
                <w:rFonts w:cs="David"/>
                <w:sz w:val="26"/>
                <w:szCs w:val="26"/>
                <w:rtl/>
              </w:rPr>
              <w:t xml:space="preserve"> (בפרק זה – חוק השיפוט הצבאי);</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"קצין משטרה" – קצין משטרה בדרגה ובתפקיד שייקבע לענין פרק זה בפקודות משטרת ישראל כמפקד האירוע;</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"קצין צה"ל" - חייל בדרגת קצונה ובתפקיד כפי שייקבע בפקודות הצבא;</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"שטח המוחזק על ידי צה"ל" – שטח שהרמטכ"ל הודיע עליו בכתב לשר;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"שטח של מיתקן בטחוני" - שטח ששר הבטחון הודיע עליו בכתב לשר.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rPr>
                <w:rFonts w:cs="David"/>
                <w:sz w:val="26"/>
                <w:szCs w:val="26"/>
                <w:rtl/>
              </w:rPr>
            </w:pPr>
            <w:r>
              <w:rPr>
                <w:rFonts w:cs="David"/>
                <w:sz w:val="26"/>
                <w:szCs w:val="26"/>
                <w:rtl/>
              </w:rPr>
              <w:t>הכרזה על אירוע אסון המוני</w:t>
            </w: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90ב.</w:t>
            </w: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שוכנע השר כי קיימת סבירות גבוהה שיתרחש אירוע אסון המוני או כי מתרחש אירוע אסון המוני, רשאי הוא להכריז במדינה כולה או בשטח מסוים על אירוע אסון המוני; לענין זה -</w:t>
            </w:r>
          </w:p>
          <w:p w:rsidR="000F2C62" w:rsidRDefault="000F2C62">
            <w:pPr>
              <w:spacing w:after="120" w:line="360" w:lineRule="auto"/>
              <w:rPr>
                <w:rFonts w:cs="David"/>
                <w:sz w:val="26"/>
                <w:szCs w:val="26"/>
                <w:rtl/>
              </w:rPr>
            </w:pPr>
            <w:r>
              <w:rPr>
                <w:rFonts w:cs="David"/>
                <w:sz w:val="26"/>
                <w:szCs w:val="26"/>
                <w:rtl/>
              </w:rPr>
              <w:t>"שוכנע השר" – בין לבקשת שר נוסף ובין מיוזמתו, ובמידת הצורך בהתייעצות עם שר נוסף;</w:t>
            </w:r>
          </w:p>
          <w:p w:rsidR="000F2C62" w:rsidRDefault="000F2C62">
            <w:pPr>
              <w:spacing w:after="120" w:line="360" w:lineRule="auto"/>
              <w:rPr>
                <w:rFonts w:cs="David"/>
                <w:sz w:val="26"/>
                <w:szCs w:val="26"/>
                <w:rtl/>
              </w:rPr>
            </w:pPr>
            <w:r>
              <w:rPr>
                <w:rFonts w:cs="David"/>
                <w:sz w:val="26"/>
                <w:szCs w:val="26"/>
                <w:rtl/>
              </w:rPr>
              <w:t>"שר נוסף" – שר שהטיפול באירוע האסון ההמוני הוא גם בתחום אחריותו, בין על פי דין ובין על פי החלטת הממשלה.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הודעה על הכרזה כאמור בפסקה (1) תימסר לשר הבטחון ולמפקח הכללי ותיכנס לתוקפה עם מסירתה למפקח הכללי.</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על אף האמור בסעיף קטן (א), הסמכות הנתונה לשר באותו סעיף קטן תהא נתונה: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לגבי אירוע אסון המוני שמקורו, כולו או חלקו, בתוך שטח של מיתקן בטחוני או בתחומי שטח המוחזק על ידי צה"ל – לראש הממשלה או לשר הבטחון; הודעה על הכרזה כאמור תימסר לשר ולרמטכ"ל;</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לגבי אירוע אסון המוני שמקורו בשטח, שעל פי החלטת הממשלה, האחריות לבטחון הפנים בו היא של צה"ל – לשר הבטחון, ובמידת הצורך בהתייעצות עם השר; הודעה על הכרזה כאמור תימסר לשר ולרמטכ"ל;</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לגבי אירוע אסון המוני שמקורו בשטח שהוכרז לגביו מצב מיוחד בעורף או בתקופת קרבות, כמשמעותם בחוק ההתגוננות האזרחית - לשר הבטחון, בהתייעצות עם השר; הודעה על הכרזה כאמור תימסר לשר ולמפקח הכללי;</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לגבי אירוע אסון המוני שמקורו בכלי תעבורה בשירות מערכת הבטחון, לאחד מאלה, לפי הענין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3932"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לשר, בהתייעצות עם שר הבטחון; הודעה על הכרזה כאמור תימסר לשר הבטחון ולמפקח הכללי;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3932"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לשר הבטחון, אם הודיע לשר כי בכוונתו להפעיל את הסמכות; הודיע שר הבטחון כאמור, תהא הסמכות נתונה לו וההודעה על ההכרזה תימסר לשר ולרמטכ"ל;</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(5)</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לגבי אירוע אסון המוני שמקורו בשטח מרכזי המחקר הגרעיני שבאחריות הועדה לאנרגיה אטומית ולגבי אירוע קרינה רדיולוגי – לראש הממשלה; הודעה על הכרזה כאמור תימסר לשר, לשר הבטחון ולרמטכ"ל;</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(6)</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לגבי אירוע כימי או ביולוגי – לשר הבטחון, בהתייעצות עם השר; הודעה על הכרזה כאמור תימסר לשר, למפקח הכללי ולרמטכ"ל.</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הודעה על הכרזה כאמור בפסקאות (1), (2), </w:t>
            </w:r>
            <w:r>
              <w:rPr>
                <w:rFonts w:cs="David"/>
                <w:sz w:val="26"/>
                <w:szCs w:val="26"/>
                <w:rtl/>
              </w:rPr>
              <w:br/>
              <w:t>(4)(ב) ו-(5) של סעיף קטן (ב) תיכנס לתוקפה עם מסירתה לרמטכ"ל, והודעה על הכרזה כאמור בפסקאות (3), (4)(א) ו-(6) של אותו סעיף קטן תיכנס לתוקפה עם מסירתה למפקח הכללי.</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תוקף הכרזה על אירוע אסון המוני</w:t>
            </w: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90ג.</w:t>
            </w: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תוקפה של הכרזה לפי סעיף 90ב יפקע בתום 48 שעות משעה שניתנה עליה הודעה.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vMerge/>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השר שנתן את ההכרזה רשאי להאריך את תוקפה לתקופת זמן נוספת, ובלבד שסך כל תקופות ההארכה הנוספות לא יעלה על 96 שעות.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הממשלה רשאית להאריך את תוקף ההכרזה לתקופת זמן נוספת ובלבד שסך כל תקופות ההארכה על ידה, לא יעלה על שבעה ימים; הממשלה רשאית להאריך את תקופת תוקפה של ההכרזה, באישור ועדת החוץ והבטחון של הכנסת, לתקופות נוספות.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הכרזה לפי סעיף 90ב, הארכת תוקפה או ביטולה, יובאו לידיעת הציבור בידי נותנם, באופן שייקבע וכן יפורסמו בהקדם האפשרי ברשומות.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highlight w:val="darkCyan"/>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הכרזה לפי סעיף 90ב דינה כדין הודעה מטעם הממשלה לפי סעיף 46 לחוק רשות השידור, התשכ"ה-1965</w:t>
            </w:r>
            <w:r>
              <w:rPr>
                <w:rStyle w:val="aa"/>
                <w:sz w:val="26"/>
                <w:szCs w:val="26"/>
              </w:rPr>
              <w:footnoteReference w:id="10"/>
            </w:r>
            <w:r>
              <w:rPr>
                <w:rFonts w:cs="David"/>
                <w:sz w:val="26"/>
                <w:szCs w:val="26"/>
                <w:rtl/>
              </w:rPr>
              <w:t>, סעיף 50 לחוק הרשות השניה לטלויזיה ורדיו, התש"ן-1990</w:t>
            </w:r>
            <w:r>
              <w:rPr>
                <w:rStyle w:val="aa"/>
                <w:sz w:val="26"/>
                <w:szCs w:val="26"/>
              </w:rPr>
              <w:footnoteReference w:id="11"/>
            </w:r>
            <w:r>
              <w:rPr>
                <w:rFonts w:cs="David"/>
                <w:sz w:val="26"/>
                <w:szCs w:val="26"/>
                <w:rtl/>
              </w:rPr>
              <w:t xml:space="preserve"> , וסעיפים 6כב ו-6נז לחוק התקשורת (בזק ושידורים), התשמ"ב-1982</w:t>
            </w:r>
            <w:r>
              <w:rPr>
                <w:rStyle w:val="aa"/>
                <w:sz w:val="26"/>
                <w:szCs w:val="26"/>
              </w:rPr>
              <w:footnoteReference w:id="12"/>
            </w:r>
            <w:r>
              <w:rPr>
                <w:rFonts w:cs="David"/>
                <w:sz w:val="26"/>
                <w:szCs w:val="26"/>
                <w:rtl/>
              </w:rPr>
              <w:t>.</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rPr>
                <w:rFonts w:cs="David"/>
                <w:sz w:val="26"/>
                <w:szCs w:val="26"/>
                <w:rtl/>
              </w:rPr>
            </w:pPr>
            <w:r>
              <w:rPr>
                <w:rFonts w:cs="David"/>
                <w:sz w:val="26"/>
                <w:szCs w:val="26"/>
                <w:rtl/>
              </w:rPr>
              <w:t>סמכויות באירוע אסון המוני</w:t>
            </w: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90ד.</w:t>
            </w: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5"/>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באירוע אסון המוני, למעט אירוע כאמור בסעיף קטן (ז), תהא משטרת ישראל אחראית לפיקוד ולשליטה בטיפול באירוע ויהיו לה הסמכויות כמפורט בפרק זה.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Cs w:val="22"/>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בלי לגרוע מהוראות פרק זה, יהיו כל גוף הצלה וכל משרד ממשלתי או כל גוף אחר, מוסמכים ואחראים לנקוט את כל האמצעים הנדרשים לשם היערכות לקראת אירוע אסון המוני ולמניעה או לצמצום נזקים בעת התרחשותו של אירוע כאמור בתחום שהם מופקדים עליו לפי כל דין, ובהתאם להוראות להפעלה משולבת ולהוראות המקצועיות.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באירוע אסון המוני, למעט אירוע כאמור בסעיף קטן (ז), רשאי שוטר, נוסף על סמכויותיו לפי כל דין ולצורך הטיפול באירוע, לעשות שימוש בסמכויות המפורטות להלן, באישור קצין משטרה ובתוך פרק הזמן שקבע באישורו, או אם ניתנה הכרזה כאמור בסעיף 90ב, כל עוד ההכרזה כאמור בתוקף:</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499" w:type="dxa"/>
            <w:gridSpan w:val="3"/>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להורות לגוף הצלה, לפעול במסגרת תפקידו וסמכויותיו ולהפעיל את הציוד שברשותו לצורך מילוי תפקידו;</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499" w:type="dxa"/>
            <w:gridSpan w:val="3"/>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להורות לכל אדם הנמצא בשטח האירוע או באזור העלול להיפגע כתוצאה מהאירוע, כל הוראה סבירה;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4499" w:type="dxa"/>
            <w:gridSpan w:val="3"/>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 xml:space="preserve">להורות למי שבבעלותו, בחזקתו, בשליטתו או בפיקוחו ציוד או חומר, להעמיד את הציוד או החומר לרשות משטרת ישראל או לרשות גופי ההצלה;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w:t>
            </w:r>
          </w:p>
        </w:tc>
        <w:tc>
          <w:tcPr>
            <w:tcW w:w="4499" w:type="dxa"/>
            <w:gridSpan w:val="3"/>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לסגור שטח או מקום ולמנוע מכל אדם להיכנס אליו או לצאת ממנו, וכן לדרוש מכל אדם בשטח האירוע או באזור העלול להיפגע כתוצאה מהאירוע להישאר במקום שבו הוא נמצא, לצאת ממנו או להיכנס למקום שקבע.</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w:t>
            </w: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אישור קצין משטרה להפעלת הסמכויות המפורטות בסעיף קטן (ג) יינתן ככל שהדבר נדרש לשם הצלת הנפש או הרכוש או למניעת פגיעה חמורה בסביבה או לצמצום היקף אירוע האסון ההמוני או תוצאותיו ובלבד שלענין סעיף קטן (ג)(3), יינתן האישור רק אם שוכנע קצין המשטרה כי אין די בציוד או בחומר העומד לרשותו או לרשות גופי ההצלה, לפי הענין, וכי השימוש בציוד או בחומר הנדרש הוא חיוני ודחוף.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קצין המשטרה רשאי לתת אישור כאמור בפסקה (1) בתוך פרק זמן שלא יעלה על יומיים לאחר היום שבו נודע למשטרת ישראל על קרות אירוע האסון ההמוני, ואם ניתנה הכרזה כאמור בסעיף 90ב, כל עוד ההכרזה בתוקף.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שוטר רשאי להשתמש בכוח סביר נגד אדם או רכוש לצורך כפיית ציות להוראות שניתנו כדין לפי סעיף קטן (ג).</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(ו)</w:t>
            </w: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באירוע אסון המוני, רשאי שוטר או מי שממלא תפקיד בגוף הצלה, להיכנס לכל מקום, ככל שהדבר נדרש לצורך מילוי תפקידו, ולהשתמש בכוח סביר לצורך ביצוע סמכות הכניסה כאמור, ובלבד שזיהה עצמו לפני מי שנמצא במקום, הודיע לו את המטרה שלשמה נדרשת הכניסה, והזהירו כי יש בכוונתו להשתמש בכוח לצורך הכניסה; חובת הזיהוי, ההודעה והאזהרה כאמור לא תחול אם נוכח השוטר או ממלא תפקיד כאמור לדעת כי לא נמצא אדם במקום.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Cs w:val="22"/>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418"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499"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שימוש בסמכויות לפי פסקה (1), ככל שהדבר נוגע לתחומי שטח של מיתקן בטחוני או לשטח המוחזק בידי צה"ל, או לשטח מרכזי המחקר הגרעיני שבאחריות הועדה לאנרגיה אטומית, יהיה בהסכמה עם הרמטכ"ל או עם הממונה על הבטחון במערכת הבטחון (בפרק זה – המלמ"ב), לפי הענין, או מי שהם הסמיכו לכך.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(ז)</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באירוע אסון המוני, שסמכות ההכרזה עליו נתונה לראש הממשלה או לשר הבטחון, כאמור בסעיף </w:t>
            </w:r>
            <w:r>
              <w:rPr>
                <w:rFonts w:cs="David"/>
                <w:sz w:val="26"/>
                <w:szCs w:val="26"/>
                <w:rtl/>
              </w:rPr>
              <w:br/>
              <w:t>90ב(ב)(1), (2), (3), (4)(ב), (5) או (6), יהיו הסמכויות הנתונות למפקח הכללי לפי פרק זה – לרמטכ"ל, הסמכויות הנתונות לקצין משטרה לפי פרק זה – לקצין צה"ל, והסמכויות הנתונות לשוטר לפי פרק זה – לחייל, ויראו את האחריות לפי חוק זה כאילו הועברה לצה"ל לפי סעיף 90יב.</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(ח)</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אחת לשנה יגיש השר לכנסת דיווח בדבר שימוש בסמכויות לפי סעיף זה בפרק זמן העולה על יומיים.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40"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(ט)</w:t>
            </w:r>
          </w:p>
        </w:tc>
        <w:tc>
          <w:tcPr>
            <w:tcW w:w="4917"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הוראה שניתנה לפי סעיף זה גוברת על צו לפי סעיף 23 לחוק שירותי הכבאות, ועל צו גיוס לפי סעיף 24 לחוק האמור.</w:t>
            </w:r>
          </w:p>
        </w:tc>
      </w:tr>
    </w:tbl>
    <w:p w:rsidR="00000000" w:rsidRDefault="000F2C62">
      <w:pPr>
        <w:rPr>
          <w:rFonts w:cs="David"/>
          <w:sz w:val="24"/>
          <w:rtl/>
        </w:rPr>
      </w:pPr>
      <w:r>
        <w:rPr>
          <w:rFonts w:cs="David"/>
        </w:rPr>
        <w:br w:type="page"/>
      </w:r>
    </w:p>
    <w:tbl>
      <w:tblPr>
        <w:bidiVisual/>
        <w:tblW w:w="0" w:type="auto"/>
        <w:jc w:val="right"/>
        <w:tblLayout w:type="fixed"/>
        <w:tblCellMar>
          <w:left w:w="57" w:type="dxa"/>
          <w:right w:w="57" w:type="dxa"/>
        </w:tblCellMar>
        <w:tblLook w:val="0000" w:firstRow="0" w:lastRow="0" w:firstColumn="0" w:lastColumn="0" w:noHBand="0" w:noVBand="0"/>
      </w:tblPr>
      <w:tblGrid>
        <w:gridCol w:w="1163"/>
        <w:gridCol w:w="567"/>
        <w:gridCol w:w="567"/>
        <w:gridCol w:w="57"/>
        <w:gridCol w:w="23"/>
        <w:gridCol w:w="487"/>
        <w:gridCol w:w="233"/>
        <w:gridCol w:w="540"/>
        <w:gridCol w:w="418"/>
        <w:gridCol w:w="149"/>
        <w:gridCol w:w="4350"/>
      </w:tblGrid>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highlight w:val="yellow"/>
                <w:rtl/>
              </w:rPr>
            </w:pPr>
          </w:p>
        </w:tc>
        <w:tc>
          <w:tcPr>
            <w:tcW w:w="1191" w:type="dxa"/>
            <w:gridSpan w:val="3"/>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החזרת ציוד</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90ה.</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בסעיף זה ובסעיף 90ו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highlight w:val="yellow"/>
                <w:rtl/>
              </w:rPr>
            </w:pPr>
          </w:p>
        </w:tc>
        <w:tc>
          <w:tcPr>
            <w:tcW w:w="1191" w:type="dxa"/>
            <w:gridSpan w:val="3"/>
            <w:vMerge/>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"בעל ציוד" – לגבי ציוד הרשום לפי דין – הבעל הרשום, ולגבי ציוד אחר – מי שהוכיח, בדרך שתיקבע בתקנות, כי הוא בעל הציוד;</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highlight w:val="yellow"/>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"ציוד" – לרבות חומר.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highlight w:val="yellow"/>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העמיד אדם ציוד לרשות משטרת ישראל או לרשות גופי ההצלה בהתאם להוראה לפי סעיף 90ד(ג)(3), יוחזר הציוד למעט חומר שהתכלה למי שנלקח ממנו, מיד עם תום הטיפול באירוע אסון המוני או בתום תקופה שלא תעלה על יומיים ממועד מתן ההוראה; לא הסתיים הטיפול באירוע בתוך יומיים, רשאי המפקח הכללי להאריך את התקופה לתקופה נוספת, ובלבד שלא תעלה על תקופת תוקפה של ההכרזה.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בעל ציוד זכאי לתשלום בעד ההוצאות הכרוכות בהחזרת הציוד לרשותו, בשיעור שייקבע בתקנות כאמור בסעיף 90ו(ב).</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פיצויים, דמי שימוש והחזר הוצאות</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90ו.</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לא הוחזר ציוד או נגרם נזק לציוד שהועמד לרשות גופי ההצלה בהתאם להוראה לפי סעיף 90ד(ג)(3), יפצה אוצר המדינה את בעל הציוד בעד הציוד שלא הוחזר כאמור, או בעד כל נזק שנגרם לציוד, וכן ישולמו דמי שימוש בעד הציוד.</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vMerge w:val="restart"/>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השר, באישור שר האוצר, יתקין תקנות בענין הדרכים להגשת בקשה של בעל ציוד לקבלת פיצויים, לרבות המועד להגשת בקשה, אופן קביעת הפיצויים, שיעור דמי השימוש בציוד, החזר הוצאות ותשלום ריבית והפרשי הצמדה לגבי תשלומים כאמור שלא שולמו במועדם.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rtl/>
              </w:rPr>
            </w:pPr>
          </w:p>
        </w:tc>
        <w:tc>
          <w:tcPr>
            <w:tcW w:w="1191" w:type="dxa"/>
            <w:gridSpan w:val="3"/>
            <w:vMerge/>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החלטה בדבר מתן פיצויים כאמור בסעיף קטן (א) ובדבר גובהם תינתן בתוך 90 ימים ממועד הגשת בקשה לקבלת פיצויים, והפיצויים ישולמו בתוך 30 ימים ממועד מתן ההחלטה.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לא תהיה לאדם כל עילת תביעה על פי כל דין בשל נזק שנגרם לציוד, שהועמד לרשות משטרת ישראל או לרשות גופי ההצלה בהתאם להוראה שניתנה לפי סעיף 90ד(ג), או בקשר להוצאות שנגרמו לו או רווח שנמנע ממנו עקב העמדת הציוד כאמור, אלא לפי הוראות סעיף זה.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הכרזה על תרגיל</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90ז.</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מפקד מחוז או מפקד מרחב (בפרק זה – מפקד המשטרה) רשאי להורות על קיומו של תרגיל, הכנה או אימון לקראת אירוע אסון המוני (בפרק זה – תרגיל); הורה כאמור, יודיע על כך לגוף ההצלה, שאמור לקחת חלק בתרגיל.</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גוף הצלה, שקיבל הודעה כאמור, חייב להשתתף בתרגיל במועד ובמקום שנקבעו בהודעה.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המועדים לעריכת תרגילים ייקבעו בידי מפקד המשטרה בהתייעצות עם גופי ההצלה.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התרגילים ייערכו בהתאם להוראות להפעלה משולבת ולהוראות המקצועיות.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סמכויות בעת תרגיל</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90ח.</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בעת תרגיל רשאי מפקד המשטרה על אף האמור בכל דין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p>
        </w:tc>
        <w:tc>
          <w:tcPr>
            <w:tcW w:w="418"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499"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להורות לגוף ההצלה לפעול במסגרת תפקידו וסמכויותיו ולהפעיל את הציוד שברשותו;</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p>
        </w:tc>
        <w:tc>
          <w:tcPr>
            <w:tcW w:w="418"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499"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להודיע לבעל עסק שהוא מפעל לחומרים מסוכנים, על קיומו של תרגיל הנוגע לעסק כאמור, ומשהודיע על כך חייב בעל העסק לאפשר שיתוף העובדים והציוד של העסק בתרגיל; בסעיף קטן זה, "מפעל לחומרים מסוכנים" – מקום שבו מאחסנים, מעבדים, מייצרים או עוסקים בדרך אחרת בחומר מסוכן, או בפסולת של חומר מסוכן, או שחומר מסוכן נוצר בו בתהליך העיבוד או הייצור.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בעת תרגיל, רשאי שוטר או מי שממלא תפקיד בגוף הצלה, להיכנס לכל מקום, ככל שהדבר נדרש לצורך מילוי תפקידו, ובלבד שהודעה על התרגיל תימסר זמן סביר מראש לבעלים או למחזיק במקום.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שימוש בסמכויות לפי סעיף זה, ככל שהדבר נוגע לתחומי שטח של מיתקן בטחוני או לשטח המוחזק על ידי צה"ל, או לשטח מרכזי המחקר הגרעיני שבאחריות הועדה לאנרגיה אטומית, יהיה בהסכמה עם הרמטכ"ל או המלמ"ב, לפי הענין, או מי שהם הסמיכו לכך.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עונשין</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90ט.</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המפר הוראה שניתנה בידי שוטר או חייל לפי סעיפים 90ד או 90ח, או המפריע לשוטר, לחייל או לאדם אחר הממלא תפקיד על פי דין בעת אירוע אסון המוני, דינו – מאסר שלוש שנים; עשה כאמור בעת תרגיל, דינו – מאסר שנה.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בעל עסק טעון רישוי לפי חוק רישוי עסקים, התשכ"ח-1968</w:t>
            </w:r>
            <w:r>
              <w:rPr>
                <w:rStyle w:val="aa"/>
                <w:sz w:val="26"/>
                <w:szCs w:val="26"/>
              </w:rPr>
              <w:footnoteReference w:id="13"/>
            </w:r>
            <w:r>
              <w:rPr>
                <w:rFonts w:cs="David"/>
                <w:sz w:val="26"/>
                <w:szCs w:val="26"/>
                <w:rtl/>
              </w:rPr>
              <w:t>, שעשה כאמור בסעיף קטן (א), רואים אותו כמי שלא קיים תנאי מתנאי רישיון שניתן לפי החוק האמור, ויחולו עליו הוראות סעיף 14 לאותו חוק.</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חסינות דיונית וסייגים מאחריות בנזיקין</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90י.</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לא תוגש תובענה נגד אדם על מעשה או מחדל שעשה בתום לב על פי הוראה שקיבל לפי פרק זה (בסעיף זה – מבצע הוראה) והמקים אחריות בנזיקין.</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vMerge/>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בתובענה נגד המדינה על מעשה או מחדל של מבצע הוראה לא יחולו הוראות סעיפים 25 ו-28 לפקודת הנזיקין [נוסח חדש].</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סיוע צה"ל ושירות ההתגוננות האזרחית</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90יא.</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צה"ל ושירות ההתגוננות האזרחית, כמשמעותו בחוק ההתגוננות האזרחית, יסייעו למשטרת ישראל בטיפול באירוע אסון המוני, ובהיערכות לקראת אירוע כאמור.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vMerge/>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הסיוע כאמור בסעיף קטן (א) יינתן בהיקף כוח אדם ובאמצעים, כפי שיקבעו שר הבטחון או הממשלה.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דין כוחות צה"ל ושירות ההתגוננות האזרחית שיועמדו לפי הוראות סעיף זה, לצורך סיוע למשטרת ישראל, כדין גוף הצלה לפי חוק זה.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העברת תפקיד לצה"ל</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90יב.</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בעת אירוע אסון המוני, לרבות אירוע צפוי, רשאי שר הבטחון לבקשת השר, או רשאי ראש הממשלה להורות לצה"ל למלא את תפקיד משטרת ישראל בפיקוד ובשליטה באירוע, כולו או מקצתו.</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על אף האמור בסעיף קטן (א), בעת אירוע כימי או ביולוגי, או בעת אירוע אסון המוני שמקורו בשטח שהוכרז לגביו מצב מיוחד בעורף או בתקופת קרבות, כמשמעותם בחוק ההתגוננות האזרחית, רשאי שר הבטחון, בהתייעצות עם השר, להורות לצה"ל כאמור בסעיף קטן (א).</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הוראה כאמור בסעיף קטן (א) או (ב) תציין את התחומים ואת התקופה שבהם ימלא צה"ל את תפקיד משטרת ישראל כאמור; ניתנה הוראה כאמור, יקבע הרמטכ"ל קצין צה"ל לפקד על האירוע.</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שר הבטחון לבקשת השר, או ראש הממשלה, רשאי להאריך את התקופה שצוינה בהוראה או לקצרה.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תוקפה של הוראה לפי סעיף זה יפקע בתום התקופה שנקבעה בה או בתום תוקפה של ההכרזה שניתנה לפי סעיף 90ב, לפי המוקדם.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(ו)</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משניתנה הוראה כאמור בסעיף קטן (א) -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435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תסייע משטרת ישראל לצה"ל בטיפול באירוע, ובהיערכות לקראת אירוע כאמור; סיוע כאמור, יינתן בהיקף כוח אדם ובאמצעים, כפי שיקבע השר;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435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דין כוחות המשטרה שיועמדו לפי הוראות סעיף קטן זה, לצורך סיוע לצה"ל, כדין גוף הצלה לפי חוק זה;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435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לצורך מילוי תפקידו יהיו הסמכויות הנתונות למפקח הכללי לפי פרק זה – לרמטכ"ל, הסמכויות הנתונות לקצין משטרה לפי פרק זה – לקצין צה"ל, והסמכויות הנתונות לשוטר לפי פרק זה – לחייל.</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סמכות צה"ל לעריכת תרגיל</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90יג.</w:t>
            </w: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הסמכויות הנתונות למפקד המשטרה ולשוטר לפי סעיפים 90ז ו-90ח יהיו נתונות למפקד צבאי ולחייל לצורך עריכת תרגיל, ולשם היערכות צה"ל לטיפול באירוע אסון המוני כאמור בפרק זה; לענין זה, "מפקד צבאי" – חייל בדרגת קצונה ובתפקיד כפי שייקבע בפקודות הצבא.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משטרת ישראל תסייע לצה"ל בעת תרגיל שהכריז מפקד צבאי בהיקף כוח אדם ובאמצעים, כפי שיקבע השר.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40"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491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דין כוחות המשטרה שיועמדו לפי הוראות סעיף זה, לצורך סיוע לצה"ל, כדין גוף הצלה לפי חוק זה.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פטור מפרסום</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90יד.</w:t>
            </w:r>
          </w:p>
        </w:tc>
        <w:tc>
          <w:tcPr>
            <w:tcW w:w="5457" w:type="dxa"/>
            <w:gridSpan w:val="4"/>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מסר שר הבטחון או הרמטכ"ל, לפי הענין, הודעה בדבר שטח של מיתקן בטחוני או שטח המוחזק על ידי צה"ל, תימסר ההודעה גם לידיעת האחראים על אותם שטחים; הודעה כאמור לא תפורסם ברשומות.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 xml:space="preserve">דין </w:t>
            </w:r>
            <w:r>
              <w:rPr>
                <w:rFonts w:cs="David"/>
                <w:sz w:val="26"/>
                <w:szCs w:val="26"/>
                <w:rtl/>
              </w:rPr>
              <w:br/>
              <w:t>המדינה</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90טו.</w:t>
            </w:r>
          </w:p>
        </w:tc>
        <w:tc>
          <w:tcPr>
            <w:tcW w:w="5457" w:type="dxa"/>
            <w:gridSpan w:val="4"/>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לענין פרק זה, דין המדינה כדין כל אדם, למעט לענין ציוד ונכסים של צה"ל ושל הועדה לאנרגיה אטומית.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סייג לתחולה</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90טז.</w:t>
            </w:r>
          </w:p>
        </w:tc>
        <w:tc>
          <w:tcPr>
            <w:tcW w:w="5457" w:type="dxa"/>
            <w:gridSpan w:val="4"/>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הוראות פרק זה לא יחולו על אירועים שלגביהם חל חוק ההתגוננות האזרחית.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משכן הכנסת ורחבתו – הוראות מיוחדות</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90יז.</w:t>
            </w:r>
          </w:p>
        </w:tc>
        <w:tc>
          <w:tcPr>
            <w:tcW w:w="5457" w:type="dxa"/>
            <w:gridSpan w:val="4"/>
            <w:tcBorders>
              <w:top w:val="nil"/>
              <w:left w:val="nil"/>
              <w:bottom w:val="nil"/>
              <w:right w:val="nil"/>
            </w:tcBorders>
          </w:tcPr>
          <w:p w:rsidR="000F2C62" w:rsidRDefault="000F2C62">
            <w:pPr>
              <w:spacing w:after="120" w:line="360" w:lineRule="auto"/>
              <w:rPr>
                <w:rFonts w:cs="David"/>
                <w:color w:val="800080"/>
                <w:sz w:val="26"/>
                <w:szCs w:val="26"/>
                <w:rtl/>
              </w:rPr>
            </w:pPr>
            <w:r>
              <w:rPr>
                <w:rFonts w:cs="David"/>
                <w:sz w:val="26"/>
                <w:szCs w:val="26"/>
                <w:rtl/>
              </w:rPr>
              <w:t>בלי לגרוע מהוראות חוק משכן הכנסת, רחבתו ומשמר הכנסת, התשכ"ח-1968</w:t>
            </w:r>
            <w:r>
              <w:rPr>
                <w:rStyle w:val="aa"/>
                <w:sz w:val="26"/>
                <w:szCs w:val="26"/>
              </w:rPr>
              <w:footnoteReference w:id="14"/>
            </w:r>
            <w:r>
              <w:rPr>
                <w:rFonts w:cs="David"/>
                <w:sz w:val="26"/>
                <w:szCs w:val="26"/>
                <w:rtl/>
              </w:rPr>
              <w:t xml:space="preserve"> (בסעיף זה – חוק המשכן), הפעלת הסמכויות לפי פרק זה לגבי אירוע אסון המוני במשכן הכנסת או ברחבת הכנסת כהגדרתם בחוק המשכן, תהא לפי נוהל שיתוף פעולה, שייקבע בהסכמה בין קצין הכנסת או מי שהוא הסמיך לכך, לבין המפקח הכללי או הרמטכ"ל, לפי הענין, או מי שהם הסמיכו לכך.</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3"/>
            <w:tcBorders>
              <w:top w:val="nil"/>
              <w:left w:val="nil"/>
              <w:bottom w:val="nil"/>
              <w:right w:val="nil"/>
            </w:tcBorders>
          </w:tcPr>
          <w:p w:rsidR="000F2C62" w:rsidRDefault="000F2C62">
            <w:pPr>
              <w:spacing w:after="120"/>
              <w:rPr>
                <w:rFonts w:cs="David"/>
                <w:sz w:val="26"/>
                <w:szCs w:val="26"/>
                <w:rtl/>
              </w:rPr>
            </w:pPr>
            <w:r>
              <w:rPr>
                <w:rFonts w:cs="David"/>
                <w:sz w:val="26"/>
                <w:szCs w:val="26"/>
                <w:rtl/>
              </w:rPr>
              <w:t>שמירת דינים</w:t>
            </w:r>
          </w:p>
        </w:tc>
        <w:tc>
          <w:tcPr>
            <w:tcW w:w="743"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90יח.</w:t>
            </w:r>
          </w:p>
        </w:tc>
        <w:tc>
          <w:tcPr>
            <w:tcW w:w="5457" w:type="dxa"/>
            <w:gridSpan w:val="4"/>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אין באמור בפרק זה כדי לגרוע מסמכויות שוטר או חייל לפי כל דין."</w:t>
            </w:r>
          </w:p>
          <w:p w:rsidR="000F2C62" w:rsidRDefault="000F2C62">
            <w:pPr>
              <w:spacing w:after="120" w:line="360" w:lineRule="auto"/>
              <w:rPr>
                <w:rFonts w:cs="David"/>
                <w:sz w:val="26"/>
                <w:szCs w:val="26"/>
                <w:rtl/>
              </w:rPr>
            </w:pPr>
          </w:p>
        </w:tc>
      </w:tr>
      <w:tr w:rsidR="000F2C62" w:rsidTr="000F2C62">
        <w:tblPrEx>
          <w:tblCellMar>
            <w:top w:w="0" w:type="dxa"/>
            <w:bottom w:w="0" w:type="dxa"/>
          </w:tblCellMar>
        </w:tblPrEx>
        <w:trPr>
          <w:cantSplit/>
          <w:jc w:val="right"/>
        </w:trPr>
        <w:tc>
          <w:tcPr>
            <w:tcW w:w="1163" w:type="dxa"/>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תיקון חוק מגן דוד אדום</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w:t>
            </w:r>
          </w:p>
        </w:tc>
        <w:tc>
          <w:tcPr>
            <w:tcW w:w="6824" w:type="dxa"/>
            <w:gridSpan w:val="9"/>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בחוק מגן דוד אדום, התש"י-1950</w:t>
            </w:r>
            <w:r>
              <w:rPr>
                <w:rStyle w:val="aa"/>
                <w:sz w:val="26"/>
                <w:szCs w:val="26"/>
              </w:rPr>
              <w:footnoteReference w:id="15"/>
            </w:r>
            <w:r>
              <w:rPr>
                <w:rFonts w:cs="David"/>
                <w:sz w:val="26"/>
                <w:szCs w:val="26"/>
                <w:rtl/>
              </w:rPr>
              <w:t>, בסעיף 3, אחרי סעיף קטן (א) יבוא:</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64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"(א1)</w:t>
            </w:r>
          </w:p>
        </w:tc>
        <w:tc>
          <w:tcPr>
            <w:tcW w:w="6177"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להיערך לקראת אירוע אסון המוני, כהגדרתו בסעיף 90א לפקודת המשטרה [נוסח חדש], התשל"א-1971</w:t>
            </w:r>
            <w:r>
              <w:rPr>
                <w:rStyle w:val="aa"/>
                <w:sz w:val="26"/>
                <w:szCs w:val="26"/>
              </w:rPr>
              <w:footnoteReference w:id="16"/>
            </w:r>
            <w:r>
              <w:rPr>
                <w:rFonts w:cs="David"/>
                <w:sz w:val="26"/>
                <w:szCs w:val="26"/>
                <w:rtl/>
              </w:rPr>
              <w:t>, ולהשתתף בתרגילים לצורך כך."</w:t>
            </w:r>
          </w:p>
        </w:tc>
      </w:tr>
      <w:tr w:rsidR="000F2C62" w:rsidTr="000F2C62">
        <w:tblPrEx>
          <w:tblCellMar>
            <w:top w:w="0" w:type="dxa"/>
            <w:bottom w:w="0" w:type="dxa"/>
          </w:tblCellMar>
        </w:tblPrEx>
        <w:trPr>
          <w:cantSplit/>
          <w:jc w:val="right"/>
        </w:trPr>
        <w:tc>
          <w:tcPr>
            <w:tcW w:w="1163" w:type="dxa"/>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תיקון חוק שירות עבודה בשעת חירום</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5.</w:t>
            </w:r>
          </w:p>
        </w:tc>
        <w:tc>
          <w:tcPr>
            <w:tcW w:w="6824" w:type="dxa"/>
            <w:gridSpan w:val="9"/>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בחוק שירות עבודה בשעת חירום, התשכ"ז-1967</w:t>
            </w:r>
            <w:r>
              <w:rPr>
                <w:rStyle w:val="aa"/>
                <w:sz w:val="26"/>
                <w:szCs w:val="26"/>
              </w:rPr>
              <w:footnoteReference w:id="17"/>
            </w:r>
            <w:r>
              <w:rPr>
                <w:rFonts w:cs="David"/>
                <w:sz w:val="26"/>
                <w:szCs w:val="26"/>
                <w:rtl/>
              </w:rPr>
              <w:t xml:space="preserve"> -</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6257"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בסעיף 1 -</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5690"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בהגדרה "מפעל למתן שירותים קיומיים", בסופה יבוא "או בעת אירוע אסון המוני";</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5690"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אחרי ההגדרה "מצב מיוחד בעורף" יבוא:</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gridSpan w:val="3"/>
            <w:tcBorders>
              <w:top w:val="nil"/>
              <w:left w:val="nil"/>
              <w:bottom w:val="nil"/>
              <w:right w:val="nil"/>
            </w:tcBorders>
          </w:tcPr>
          <w:p w:rsidR="000F2C62" w:rsidRDefault="000F2C62">
            <w:pPr>
              <w:spacing w:after="120" w:line="360" w:lineRule="auto"/>
              <w:rPr>
                <w:rFonts w:cs="David"/>
                <w:sz w:val="26"/>
                <w:szCs w:val="26"/>
                <w:rtl/>
              </w:rPr>
            </w:pPr>
          </w:p>
        </w:tc>
        <w:tc>
          <w:tcPr>
            <w:tcW w:w="5690" w:type="dxa"/>
            <w:gridSpan w:val="5"/>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""אירוע אסון המוני" - כהגדרתו בסעיף 90א לפקודת המשטרה [נוסח חדש], התשל"א-</w:t>
            </w:r>
            <w:r>
              <w:rPr>
                <w:rFonts w:ascii="Times New (W1)" w:hAnsi="Times New (W1)" w:cs="David"/>
                <w:sz w:val="26"/>
                <w:szCs w:val="26"/>
                <w:vertAlign w:val="superscript"/>
                <w:rtl/>
              </w:rPr>
              <w:t>16</w:t>
            </w:r>
            <w:r>
              <w:rPr>
                <w:rFonts w:cs="David"/>
                <w:sz w:val="26"/>
                <w:szCs w:val="26"/>
                <w:rtl/>
              </w:rPr>
              <w:t>1971;";</w:t>
            </w:r>
          </w:p>
        </w:tc>
      </w:tr>
    </w:tbl>
    <w:p w:rsidR="00000000" w:rsidRDefault="000F2C62">
      <w:pPr>
        <w:spacing w:line="360" w:lineRule="auto"/>
        <w:rPr>
          <w:rFonts w:cs="David"/>
          <w:sz w:val="24"/>
          <w:rtl/>
        </w:rPr>
      </w:pPr>
      <w:r>
        <w:rPr>
          <w:rFonts w:cs="David"/>
        </w:rPr>
        <w:br w:type="page"/>
      </w:r>
    </w:p>
    <w:tbl>
      <w:tblPr>
        <w:bidiVisual/>
        <w:tblW w:w="0" w:type="auto"/>
        <w:jc w:val="right"/>
        <w:tblLayout w:type="fixed"/>
        <w:tblCellMar>
          <w:left w:w="57" w:type="dxa"/>
          <w:right w:w="57" w:type="dxa"/>
        </w:tblCellMar>
        <w:tblLook w:val="0000" w:firstRow="0" w:lastRow="0" w:firstColumn="0" w:lastColumn="0" w:noHBand="0" w:noVBand="0"/>
      </w:tblPr>
      <w:tblGrid>
        <w:gridCol w:w="1163"/>
        <w:gridCol w:w="567"/>
        <w:gridCol w:w="567"/>
        <w:gridCol w:w="567"/>
        <w:gridCol w:w="624"/>
        <w:gridCol w:w="567"/>
        <w:gridCol w:w="122"/>
        <w:gridCol w:w="567"/>
        <w:gridCol w:w="567"/>
        <w:gridCol w:w="3243"/>
      </w:tblGrid>
      <w:tr w:rsidR="000F2C62" w:rsidTr="000F2C62">
        <w:tblPrEx>
          <w:tblCellMar>
            <w:top w:w="0" w:type="dxa"/>
            <w:bottom w:w="0" w:type="dxa"/>
          </w:tblCellMar>
        </w:tblPrEx>
        <w:trPr>
          <w:cantSplit/>
          <w:jc w:val="right"/>
        </w:trPr>
        <w:tc>
          <w:tcPr>
            <w:tcW w:w="1163" w:type="dxa"/>
            <w:vMerge w:val="restart"/>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6257" w:type="dxa"/>
            <w:gridSpan w:val="7"/>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אחרי סעיף 16א יבוא:</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 xml:space="preserve">"אירוע אסון </w:t>
            </w:r>
          </w:p>
          <w:p w:rsidR="000F2C62" w:rsidRDefault="000F2C62">
            <w:pPr>
              <w:spacing w:line="360" w:lineRule="auto"/>
              <w:rPr>
                <w:rFonts w:cs="David"/>
                <w:sz w:val="26"/>
                <w:szCs w:val="26"/>
                <w:rtl/>
              </w:rPr>
            </w:pPr>
            <w:r>
              <w:rPr>
                <w:rFonts w:cs="David"/>
                <w:sz w:val="26"/>
                <w:szCs w:val="26"/>
                <w:rtl/>
              </w:rPr>
              <w:t>המוני – הכרזה על תחולת הפרק</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16ב.</w:t>
            </w:r>
          </w:p>
        </w:tc>
        <w:tc>
          <w:tcPr>
            <w:tcW w:w="4499" w:type="dxa"/>
            <w:gridSpan w:val="4"/>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 xml:space="preserve">הוכרז על אירוע אסון המוני לפי הוראות סעיף 90ב לפקודת המשטרה [נוסח חדש], התשל"א-1971, רשאי שר התעשיה המסחר והתעסוקה, לאחר התייעצות עם ראש הממשלה, עם השר לבטחון הפנים או עם שר הבטחון, לפי הענין, להכריז בצו שהוראות פרק זה יחולו בשטח שעליו חלה ההכרזה ועל מפעלים למתן שירותים קיומיים הדרושים לתפקודו של השטח בין שהם מצויים בשטח ובין מחוץ לו; צו לפי סעיף זה יפקע במועד שבו תפקע ההכרזה על אירוע אסון המוני, אלא אם כן ביטל שר התעשיה המסחר והתעסוקה את הצו קודם לכן." </w:t>
            </w:r>
          </w:p>
        </w:tc>
      </w:tr>
      <w:tr w:rsidR="000F2C62" w:rsidTr="000F2C62">
        <w:tblPrEx>
          <w:tblCellMar>
            <w:top w:w="0" w:type="dxa"/>
            <w:bottom w:w="0" w:type="dxa"/>
          </w:tblCellMar>
        </w:tblPrEx>
        <w:trPr>
          <w:cantSplit/>
          <w:jc w:val="right"/>
        </w:trPr>
        <w:tc>
          <w:tcPr>
            <w:tcW w:w="1163" w:type="dxa"/>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תיקון חוק רישום ציוד וגיוסו לצבא הגנה לישראל</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6.</w:t>
            </w:r>
          </w:p>
        </w:tc>
        <w:tc>
          <w:tcPr>
            <w:tcW w:w="6824"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בחוק רישום ציוד וגיוסו לצבא הגנה לישראל, התשמ"ז-1987</w:t>
            </w:r>
            <w:r>
              <w:rPr>
                <w:rStyle w:val="aa"/>
                <w:sz w:val="26"/>
                <w:szCs w:val="26"/>
              </w:rPr>
              <w:footnoteReference w:id="18"/>
            </w:r>
            <w:r>
              <w:rPr>
                <w:rFonts w:cs="David"/>
                <w:sz w:val="26"/>
                <w:szCs w:val="26"/>
                <w:rtl/>
              </w:rPr>
              <w:t xml:space="preserve"> - </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6257" w:type="dxa"/>
            <w:gridSpan w:val="7"/>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בסעיף 27, אחרי פסקה (3) יבוא:</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w:t>
            </w:r>
          </w:p>
        </w:tc>
        <w:tc>
          <w:tcPr>
            <w:tcW w:w="5690"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לענין ציוד הנדרש במקרה של אירוע אסון המוני, כהגדרתו בסעיף 90א לפקודת המשטרה [נוסח חדש], התשל"א-</w:t>
            </w:r>
            <w:r>
              <w:rPr>
                <w:rFonts w:ascii="Times New (W1)" w:hAnsi="Times New (W1)" w:cs="David"/>
                <w:sz w:val="26"/>
                <w:szCs w:val="26"/>
                <w:vertAlign w:val="superscript"/>
                <w:rtl/>
              </w:rPr>
              <w:t>16</w:t>
            </w:r>
            <w:r>
              <w:rPr>
                <w:rFonts w:cs="David"/>
                <w:sz w:val="26"/>
                <w:szCs w:val="26"/>
                <w:rtl/>
              </w:rPr>
              <w:t>1971 (בחוק זה – אירוע אסון המוני) – השר לבטחון הפנים.";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6257" w:type="dxa"/>
            <w:gridSpan w:val="7"/>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בסעיף 28, במקום "שבטחון המדינה או אספקת שירותים חיוניים לציבור" יבוא "שבטחון המדינה, אספקת שירותים חיוניים לציבור או טיפול באירוע אסון המוני".</w:t>
            </w:r>
          </w:p>
        </w:tc>
      </w:tr>
      <w:tr w:rsidR="000F2C62" w:rsidTr="000F2C62">
        <w:tblPrEx>
          <w:tblCellMar>
            <w:top w:w="0" w:type="dxa"/>
            <w:bottom w:w="0" w:type="dxa"/>
          </w:tblCellMar>
        </w:tblPrEx>
        <w:trPr>
          <w:cantSplit/>
          <w:jc w:val="right"/>
        </w:trPr>
        <w:tc>
          <w:tcPr>
            <w:tcW w:w="1163" w:type="dxa"/>
            <w:vMerge w:val="restart"/>
            <w:tcBorders>
              <w:top w:val="nil"/>
              <w:left w:val="nil"/>
              <w:bottom w:val="nil"/>
              <w:right w:val="nil"/>
            </w:tcBorders>
          </w:tcPr>
          <w:p w:rsidR="000F2C62" w:rsidRDefault="000F2C62">
            <w:pPr>
              <w:spacing w:after="120"/>
              <w:rPr>
                <w:rFonts w:cs="David"/>
                <w:sz w:val="26"/>
                <w:szCs w:val="26"/>
                <w:rtl/>
              </w:rPr>
            </w:pPr>
            <w:r>
              <w:rPr>
                <w:rFonts w:cs="David"/>
                <w:sz w:val="26"/>
                <w:szCs w:val="26"/>
                <w:rtl/>
              </w:rPr>
              <w:t>תיקון חוק החומרים המסוכנים</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7.</w:t>
            </w:r>
          </w:p>
        </w:tc>
        <w:tc>
          <w:tcPr>
            <w:tcW w:w="6824" w:type="dxa"/>
            <w:gridSpan w:val="8"/>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בחוק החומרים המסוכנים, התשנ"ג-1993</w:t>
            </w:r>
            <w:r>
              <w:rPr>
                <w:rStyle w:val="aa"/>
                <w:sz w:val="26"/>
                <w:szCs w:val="26"/>
              </w:rPr>
              <w:footnoteReference w:id="19"/>
            </w:r>
            <w:r>
              <w:rPr>
                <w:rFonts w:cs="David"/>
                <w:sz w:val="26"/>
                <w:szCs w:val="26"/>
                <w:rtl/>
              </w:rPr>
              <w:t xml:space="preserve"> -</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6257" w:type="dxa"/>
            <w:gridSpan w:val="7"/>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בסעיף 1 -</w:t>
            </w:r>
          </w:p>
        </w:tc>
      </w:tr>
      <w:tr w:rsidR="000F2C62" w:rsidTr="000F2C62">
        <w:tblPrEx>
          <w:tblCellMar>
            <w:top w:w="0" w:type="dxa"/>
            <w:bottom w:w="0" w:type="dxa"/>
          </w:tblCellMar>
        </w:tblPrEx>
        <w:trPr>
          <w:cantSplit/>
          <w:jc w:val="right"/>
        </w:trPr>
        <w:tc>
          <w:tcPr>
            <w:tcW w:w="1163" w:type="dxa"/>
            <w:vMerge/>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5690"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לפני ההגדרה "חומר מסוכן" יבוא:</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90"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""אירוע חומרים מסוכנים" – התרחשות בלתי מבוקרת או תאונה, שמעורב בה חומר מסוכן, הגורמת או העלולה לגרום סיכון לאדם ולסביבה, לרבות שפך, דליפה, פיזור, פיצוץ, התאיידות, דליקה;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90"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"גוף הצלה" – כהגדרתו בסעיף 90א לפקודת המשטרה [נוסח חדש], התשל"א-</w:t>
            </w:r>
            <w:r>
              <w:rPr>
                <w:rFonts w:ascii="Times New (W1)" w:hAnsi="Times New (W1)" w:cs="David"/>
                <w:sz w:val="26"/>
                <w:szCs w:val="26"/>
                <w:vertAlign w:val="superscript"/>
                <w:rtl/>
              </w:rPr>
              <w:t>16</w:t>
            </w:r>
            <w:r>
              <w:rPr>
                <w:rFonts w:cs="David"/>
                <w:sz w:val="26"/>
                <w:szCs w:val="26"/>
                <w:rtl/>
              </w:rPr>
              <w:t>1971 (בחוק זה – פקודת המשטרה);";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5690"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אחרי ההגדרה "ממונה" יבוא:</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90" w:type="dxa"/>
            <w:gridSpan w:val="6"/>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""ממונה על אירוע חומרים מסוכנים" – מי שהשר הסמיכו להיות ממונה על אירוע חומרים מסוכנים לפי הוראות סעיף </w:t>
            </w:r>
            <w:r>
              <w:rPr>
                <w:rFonts w:cs="David"/>
                <w:sz w:val="26"/>
                <w:szCs w:val="26"/>
                <w:rtl/>
              </w:rPr>
              <w:br/>
              <w:t>16ג1;";</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6257" w:type="dxa"/>
            <w:gridSpan w:val="7"/>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אחרי סעיף 16ג יבוא:</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rPr>
                <w:rFonts w:cs="David"/>
                <w:sz w:val="26"/>
                <w:szCs w:val="26"/>
                <w:rtl/>
              </w:rPr>
            </w:pPr>
            <w:r>
              <w:rPr>
                <w:rFonts w:cs="David"/>
                <w:sz w:val="26"/>
                <w:szCs w:val="26"/>
                <w:rtl/>
              </w:rPr>
              <w:t>"מינוי ממונה על אירוע חומרים מסוכנים</w:t>
            </w: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16ג1.</w:t>
            </w:r>
          </w:p>
        </w:tc>
        <w:tc>
          <w:tcPr>
            <w:tcW w:w="4377" w:type="dxa"/>
            <w:gridSpan w:val="3"/>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השר יסמיך ממונה על אירוע חומרים מסוכנים מבין עובדי משרדו, או מבין עובדי רשות מקומית בהסכמת ראש אותה רשות.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highlight w:val="cyan"/>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rPr>
                <w:rFonts w:cs="David"/>
                <w:sz w:val="26"/>
                <w:szCs w:val="26"/>
                <w:rtl/>
              </w:rPr>
            </w:pPr>
            <w:r>
              <w:rPr>
                <w:rFonts w:cs="David"/>
                <w:sz w:val="26"/>
                <w:szCs w:val="26"/>
                <w:rtl/>
              </w:rPr>
              <w:t>תפקידי ממונה על אירוע חומרים מסוכנים וסמכויותיו</w:t>
            </w: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16ג2.</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3810" w:type="dxa"/>
            <w:gridSpan w:val="2"/>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לממונה על אירוע חומרים מסוכנים יהיו התפקידים המנויים בסעיף זה בעת אירוע חומרים מסוכנים או בעת שהוא פועל כגוף הצלה לפי סעיף 4א(א)(2) או פרק ששי 1 לפקודת המשטרה, ובעת תרגיל להיערכות לקראת אירוע חומרים מסוכנים: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גילוי, זיהוי וניטור של חומרים מסוכנים בעת אירוע חומרים מסוכנים ולאחריו;</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הערכת סיכונים בעת אירוע חומרים מסוכנים;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3243"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מתן ייעוץ מקצועי לקצין משטרה או לקצין צה"ל, לפי בקשתם, לגבי אופן הטיפול בחומרים מסוכנים, כדי למנוע, לצמצם או להפסיק סכנה לאדם ולסביבה וכן מתן ייעוץ מקצועי כאמור לגבי הנחיות התנהגות לציבור ולגופי ההצלה; לענין פסקה זו, "קצין משטרה", "קצין צה"ל" – כהגדרתם בסעיף 90א לפקודת המשטרה;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w:t>
            </w:r>
          </w:p>
        </w:tc>
        <w:tc>
          <w:tcPr>
            <w:tcW w:w="3243"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מתן ייעוץ מקצועי להחזרת המצב באזור האירוע לקדמותו והנחיות לשיקום אזור האירוע.</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3810"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לצורך ביצוע תפקידיו לפי סעיף קטן (א), יהיו לממונה על אירוע חומרים מסוכנים הסמכויות המפורטות להלן:</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לדרוש מאדם המצוי באזור האירוע או מאדם שיש לממונה על אירוע חומרים מסוכנים יסוד להניח כי יש לו קשר לאירוע או מידע בקשר אליו, להזדהות;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להיכנס לכל מקום ככל הדרוש לטיפול באירוע החומרים המסוכנים לשם מניעה וצמצום סכנה לחיי אדם;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 xml:space="preserve">לדרוש מסמכים, לעיין בהם וליטול אותם או העתקים מהם;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(4)</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לערוך חיפוש במקום בלא צו שופט, אם יש לו יסוד סביר להניח שבאותו מקום מצויים חומרים מסוכנים העלולים לגרום סכנה ממשית ותכופה לחיי אדם;</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highlight w:val="darkMagenta"/>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(5)</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ליטול דוגמה מכל חומר שיש לו יסוד סביר להניח שהוא חומר מסוכן;</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(6)</w:t>
            </w:r>
          </w:p>
        </w:tc>
        <w:tc>
          <w:tcPr>
            <w:tcW w:w="3243"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לתפוס חומר שיש לו יסוד סביר להניח שהוא חומר מסוכן, ככל הדרוש להצלת חיי אדם או רכוש או לצמצום היקף אירוע חומרים מסוכנים או תוצאותיו; חומר שנתפס כאמור יוחזר במידת האפשר ובהקדם האפשרי לאחר תום אירוע חומרים מסוכנים ולמי שממנו נתפס.</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3810"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 xml:space="preserve">בעת שממונה על אירוע חומרים מסוכנים פועל כגוף הצלה לפי סעיף 4א(א)(2) או פרק שישי 1 לפקודת המשטרה, השימוש בסמכויות לפי סעיף זה יהיה לפי הוראות שקיבל בהתאם להוראות הסעיף או הפרק האמורים, לפי הענין.  </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rPr>
                <w:rFonts w:cs="David"/>
                <w:sz w:val="26"/>
                <w:szCs w:val="26"/>
                <w:rtl/>
              </w:rPr>
            </w:pPr>
            <w:r>
              <w:rPr>
                <w:rFonts w:cs="David"/>
                <w:sz w:val="26"/>
                <w:szCs w:val="26"/>
                <w:rtl/>
              </w:rPr>
              <w:t>בדיקת אירוע חומרים מסוכנים</w:t>
            </w: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16ג3.</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3810"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השר רשאי למנות ועדת בדיקה לשם בירור סיבותיו ונסיבותיו של אירוע חומרים מסוכנים, ובמטרה להפיק לקחים (בחוק זה – ועדת בדיקה); ועדת הבדיקה תגיש לשר מסקנות והמלצות.</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3810"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בטרם תגיש ועדת בדיקה מסקנות והמלצות לפי סעיף קטן (א), תינתן הזדמנות לגוף הצלה שביקש זאת להשמיע את עמדתו.</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(ג)</w:t>
            </w:r>
          </w:p>
        </w:tc>
        <w:tc>
          <w:tcPr>
            <w:tcW w:w="3810" w:type="dxa"/>
            <w:gridSpan w:val="2"/>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לצורך ביצוע תפקידיו יהיו לחבר ועדת הבדיקה סמכויות אלה: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סמכויות חקירה המסורות לקצין משטרה לפי סעיף 2 לפקודת הפרוצדורה הפלילית (עדות)</w:t>
            </w:r>
            <w:r>
              <w:rPr>
                <w:rStyle w:val="aa"/>
                <w:sz w:val="26"/>
                <w:szCs w:val="26"/>
              </w:rPr>
              <w:footnoteReference w:id="20"/>
            </w:r>
            <w:r>
              <w:rPr>
                <w:rFonts w:cs="David"/>
                <w:sz w:val="26"/>
                <w:szCs w:val="26"/>
                <w:rtl/>
              </w:rPr>
              <w:t>, והוראות סעיף 3 לפקודה האמורה יחולו על הבדיקה;</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(2)</w:t>
            </w:r>
          </w:p>
        </w:tc>
        <w:tc>
          <w:tcPr>
            <w:tcW w:w="3243" w:type="dxa"/>
            <w:tcBorders>
              <w:top w:val="nil"/>
              <w:left w:val="nil"/>
              <w:bottom w:val="nil"/>
              <w:right w:val="nil"/>
            </w:tcBorders>
          </w:tcPr>
          <w:p w:rsidR="000F2C62" w:rsidRDefault="000F2C62">
            <w:pPr>
              <w:spacing w:line="360" w:lineRule="auto"/>
              <w:rPr>
                <w:rFonts w:cs="David"/>
                <w:sz w:val="26"/>
                <w:szCs w:val="26"/>
                <w:rtl/>
              </w:rPr>
            </w:pPr>
            <w:r>
              <w:rPr>
                <w:rFonts w:cs="David"/>
                <w:sz w:val="26"/>
                <w:szCs w:val="26"/>
                <w:rtl/>
              </w:rPr>
              <w:t xml:space="preserve">הסמכויות האמורות בסעיף </w:t>
            </w:r>
            <w:r>
              <w:rPr>
                <w:rFonts w:cs="David"/>
                <w:sz w:val="26"/>
                <w:szCs w:val="26"/>
                <w:rtl/>
              </w:rPr>
              <w:br/>
              <w:t>16ג2(ב)(3) ו-(5);</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3243"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הסמכות לבקש משופט צו חיפוש כדי להבטיח הצגתו של מסמך או חפץ הדרוש לבדיקה, והסמכות לבצע חיפוש על פיו; על צו כאמור יחולו הוראות הפרק השלישי לפקודת סדר הדין הפלילי (מעצר וחיפוש) [נוסח חדש], התשכ"ט-1969</w:t>
            </w:r>
            <w:r>
              <w:rPr>
                <w:rStyle w:val="aa"/>
                <w:sz w:val="26"/>
                <w:szCs w:val="26"/>
              </w:rPr>
              <w:footnoteReference w:id="21"/>
            </w:r>
            <w:r>
              <w:rPr>
                <w:rFonts w:cs="David"/>
                <w:sz w:val="26"/>
                <w:szCs w:val="26"/>
                <w:rtl/>
              </w:rPr>
              <w:t>.</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rPr>
                <w:rFonts w:cs="David"/>
                <w:sz w:val="26"/>
                <w:szCs w:val="26"/>
                <w:rtl/>
              </w:rPr>
            </w:pPr>
            <w:r>
              <w:rPr>
                <w:rFonts w:cs="David"/>
                <w:sz w:val="26"/>
                <w:szCs w:val="26"/>
                <w:rtl/>
              </w:rPr>
              <w:t>ממונה על אירוע חומרים מסוכנים – הגבלת סמכות</w:t>
            </w: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16ג4.</w:t>
            </w: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(א)</w:t>
            </w:r>
          </w:p>
        </w:tc>
        <w:tc>
          <w:tcPr>
            <w:tcW w:w="3810"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באירוע חומרים מסוכנים שמקורו בשטח מרכזי המחקר הגרעיני שבאחריות הועדה לאנרגיה אטומית, או שמקורו בשטח של מיתקן בטחוני או בשטח המוחזק על ידי צה"ל, כהגדרתם בסעיף 90א לפקודת המשטרה, לא יחולו הוראות סעיף 16ג2, אלא אם כן אישר ראש הממשלה או שר הבטחון, לפי הענין, את הפעלת סמכויותיו של ממונה על אירוע חומרים מסוכנים הקבועות באותו סעיף.</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sz w:val="20"/>
                <w:szCs w:val="20"/>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p>
        </w:tc>
        <w:tc>
          <w:tcPr>
            <w:tcW w:w="1191"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689" w:type="dxa"/>
            <w:gridSpan w:val="2"/>
            <w:tcBorders>
              <w:top w:val="nil"/>
              <w:left w:val="nil"/>
              <w:bottom w:val="nil"/>
              <w:right w:val="nil"/>
            </w:tcBorders>
          </w:tcPr>
          <w:p w:rsidR="000F2C62" w:rsidRDefault="000F2C62">
            <w:pPr>
              <w:spacing w:after="120" w:line="360" w:lineRule="auto"/>
              <w:rPr>
                <w:rFonts w:cs="David"/>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w:t>
            </w:r>
          </w:p>
        </w:tc>
        <w:tc>
          <w:tcPr>
            <w:tcW w:w="3810" w:type="dxa"/>
            <w:gridSpan w:val="2"/>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ועדת בדיקה לענין אירוע כאמור בסעיף קטן (א) תמונה בידי ראש הממשלה או שר הבטחון, לפי הענין, ואחד מחבריה ימונה לפי המלצת השר.";</w:t>
            </w:r>
          </w:p>
        </w:tc>
      </w:tr>
      <w:tr w:rsidR="000F2C62" w:rsidTr="000F2C62">
        <w:tblPrEx>
          <w:tblCellMar>
            <w:top w:w="0" w:type="dxa"/>
            <w:bottom w:w="0" w:type="dxa"/>
          </w:tblCellMar>
        </w:tblPrEx>
        <w:trPr>
          <w:cantSplit/>
          <w:jc w:val="right"/>
        </w:trPr>
        <w:tc>
          <w:tcPr>
            <w:tcW w:w="1163" w:type="dxa"/>
            <w:tcBorders>
              <w:top w:val="nil"/>
              <w:left w:val="nil"/>
              <w:bottom w:val="nil"/>
              <w:right w:val="nil"/>
            </w:tcBorders>
          </w:tcPr>
          <w:p w:rsidR="000F2C62" w:rsidRDefault="000F2C62">
            <w:pPr>
              <w:spacing w:after="120" w:line="360" w:lineRule="auto"/>
              <w:rPr>
                <w:rFonts w:cs="David"/>
                <w:color w:val="FF6600"/>
                <w:sz w:val="20"/>
                <w:szCs w:val="20"/>
                <w:rtl/>
              </w:rPr>
            </w:pPr>
          </w:p>
        </w:tc>
        <w:tc>
          <w:tcPr>
            <w:tcW w:w="567" w:type="dxa"/>
            <w:tcBorders>
              <w:top w:val="nil"/>
              <w:left w:val="nil"/>
              <w:bottom w:val="nil"/>
              <w:right w:val="nil"/>
            </w:tcBorders>
          </w:tcPr>
          <w:p w:rsidR="000F2C62" w:rsidRDefault="000F2C62">
            <w:pPr>
              <w:spacing w:after="120" w:line="360" w:lineRule="auto"/>
              <w:rPr>
                <w:rFonts w:cs="David"/>
                <w:color w:val="FF6600"/>
                <w:sz w:val="26"/>
                <w:szCs w:val="26"/>
                <w:rtl/>
              </w:rPr>
            </w:pPr>
          </w:p>
        </w:tc>
        <w:tc>
          <w:tcPr>
            <w:tcW w:w="567" w:type="dxa"/>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(3)</w:t>
            </w:r>
          </w:p>
        </w:tc>
        <w:tc>
          <w:tcPr>
            <w:tcW w:w="6257" w:type="dxa"/>
            <w:gridSpan w:val="7"/>
            <w:tcBorders>
              <w:top w:val="nil"/>
              <w:left w:val="nil"/>
              <w:bottom w:val="nil"/>
              <w:right w:val="nil"/>
            </w:tcBorders>
          </w:tcPr>
          <w:p w:rsidR="000F2C62" w:rsidRDefault="000F2C62">
            <w:pPr>
              <w:spacing w:after="120" w:line="360" w:lineRule="auto"/>
              <w:rPr>
                <w:rFonts w:cs="David"/>
                <w:sz w:val="26"/>
                <w:szCs w:val="26"/>
                <w:rtl/>
              </w:rPr>
            </w:pPr>
            <w:r>
              <w:rPr>
                <w:rFonts w:cs="David"/>
                <w:sz w:val="26"/>
                <w:szCs w:val="26"/>
                <w:rtl/>
              </w:rPr>
              <w:t>בסעיף 16ד(א) ברישה, לפני "חוק זה" יבוא "מבלי לגרוע מהוראות סעיפים 16ג2, 16ג3 ו-16ג4,".</w:t>
            </w:r>
          </w:p>
        </w:tc>
      </w:tr>
    </w:tbl>
    <w:p w:rsidR="00000000" w:rsidRDefault="000F2C62">
      <w:pPr>
        <w:spacing w:line="360" w:lineRule="auto"/>
        <w:rPr>
          <w:rFonts w:cs="David"/>
          <w:sz w:val="26"/>
          <w:szCs w:val="26"/>
          <w:rtl/>
        </w:rPr>
      </w:pPr>
    </w:p>
    <w:p w:rsidR="00000000" w:rsidRDefault="000F2C62">
      <w:pPr>
        <w:spacing w:line="360" w:lineRule="auto"/>
        <w:rPr>
          <w:rFonts w:cs="David"/>
          <w:sz w:val="26"/>
          <w:szCs w:val="26"/>
          <w:rtl/>
        </w:rPr>
      </w:pPr>
    </w:p>
    <w:p w:rsidR="00000000" w:rsidRDefault="000F2C62">
      <w:pPr>
        <w:spacing w:line="360" w:lineRule="auto"/>
        <w:rPr>
          <w:rFonts w:cs="David"/>
          <w:sz w:val="24"/>
          <w:rtl/>
        </w:rPr>
      </w:pPr>
      <w:r>
        <w:rPr>
          <w:rFonts w:cs="David"/>
          <w:sz w:val="26"/>
          <w:szCs w:val="26"/>
          <w:rtl/>
        </w:rPr>
        <w:t>***************************************************************************************</w:t>
      </w: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rPr>
          <w:rFonts w:cs="David"/>
          <w:noProof w:val="0"/>
          <w:sz w:val="24"/>
          <w:u w:val="single"/>
          <w:rtl/>
        </w:rPr>
      </w:pPr>
    </w:p>
    <w:p w:rsidR="00000000" w:rsidRDefault="000F2C62">
      <w:pPr>
        <w:pStyle w:val="a8"/>
        <w:overflowPunct w:val="0"/>
        <w:autoSpaceDE w:val="0"/>
        <w:autoSpaceDN w:val="0"/>
        <w:adjustRightInd w:val="0"/>
        <w:textAlignment w:val="baseline"/>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2C62">
      <w:r>
        <w:separator/>
      </w:r>
    </w:p>
  </w:endnote>
  <w:endnote w:type="continuationSeparator" w:id="0">
    <w:p w:rsidR="00000000" w:rsidRDefault="000F2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2C62">
      <w:r>
        <w:separator/>
      </w:r>
    </w:p>
  </w:footnote>
  <w:footnote w:type="continuationSeparator" w:id="0">
    <w:p w:rsidR="00000000" w:rsidRDefault="000F2C62">
      <w:r>
        <w:continuationSeparator/>
      </w:r>
    </w:p>
  </w:footnote>
  <w:footnote w:id="1">
    <w:p w:rsidR="000F2C62" w:rsidRDefault="000F2C62">
      <w:pPr>
        <w:pStyle w:val="ab"/>
      </w:pPr>
      <w:r>
        <w:rPr>
          <w:rStyle w:val="aa"/>
          <w:rFonts w:cs="David"/>
        </w:rPr>
        <w:footnoteRef/>
      </w:r>
      <w:r>
        <w:rPr>
          <w:rFonts w:cs="David"/>
        </w:rPr>
        <w:t xml:space="preserve"> </w:t>
      </w:r>
      <w:r>
        <w:rPr>
          <w:rFonts w:cs="David"/>
          <w:rtl/>
        </w:rPr>
        <w:t>דיני מדינת ישראל, נוסח חדש 17, עמ' 390; ס"ח התשס"ד, עמ' 430.</w:t>
      </w:r>
    </w:p>
  </w:footnote>
  <w:footnote w:id="2">
    <w:p w:rsidR="000F2C62" w:rsidRDefault="000F2C62">
      <w:pPr>
        <w:pStyle w:val="ab"/>
      </w:pPr>
      <w:r>
        <w:rPr>
          <w:rStyle w:val="aa"/>
          <w:rFonts w:cs="David"/>
        </w:rPr>
        <w:footnoteRef/>
      </w:r>
      <w:r>
        <w:rPr>
          <w:rFonts w:cs="David"/>
          <w:rtl/>
        </w:rPr>
        <w:t xml:space="preserve"> דיני מדינת ישראל, נוסח חדש 10, עמ' 266.</w:t>
      </w:r>
    </w:p>
  </w:footnote>
  <w:footnote w:id="3">
    <w:p w:rsidR="000F2C62" w:rsidRDefault="000F2C62">
      <w:pPr>
        <w:pStyle w:val="ab"/>
      </w:pPr>
      <w:r>
        <w:rPr>
          <w:rStyle w:val="aa"/>
          <w:rFonts w:cs="David"/>
        </w:rPr>
        <w:footnoteRef/>
      </w:r>
      <w:r>
        <w:rPr>
          <w:rFonts w:cs="David"/>
          <w:rtl/>
        </w:rPr>
        <w:t xml:space="preserve"> ס"ח התשנ"ה, עמ' 210.</w:t>
      </w:r>
    </w:p>
  </w:footnote>
  <w:footnote w:id="4">
    <w:p w:rsidR="000F2C62" w:rsidRDefault="000F2C62">
      <w:pPr>
        <w:pStyle w:val="ab"/>
      </w:pPr>
      <w:r>
        <w:rPr>
          <w:rStyle w:val="aa"/>
          <w:rFonts w:cs="David"/>
        </w:rPr>
        <w:footnoteRef/>
      </w:r>
      <w:r>
        <w:rPr>
          <w:rFonts w:cs="David"/>
        </w:rPr>
        <w:t xml:space="preserve"> </w:t>
      </w:r>
      <w:r>
        <w:rPr>
          <w:rFonts w:cs="David"/>
          <w:rtl/>
        </w:rPr>
        <w:t>ס"ח התשנ"ג, עמ' 28.</w:t>
      </w:r>
    </w:p>
  </w:footnote>
  <w:footnote w:id="5">
    <w:p w:rsidR="000F2C62" w:rsidRDefault="000F2C62">
      <w:pPr>
        <w:pStyle w:val="ab"/>
      </w:pPr>
      <w:r>
        <w:rPr>
          <w:rStyle w:val="aa"/>
          <w:rFonts w:cs="David"/>
        </w:rPr>
        <w:footnoteRef/>
      </w:r>
      <w:r>
        <w:rPr>
          <w:rFonts w:cs="David"/>
        </w:rPr>
        <w:t xml:space="preserve"> </w:t>
      </w:r>
      <w:r>
        <w:rPr>
          <w:rFonts w:cs="David"/>
          <w:rtl/>
        </w:rPr>
        <w:t>ס"ח התש"י, עמ' 175.</w:t>
      </w:r>
    </w:p>
  </w:footnote>
  <w:footnote w:id="6">
    <w:p w:rsidR="000F2C62" w:rsidRDefault="000F2C62">
      <w:pPr>
        <w:pStyle w:val="ab"/>
      </w:pPr>
      <w:r>
        <w:rPr>
          <w:rStyle w:val="aa"/>
          <w:rFonts w:cs="David"/>
        </w:rPr>
        <w:footnoteRef/>
      </w:r>
      <w:r>
        <w:rPr>
          <w:rFonts w:cs="David"/>
        </w:rPr>
        <w:t xml:space="preserve"> </w:t>
      </w:r>
      <w:r>
        <w:rPr>
          <w:rFonts w:cs="David"/>
          <w:rtl/>
        </w:rPr>
        <w:t>ס"ח התשי"ט, עמ' 199.</w:t>
      </w:r>
    </w:p>
  </w:footnote>
  <w:footnote w:id="7">
    <w:p w:rsidR="000F2C62" w:rsidRDefault="000F2C62">
      <w:pPr>
        <w:pStyle w:val="ab"/>
      </w:pPr>
      <w:r>
        <w:rPr>
          <w:rStyle w:val="aa"/>
          <w:rFonts w:cs="David"/>
        </w:rPr>
        <w:footnoteRef/>
      </w:r>
      <w:r>
        <w:rPr>
          <w:rFonts w:cs="David"/>
        </w:rPr>
        <w:t xml:space="preserve"> </w:t>
      </w:r>
      <w:r>
        <w:rPr>
          <w:rFonts w:cs="David"/>
          <w:rtl/>
        </w:rPr>
        <w:t>ס"ח התשי"א, עמ' 78.</w:t>
      </w:r>
    </w:p>
  </w:footnote>
  <w:footnote w:id="8">
    <w:p w:rsidR="000F2C62" w:rsidRDefault="000F2C62">
      <w:pPr>
        <w:pStyle w:val="ab"/>
      </w:pPr>
      <w:r>
        <w:rPr>
          <w:rStyle w:val="aa"/>
          <w:rFonts w:cs="David"/>
        </w:rPr>
        <w:footnoteRef/>
      </w:r>
      <w:r>
        <w:rPr>
          <w:rFonts w:cs="David"/>
        </w:rPr>
        <w:t xml:space="preserve"> </w:t>
      </w:r>
      <w:r>
        <w:rPr>
          <w:rFonts w:cs="David"/>
          <w:rtl/>
        </w:rPr>
        <w:t>ס"ח התשט"ו, עמ' 48.</w:t>
      </w:r>
    </w:p>
  </w:footnote>
  <w:footnote w:id="9">
    <w:p w:rsidR="000F2C62" w:rsidRDefault="000F2C62">
      <w:pPr>
        <w:pStyle w:val="ab"/>
      </w:pPr>
      <w:r>
        <w:rPr>
          <w:rStyle w:val="aa"/>
          <w:rFonts w:cs="David"/>
        </w:rPr>
        <w:footnoteRef/>
      </w:r>
      <w:r>
        <w:rPr>
          <w:rFonts w:cs="David"/>
        </w:rPr>
        <w:t xml:space="preserve"> </w:t>
      </w:r>
      <w:r>
        <w:rPr>
          <w:rFonts w:cs="David"/>
          <w:rtl/>
        </w:rPr>
        <w:t>ס"ח התשט"ו, עמ' 171.</w:t>
      </w:r>
    </w:p>
  </w:footnote>
  <w:footnote w:id="10">
    <w:p w:rsidR="000F2C62" w:rsidRDefault="000F2C62">
      <w:pPr>
        <w:pStyle w:val="ab"/>
      </w:pPr>
      <w:r>
        <w:rPr>
          <w:rStyle w:val="aa"/>
          <w:rFonts w:cs="David"/>
        </w:rPr>
        <w:footnoteRef/>
      </w:r>
      <w:r>
        <w:rPr>
          <w:rFonts w:cs="David"/>
        </w:rPr>
        <w:t xml:space="preserve"> </w:t>
      </w:r>
      <w:r>
        <w:rPr>
          <w:rFonts w:cs="David"/>
          <w:rtl/>
        </w:rPr>
        <w:t>ס"ח התשכ"ה, עמ' 106.</w:t>
      </w:r>
    </w:p>
  </w:footnote>
  <w:footnote w:id="11">
    <w:p w:rsidR="000F2C62" w:rsidRDefault="000F2C62">
      <w:pPr>
        <w:pStyle w:val="ab"/>
      </w:pPr>
      <w:r>
        <w:rPr>
          <w:rStyle w:val="aa"/>
          <w:rFonts w:cs="David"/>
        </w:rPr>
        <w:footnoteRef/>
      </w:r>
      <w:r>
        <w:rPr>
          <w:rFonts w:cs="David"/>
        </w:rPr>
        <w:t xml:space="preserve"> </w:t>
      </w:r>
      <w:r>
        <w:rPr>
          <w:rFonts w:cs="David"/>
          <w:rtl/>
        </w:rPr>
        <w:t>ס"ח התש"ן, עמ' 59.</w:t>
      </w:r>
    </w:p>
  </w:footnote>
  <w:footnote w:id="12">
    <w:p w:rsidR="000F2C62" w:rsidRDefault="000F2C62">
      <w:pPr>
        <w:pStyle w:val="ab"/>
      </w:pPr>
      <w:r>
        <w:rPr>
          <w:rStyle w:val="aa"/>
          <w:rFonts w:cs="David"/>
        </w:rPr>
        <w:footnoteRef/>
      </w:r>
      <w:r>
        <w:rPr>
          <w:rFonts w:cs="David"/>
        </w:rPr>
        <w:t xml:space="preserve"> </w:t>
      </w:r>
      <w:r>
        <w:rPr>
          <w:rFonts w:cs="David"/>
          <w:rtl/>
        </w:rPr>
        <w:t>ס"ח התשמ"ב, עמ' 218.</w:t>
      </w:r>
    </w:p>
  </w:footnote>
  <w:footnote w:id="13">
    <w:p w:rsidR="000F2C62" w:rsidRDefault="000F2C62">
      <w:pPr>
        <w:pStyle w:val="ab"/>
      </w:pPr>
      <w:r>
        <w:rPr>
          <w:rStyle w:val="aa"/>
          <w:rFonts w:cs="David"/>
        </w:rPr>
        <w:footnoteRef/>
      </w:r>
      <w:r>
        <w:rPr>
          <w:rFonts w:cs="David"/>
        </w:rPr>
        <w:t xml:space="preserve"> </w:t>
      </w:r>
      <w:r>
        <w:rPr>
          <w:rFonts w:cs="David"/>
          <w:rtl/>
        </w:rPr>
        <w:t>ס"ח התשכ"ח, עמ' 204.</w:t>
      </w:r>
    </w:p>
  </w:footnote>
  <w:footnote w:id="14">
    <w:p w:rsidR="000F2C62" w:rsidRDefault="000F2C62">
      <w:pPr>
        <w:pStyle w:val="ab"/>
      </w:pPr>
      <w:r>
        <w:rPr>
          <w:rStyle w:val="aa"/>
          <w:rFonts w:cs="David"/>
        </w:rPr>
        <w:footnoteRef/>
      </w:r>
      <w:r>
        <w:rPr>
          <w:rFonts w:cs="David"/>
          <w:rtl/>
        </w:rPr>
        <w:t xml:space="preserve"> ס"ח התשכ"ח, עמ' 197.</w:t>
      </w:r>
    </w:p>
  </w:footnote>
  <w:footnote w:id="15">
    <w:p w:rsidR="000F2C62" w:rsidRDefault="000F2C62">
      <w:pPr>
        <w:pStyle w:val="ab"/>
      </w:pPr>
      <w:r>
        <w:rPr>
          <w:rStyle w:val="aa"/>
          <w:rFonts w:cs="David"/>
        </w:rPr>
        <w:footnoteRef/>
      </w:r>
      <w:r>
        <w:rPr>
          <w:rFonts w:cs="David"/>
          <w:rtl/>
        </w:rPr>
        <w:t xml:space="preserve"> ס"ח התש"י, עמ' 175; התשס"ג, עמ' 197.</w:t>
      </w:r>
    </w:p>
  </w:footnote>
  <w:footnote w:id="16">
    <w:p w:rsidR="000F2C62" w:rsidRDefault="000F2C62">
      <w:pPr>
        <w:pStyle w:val="ab"/>
      </w:pPr>
      <w:r>
        <w:rPr>
          <w:rStyle w:val="aa"/>
        </w:rPr>
        <w:footnoteRef/>
      </w:r>
      <w:r>
        <w:t xml:space="preserve"> </w:t>
      </w:r>
      <w:r>
        <w:rPr>
          <w:rtl/>
        </w:rPr>
        <w:t xml:space="preserve"> </w:t>
      </w:r>
      <w:r>
        <w:rPr>
          <w:rFonts w:cs="David"/>
          <w:rtl/>
        </w:rPr>
        <w:t>דיני מדינת ישראל, נוסח חדש 17, עמ' 390; ס"ח התשס"ה, עמ' ...</w:t>
      </w:r>
    </w:p>
  </w:footnote>
  <w:footnote w:id="17">
    <w:p w:rsidR="000F2C62" w:rsidRDefault="000F2C62">
      <w:pPr>
        <w:pStyle w:val="ab"/>
      </w:pPr>
      <w:r>
        <w:rPr>
          <w:rStyle w:val="aa"/>
          <w:rFonts w:cs="David"/>
        </w:rPr>
        <w:footnoteRef/>
      </w:r>
      <w:r>
        <w:rPr>
          <w:rFonts w:cs="David"/>
        </w:rPr>
        <w:t xml:space="preserve"> </w:t>
      </w:r>
      <w:r>
        <w:rPr>
          <w:rFonts w:cs="David"/>
          <w:rtl/>
        </w:rPr>
        <w:t>ס"ח התשכ"ז, עמ' 86; התשס"ד, עמ' 51.</w:t>
      </w:r>
    </w:p>
  </w:footnote>
  <w:footnote w:id="18">
    <w:p w:rsidR="000F2C62" w:rsidRDefault="000F2C62">
      <w:pPr>
        <w:pStyle w:val="ab"/>
      </w:pPr>
      <w:r>
        <w:rPr>
          <w:rStyle w:val="aa"/>
          <w:rFonts w:cs="David"/>
        </w:rPr>
        <w:footnoteRef/>
      </w:r>
      <w:r>
        <w:rPr>
          <w:rFonts w:cs="David"/>
        </w:rPr>
        <w:t xml:space="preserve"> </w:t>
      </w:r>
      <w:r>
        <w:rPr>
          <w:rFonts w:cs="David"/>
          <w:rtl/>
        </w:rPr>
        <w:t>ס"ח התשמ"ז, עמ' 56; התשנ"ג, עמ' 56.</w:t>
      </w:r>
    </w:p>
  </w:footnote>
  <w:footnote w:id="19">
    <w:p w:rsidR="000F2C62" w:rsidRDefault="000F2C62">
      <w:pPr>
        <w:pStyle w:val="ab"/>
      </w:pPr>
      <w:r>
        <w:rPr>
          <w:rStyle w:val="aa"/>
          <w:rFonts w:cs="David"/>
        </w:rPr>
        <w:footnoteRef/>
      </w:r>
      <w:r>
        <w:rPr>
          <w:rFonts w:cs="David"/>
        </w:rPr>
        <w:t xml:space="preserve"> </w:t>
      </w:r>
      <w:r>
        <w:rPr>
          <w:rFonts w:cs="David"/>
          <w:rtl/>
        </w:rPr>
        <w:t xml:space="preserve"> ס"ח התשנ"ג, עמ' 28; התשס"ד, עמ' 139.</w:t>
      </w:r>
    </w:p>
  </w:footnote>
  <w:footnote w:id="20">
    <w:p w:rsidR="000F2C62" w:rsidRDefault="000F2C62">
      <w:pPr>
        <w:pStyle w:val="ab"/>
      </w:pPr>
      <w:r>
        <w:rPr>
          <w:rStyle w:val="aa"/>
          <w:rFonts w:cs="David"/>
        </w:rPr>
        <w:footnoteRef/>
      </w:r>
      <w:r>
        <w:rPr>
          <w:rFonts w:cs="David"/>
          <w:rtl/>
        </w:rPr>
        <w:t xml:space="preserve"> חוקי ארץ ישראל, כרך א', עמ' (ע) 439, (א) 467.</w:t>
      </w:r>
    </w:p>
  </w:footnote>
  <w:footnote w:id="21">
    <w:p w:rsidR="000F2C62" w:rsidRDefault="000F2C62">
      <w:pPr>
        <w:pStyle w:val="ab"/>
      </w:pPr>
      <w:r>
        <w:rPr>
          <w:rStyle w:val="aa"/>
          <w:rFonts w:cs="David"/>
        </w:rPr>
        <w:footnoteRef/>
      </w:r>
      <w:r>
        <w:rPr>
          <w:rFonts w:cs="David"/>
          <w:rtl/>
        </w:rPr>
        <w:t xml:space="preserve"> דיני מדינת ישראל, נוסח חדש 12, עמ' 284.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2C62">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0F2C62">
    <w:pPr>
      <w:pStyle w:val="a3"/>
      <w:ind w:right="360"/>
      <w:jc w:val="both"/>
      <w:rPr>
        <w:rFonts w:cs="David"/>
        <w:sz w:val="24"/>
        <w:rtl/>
      </w:rPr>
    </w:pPr>
    <w:r>
      <w:rPr>
        <w:rFonts w:cs="David"/>
        <w:sz w:val="24"/>
        <w:rtl/>
      </w:rPr>
      <w:t>ועדת הפנים ואיכות הסביבה</w:t>
    </w:r>
  </w:p>
  <w:p w:rsidR="00000000" w:rsidRDefault="000F2C62">
    <w:pPr>
      <w:pStyle w:val="a3"/>
      <w:ind w:right="360"/>
      <w:jc w:val="both"/>
      <w:rPr>
        <w:rStyle w:val="a7"/>
        <w:rFonts w:cs="David"/>
        <w:sz w:val="24"/>
        <w:rtl/>
      </w:rPr>
    </w:pPr>
    <w:r>
      <w:rPr>
        <w:rFonts w:cs="David"/>
        <w:sz w:val="24"/>
        <w:rtl/>
      </w:rPr>
      <w:t>26.07.2005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C62"/>
    <w:rsid w:val="000F2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81FFD7-D8D1-4110-9E7D-036A22124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 w:type="character" w:styleId="aa">
    <w:name w:val="footnote reference"/>
    <w:basedOn w:val="a0"/>
    <w:uiPriority w:val="99"/>
    <w:rPr>
      <w:rFonts w:ascii="Times New Roman" w:hAnsi="Times New Roman" w:cs="Times New Roman"/>
      <w:vertAlign w:val="superscript"/>
    </w:rPr>
  </w:style>
  <w:style w:type="paragraph" w:styleId="ab">
    <w:name w:val="footnote text"/>
    <w:basedOn w:val="a"/>
    <w:link w:val="ac"/>
    <w:uiPriority w:val="99"/>
    <w:pPr>
      <w:overflowPunct/>
      <w:autoSpaceDE/>
      <w:autoSpaceDN/>
      <w:adjustRightInd/>
      <w:jc w:val="left"/>
      <w:textAlignment w:val="auto"/>
    </w:pPr>
    <w:rPr>
      <w:noProof w:val="0"/>
      <w:sz w:val="20"/>
      <w:szCs w:val="20"/>
    </w:rPr>
  </w:style>
  <w:style w:type="character" w:customStyle="1" w:styleId="ac">
    <w:name w:val="טקסט הערת שוליים תו"/>
    <w:basedOn w:val="a0"/>
    <w:link w:val="ab"/>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D06772-52F5-48C7-8615-3C422A740685}"/>
</file>

<file path=customXml/itemProps2.xml><?xml version="1.0" encoding="utf-8"?>
<ds:datastoreItem xmlns:ds="http://schemas.openxmlformats.org/officeDocument/2006/customXml" ds:itemID="{FDF229B0-12BC-4F03-898E-59B122BFA054}"/>
</file>

<file path=customXml/itemProps3.xml><?xml version="1.0" encoding="utf-8"?>
<ds:datastoreItem xmlns:ds="http://schemas.openxmlformats.org/officeDocument/2006/customXml" ds:itemID="{C04E61A4-46D1-4740-8C7F-C1E3C0523761}"/>
</file>

<file path=docProps/app.xml><?xml version="1.0" encoding="utf-8"?>
<Properties xmlns="http://schemas.openxmlformats.org/officeDocument/2006/extended-properties" xmlns:vt="http://schemas.openxmlformats.org/officeDocument/2006/docPropsVTypes">
  <Template>Normal</Template>
  <TotalTime>0</TotalTime>
  <Pages>6</Pages>
  <Words>4704</Words>
  <Characters>23522</Characters>
  <Application>Microsoft Office Word</Application>
  <DocSecurity>0</DocSecurity>
  <Lines>196</Lines>
  <Paragraphs>56</Paragraphs>
  <ScaleCrop>false</ScaleCrop>
  <Company>כנסת</Company>
  <LinksUpToDate>false</LinksUpToDate>
  <CharactersWithSpaces>28170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המשטרה (מס' 19) (אירוע אסון המוני), התשס"ה-2005</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101338105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488.000000000000</vt:lpwstr>
  </property>
  <property fmtid="{D5CDD505-2E9C-101B-9397-08002B2CF9AE}" pid="8" name="SDAuthor">
    <vt:lpwstr>מיטל בר-שלום</vt:lpwstr>
  </property>
  <property fmtid="{D5CDD505-2E9C-101B-9397-08002B2CF9AE}" pid="9" name="TaarichYeshiva">
    <vt:lpwstr>2005-07-26T08:00:00Z</vt:lpwstr>
  </property>
  <property fmtid="{D5CDD505-2E9C-101B-9397-08002B2CF9AE}" pid="10" name="שעת ישיבה">
    <vt:lpwstr>11:30</vt:lpwstr>
  </property>
  <property fmtid="{D5CDD505-2E9C-101B-9397-08002B2CF9AE}" pid="11" name="ContentTypeId">
    <vt:lpwstr>0x010100B126DF0F8D0A5A4EB112ABD857421DAD</vt:lpwstr>
  </property>
  <property fmtid="{D5CDD505-2E9C-101B-9397-08002B2CF9AE}" pid="12" name="SanhedrinItemID">
    <vt:r8>115413</vt:r8>
  </property>
  <property fmtid="{D5CDD505-2E9C-101B-9397-08002B2CF9AE}" pid="13" name="SanhedrinDocumentType">
    <vt:r8>167</vt:r8>
  </property>
</Properties>
</file>