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12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1222">
      <w:pPr>
        <w:bidi/>
        <w:rPr>
          <w:rFonts w:cs="David"/>
          <w:b/>
          <w:bCs/>
          <w:rtl/>
        </w:rPr>
      </w:pPr>
      <w:r>
        <w:rPr>
          <w:rFonts w:cs="David"/>
          <w:b/>
          <w:bCs/>
          <w:rtl/>
        </w:rPr>
        <w:t>מושב שלישי</w:t>
      </w:r>
    </w:p>
    <w:p w:rsidR="00000000" w:rsidRDefault="00AF1222">
      <w:pPr>
        <w:bidi/>
        <w:rPr>
          <w:rFonts w:cs="David"/>
          <w:b/>
          <w:bCs/>
          <w:rtl/>
        </w:rPr>
      </w:pPr>
    </w:p>
    <w:p w:rsidR="00000000" w:rsidRDefault="00AF1222">
      <w:pPr>
        <w:bidi/>
        <w:rPr>
          <w:rFonts w:cs="David"/>
          <w:b/>
          <w:bCs/>
          <w:rtl/>
        </w:rPr>
      </w:pPr>
    </w:p>
    <w:p w:rsidR="00000000" w:rsidRDefault="00AF1222">
      <w:pPr>
        <w:bidi/>
        <w:rPr>
          <w:rFonts w:cs="David"/>
          <w:b/>
          <w:bCs/>
          <w:rtl/>
        </w:rPr>
      </w:pPr>
    </w:p>
    <w:p w:rsidR="00000000" w:rsidRDefault="00AF1222">
      <w:pPr>
        <w:bidi/>
        <w:rPr>
          <w:rFonts w:cs="David"/>
          <w:b/>
          <w:bCs/>
          <w:rtl/>
        </w:rPr>
      </w:pPr>
    </w:p>
    <w:p w:rsidR="00000000" w:rsidRDefault="00AF1222">
      <w:pPr>
        <w:pStyle w:val="1"/>
        <w:jc w:val="center"/>
        <w:rPr>
          <w:rFonts w:cs="David"/>
          <w:b/>
          <w:bCs/>
          <w:u w:val="none"/>
          <w:rtl/>
        </w:rPr>
      </w:pPr>
      <w:r>
        <w:rPr>
          <w:rFonts w:cs="David"/>
          <w:b/>
          <w:bCs/>
          <w:u w:val="none"/>
          <w:rtl/>
        </w:rPr>
        <w:t>פרוטוקול מס' 502</w:t>
      </w:r>
    </w:p>
    <w:p w:rsidR="00000000" w:rsidRDefault="00AF1222">
      <w:pPr>
        <w:pStyle w:val="7"/>
        <w:rPr>
          <w:rFonts w:cs="David"/>
          <w:sz w:val="24"/>
          <w:rtl/>
        </w:rPr>
      </w:pPr>
      <w:r>
        <w:rPr>
          <w:rFonts w:cs="David"/>
          <w:sz w:val="24"/>
          <w:rtl/>
        </w:rPr>
        <w:t>מישיבת ועדת הפנים ואיכות הסביבה</w:t>
      </w:r>
    </w:p>
    <w:p w:rsidR="00000000" w:rsidRDefault="00AF1222">
      <w:pPr>
        <w:pStyle w:val="8"/>
        <w:rPr>
          <w:rFonts w:cs="David"/>
          <w:sz w:val="24"/>
          <w:rtl/>
        </w:rPr>
      </w:pPr>
      <w:r>
        <w:rPr>
          <w:rFonts w:cs="David"/>
          <w:sz w:val="24"/>
          <w:rtl/>
        </w:rPr>
        <w:t>מיום רביעי, כ"ו באב, הת</w:t>
      </w:r>
      <w:r>
        <w:rPr>
          <w:rFonts w:cs="David"/>
          <w:sz w:val="24"/>
          <w:rtl/>
        </w:rPr>
        <w:t xml:space="preserve">שס"ה (31 באוגוסט 2005) בשעה 09:30 </w:t>
      </w:r>
    </w:p>
    <w:p w:rsidR="00000000" w:rsidRDefault="00AF1222">
      <w:pPr>
        <w:bidi/>
        <w:rPr>
          <w:rFonts w:cs="David"/>
          <w:b/>
          <w:bCs/>
          <w:rtl/>
        </w:rPr>
      </w:pPr>
    </w:p>
    <w:p w:rsidR="00000000" w:rsidRDefault="00AF1222">
      <w:pPr>
        <w:bidi/>
        <w:rPr>
          <w:rFonts w:cs="David"/>
          <w:b/>
          <w:bCs/>
          <w:rtl/>
        </w:rPr>
      </w:pPr>
    </w:p>
    <w:p w:rsidR="00000000" w:rsidRDefault="00AF1222">
      <w:pPr>
        <w:tabs>
          <w:tab w:val="left" w:pos="1221"/>
        </w:tabs>
        <w:bidi/>
        <w:rPr>
          <w:rFonts w:cs="David"/>
          <w:b/>
          <w:bCs/>
          <w:u w:val="single"/>
          <w:rtl/>
        </w:rPr>
      </w:pPr>
    </w:p>
    <w:p w:rsidR="00000000" w:rsidRDefault="00AF1222">
      <w:pPr>
        <w:tabs>
          <w:tab w:val="left" w:pos="1221"/>
        </w:tabs>
        <w:bidi/>
        <w:rPr>
          <w:rFonts w:cs="David"/>
          <w:b/>
          <w:bCs/>
          <w:rtl/>
        </w:rPr>
      </w:pPr>
      <w:r>
        <w:rPr>
          <w:rFonts w:cs="David"/>
          <w:b/>
          <w:bCs/>
          <w:u w:val="single"/>
          <w:rtl/>
        </w:rPr>
        <w:t>סדר היום</w:t>
      </w:r>
      <w:r>
        <w:rPr>
          <w:rFonts w:cs="David"/>
          <w:rtl/>
        </w:rPr>
        <w:t>:</w:t>
      </w:r>
    </w:p>
    <w:p w:rsidR="00000000" w:rsidRDefault="00AF1222">
      <w:pPr>
        <w:bidi/>
        <w:rPr>
          <w:rFonts w:cs="David"/>
          <w:b/>
          <w:bCs/>
          <w:rtl/>
        </w:rPr>
      </w:pPr>
    </w:p>
    <w:p w:rsidR="00000000" w:rsidRDefault="00AF1222">
      <w:pPr>
        <w:bidi/>
        <w:rPr>
          <w:rFonts w:cs="David"/>
          <w:rtl/>
        </w:rPr>
      </w:pPr>
      <w:r>
        <w:rPr>
          <w:rFonts w:cs="David"/>
          <w:rtl/>
        </w:rPr>
        <w:t xml:space="preserve">הצעת חוק המשטרה (דין משמעי, בירור קבילות שוטרים, עובדים שאינם שוטרים והוראות שונות), התשס"ה-2005. </w:t>
      </w:r>
    </w:p>
    <w:p w:rsidR="00000000" w:rsidRDefault="00AF1222">
      <w:pPr>
        <w:bidi/>
        <w:rPr>
          <w:rFonts w:cs="David"/>
          <w:rtl/>
        </w:rPr>
      </w:pPr>
    </w:p>
    <w:p w:rsidR="00000000" w:rsidRDefault="00AF1222">
      <w:pPr>
        <w:bidi/>
        <w:rPr>
          <w:rFonts w:cs="David"/>
          <w:b/>
          <w:bCs/>
          <w:u w:val="single"/>
          <w:rtl/>
        </w:rPr>
      </w:pPr>
      <w:r>
        <w:rPr>
          <w:rFonts w:cs="David"/>
          <w:b/>
          <w:bCs/>
          <w:u w:val="single"/>
          <w:rtl/>
        </w:rPr>
        <w:t>נכחו</w:t>
      </w:r>
      <w:r>
        <w:rPr>
          <w:rFonts w:cs="David"/>
          <w:rtl/>
        </w:rPr>
        <w:t>:</w:t>
      </w:r>
    </w:p>
    <w:p w:rsidR="00000000" w:rsidRDefault="00AF1222">
      <w:pPr>
        <w:bidi/>
        <w:rPr>
          <w:rFonts w:cs="David"/>
          <w:rtl/>
        </w:rPr>
      </w:pPr>
    </w:p>
    <w:p w:rsidR="00000000" w:rsidRDefault="00AF1222">
      <w:pPr>
        <w:tabs>
          <w:tab w:val="left" w:pos="1788"/>
        </w:tabs>
        <w:bidi/>
        <w:rPr>
          <w:rFonts w:cs="David"/>
          <w:rtl/>
        </w:rPr>
      </w:pPr>
      <w:r>
        <w:rPr>
          <w:rFonts w:cs="David"/>
          <w:b/>
          <w:bCs/>
          <w:u w:val="single"/>
          <w:rtl/>
        </w:rPr>
        <w:t>חברי הוועדה</w:t>
      </w:r>
      <w:r>
        <w:rPr>
          <w:rFonts w:cs="David"/>
          <w:rtl/>
        </w:rPr>
        <w:t>:</w:t>
      </w:r>
    </w:p>
    <w:p w:rsidR="00000000" w:rsidRDefault="00AF1222">
      <w:pPr>
        <w:bidi/>
        <w:rPr>
          <w:rFonts w:cs="David"/>
          <w:rtl/>
        </w:rPr>
      </w:pPr>
      <w:r>
        <w:rPr>
          <w:rFonts w:cs="David"/>
          <w:rtl/>
        </w:rPr>
        <w:t xml:space="preserve">גאלב מג'אדלה – היו"ר </w:t>
      </w:r>
    </w:p>
    <w:p w:rsidR="00000000" w:rsidRDefault="00AF1222">
      <w:pPr>
        <w:bidi/>
        <w:rPr>
          <w:rFonts w:cs="David"/>
          <w:rtl/>
        </w:rPr>
      </w:pPr>
      <w:r>
        <w:rPr>
          <w:rFonts w:cs="David"/>
          <w:rtl/>
        </w:rPr>
        <w:t>דוד אזולאי</w:t>
      </w:r>
    </w:p>
    <w:p w:rsidR="00000000" w:rsidRDefault="00AF1222">
      <w:pPr>
        <w:bidi/>
        <w:rPr>
          <w:rFonts w:cs="David"/>
          <w:rtl/>
        </w:rPr>
      </w:pPr>
      <w:r>
        <w:rPr>
          <w:rFonts w:cs="David"/>
          <w:rtl/>
        </w:rPr>
        <w:t>חמי דורון</w:t>
      </w:r>
    </w:p>
    <w:p w:rsidR="00000000" w:rsidRDefault="00AF1222">
      <w:pPr>
        <w:bidi/>
        <w:rPr>
          <w:rFonts w:cs="David"/>
          <w:rtl/>
        </w:rPr>
      </w:pPr>
    </w:p>
    <w:p w:rsidR="00000000" w:rsidRDefault="00AF1222">
      <w:pPr>
        <w:tabs>
          <w:tab w:val="left" w:pos="1788"/>
          <w:tab w:val="left" w:pos="3631"/>
        </w:tabs>
        <w:bidi/>
        <w:rPr>
          <w:rFonts w:cs="David"/>
          <w:rtl/>
        </w:rPr>
      </w:pPr>
      <w:r>
        <w:rPr>
          <w:rFonts w:cs="David"/>
          <w:b/>
          <w:bCs/>
          <w:u w:val="single"/>
          <w:rtl/>
        </w:rPr>
        <w:t>מוזמנים</w:t>
      </w:r>
      <w:r>
        <w:rPr>
          <w:rFonts w:cs="David"/>
          <w:rtl/>
        </w:rPr>
        <w:t>:</w:t>
      </w:r>
    </w:p>
    <w:p w:rsidR="00000000" w:rsidRDefault="00AF1222">
      <w:pPr>
        <w:bidi/>
        <w:rPr>
          <w:rFonts w:cs="David"/>
          <w:rtl/>
        </w:rPr>
      </w:pPr>
    </w:p>
    <w:p w:rsidR="00000000" w:rsidRDefault="00AF1222">
      <w:pPr>
        <w:bidi/>
        <w:rPr>
          <w:rFonts w:cs="David"/>
          <w:rtl/>
        </w:rPr>
      </w:pPr>
      <w:r>
        <w:rPr>
          <w:rFonts w:cs="David"/>
          <w:rtl/>
        </w:rPr>
        <w:t>המשרד לביטחון פנים:</w:t>
      </w:r>
    </w:p>
    <w:p w:rsidR="00000000" w:rsidRDefault="00AF1222">
      <w:pPr>
        <w:bidi/>
        <w:rPr>
          <w:rFonts w:cs="David"/>
          <w:rtl/>
        </w:rPr>
      </w:pPr>
      <w:r>
        <w:rPr>
          <w:rFonts w:cs="David"/>
          <w:rtl/>
        </w:rPr>
        <w:t xml:space="preserve">עו"ד נעמה בר </w:t>
      </w:r>
      <w:r>
        <w:rPr>
          <w:rFonts w:cs="David"/>
          <w:rtl/>
        </w:rPr>
        <w:t>אור</w:t>
      </w:r>
    </w:p>
    <w:p w:rsidR="00000000" w:rsidRDefault="00AF1222">
      <w:pPr>
        <w:bidi/>
        <w:rPr>
          <w:rFonts w:cs="David"/>
          <w:rtl/>
        </w:rPr>
      </w:pPr>
      <w:r>
        <w:rPr>
          <w:rFonts w:cs="David"/>
          <w:rtl/>
        </w:rPr>
        <w:t>ניצב חנה קלר – יועצת משפטית</w:t>
      </w:r>
    </w:p>
    <w:p w:rsidR="00000000" w:rsidRDefault="00AF1222">
      <w:pPr>
        <w:bidi/>
        <w:rPr>
          <w:rFonts w:cs="David"/>
          <w:rtl/>
        </w:rPr>
      </w:pPr>
      <w:r>
        <w:rPr>
          <w:rFonts w:cs="David"/>
          <w:rtl/>
        </w:rPr>
        <w:t>נצ"מ רונית קמינסקי</w:t>
      </w:r>
    </w:p>
    <w:p w:rsidR="00000000" w:rsidRDefault="00AF1222">
      <w:pPr>
        <w:bidi/>
        <w:rPr>
          <w:rFonts w:cs="David"/>
          <w:rtl/>
        </w:rPr>
      </w:pPr>
      <w:r>
        <w:rPr>
          <w:rFonts w:cs="David"/>
          <w:rtl/>
        </w:rPr>
        <w:t>עדנה הרניק – קצינת מדור משמעת</w:t>
      </w:r>
    </w:p>
    <w:p w:rsidR="00000000" w:rsidRDefault="00AF1222">
      <w:pPr>
        <w:bidi/>
        <w:rPr>
          <w:rFonts w:cs="David"/>
          <w:rtl/>
        </w:rPr>
      </w:pPr>
      <w:r>
        <w:rPr>
          <w:rFonts w:cs="David"/>
          <w:rtl/>
        </w:rPr>
        <w:t>סנ"צ רונה קדמי – לשכה משפטית</w:t>
      </w:r>
    </w:p>
    <w:p w:rsidR="00000000" w:rsidRDefault="00AF1222">
      <w:pPr>
        <w:bidi/>
        <w:rPr>
          <w:rFonts w:cs="David"/>
          <w:rtl/>
        </w:rPr>
      </w:pPr>
    </w:p>
    <w:p w:rsidR="00000000" w:rsidRDefault="00AF1222">
      <w:pPr>
        <w:bidi/>
        <w:rPr>
          <w:rFonts w:cs="David"/>
          <w:rtl/>
        </w:rPr>
      </w:pPr>
      <w:r>
        <w:rPr>
          <w:rFonts w:cs="David"/>
          <w:rtl/>
        </w:rPr>
        <w:t>גבי פיסמן – משרד המשפטים</w:t>
      </w:r>
    </w:p>
    <w:p w:rsidR="00000000" w:rsidRDefault="00AF1222">
      <w:pPr>
        <w:bidi/>
        <w:rPr>
          <w:rFonts w:cs="David"/>
          <w:rtl/>
        </w:rPr>
      </w:pPr>
    </w:p>
    <w:p w:rsidR="00000000" w:rsidRDefault="00AF1222">
      <w:pPr>
        <w:tabs>
          <w:tab w:val="left" w:pos="1930"/>
        </w:tabs>
        <w:bidi/>
        <w:rPr>
          <w:rFonts w:cs="David"/>
          <w:rtl/>
        </w:rPr>
      </w:pPr>
      <w:r>
        <w:rPr>
          <w:rFonts w:cs="David"/>
          <w:b/>
          <w:bCs/>
          <w:u w:val="single"/>
          <w:rtl/>
        </w:rPr>
        <w:t>יועץ  משפטי</w:t>
      </w:r>
      <w:r>
        <w:rPr>
          <w:rFonts w:cs="David"/>
          <w:rtl/>
        </w:rPr>
        <w:t>: עידו בן יצחק</w:t>
      </w:r>
    </w:p>
    <w:p w:rsidR="00000000" w:rsidRDefault="00AF1222">
      <w:pPr>
        <w:bidi/>
        <w:rPr>
          <w:rFonts w:cs="David"/>
          <w:rtl/>
        </w:rPr>
      </w:pPr>
    </w:p>
    <w:p w:rsidR="00000000" w:rsidRDefault="00AF1222">
      <w:pPr>
        <w:tabs>
          <w:tab w:val="left" w:pos="1930"/>
        </w:tabs>
        <w:bidi/>
        <w:rPr>
          <w:rFonts w:cs="David"/>
          <w:b/>
          <w:bCs/>
          <w:rtl/>
        </w:rPr>
      </w:pPr>
      <w:r>
        <w:rPr>
          <w:rFonts w:cs="David"/>
          <w:b/>
          <w:bCs/>
          <w:u w:val="single"/>
          <w:rtl/>
        </w:rPr>
        <w:t>מנהלת הוועדה</w:t>
      </w:r>
      <w:r>
        <w:rPr>
          <w:rFonts w:cs="David"/>
          <w:rtl/>
        </w:rPr>
        <w:t>: יפה שפירא</w:t>
      </w:r>
    </w:p>
    <w:p w:rsidR="00000000" w:rsidRDefault="00AF1222">
      <w:pPr>
        <w:bidi/>
        <w:rPr>
          <w:rFonts w:cs="David"/>
          <w:rtl/>
        </w:rPr>
      </w:pPr>
    </w:p>
    <w:p w:rsidR="00000000" w:rsidRDefault="00AF1222">
      <w:pPr>
        <w:tabs>
          <w:tab w:val="left" w:pos="1930"/>
        </w:tabs>
        <w:bidi/>
        <w:rPr>
          <w:rFonts w:cs="David"/>
          <w:rtl/>
        </w:rPr>
      </w:pPr>
      <w:r>
        <w:rPr>
          <w:rFonts w:cs="David"/>
          <w:b/>
          <w:bCs/>
          <w:u w:val="single"/>
          <w:rtl/>
        </w:rPr>
        <w:t>קצרנית</w:t>
      </w:r>
      <w:r>
        <w:rPr>
          <w:rFonts w:cs="David"/>
          <w:rtl/>
        </w:rPr>
        <w:t>: לאה קיקיון</w:t>
      </w:r>
    </w:p>
    <w:p w:rsidR="00000000" w:rsidRDefault="00AF1222">
      <w:pPr>
        <w:bidi/>
        <w:rPr>
          <w:rFonts w:cs="David"/>
          <w:b/>
          <w:bCs/>
          <w:rtl/>
        </w:rPr>
      </w:pPr>
    </w:p>
    <w:p w:rsidR="00000000" w:rsidRDefault="00AF1222">
      <w:pPr>
        <w:bidi/>
        <w:rPr>
          <w:rFonts w:cs="David"/>
          <w:rtl/>
        </w:rPr>
      </w:pPr>
      <w:r>
        <w:rPr>
          <w:rFonts w:cs="David"/>
          <w:rtl/>
        </w:rPr>
        <w:br w:type="page"/>
      </w:r>
    </w:p>
    <w:p w:rsidR="00000000" w:rsidRDefault="00AF1222">
      <w:pPr>
        <w:pStyle w:val="21"/>
        <w:overflowPunct w:val="0"/>
        <w:autoSpaceDE w:val="0"/>
        <w:autoSpaceDN w:val="0"/>
        <w:adjustRightInd w:val="0"/>
        <w:ind w:left="0" w:firstLine="0"/>
        <w:jc w:val="center"/>
        <w:textAlignment w:val="baseline"/>
        <w:rPr>
          <w:rFonts w:ascii="Times New Roman" w:hAnsi="Times New Roman" w:cs="David"/>
          <w:b/>
          <w:bCs/>
          <w:sz w:val="24"/>
          <w:szCs w:val="24"/>
          <w:u w:val="single"/>
          <w:rtl/>
          <w:lang w:eastAsia="he-IL"/>
        </w:rPr>
      </w:pPr>
      <w:r>
        <w:rPr>
          <w:rFonts w:ascii="Times New Roman" w:hAnsi="Times New Roman" w:cs="David"/>
          <w:b/>
          <w:bCs/>
          <w:sz w:val="24"/>
          <w:szCs w:val="24"/>
          <w:u w:val="single"/>
          <w:rtl/>
          <w:lang w:eastAsia="he-IL"/>
        </w:rPr>
        <w:t>הצעת חוק המשטרה (דין משמעי, בירור קבילות שוטר</w:t>
      </w:r>
      <w:r>
        <w:rPr>
          <w:rFonts w:ascii="Times New Roman" w:hAnsi="Times New Roman" w:cs="David"/>
          <w:b/>
          <w:bCs/>
          <w:sz w:val="24"/>
          <w:szCs w:val="24"/>
          <w:u w:val="single"/>
          <w:rtl/>
          <w:lang w:eastAsia="he-IL"/>
        </w:rPr>
        <w:t>ים, עובדים שאינם שוטרים והוראות שונות), התשס"ה-2005</w:t>
      </w:r>
    </w:p>
    <w:p w:rsidR="00000000" w:rsidRDefault="00AF1222">
      <w:pPr>
        <w:bidi/>
        <w:rPr>
          <w:rFonts w:cs="David"/>
          <w:u w:val="single"/>
          <w:rtl/>
        </w:rPr>
      </w:pPr>
    </w:p>
    <w:p w:rsidR="00000000" w:rsidRDefault="00AF1222">
      <w:pPr>
        <w:bidi/>
        <w:rPr>
          <w:rFonts w:cs="David"/>
          <w:u w:val="single"/>
          <w:rtl/>
        </w:rPr>
      </w:pPr>
    </w:p>
    <w:p w:rsidR="00000000" w:rsidRDefault="00AF1222">
      <w:pPr>
        <w:bidi/>
        <w:jc w:val="both"/>
        <w:rPr>
          <w:rFonts w:cs="David"/>
          <w:u w:val="single"/>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שלום לכולם, אני פותח את ישיבת הוועדה. על סדר היום – הצעת חוק המשטרה (דין משמעי, בירור קבילות שוטרים, עובדים שאינם שוטרים והוראות שונות), התשס"ה-2005. זכינו בדיון הקודם לניהול הישיב</w:t>
      </w:r>
      <w:r>
        <w:rPr>
          <w:rFonts w:cs="David"/>
          <w:rtl/>
        </w:rPr>
        <w:t xml:space="preserve">ה באמצעות חבר הכנסת חמי דורון.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הגענו עד סעיף 15.</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וגם קיבלנו שיעורי בית ואנחנו חוזרים אליך. אני רק רוצה להעיר הערה אחת – שבעקבות הדיון שלך אמרת לנו שהיית בוועדה מיוחדת – דיברתי עם הפרקליט הצבאי והעליתי בפניו חלק מהדברים שלך. הוא </w:t>
      </w:r>
      <w:r>
        <w:rPr>
          <w:rFonts w:cs="David"/>
          <w:rtl/>
        </w:rPr>
        <w:t>הדגיש בפני את מה שידעתי, אבל אולי לא חידדתי, שמופיע אולי בהתחלה – שצריך לזכור ש  - - אנחנו גם, דרך אגב, כשעבדנו, עבדנו כמו שאמרנו – גם על ההערות של בתי הדין, בתי המשפט, חוק השיפוט הצבאי, חוק סדר הדין הפלילי ובתי המשפט. עדיין, למרות שאנחנו ניגשים לחוק השיפו</w:t>
      </w:r>
      <w:r>
        <w:rPr>
          <w:rFonts w:cs="David"/>
          <w:rtl/>
        </w:rPr>
        <w:t xml:space="preserve">ט הצבאי ורוצים ללמוד ממנו, וזה לאורך כל הדרך, יש שוני מהותי, שאין דין משמעתי כמו שלנו. בצבא יש דן יחיד, שהוא קצין שיפוט, ויש את בית המשפט שהוא פלילי. הוא אומר: אין לנו משהו כמו שאצלכם בית הדין למשמעת.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זה נכון אבל זה לא מדויק מהסיבה הפשוטה, </w:t>
      </w:r>
      <w:r>
        <w:rPr>
          <w:rFonts w:cs="David"/>
          <w:rtl/>
        </w:rPr>
        <w:t>שגם כשאני בא בפני דן יחיד, אני יכול, כחייל, לבקש שזה יעבור לבית דין – לסרב להישפט בפני שופט ולבוא לבית דין. ואז, מה? זה לא בית דין פלילי. ניקח נפקדות, לדוגמה. עד כמה שאני זוכר, נפקדות זה עד 7 ימים. אני מסרב להישפט בפני קצין שיפוט, אני עובר לבית דין. זו עדי</w:t>
      </w:r>
      <w:r>
        <w:rPr>
          <w:rFonts w:cs="David"/>
          <w:rtl/>
        </w:rPr>
        <w:t xml:space="preserve">ין עבירת משמעת, זו לא עבירה פלילית.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אז אנחנו לא מתעלמים. אמרנו שאנחנו לוקחים. אנחנו מנסים לעשות - - בצורה כללית.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בסדר, אנחנו באנו לקראתכם בנושא של ההתאמות, נדמה לי, בפעם הקודמת. רק היו מספר דברים שהייתם צריכים לבדוק.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קודם כל – לגבי סעיף 1. אנחנו ישבנו הבוקר עם היועץ המשפטי של הוועדה. סעיף 1 – קצין שיפוט, אנחנו מוסיפים, לבקשתכם: "שקיבלו הכשרה כפי שנקבע בפקודות משטרת ישראל" – שלא יישב דן יחיד שלא קיבל הכשרה.</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אם זה מתוקן בצורה הזו – זה מאושר. סעיף 1 מאושר</w:t>
      </w:r>
      <w:r>
        <w:rPr>
          <w:rFonts w:cs="David"/>
          <w:rtl/>
        </w:rPr>
        <w:t xml:space="preserve">. </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r>
      <w:r>
        <w:rPr>
          <w:rFonts w:cs="David"/>
          <w:u w:val="single"/>
          <w:rtl/>
        </w:rPr>
        <w:lastRenderedPageBreak/>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בסעיף 10 אתם ביקשתם שלא נשמיט את האישור של ועדת הפנים ואיכות הסביבה של הכנסת. אנחנו מוסיפים את זה, למרות שאנחנו חושבים  שלא צריך את זה. אבל אין לנו בעיה עם זה.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 xml:space="preserve">חמי דורון: </w:t>
      </w:r>
    </w:p>
    <w:p w:rsidR="00000000" w:rsidRDefault="00AF1222">
      <w:pPr>
        <w:bidi/>
        <w:jc w:val="both"/>
        <w:rPr>
          <w:rFonts w:cs="David"/>
          <w:rtl/>
        </w:rPr>
      </w:pPr>
    </w:p>
    <w:p w:rsidR="00000000" w:rsidRDefault="00AF1222">
      <w:pPr>
        <w:bidi/>
        <w:jc w:val="both"/>
        <w:rPr>
          <w:rFonts w:cs="David"/>
          <w:rtl/>
        </w:rPr>
      </w:pPr>
      <w:r>
        <w:rPr>
          <w:rFonts w:cs="David"/>
          <w:rtl/>
        </w:rPr>
        <w:tab/>
        <w:t xml:space="preserve">אנחנו מעדיפים שנוכל לעשות בקרה.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אתם מחליטים, זו החל</w:t>
      </w:r>
      <w:r>
        <w:rPr>
          <w:rFonts w:cs="David"/>
          <w:rtl/>
        </w:rPr>
        <w:t xml:space="preserve">טה שלכם. עמדת משרד המשפטים היתה שבנושאים האלה הם לא חושבים שצריך. </w:t>
      </w:r>
    </w:p>
    <w:p w:rsidR="00000000" w:rsidRDefault="00AF1222">
      <w:pPr>
        <w:bidi/>
        <w:jc w:val="both"/>
        <w:rPr>
          <w:rFonts w:cs="David"/>
          <w:rtl/>
        </w:rPr>
      </w:pPr>
    </w:p>
    <w:p w:rsidR="00000000" w:rsidRDefault="00AF1222">
      <w:pPr>
        <w:bidi/>
        <w:jc w:val="both"/>
        <w:rPr>
          <w:rFonts w:cs="David"/>
          <w:rtl/>
        </w:rPr>
      </w:pPr>
      <w:r>
        <w:rPr>
          <w:rFonts w:cs="David"/>
          <w:rtl/>
        </w:rPr>
        <w:tab/>
        <w:t xml:space="preserve">בסעיף קטן (ב) הוספנו: "ובלבד שינמק את החלטתו בעניין זה". </w:t>
      </w:r>
    </w:p>
    <w:p w:rsidR="00000000" w:rsidRDefault="00AF1222">
      <w:pPr>
        <w:bidi/>
        <w:jc w:val="both"/>
        <w:rPr>
          <w:rFonts w:cs="David"/>
          <w:rtl/>
        </w:rPr>
      </w:pPr>
    </w:p>
    <w:p w:rsidR="00000000" w:rsidRDefault="00AF1222">
      <w:pPr>
        <w:bidi/>
        <w:jc w:val="both"/>
        <w:rPr>
          <w:rFonts w:cs="David"/>
          <w:rtl/>
        </w:rPr>
      </w:pPr>
      <w:r>
        <w:rPr>
          <w:rFonts w:cs="David"/>
          <w:rtl/>
        </w:rPr>
        <w:tab/>
        <w:t>לגבי סעיף 13 – ישבנו עם היועץ המשפטי של הוועדה. סעיף 13 מדבר על התליית הליכי משמעת ומה שהפריע לנו, אם אתם זוכרים, לעניין סעיף ק</w:t>
      </w:r>
      <w:r>
        <w:rPr>
          <w:rFonts w:cs="David"/>
          <w:rtl/>
        </w:rPr>
        <w:t xml:space="preserve">טן (ב): "הסתיימו ההליכים הפליליים או הודיע היועץ המשפטי לממשלה כי חזר בו מכוונתו להגיש כתב אישום, ימשיכו בית הדין למשמעת או הדן יחיד, לפי העניין, בהליכי המשפט, אולם אם חלפה, מיום התליית ההליכים, תקופת התיישנות האמורה בפסקאות (1) או (2)  של סעיף 16(א), לפי </w:t>
      </w:r>
      <w:r>
        <w:rPr>
          <w:rFonts w:cs="David"/>
          <w:rtl/>
        </w:rPr>
        <w:t xml:space="preserve">העניין, לא יימשכו הליכי המשמעת אלא אם כן הורה המפקח הכללי על המשך ההליכים מטעמים מיוחדים שיירשמו". </w:t>
      </w:r>
    </w:p>
    <w:p w:rsidR="00000000" w:rsidRDefault="00AF1222">
      <w:pPr>
        <w:bidi/>
        <w:jc w:val="both"/>
        <w:rPr>
          <w:rFonts w:cs="David"/>
          <w:rtl/>
        </w:rPr>
      </w:pPr>
    </w:p>
    <w:p w:rsidR="00000000" w:rsidRDefault="00AF1222">
      <w:pPr>
        <w:bidi/>
        <w:jc w:val="both"/>
        <w:rPr>
          <w:rFonts w:cs="David"/>
          <w:rtl/>
        </w:rPr>
      </w:pPr>
      <w:r>
        <w:rPr>
          <w:rFonts w:cs="David"/>
          <w:rtl/>
        </w:rPr>
        <w:tab/>
        <w:t>וכאן – ישבנו, שקלנו וחשבנו שההסדר והקניית הסמכות למפקח הכללי נכונה. מי שזוכר את פרשת רפי פלד, למשל - שם, הבג"ץ כתב שהיה מקום להעמיד אולי לדין משמעתי. בסופ</w:t>
      </w:r>
      <w:r>
        <w:rPr>
          <w:rFonts w:cs="David"/>
          <w:rtl/>
        </w:rPr>
        <w:t>ו של דבר רפי פלד היה צריך לעזוב את המערכת כי נקודת המוצא היתה שהמשוואה שמפכ"ל עומד לדין משמעתי לא קיימת, כי המפכ"ל הוא ראש הפירמידה של הדין המשמעתי, הוא הסמן הימני, הוא מתווה את הנורמות. יש דברים שכל עניינם דין משמעתי שמשתנים ממפכ"ל למפכ"ל. למשל – מפכ"ל שס</w:t>
      </w:r>
      <w:r>
        <w:rPr>
          <w:rFonts w:cs="David"/>
          <w:rtl/>
        </w:rPr>
        <w:t xml:space="preserve">ובר שכולם צריכים ללכת כל הזמן רק עם מדים, בלי מדים, עם כובע. הוא מתווה חלק מהנורמות שהן נשוא לדיון בבית הדין. </w:t>
      </w:r>
    </w:p>
    <w:p w:rsidR="00000000" w:rsidRDefault="00AF1222">
      <w:pPr>
        <w:bidi/>
        <w:jc w:val="both"/>
        <w:rPr>
          <w:rFonts w:cs="David"/>
          <w:rtl/>
        </w:rPr>
      </w:pPr>
    </w:p>
    <w:p w:rsidR="00000000" w:rsidRDefault="00AF1222">
      <w:pPr>
        <w:bidi/>
        <w:jc w:val="both"/>
        <w:rPr>
          <w:rFonts w:cs="David"/>
          <w:rtl/>
        </w:rPr>
      </w:pPr>
      <w:r>
        <w:rPr>
          <w:rFonts w:cs="David"/>
          <w:rtl/>
        </w:rPr>
        <w:tab/>
        <w:t>עכשיו, צריך לזכור, שכשיש הליך פלילי, הליך משמעתי, גם השוטר כשהוא עומד לדין יש לו זכויות לא פחותות מכל אזרח אחר. הזכרתי בדיונים שלנו שבשעתו חשבת</w:t>
      </w:r>
      <w:r>
        <w:rPr>
          <w:rFonts w:cs="David"/>
          <w:rtl/>
        </w:rPr>
        <w:t xml:space="preserve">י שאולי צריך לשלול את זכות השתיקה משוטר. אמרו לי: לא. צריך לשמור גם על זכויותיו כנאשם. זה העיקרון. מכאן שאם שוטר מועמד לדין פלילי יש להניח שהדין המשמעתי בצד הדין הפלילי יהיה על הדברים השוליים. עיקר האינטרס הציבורי הוא בהליך הפלילי שמתנהל.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אב</w:t>
      </w:r>
      <w:r>
        <w:rPr>
          <w:rFonts w:cs="David"/>
          <w:rtl/>
        </w:rPr>
        <w:t>ל מה יקרה אם הוא יצא זכאי בדין הפלילי, כי לא הוכחה למעלה מכל ספק האשמה הפלילית?  אז זה צריך לחזור למפכ"ל והוא יחליט.</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למה למפכ"ל? – כי הוא צריך לראות הנקודה, הנורמטיביות בסעיף. אין מישהו אחר.</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השקפת העולם שלי פשוטה – הקריטריונים צר</w:t>
      </w:r>
      <w:r>
        <w:rPr>
          <w:rFonts w:cs="David"/>
          <w:rtl/>
        </w:rPr>
        <w:t>יכים להיות אחידים וברורים מראש. יכול שיבוא המפכ"ל עם כניסתו לתפקיד, ויפרסם הוראות מסוימות, הוראות שיחולו באופן מוחלט על כולם. נצא ממצא קיצוני בכוונה, ניקח – מפכ"ל חדש, במסגרת סבב המנויים החדש ממנה אחד מפיקודיו או ידידיו לתפקיד בכיר. אותו קצין בכיר, ברבות ה</w:t>
      </w:r>
      <w:r>
        <w:rPr>
          <w:rFonts w:cs="David"/>
          <w:rtl/>
        </w:rPr>
        <w:t xml:space="preserve">זמן, אחרי מספר חודשים, מסתבך וצריך להעמידו לדין. בפסק הדין, בית המשפט פטר אותו. ואז עומד המפכ"ל בפני בעיה מסוימת. בכל זאת – הם חברים, והיות ובית המשפט חילץ את אותו חבר, גם הוא יעביר את זה. אני לא רוצה שדברים יהיו תלויים ברצונו הטוב של אדם זה או אחר. בנושא </w:t>
      </w:r>
      <w:r>
        <w:rPr>
          <w:rFonts w:cs="David"/>
          <w:rtl/>
        </w:rPr>
        <w:t xml:space="preserve">של חיסיון, למשל, בתחקיר צבאי, הצבא אמר שהרמטכ"ל יחליט ממניעים השמורים אתו, או שהוא יצטרך לפרסם אותם. </w:t>
      </w:r>
      <w:r>
        <w:rPr>
          <w:rFonts w:cs="David"/>
          <w:rtl/>
        </w:rPr>
        <w:lastRenderedPageBreak/>
        <w:t>אנחנו שללנו את זה. לא יכול להיות שכאשר הוא ירצה הוא יפרסם את זה, וכשהוא לא ירצה – הוא לא יפרסם. הקריטריונים צריכים להיות אחידים וקבועים.</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אבל אנ</w:t>
      </w:r>
      <w:r>
        <w:rPr>
          <w:rFonts w:cs="David"/>
          <w:rtl/>
        </w:rPr>
        <w:t xml:space="preserve">י לא חושבת שזה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זה בדיוק העניין. יבוא מפכ"ל חדש - - , אין לי בעיה עם זה. אבל לא יכול להיות מצב שהוא יחליט אם זה מתאים או לא, וזה יהיה תלוי בחבר שלו, ואולי זה יהיה נתון ללחץ פוליטי, כי השר ילחץ עליו. הדברים ידועים.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r>
      <w:r>
        <w:rPr>
          <w:rFonts w:cs="David"/>
          <w:rtl/>
        </w:rPr>
        <w:t xml:space="preserve">בוא נשמע את ההסבר שלהם.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אני חושבת שהדוגמה היא לא ממין העניין. אחרי שיש פסק דין, גם אם זיכו אותו, ובין אם הרשעה – בדברים הראשונים גם אמרתי שניתן לבחון את התאמתו של אדם גם אם הוא זוכה, אם יש איזה שהן הערות - -. מי שעושה את זה זה מחלקת משמעת, זה </w:t>
      </w:r>
      <w:r>
        <w:rPr>
          <w:rFonts w:cs="David"/>
          <w:rtl/>
        </w:rPr>
        <w:t xml:space="preserve">לא המפכ"ל הולך ורואה את פסק הדין.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כן, אבל המפכ"ל צריך להחליט.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אני ראש מחלקת משמעת באגף משאבי אנוש. אני מציעה להסתכל על הסעיף. הסעיף אומר שברגע שסוגרים את ההליך הפלילי, ההליך המשמעתי – ממשיך. החלק הקטן שעליו אנחנו מדברים הו</w:t>
      </w:r>
      <w:r>
        <w:rPr>
          <w:rFonts w:cs="David"/>
          <w:rtl/>
        </w:rPr>
        <w:t xml:space="preserve">א החלק שבו יש כבר התיישנות. רק לעניין החלק הזה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זה לא חלק קטן. ברוב המקרים זה המצבים. ב- 90% מהמקרים. ברגע שהמשפט פלילי – זה לא מהיום למחר. ברגע שיש משפט פלילי, באותו רגע, סביר להניח שמבחינת משמעת – תהיה התיישנות.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u w:val="single"/>
          <w:rtl/>
        </w:rPr>
      </w:pPr>
    </w:p>
    <w:p w:rsidR="00000000" w:rsidRDefault="00AF1222">
      <w:pPr>
        <w:pStyle w:val="a3"/>
        <w:rPr>
          <w:rFonts w:cs="David"/>
          <w:sz w:val="24"/>
          <w:rtl/>
        </w:rPr>
      </w:pPr>
      <w:r>
        <w:rPr>
          <w:rFonts w:cs="David"/>
          <w:sz w:val="24"/>
          <w:rtl/>
        </w:rPr>
        <w:tab/>
        <w:t>אז עכ</w:t>
      </w:r>
      <w:r>
        <w:rPr>
          <w:rFonts w:cs="David"/>
          <w:sz w:val="24"/>
          <w:rtl/>
        </w:rPr>
        <w:t>שיו ככה: לא בכדי קבעו את תקופות ההתיישנות לדין המשמעתי. והן נקבעו הרבה יותר קצרות מהדין הפלילי. היתה מאחורי זה מחשבה – העבירות המשמעתיות הן פחות חמורות מהעבירות הפליליות. מעבר לזה – גם אם ההליך הפלילי נגמר בזיכוי, זה לא סוף פסוק. הזיכוי לא אומר שאנחנו לא ש</w:t>
      </w:r>
      <w:r>
        <w:rPr>
          <w:rFonts w:cs="David"/>
          <w:sz w:val="24"/>
          <w:rtl/>
        </w:rPr>
        <w:t>וקלים. במשטרה יש גם את הדין המשמעתי ויש גם שקילת צעדים מנהליים. זה לא כל כך דומה לדין המשמעתי בשירות המדינה, למשל, שכדי לפטר שוטר חייבים לעבור את בית הדין למשמעת. במשטרה –לא. אפשר גם עד כדי פיטורין – לפטר שוטר, גם אם הוא זוכה בדין הפלילי, על סמך אמירות שנא</w:t>
      </w:r>
      <w:r>
        <w:rPr>
          <w:rFonts w:cs="David"/>
          <w:sz w:val="24"/>
          <w:rtl/>
        </w:rPr>
        <w:t>מרו באותו זיכוי. והדברים כתובים גם היום וגם בהצעה הזו שאנחנו מביאים בפניכם. לא שינינו את האפשרות הזו. מי שעושה את זה זו המערכת. מי זו המערכת? – המערכת, ודאי שהיא כפופה למפכ"ל, ואנחנו לא יכולים לשלול את הכפיפות הזו. החשש שאתה מעלה תמיד קיים, אבל אנחנו הרי כ</w:t>
      </w:r>
      <w:r>
        <w:rPr>
          <w:rFonts w:cs="David"/>
          <w:sz w:val="24"/>
          <w:rtl/>
        </w:rPr>
        <w:t xml:space="preserve">ל הזמן – גם בהחלטות להעמיד לדין אנחנו פועלים מכוח המערכת שבה אנחנו חיים. אנחנו יוצאים מנקודת הנחה מ- - של ההליכים אצלנו, משום שכך אנחנו פועלים. זה לומר שכולנו מושחתים ? אני קצת מרגישה לא נוח. </w:t>
      </w:r>
    </w:p>
    <w:p w:rsidR="00000000" w:rsidRDefault="00AF1222">
      <w:pPr>
        <w:pStyle w:val="a3"/>
        <w:rPr>
          <w:rFonts w:cs="David"/>
          <w:sz w:val="24"/>
          <w:rtl/>
        </w:rPr>
      </w:pPr>
    </w:p>
    <w:p w:rsidR="00000000" w:rsidRDefault="00AF1222">
      <w:pPr>
        <w:pStyle w:val="a3"/>
        <w:rPr>
          <w:rFonts w:cs="David"/>
          <w:sz w:val="24"/>
          <w:u w:val="single"/>
          <w:rtl/>
        </w:rPr>
      </w:pPr>
      <w:r>
        <w:rPr>
          <w:rFonts w:cs="David"/>
          <w:sz w:val="24"/>
          <w:u w:val="single"/>
          <w:rtl/>
        </w:rPr>
        <w:t>חמי דורון:</w:t>
      </w:r>
    </w:p>
    <w:p w:rsidR="00000000" w:rsidRDefault="00AF1222">
      <w:pPr>
        <w:pStyle w:val="a3"/>
        <w:rPr>
          <w:rFonts w:cs="David"/>
          <w:sz w:val="24"/>
          <w:rtl/>
        </w:rPr>
      </w:pPr>
    </w:p>
    <w:p w:rsidR="00000000" w:rsidRDefault="00AF1222">
      <w:pPr>
        <w:pStyle w:val="a3"/>
        <w:rPr>
          <w:rFonts w:cs="David"/>
          <w:sz w:val="24"/>
          <w:rtl/>
        </w:rPr>
      </w:pPr>
      <w:r>
        <w:rPr>
          <w:rFonts w:cs="David"/>
          <w:sz w:val="24"/>
          <w:rtl/>
        </w:rPr>
        <w:lastRenderedPageBreak/>
        <w:tab/>
        <w:t>אני לא אמרתי. אני, במקרה, את המפכ"ל הזה גם מכיר א</w:t>
      </w:r>
      <w:r>
        <w:rPr>
          <w:rFonts w:cs="David"/>
          <w:sz w:val="24"/>
          <w:rtl/>
        </w:rPr>
        <w:t xml:space="preserve">ישית. אני אומר בצורה אחרת – את מח"ש בסופו של דבר גם הוציאו מהמשטרה. </w:t>
      </w:r>
    </w:p>
    <w:p w:rsidR="00000000" w:rsidRDefault="00AF1222">
      <w:pPr>
        <w:pStyle w:val="a3"/>
        <w:rPr>
          <w:rFonts w:cs="David"/>
          <w:sz w:val="24"/>
          <w:rtl/>
        </w:rPr>
      </w:pPr>
    </w:p>
    <w:p w:rsidR="00000000" w:rsidRDefault="00AF1222">
      <w:pPr>
        <w:pStyle w:val="a3"/>
        <w:rPr>
          <w:rFonts w:cs="David"/>
          <w:sz w:val="24"/>
          <w:u w:val="single"/>
          <w:rtl/>
        </w:rPr>
      </w:pPr>
      <w:r>
        <w:rPr>
          <w:rFonts w:cs="David"/>
          <w:sz w:val="24"/>
          <w:u w:val="single"/>
          <w:rtl/>
        </w:rPr>
        <w:t>רונית קמינסקי:</w:t>
      </w:r>
    </w:p>
    <w:p w:rsidR="00000000" w:rsidRDefault="00AF1222">
      <w:pPr>
        <w:pStyle w:val="a3"/>
        <w:rPr>
          <w:rFonts w:cs="David"/>
          <w:sz w:val="24"/>
          <w:rtl/>
        </w:rPr>
      </w:pPr>
    </w:p>
    <w:p w:rsidR="00000000" w:rsidRDefault="00AF1222">
      <w:pPr>
        <w:pStyle w:val="a3"/>
        <w:rPr>
          <w:rFonts w:cs="David"/>
          <w:sz w:val="24"/>
          <w:rtl/>
        </w:rPr>
      </w:pPr>
      <w:r>
        <w:rPr>
          <w:rFonts w:cs="David"/>
          <w:sz w:val="24"/>
          <w:rtl/>
        </w:rPr>
        <w:tab/>
        <w:t xml:space="preserve">אבל זו חקירה פלילית. עכשיו אנחנו מדברים על הדין המשמעתי, שהוא דין פנימי - - </w:t>
      </w:r>
    </w:p>
    <w:p w:rsidR="00000000" w:rsidRDefault="00AF1222">
      <w:pPr>
        <w:pStyle w:val="a3"/>
        <w:rPr>
          <w:rFonts w:cs="David"/>
          <w:sz w:val="24"/>
          <w:rtl/>
        </w:rPr>
      </w:pPr>
    </w:p>
    <w:p w:rsidR="00000000" w:rsidRDefault="00AF1222">
      <w:pPr>
        <w:pStyle w:val="a3"/>
        <w:rPr>
          <w:rFonts w:cs="David"/>
          <w:sz w:val="24"/>
          <w:u w:val="single"/>
          <w:rtl/>
        </w:rPr>
      </w:pPr>
      <w:r>
        <w:rPr>
          <w:rFonts w:cs="David"/>
          <w:sz w:val="24"/>
          <w:u w:val="single"/>
          <w:rtl/>
        </w:rPr>
        <w:t>חנה  קלר:</w:t>
      </w:r>
    </w:p>
    <w:p w:rsidR="00000000" w:rsidRDefault="00AF1222">
      <w:pPr>
        <w:pStyle w:val="a3"/>
        <w:rPr>
          <w:rFonts w:cs="David"/>
          <w:sz w:val="24"/>
          <w:rtl/>
        </w:rPr>
      </w:pPr>
      <w:r>
        <w:rPr>
          <w:rFonts w:cs="David"/>
          <w:sz w:val="24"/>
          <w:rtl/>
        </w:rPr>
        <w:tab/>
      </w:r>
      <w:r>
        <w:rPr>
          <w:rFonts w:cs="David"/>
          <w:sz w:val="24"/>
          <w:rtl/>
        </w:rPr>
        <w:tab/>
      </w:r>
    </w:p>
    <w:p w:rsidR="00000000" w:rsidRDefault="00AF1222">
      <w:pPr>
        <w:pStyle w:val="a3"/>
        <w:rPr>
          <w:rFonts w:cs="David"/>
          <w:sz w:val="24"/>
          <w:rtl/>
        </w:rPr>
      </w:pPr>
      <w:r>
        <w:rPr>
          <w:rFonts w:cs="David"/>
          <w:sz w:val="24"/>
          <w:rtl/>
        </w:rPr>
        <w:tab/>
        <w:t xml:space="preserve">זה האינטרס שהוא צריך לראות, בנורמטיביות שלו, האם באמת - - </w:t>
      </w:r>
    </w:p>
    <w:p w:rsidR="00000000" w:rsidRDefault="00AF1222">
      <w:pPr>
        <w:pStyle w:val="a3"/>
        <w:rPr>
          <w:rFonts w:cs="David"/>
          <w:sz w:val="24"/>
          <w:rtl/>
        </w:rPr>
      </w:pPr>
    </w:p>
    <w:p w:rsidR="00000000" w:rsidRDefault="00AF1222">
      <w:pPr>
        <w:pStyle w:val="a3"/>
        <w:rPr>
          <w:rFonts w:cs="David"/>
          <w:sz w:val="24"/>
          <w:u w:val="single"/>
          <w:rtl/>
        </w:rPr>
      </w:pPr>
      <w:r>
        <w:rPr>
          <w:rFonts w:cs="David"/>
          <w:sz w:val="24"/>
          <w:u w:val="single"/>
          <w:rtl/>
        </w:rPr>
        <w:t>חמי דורון:</w:t>
      </w:r>
    </w:p>
    <w:p w:rsidR="00000000" w:rsidRDefault="00AF1222">
      <w:pPr>
        <w:pStyle w:val="a3"/>
        <w:rPr>
          <w:rFonts w:cs="David"/>
          <w:sz w:val="24"/>
          <w:rtl/>
        </w:rPr>
      </w:pPr>
      <w:r>
        <w:rPr>
          <w:rFonts w:cs="David"/>
          <w:sz w:val="24"/>
          <w:rtl/>
        </w:rPr>
        <w:tab/>
      </w:r>
    </w:p>
    <w:p w:rsidR="00000000" w:rsidRDefault="00AF1222">
      <w:pPr>
        <w:pStyle w:val="a3"/>
        <w:rPr>
          <w:rFonts w:cs="David"/>
          <w:sz w:val="24"/>
          <w:rtl/>
        </w:rPr>
      </w:pPr>
      <w:r>
        <w:rPr>
          <w:rFonts w:cs="David"/>
          <w:sz w:val="24"/>
          <w:rtl/>
        </w:rPr>
        <w:tab/>
        <w:t>אני</w:t>
      </w:r>
      <w:r>
        <w:rPr>
          <w:rFonts w:cs="David"/>
          <w:sz w:val="24"/>
          <w:rtl/>
        </w:rPr>
        <w:t xml:space="preserve"> מסכים אתך שבעולם נורמלי, אפילו לא אוטופי - - </w:t>
      </w:r>
    </w:p>
    <w:p w:rsidR="00000000" w:rsidRDefault="00AF1222">
      <w:pPr>
        <w:pStyle w:val="a3"/>
        <w:rPr>
          <w:rFonts w:cs="David"/>
          <w:sz w:val="24"/>
          <w:rtl/>
        </w:rPr>
      </w:pPr>
    </w:p>
    <w:p w:rsidR="00000000" w:rsidRDefault="00AF1222">
      <w:pPr>
        <w:pStyle w:val="a3"/>
        <w:rPr>
          <w:rFonts w:cs="David"/>
          <w:sz w:val="24"/>
          <w:u w:val="single"/>
          <w:rtl/>
        </w:rPr>
      </w:pPr>
      <w:r>
        <w:rPr>
          <w:rFonts w:cs="David"/>
          <w:sz w:val="24"/>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אבל בשביל זה יש מחלקת משמעת, יש ייעוץ משפטי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אם היינו מדינה נורמלית, שבה התהליכים והארגונים הם הגיוניים ועולים בקנה אחד עם מה שקורה במדינות אחרות, אז הייתי אומר : אני מוכן לקחת את</w:t>
      </w:r>
      <w:r>
        <w:rPr>
          <w:rFonts w:cs="David"/>
          <w:rtl/>
        </w:rPr>
        <w:t xml:space="preserve"> הסיכון. לצערי הרב, ההשפעות הפוליטיות, אני אקח את זה עלינו, על הפוליטיקאים –גם בארגונים מסוג כזה, הן יותר מדי גדולות. ולכן, אם כבר עושים חקיקה, אז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אני רוצה לצטט לך את ברק, בפסק הדין טובול, שהוא דיבר שם על כך שהיה, נגיד, שוטר שעשה משהו לא ב</w:t>
      </w:r>
      <w:r>
        <w:rPr>
          <w:rFonts w:cs="David"/>
          <w:rtl/>
        </w:rPr>
        <w:t xml:space="preserve">סדר, והשאלה היתה על זיכרון דברים שכתב שוטר. הוא אמר שם שאי אפשר לחוקק חקיקה בשים לב לכך שיהיה מישהו שזה שכשל לו כך וכך. מי שכשל – תמצה אתו את הדין, תעמיד אותו לדין משמעתי, אבל את ההוראות הנורמטיביות - אתה יוצא מאותה נקודה שהמערכת היא תקינה. </w:t>
      </w:r>
    </w:p>
    <w:p w:rsidR="00000000" w:rsidRDefault="00AF1222">
      <w:pPr>
        <w:bidi/>
        <w:jc w:val="both"/>
        <w:rPr>
          <w:rFonts w:cs="David"/>
          <w:rtl/>
        </w:rPr>
      </w:pPr>
    </w:p>
    <w:p w:rsidR="00000000" w:rsidRDefault="00AF1222">
      <w:pPr>
        <w:bidi/>
        <w:jc w:val="both"/>
        <w:rPr>
          <w:rFonts w:cs="David"/>
          <w:rtl/>
        </w:rPr>
      </w:pPr>
      <w:r>
        <w:rPr>
          <w:rFonts w:cs="David"/>
          <w:rtl/>
        </w:rPr>
        <w:tab/>
        <w:t xml:space="preserve">על מה אנחנו </w:t>
      </w:r>
      <w:r>
        <w:rPr>
          <w:rFonts w:cs="David"/>
          <w:rtl/>
        </w:rPr>
        <w:t>מדברים כאן, בסך הכל? אני אתן לך דוגמה שהיתה על שולחננו. תנ"צ סוקלר – כמה שנים נמשך הדיון שלו בפלילי? שנים. היו לו עינויי דין. החזיקו לו את המענק, כי הוא שוחרר מהמשטרה בעקבות כל הפרשיה הזו. הכספים שלו הוחזקו בידי המשטרה. בסופו של דבר בית המשפט הטיל עליו עונ</w:t>
      </w:r>
      <w:r>
        <w:rPr>
          <w:rFonts w:cs="David"/>
          <w:rtl/>
        </w:rPr>
        <w:t>ש בלי הרשעה, והוא רק כתב שם, בשולי הדברים, שיכול להיות שבכלל, כל העניין הזה, היה מקום לדין משמעתי. האם יעלה על הדעת, ואנחנו אומרים שגם שוטר, יש לו, בכל אופן, איזה שהן זכויות בסיסיות – שבקצה, במה שנשאר – שהרי אם זה בדין המשמעתי זה הסמכות הנגררת לאינטרס הציב</w:t>
      </w:r>
      <w:r>
        <w:rPr>
          <w:rFonts w:cs="David"/>
          <w:rtl/>
        </w:rPr>
        <w:t xml:space="preserve">ורי, שבא לידי ביטויו בפלילי. אנחנו עכשיו, אם הוא היה בשירות, היינו ממצים אתו את הדין המשמעתי אחרי כל כך הרבה עינויי דין, כל כך הרבה שנים? מצד שני, יכול להיות שיהיו מקרים שכן. לכן נותנים למפקח הכללי. הוא לא פועל בהתייעצות עם ההתייעצות המשפטית, בהתייעצות עם </w:t>
      </w:r>
      <w:r>
        <w:rPr>
          <w:rFonts w:cs="David"/>
          <w:rtl/>
        </w:rPr>
        <w:t xml:space="preserve">המשמעת. זה ברור. זה עניינו של מנהל תקין. הוא לא יחליט החלטות כאלה, ומי שמקבלת את זה זו רונית קמינסקי. היא רואה את פסק הדין, והיא אומרת – שלמרות שחלפה תקופת ההתיישנות.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למה הכנסתם את היועץ המשפטי לממשלה? </w:t>
      </w:r>
    </w:p>
    <w:p w:rsidR="00000000" w:rsidRDefault="00AF1222">
      <w:pPr>
        <w:bidi/>
        <w:jc w:val="both"/>
        <w:rPr>
          <w:rFonts w:cs="David"/>
          <w:rtl/>
        </w:rPr>
      </w:pPr>
    </w:p>
    <w:p w:rsidR="00000000" w:rsidRDefault="00AF1222">
      <w:pPr>
        <w:bidi/>
        <w:jc w:val="both"/>
        <w:rPr>
          <w:rFonts w:cs="David"/>
          <w:rtl/>
        </w:rPr>
      </w:pP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סמכות היועץ המשפטי פה</w:t>
      </w:r>
      <w:r>
        <w:rPr>
          <w:rFonts w:cs="David"/>
          <w:rtl/>
        </w:rPr>
        <w:t xml:space="preserve"> נוגעת לשאלה אם לעכב הליכי משמעת בזמן תהליכים פליליים. היועץ המשפטי יכול להחליט שיש אינטרס להמשיך בד בבד הליכי המשמעת. היועץ המשפטי הוא זה שמחליט שבכוונתו להגיש כתב אישום פלילי. הכלל הוא לעכב את הליכי </w:t>
      </w:r>
      <w:r>
        <w:rPr>
          <w:rFonts w:cs="David"/>
          <w:rtl/>
        </w:rPr>
        <w:lastRenderedPageBreak/>
        <w:t>המשמעת, גם כדי שלא אותה מסכת ראיות תתברר בשני הליכים בו</w:t>
      </w:r>
      <w:r>
        <w:rPr>
          <w:rFonts w:cs="David"/>
          <w:rtl/>
        </w:rPr>
        <w:t xml:space="preserve"> זמנית כאשר אחת כפופה לדיני הראיות, אחת לא. יהיה בלבול, תהיה לזה השלכה? רוצים לגמור קודם ההליך הפלילי, בדרך כלל, אחר כך, אם יש צורך בהליך המשמעתי, שהוא ההליך השולי, ההליך השיורי, ההליך הנלווה - ולכן יש גם סמכות לראש המערכת שהוא אחראי על סדרי המשטר והמשמעת </w:t>
      </w:r>
      <w:r>
        <w:rPr>
          <w:rFonts w:cs="David"/>
          <w:rtl/>
        </w:rPr>
        <w:t xml:space="preserve">במשטרה להחליט שבכל זאת, למרות חלוף תקופת ההתיישנות, למרות שכבר מוצה הדין הפלילי -  בכל זאת יש מקום - -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מבחינה סטטיסטית,  כמה מקרים כאלה היו?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מעטים. </w:t>
      </w:r>
    </w:p>
    <w:p w:rsidR="00000000" w:rsidRDefault="00AF1222">
      <w:pPr>
        <w:bidi/>
        <w:jc w:val="both"/>
        <w:rPr>
          <w:rFonts w:cs="David"/>
          <w:u w:val="single"/>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הייתי רוצה לדעת פחות או יותר - האם היו מקרים שבהם ההליך המשמעתי ב</w:t>
      </w:r>
      <w:r>
        <w:rPr>
          <w:rFonts w:cs="David"/>
          <w:rtl/>
        </w:rPr>
        <w:t>עצם נסוג והתבטל כתוצאה מהליך פלילי למרות שבהליך הפלילי אותו שוטר זוכה?</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ברוב המרים כשמחליטים על הליך פלילי לא מעבירים אותו לפסים משמעתיים. התיק מגיע לפרקליטות, מגיע למשטרה רק כדי לשקול אם לפטר את השוטר או להשעות אותו, לא כדי להעמיד אותו לד</w:t>
      </w:r>
      <w:r>
        <w:rPr>
          <w:rFonts w:cs="David"/>
          <w:rtl/>
        </w:rPr>
        <w:t>ין משמעתי. כי לא עושים כפל. בתום ההליך הפלילי מחליטים אם לפטר.</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בתום ההליך הפלילי כבר יש התיישנות בכל מקרה, כי ההליך הפלילי לוקח יותר זמן.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מה תקופת ההתיישנות?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חצי שנה.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שלוש שנים לבית דין ל</w:t>
      </w:r>
      <w:r>
        <w:rPr>
          <w:rFonts w:cs="David"/>
          <w:rtl/>
        </w:rPr>
        <w:t xml:space="preserve">משמעת, ושנה  להליך.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הבנתי שאתם מתעקשים על העניין הזה. בסדר.</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גם היועץ המשפטי הסכים עכשיו לדעתנו, אני מקווה. </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לגבי סעיף 15 – אנחנו מבקשים להביא אותו בפעם הבאה, כי אנחנו צריכים עוד לעשות דיונים אצלנו על  הליכים משמעתיים לגבי מי</w:t>
      </w:r>
      <w:r>
        <w:rPr>
          <w:rFonts w:cs="David"/>
          <w:rtl/>
        </w:rPr>
        <w:t xml:space="preserve"> שחדל להיות שוטר.</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האם האוצר נמצא כאן?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כאן, בחלק הזה, אין היבטים תקציביים.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עידו בן 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לא צריך. </w:t>
      </w:r>
    </w:p>
    <w:p w:rsidR="00000000" w:rsidRDefault="00AF1222">
      <w:pPr>
        <w:bidi/>
        <w:jc w:val="both"/>
        <w:rPr>
          <w:rFonts w:cs="David"/>
          <w:rtl/>
        </w:rPr>
      </w:pPr>
    </w:p>
    <w:p w:rsidR="00000000" w:rsidRDefault="00AF1222">
      <w:pPr>
        <w:bidi/>
        <w:jc w:val="both"/>
        <w:rPr>
          <w:rFonts w:cs="David"/>
          <w:rtl/>
        </w:rPr>
      </w:pPr>
      <w:r>
        <w:rPr>
          <w:rFonts w:cs="David"/>
          <w:rtl/>
        </w:rPr>
        <w:tab/>
        <w:t>אנחנו צריכים להצביע על סעיף 13.</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אני מציע שההערות המהותיות יירשמו. הנושא הוא כבד. בין הדיון הז</w:t>
      </w:r>
      <w:r>
        <w:rPr>
          <w:rFonts w:cs="David"/>
          <w:rtl/>
        </w:rPr>
        <w:t>ה לדיון הבא יהיו התייעצויות והבנות ביניכם כדי שנייעל את העבודה. אני מקווה לסיים את זה בפגרה, ותעזרו לנו מבלי שאנחנו נוותר על זכותנו לעמוד על דברים מהותיים – תעזרו לקדם העניין כמו שצריך.</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נמשיך בסעיפים. סעיפים שאין בהם הערות אני רק קוראת. </w:t>
      </w:r>
    </w:p>
    <w:p w:rsidR="00000000" w:rsidRDefault="00AF1222">
      <w:pPr>
        <w:bidi/>
        <w:jc w:val="both"/>
        <w:rPr>
          <w:rFonts w:cs="David"/>
          <w:rtl/>
        </w:rPr>
      </w:pPr>
    </w:p>
    <w:p w:rsidR="00000000" w:rsidRDefault="00AF1222">
      <w:pPr>
        <w:bidi/>
        <w:jc w:val="both"/>
        <w:rPr>
          <w:rFonts w:cs="David"/>
          <w:rtl/>
        </w:rPr>
      </w:pPr>
      <w:r>
        <w:rPr>
          <w:rFonts w:cs="David"/>
          <w:u w:val="single"/>
          <w:rtl/>
        </w:rPr>
        <w:t>היו"</w:t>
      </w:r>
      <w:r>
        <w:rPr>
          <w:rFonts w:cs="David"/>
          <w:u w:val="single"/>
          <w:rtl/>
        </w:rPr>
        <w:t>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אנחנו רק מצביעים על סעיף 13. כל שיעורי הבית התמלאו – היושב ראש בא על סיפוקו. מצביעים על 13 מי בעד? מי נגד? מי נמנע? סעיף 13 נתקבל פה אחד, 3 חברים בעד. </w:t>
      </w:r>
    </w:p>
    <w:p w:rsidR="00000000" w:rsidRDefault="00AF1222">
      <w:pPr>
        <w:bidi/>
        <w:jc w:val="both"/>
        <w:rPr>
          <w:rFonts w:cs="David"/>
          <w:rtl/>
        </w:rPr>
      </w:pPr>
    </w:p>
    <w:p w:rsidR="00000000" w:rsidRDefault="00AF1222">
      <w:pPr>
        <w:bidi/>
        <w:jc w:val="both"/>
        <w:rPr>
          <w:rFonts w:cs="David"/>
          <w:rtl/>
        </w:rPr>
      </w:pPr>
      <w:r>
        <w:rPr>
          <w:rFonts w:cs="David"/>
          <w:u w:val="single"/>
          <w:rtl/>
        </w:rPr>
        <w:t>עידו בן-יצחק:</w:t>
      </w:r>
    </w:p>
    <w:p w:rsidR="00000000" w:rsidRDefault="00AF1222">
      <w:pPr>
        <w:bidi/>
        <w:jc w:val="both"/>
        <w:rPr>
          <w:rFonts w:cs="David"/>
          <w:rtl/>
        </w:rPr>
      </w:pPr>
    </w:p>
    <w:p w:rsidR="00000000" w:rsidRDefault="00AF1222">
      <w:pPr>
        <w:bidi/>
        <w:jc w:val="both"/>
        <w:rPr>
          <w:rFonts w:cs="David"/>
          <w:rtl/>
        </w:rPr>
      </w:pPr>
      <w:r>
        <w:rPr>
          <w:rFonts w:cs="David"/>
          <w:rtl/>
        </w:rPr>
        <w:tab/>
        <w:t>נעבור לסעיף 16. את סעיף 14 אישרנו בפעם שעברה.</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(קוראת את </w:t>
      </w:r>
      <w:r>
        <w:rPr>
          <w:rFonts w:cs="David"/>
          <w:rtl/>
        </w:rPr>
        <w:t>סעיף 16)</w:t>
      </w:r>
    </w:p>
    <w:p w:rsidR="00000000" w:rsidRDefault="00AF1222">
      <w:pPr>
        <w:bidi/>
        <w:jc w:val="both"/>
        <w:rPr>
          <w:rFonts w:cs="David"/>
          <w:rtl/>
        </w:rPr>
      </w:pPr>
    </w:p>
    <w:p w:rsidR="00000000" w:rsidRDefault="00AF1222">
      <w:pPr>
        <w:bidi/>
        <w:jc w:val="both"/>
        <w:rPr>
          <w:rFonts w:cs="David"/>
          <w:rtl/>
        </w:rPr>
      </w:pPr>
      <w:r>
        <w:rPr>
          <w:rFonts w:cs="David"/>
          <w:rtl/>
        </w:rPr>
        <w:tab/>
        <w:t>בסעיף קטן (ב) – יש שינוי. קודם היה כתוב רק "חקירה": "על אף ההוראות סעיף קטן (א) התנהלה חקירה". אנחנו, בדומה חוק סדר הדין הפלילי רוצים שבין האלמנטים להפסיק את מרוץ ההתיישנות לא תהיה רק חקירה, אלא גם - בירור, בדיקה או חקירה בעבירות משמעת בתוך התקו</w:t>
      </w:r>
      <w:r>
        <w:rPr>
          <w:rFonts w:cs="David"/>
          <w:rtl/>
        </w:rPr>
        <w:t xml:space="preserve">פות האמורות בסעיף קטן (א). </w:t>
      </w:r>
    </w:p>
    <w:p w:rsidR="00000000" w:rsidRDefault="00AF1222">
      <w:pPr>
        <w:bidi/>
        <w:jc w:val="both"/>
        <w:rPr>
          <w:rFonts w:cs="David"/>
          <w:rtl/>
        </w:rPr>
      </w:pPr>
    </w:p>
    <w:p w:rsidR="00000000" w:rsidRDefault="00AF1222">
      <w:pPr>
        <w:bidi/>
        <w:jc w:val="both"/>
        <w:rPr>
          <w:rFonts w:cs="David"/>
          <w:rtl/>
        </w:rPr>
      </w:pPr>
    </w:p>
    <w:p w:rsidR="00000000" w:rsidRDefault="00AF1222">
      <w:pPr>
        <w:bidi/>
        <w:jc w:val="both"/>
        <w:rPr>
          <w:rFonts w:cs="David"/>
          <w:u w:val="single"/>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מה ההבדל בין -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בירור יכול להיות בירור משמעתי, בירור קבילה שבמהלכה עולה שיש חשד לעבירת משמעת. בדיקה – מפקח כללי הורה על קצין בודק שיבדוק את העניין. לכן,  לא נראה לי נכון שרק חקירה מפסיקה </w:t>
      </w:r>
      <w:r>
        <w:rPr>
          <w:rFonts w:cs="David"/>
          <w:rtl/>
        </w:rPr>
        <w:t>את מרוץ ההתיישנות, כי צריך לאפשר גם את הבדיקות ואת ההליכים האחרים. אנחנו בהחלט בהתאמה לסעיף 9 לחוק סדר הדין הפלילי,  כאשר הקובע הוא יום ההליך האחרון של הבירור, הבדיקה או החקירה. העלה היועץ המשפטי של הוועדה, ובצדק, שההליך האחרון הוא אולי מושג קצת מעורפל – י</w:t>
      </w:r>
      <w:r>
        <w:rPr>
          <w:rFonts w:cs="David"/>
          <w:rtl/>
        </w:rPr>
        <w:t>תחילו לפרש האם זה היום שחתמו או היום שגמרו את העדויות. אנחנו חשבנו לנסח את זה כיום סיום החקירה, בירור או הבדיקה.</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גבי פיסמן:</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"סיום" זה מינוח לא נכון.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סיום זה כאשר גמרת לחקור ויכול להעביר לתביעה להגשת כתב אישום. קצין בודק גמר את עבודתו, הוא </w:t>
      </w:r>
      <w:r>
        <w:rPr>
          <w:rFonts w:cs="David"/>
          <w:rtl/>
        </w:rPr>
        <w:t>חותם על הדו"ח,  מגיש למישהו שצריך להמליץ.</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ברגע שנחתם הדו"ח הראשוני על ידי הקצין החוקר, באותו רגע מתחיל מרוץ ההתיישנות.</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כן.  ניתן דוגמא שיש קצין בודק וצריך לאשר את ההמלצות שלו. אם לא ניתן סייג שזה התחלת המרוץ, יכולים לדחות את האיש</w:t>
      </w:r>
      <w:r>
        <w:rPr>
          <w:rFonts w:cs="David"/>
          <w:rtl/>
        </w:rPr>
        <w:t xml:space="preserve">ור. יש כאן קטליזטור למערכת שצריכה לאשר לא למשוך את הדברים. שתדעו - שאם לא תאשרו בתקופת זמן, מרוץ ההתיישנות ימשיך.  לאדם לא נוח לאשר המלצות הקצין הבודק, אז הוא ימשוך. כאן הוא צריך לדעת שהוא צריך להחליט בעעניין ולשחרר את מרוץ ההתיישנות.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הוא </w:t>
      </w:r>
      <w:r>
        <w:rPr>
          <w:rFonts w:cs="David"/>
          <w:rtl/>
        </w:rPr>
        <w:t xml:space="preserve">ימשו כי תעבור ההתיישנות. את אומרת שמרוץ ההתיישנות מתחיל מרגע שהקצין הבודק חתם על הדו"ח, לא ברגע שההמלצות היו צריכות להיות, כך או אחרת. אני חושב שזה גם הגיוני,  אבל ממילא סעיף (ג) יוצר את המצב -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מה עם האדם עצמו? חתמו על הבדיקה שלו. הוא צריך </w:t>
      </w:r>
      <w:r>
        <w:rPr>
          <w:rFonts w:cs="David"/>
          <w:rtl/>
        </w:rPr>
        <w:t xml:space="preserve">לחכות שלוש שנים?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אבל מה עם  מי שלא מעוניין לקדם את העניין? הוא נותן לזמן לעשות את שלו, נכון? </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איך אפשר להבטיח שדבר כזה לא יקרה?</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גבי פיסמן:</w:t>
      </w:r>
    </w:p>
    <w:p w:rsidR="00000000" w:rsidRDefault="00AF1222">
      <w:pPr>
        <w:bidi/>
        <w:jc w:val="both"/>
        <w:rPr>
          <w:rFonts w:cs="David"/>
          <w:rtl/>
        </w:rPr>
      </w:pPr>
    </w:p>
    <w:p w:rsidR="00000000" w:rsidRDefault="00AF1222">
      <w:pPr>
        <w:bidi/>
        <w:jc w:val="both"/>
        <w:rPr>
          <w:rFonts w:cs="David"/>
          <w:rtl/>
        </w:rPr>
      </w:pPr>
      <w:r>
        <w:rPr>
          <w:rFonts w:cs="David"/>
          <w:rtl/>
        </w:rPr>
        <w:tab/>
        <w:t>זה הנוסח של סדר הדין הפלילי.</w:t>
      </w:r>
    </w:p>
    <w:p w:rsidR="00000000" w:rsidRDefault="00AF1222">
      <w:pPr>
        <w:bidi/>
        <w:jc w:val="both"/>
        <w:rPr>
          <w:rFonts w:cs="David"/>
          <w:rtl/>
        </w:rPr>
      </w:pPr>
    </w:p>
    <w:p w:rsidR="00000000" w:rsidRDefault="00AF1222">
      <w:pPr>
        <w:bidi/>
        <w:jc w:val="both"/>
        <w:rPr>
          <w:rFonts w:cs="David"/>
          <w:rtl/>
        </w:rPr>
      </w:pPr>
      <w:r>
        <w:rPr>
          <w:rFonts w:cs="David"/>
          <w:u w:val="single"/>
          <w:rtl/>
        </w:rPr>
        <w:br w:type="page"/>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זה לא שאני מתנגד אידיאולוגית</w:t>
      </w:r>
      <w:r>
        <w:rPr>
          <w:rFonts w:cs="David"/>
          <w:rtl/>
        </w:rPr>
        <w:t xml:space="preserve">, אבל הבדל בין חסד"פ לבין זה הוא פשוט. בחסד"פ יש נטיה – לרוץ מהר לפני שזה יגיע למיצוי של תהליך ההתיישנות. בתוך המערכת עלול להיות מצב שאני רוצה להגן על האנשים שלי ואני מורח את הדברים.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גם לא אמנה קצין בודק.</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הערה נכונה</w:t>
      </w:r>
      <w:r>
        <w:rPr>
          <w:rFonts w:cs="David"/>
          <w:rtl/>
        </w:rPr>
        <w:t xml:space="preserve">. צריך למצוא דרך להבטיח את זה. זאת אומרת – לקבוע איזושהי מגבלה מסוימת.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אנחנו מערכת שכפופה לבג"ץ. כל הליך שלא נראה למאן דהוא, גוררים לבג"ץ.</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Pr>
      </w:pPr>
      <w:r>
        <w:rPr>
          <w:rFonts w:cs="David"/>
          <w:rtl/>
        </w:rPr>
        <w:tab/>
        <w:t xml:space="preserve"> מי זה מאן דהוא במקרה הזה?</w:t>
      </w:r>
      <w:r>
        <w:rPr>
          <w:rFonts w:cs="David"/>
        </w:rPr>
        <w:t xml:space="preserve"> </w:t>
      </w:r>
    </w:p>
    <w:p w:rsidR="00000000" w:rsidRDefault="00AF1222">
      <w:pPr>
        <w:bidi/>
        <w:jc w:val="both"/>
        <w:rPr>
          <w:rFonts w:cs="David"/>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לדוגמה – המתלונן.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w:t>
      </w:r>
      <w:r>
        <w:rPr>
          <w:rFonts w:cs="David"/>
          <w:u w:val="single"/>
          <w:rtl/>
        </w:rPr>
        <w:t>ון:</w:t>
      </w:r>
    </w:p>
    <w:p w:rsidR="00000000" w:rsidRDefault="00AF1222">
      <w:pPr>
        <w:bidi/>
        <w:jc w:val="both"/>
        <w:rPr>
          <w:rFonts w:cs="David"/>
          <w:rtl/>
        </w:rPr>
      </w:pPr>
    </w:p>
    <w:p w:rsidR="00000000" w:rsidRDefault="00AF1222">
      <w:pPr>
        <w:bidi/>
        <w:jc w:val="both"/>
        <w:rPr>
          <w:rFonts w:cs="David"/>
          <w:rtl/>
        </w:rPr>
      </w:pPr>
      <w:r>
        <w:rPr>
          <w:rFonts w:cs="David"/>
          <w:rtl/>
        </w:rPr>
        <w:tab/>
        <w:t xml:space="preserve"> מתלונן שהתלונן על השוטר שבעקבות זה נפתחה הביקורת. זה נותן אפשרות להגיע לבג"ץ.</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אנחנו הולכים הרבה לבג"ץ כדי להגן על ההחלטות שלנו. בג"ץ בוחן את מה שאנחנו עושים וקובע. לכן -  החשש הזה קצת מרחיק לכת, כי זה כלים שמקנים למערכת כדי לבדוק א</w:t>
      </w:r>
      <w:r>
        <w:rPr>
          <w:rFonts w:cs="David"/>
          <w:rtl/>
        </w:rPr>
        <w:t>ת עצמה, ולא רק כדי לבדוק את עצמה – כי אנחנו מדברים גם על סיום חקירה, לא רק על סיום בדיקה. אף אחד לא מחייבת אותנו לעשות בדיקות פנימיות, ואנחנו עושים כי אנחנו רוצים, כי המערכת רוצה להיות תקינה, לא מושחתת. זאת המשמעות של הדין משמעתי. עד היום גם החלטות בג"ץ שנ</w:t>
      </w:r>
      <w:r>
        <w:rPr>
          <w:rFonts w:cs="David"/>
          <w:rtl/>
        </w:rPr>
        <w:t>יתנו לגבינו לא השחירו פנינו. נהפוך הוא.</w:t>
      </w:r>
    </w:p>
    <w:p w:rsidR="00000000" w:rsidRDefault="00AF1222">
      <w:pPr>
        <w:bidi/>
        <w:jc w:val="both"/>
        <w:rPr>
          <w:rFonts w:cs="David"/>
          <w:rtl/>
        </w:rPr>
      </w:pPr>
    </w:p>
    <w:p w:rsidR="00000000" w:rsidRDefault="00AF1222">
      <w:pPr>
        <w:bidi/>
        <w:jc w:val="both"/>
        <w:rPr>
          <w:rFonts w:cs="David"/>
          <w:rtl/>
        </w:rPr>
      </w:pPr>
      <w:r>
        <w:rPr>
          <w:rFonts w:cs="David"/>
          <w:u w:val="single"/>
          <w:rtl/>
        </w:rPr>
        <w:t>עידו בן-יצחק: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 לדעתי זה בסדר. ההליך האחרון – כך כתוב בחוק סדר הדין הפלילי לכן אפשר להיצמד לזה.</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אני עוברת לסעיף 16 (ג) : </w:t>
      </w:r>
    </w:p>
    <w:p w:rsidR="00000000" w:rsidRDefault="00AF1222">
      <w:pPr>
        <w:bidi/>
        <w:jc w:val="both"/>
        <w:rPr>
          <w:rFonts w:cs="David"/>
          <w:rtl/>
        </w:rPr>
      </w:pPr>
    </w:p>
    <w:p w:rsidR="00000000" w:rsidRDefault="00AF1222">
      <w:pPr>
        <w:bidi/>
        <w:jc w:val="both"/>
        <w:rPr>
          <w:rFonts w:cs="David"/>
          <w:rtl/>
        </w:rPr>
      </w:pPr>
      <w:r>
        <w:rPr>
          <w:rFonts w:cs="David"/>
          <w:rtl/>
        </w:rPr>
        <w:tab/>
        <w:t>"(ג) הוגש כתב אישום לבית דין למשמעת או כתב תלונה לדן יחיד בתוך התקופות האמורות</w:t>
      </w:r>
      <w:r>
        <w:rPr>
          <w:rFonts w:cs="David"/>
          <w:rtl/>
        </w:rPr>
        <w:t xml:space="preserve"> בסעיפים קטנים (א) או (ב)..." – משמע: שלוש ושנה, בהתאמה- "...ולא החל הדיון לפני בית הדין למשמעת..." – וכאן אנחנו חושבים שזה יהיה בתוך 18 חודשים מיום הגשת כתב האישום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עידו בן 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כתוב 3 שנים.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למעשה, זו גם השלמה של סעיף (</w:t>
      </w:r>
      <w:r>
        <w:rPr>
          <w:rFonts w:cs="David"/>
          <w:rtl/>
        </w:rPr>
        <w:t>ב). הוא אומר:  אני מתחיל את מרוץ ההתיישנות מיום שהעברתי את  המסמך ממני לדן בודק או לבית הדין. אז צריך לעמוד בגבולות של התיישנות נורמלית.</w:t>
      </w:r>
    </w:p>
    <w:p w:rsidR="00000000" w:rsidRDefault="00AF1222">
      <w:pPr>
        <w:bidi/>
        <w:jc w:val="both"/>
        <w:rPr>
          <w:rFonts w:cs="David"/>
          <w:rtl/>
        </w:rPr>
      </w:pPr>
    </w:p>
    <w:p w:rsidR="00000000" w:rsidRDefault="00AF1222">
      <w:pPr>
        <w:bidi/>
        <w:jc w:val="both"/>
        <w:rPr>
          <w:rFonts w:cs="David"/>
          <w:rtl/>
        </w:rPr>
      </w:pPr>
      <w:r>
        <w:rPr>
          <w:rFonts w:cs="David"/>
          <w:u w:val="single"/>
          <w:rtl/>
        </w:rPr>
        <w:t>עידו בן-יצחק: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 ביקשתי להוריד התקופה משלוש שנים לתקופה קצרה יותר. לאחר שהוגש כתב אישום, לא נכון להשאיר אדם תלוי ועומד</w:t>
      </w:r>
      <w:r>
        <w:rPr>
          <w:rFonts w:cs="David"/>
          <w:rtl/>
        </w:rPr>
        <w:t xml:space="preserve"> תקופה כה ממושכת.</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מאחר ומדברים על מערכת שיש לה רצון מאוד גדול להיות טובה, לא מושחתת וסבירה, אז היא לא צריכה שלוש שנים, לא 18 חודש, אלא - צריכה לעשות מיידית.</w:t>
      </w:r>
    </w:p>
    <w:p w:rsidR="00000000" w:rsidRDefault="00AF1222">
      <w:pPr>
        <w:bidi/>
        <w:jc w:val="both"/>
        <w:rPr>
          <w:rFonts w:cs="David"/>
          <w:rtl/>
        </w:rPr>
      </w:pPr>
    </w:p>
    <w:p w:rsidR="00000000" w:rsidRDefault="00AF1222">
      <w:pPr>
        <w:bidi/>
        <w:jc w:val="both"/>
        <w:rPr>
          <w:rFonts w:cs="David"/>
          <w:rtl/>
        </w:rPr>
      </w:pPr>
      <w:r>
        <w:rPr>
          <w:rFonts w:cs="David"/>
          <w:u w:val="single"/>
          <w:rtl/>
        </w:rPr>
        <w:t>עידו בן-יצחק: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 לא צריך לתת לה פתח של שלוש שנים.</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r>
      <w:r>
        <w:rPr>
          <w:rFonts w:cs="David"/>
          <w:rtl/>
        </w:rPr>
        <w:t xml:space="preserve">אבל אחרת אני יוצר מצב שבו אני מקצר, בעצם, את  תקופת ההתיישנות שבה אני פוטר האדם. זה מנוגד ל- - </w:t>
      </w:r>
    </w:p>
    <w:p w:rsidR="00000000" w:rsidRDefault="00AF1222">
      <w:pPr>
        <w:bidi/>
        <w:jc w:val="both"/>
        <w:rPr>
          <w:rFonts w:cs="David"/>
          <w:rtl/>
        </w:rPr>
      </w:pPr>
    </w:p>
    <w:p w:rsidR="00000000" w:rsidRDefault="00AF1222">
      <w:pPr>
        <w:bidi/>
        <w:jc w:val="both"/>
        <w:rPr>
          <w:rFonts w:cs="David"/>
          <w:rtl/>
        </w:rPr>
      </w:pPr>
      <w:r>
        <w:rPr>
          <w:rFonts w:cs="David"/>
          <w:u w:val="single"/>
          <w:rtl/>
        </w:rPr>
        <w:t>עידו בן-יצחק: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 לאחר שהוגש כתב אישום.</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אבל כאן אתה יוצא משליטה של הפיקוד ועוזר לבית הדין. אין על בית הדין אלא את מרותו של הדין במהלך הזה. </w:t>
      </w:r>
    </w:p>
    <w:p w:rsidR="00000000" w:rsidRDefault="00AF1222">
      <w:pPr>
        <w:bidi/>
        <w:jc w:val="both"/>
        <w:rPr>
          <w:rFonts w:cs="David"/>
          <w:rtl/>
        </w:rPr>
      </w:pPr>
    </w:p>
    <w:p w:rsidR="00000000" w:rsidRDefault="00AF1222">
      <w:pPr>
        <w:bidi/>
        <w:jc w:val="both"/>
        <w:rPr>
          <w:rFonts w:cs="David"/>
          <w:rtl/>
        </w:rPr>
      </w:pPr>
      <w:r>
        <w:rPr>
          <w:rFonts w:cs="David"/>
          <w:u w:val="single"/>
          <w:rtl/>
        </w:rPr>
        <w:t>מ"מ היו</w:t>
      </w:r>
      <w:r>
        <w:rPr>
          <w:rFonts w:cs="David"/>
          <w:u w:val="single"/>
          <w:rtl/>
        </w:rPr>
        <w:t>"ר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זה בית דין משמעתי, וזה דן יחיד, שהוא שלכם.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לא, זה  לכל הדין המשמעתי.</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אבל זה גם אם הוגש כתב אישום לבית הדין למשמעת או כתב תלונה לדן יחיד. אז לכן -  למה צריך לקצר התקופות? לדן יחיד אתם נותנים שנה, ול</w:t>
      </w:r>
      <w:r>
        <w:rPr>
          <w:rFonts w:cs="David"/>
          <w:rtl/>
        </w:rPr>
        <w:t xml:space="preserve">זה שלוש שנים. תשאירו את זה אותו הדבר. </w:t>
      </w:r>
    </w:p>
    <w:p w:rsidR="00000000" w:rsidRDefault="00AF1222">
      <w:pPr>
        <w:bidi/>
        <w:jc w:val="both"/>
        <w:rPr>
          <w:rFonts w:cs="David"/>
          <w:rtl/>
        </w:rPr>
      </w:pPr>
    </w:p>
    <w:p w:rsidR="00000000" w:rsidRDefault="00AF1222">
      <w:pPr>
        <w:bidi/>
        <w:jc w:val="both"/>
        <w:rPr>
          <w:rFonts w:cs="David"/>
          <w:rtl/>
        </w:rPr>
      </w:pPr>
      <w:r>
        <w:rPr>
          <w:rFonts w:cs="David"/>
          <w:u w:val="single"/>
          <w:rtl/>
        </w:rPr>
        <w:br w:type="page"/>
        <w:t>חנה קלר:</w:t>
      </w:r>
    </w:p>
    <w:p w:rsidR="00000000" w:rsidRDefault="00AF1222">
      <w:pPr>
        <w:bidi/>
        <w:jc w:val="both"/>
        <w:rPr>
          <w:rFonts w:cs="David"/>
          <w:rtl/>
        </w:rPr>
      </w:pPr>
    </w:p>
    <w:p w:rsidR="00000000" w:rsidRDefault="00AF1222">
      <w:pPr>
        <w:bidi/>
        <w:jc w:val="both"/>
        <w:rPr>
          <w:rFonts w:cs="David"/>
          <w:rtl/>
        </w:rPr>
      </w:pPr>
      <w:r>
        <w:rPr>
          <w:rFonts w:cs="David"/>
          <w:rtl/>
        </w:rPr>
        <w:tab/>
        <w:t>אנחנו חשבנו לראות במרכז את האיש, שבכל זאת יהיה איזשהו  קטליזטור שבית הדין לא ידחה את זה -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הקטליזטור צריך להיות אותו שוטר, אם אין לו עניין ואם הוא לא רוצה להיות נתון למה שנקרא "</w:t>
      </w:r>
      <w:r>
        <w:rPr>
          <w:rFonts w:cs="David"/>
          <w:rtl/>
        </w:rPr>
        <w:t xml:space="preserve">עינוי 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לא רק זה. הוא לא מקודם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בסדר גמור. הוגש נגדי כתב אישום – אני מבקש לשפוט אותי, זה הכל.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בסדר גמור.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u w:val="single"/>
          <w:rtl/>
        </w:rPr>
      </w:pPr>
    </w:p>
    <w:p w:rsidR="00000000" w:rsidRDefault="00AF1222">
      <w:pPr>
        <w:bidi/>
        <w:jc w:val="both"/>
        <w:rPr>
          <w:rFonts w:cs="David"/>
          <w:rtl/>
        </w:rPr>
      </w:pPr>
      <w:r>
        <w:rPr>
          <w:rFonts w:cs="David"/>
          <w:rtl/>
        </w:rPr>
        <w:tab/>
        <w:t>בסדר. אז אנחנו מצביעים על סעיף 16 כמו שהוא, בלי שינויים. אין מתנגדים</w:t>
      </w:r>
      <w:r>
        <w:rPr>
          <w:rFonts w:cs="David"/>
          <w:rtl/>
        </w:rPr>
        <w:t xml:space="preserve">.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בסעיף 17 – ההסדר מופיע בסעיף 54 הנוכחי, אבל אנחנו כאן משנים את התקופות. אנחנו אומרים שעונש שהוטל בדין משמעתי ושלא הוחל בביצועו – לא יבוצע, ואם הוחל ביצועו והופסק – לא ימשיכו בו. קודם זה היה שלוש שנים, ולא היתה אבחנה בין בית דין לדן יחיד. זה </w:t>
      </w:r>
      <w:r>
        <w:rPr>
          <w:rFonts w:cs="David"/>
          <w:rtl/>
        </w:rPr>
        <w:t xml:space="preserve">היה מצב לא נכון. קודם כל – היעדר האבחנה בין הדן היחיד לבין בית הדין. דבר שני - שלוש שנים, נראה לנו שכשמדברים בדין המשמעתי על פי מהותו, כפי שהצגנו אותו בהתחלה – זה מדי. לכן, לעניין עונש שהטיל בית דין, אנחנו חושבים שביצוע העונש צריך להיות שנה מיום פסק הדין, </w:t>
      </w:r>
      <w:r>
        <w:rPr>
          <w:rFonts w:cs="David"/>
          <w:rtl/>
        </w:rPr>
        <w:t xml:space="preserve">שנעשה חלוט.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מי צריך לבצע את העונש? הרי אנחנו לא מדברים פה על מעצר.</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המערכת. ואם היא סוחבת את האיש מעל שנה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נניח שבית הדין מטיל קנס של 10,000 שקל. נלך לקולא. אז אחרי שנה , בעצם – הוא פטור. ומה</w:t>
      </w:r>
      <w:r>
        <w:rPr>
          <w:rFonts w:cs="David"/>
          <w:rtl/>
        </w:rPr>
        <w:t xml:space="preserve"> יהיה העונש של זה שלא ביצע את זה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התרשלות במילוי תפקיד.</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לא מעלה בדעתי שמישהו יעלה בדעתו לא לבצע פסק דין של מישהו.</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אם מערכת היא רשלנית, והיא בעצמה לא בדקה את זה תוך שנה, אז האיש צריך, לדעתי - - </w:t>
      </w:r>
    </w:p>
    <w:p w:rsidR="00000000" w:rsidRDefault="00AF1222">
      <w:pPr>
        <w:bidi/>
        <w:jc w:val="both"/>
        <w:rPr>
          <w:rFonts w:cs="David"/>
          <w:u w:val="single"/>
          <w:rtl/>
        </w:rPr>
      </w:pPr>
    </w:p>
    <w:p w:rsidR="00000000" w:rsidRDefault="00AF1222">
      <w:pPr>
        <w:bidi/>
        <w:jc w:val="both"/>
        <w:rPr>
          <w:rFonts w:cs="David"/>
          <w:u w:val="single"/>
          <w:rtl/>
        </w:rPr>
      </w:pPr>
      <w:r>
        <w:rPr>
          <w:rFonts w:cs="David"/>
          <w:u w:val="single"/>
          <w:rtl/>
        </w:rPr>
        <w:t>מ"מ היו"ר חמי דו</w:t>
      </w:r>
      <w:r>
        <w:rPr>
          <w:rFonts w:cs="David"/>
          <w:u w:val="single"/>
          <w:rtl/>
        </w:rPr>
        <w:t>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הרבה פעמים יש – אפילו פקיד או פקידה ששכחו מתוך רשלנות, לא מתוך רצון רע.</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זה הכל מתוך התפיסה שכאן, בדין המשמעתי, המענה צריך להיות בסמוך למעשה. כמה שמתרחקים מנקודת הזמן של המעשה, גם האדם צריך להיות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אין לי בעיה</w:t>
      </w:r>
      <w:r>
        <w:rPr>
          <w:rFonts w:cs="David"/>
          <w:rtl/>
        </w:rPr>
        <w:t>. אני רק שואל: מה היה קורה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אם הייתי מקבל קנס, לא הייתי בודקת שמורידים בשיעורים מהתלוש משכורת שלי. פתאום אחרי שנה אומרים לי: היתה לי עבירת תעבורה, הייתי בטוחה שמורידים לי את זה  מהמשכורת ומתברר שלא. אחרי שלוש שנים תוריד את הקנס שהיה?</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w:t>
      </w:r>
      <w:r>
        <w:rPr>
          <w:rFonts w:cs="David"/>
          <w:u w:val="single"/>
          <w:rtl/>
        </w:rPr>
        <w:t>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כן, עם הצמדה וריבית.</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גבי פיסמן:</w:t>
      </w:r>
    </w:p>
    <w:p w:rsidR="00000000" w:rsidRDefault="00AF1222">
      <w:pPr>
        <w:bidi/>
        <w:jc w:val="both"/>
        <w:rPr>
          <w:rFonts w:cs="David"/>
          <w:rtl/>
        </w:rPr>
      </w:pPr>
    </w:p>
    <w:p w:rsidR="00000000" w:rsidRDefault="00AF1222">
      <w:pPr>
        <w:bidi/>
        <w:jc w:val="both"/>
        <w:rPr>
          <w:rFonts w:cs="David"/>
          <w:rtl/>
        </w:rPr>
      </w:pPr>
      <w:r>
        <w:rPr>
          <w:rFonts w:cs="David"/>
          <w:rtl/>
        </w:rPr>
        <w:tab/>
        <w:t>צריך לזכור שתקופות ההתיישנות של עונשים בחוק סדר הדין הפלילי, כשמדברים על חטא, שזו עבירה פלילית - ההתיישנות זה שלוש שנים. אם עושים איזושהי אנלוגיה מהתיישנות על חטא להתיישנות על עונש בבית דין משמעתי, זה נ</w:t>
      </w:r>
      <w:r>
        <w:rPr>
          <w:rFonts w:cs="David"/>
          <w:rtl/>
        </w:rPr>
        <w:t>ראה פרופורציוני.</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לא רק זה: צריך לזכור שהשלוש שנים היה כאשר לבית הדין היה שנתיים מאסר. </w:t>
      </w:r>
    </w:p>
    <w:p w:rsidR="00000000" w:rsidRDefault="00AF1222">
      <w:pPr>
        <w:bidi/>
        <w:jc w:val="both"/>
        <w:rPr>
          <w:rFonts w:cs="David"/>
          <w:rtl/>
        </w:rPr>
      </w:pPr>
    </w:p>
    <w:p w:rsidR="00000000" w:rsidRDefault="00AF1222">
      <w:pPr>
        <w:bidi/>
        <w:jc w:val="both"/>
        <w:rPr>
          <w:rFonts w:cs="David"/>
          <w:rtl/>
        </w:rPr>
      </w:pPr>
      <w:r>
        <w:rPr>
          <w:rFonts w:cs="David"/>
          <w:rtl/>
        </w:rPr>
        <w:tab/>
        <w:t xml:space="preserve">או. קיי. אז קבענו כאן – שנה ושישה חודשים. </w:t>
      </w:r>
    </w:p>
    <w:p w:rsidR="00000000" w:rsidRDefault="00AF1222">
      <w:pPr>
        <w:bidi/>
        <w:jc w:val="both"/>
        <w:rPr>
          <w:rFonts w:cs="David"/>
          <w:rtl/>
        </w:rPr>
      </w:pPr>
    </w:p>
    <w:p w:rsidR="00000000" w:rsidRDefault="00AF1222">
      <w:pPr>
        <w:bidi/>
        <w:jc w:val="both"/>
        <w:rPr>
          <w:rFonts w:cs="David"/>
          <w:rtl/>
        </w:rPr>
      </w:pPr>
      <w:r>
        <w:rPr>
          <w:rFonts w:cs="David"/>
          <w:rtl/>
        </w:rPr>
        <w:tab/>
        <w:t xml:space="preserve">"(2) לעניין עונש שהטיל דן יחיד – אם חלפו שישה חודשים מיום שפסק הדין נעשה חלוט או מיום הפסקת ביצוע העונש, לפי </w:t>
      </w:r>
      <w:r>
        <w:rPr>
          <w:rFonts w:cs="David"/>
          <w:rtl/>
        </w:rPr>
        <w:t xml:space="preserve">העניין". </w:t>
      </w:r>
    </w:p>
    <w:p w:rsidR="00000000" w:rsidRDefault="00AF1222">
      <w:pPr>
        <w:bidi/>
        <w:jc w:val="both"/>
        <w:rPr>
          <w:rFonts w:cs="David"/>
          <w:rtl/>
        </w:rPr>
      </w:pPr>
    </w:p>
    <w:p w:rsidR="00000000" w:rsidRDefault="00AF1222">
      <w:pPr>
        <w:bidi/>
        <w:jc w:val="both"/>
        <w:rPr>
          <w:rFonts w:cs="David"/>
          <w:rtl/>
        </w:rPr>
      </w:pPr>
      <w:r>
        <w:rPr>
          <w:rFonts w:cs="David"/>
          <w:rtl/>
        </w:rPr>
        <w:tab/>
        <w:t xml:space="preserve">שנה – אם זה היה בית הדין. במקרה של דן יחיד - שישה חודשים.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אישרנו את סעיף 17. </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חנה קלר:</w:t>
      </w:r>
    </w:p>
    <w:p w:rsidR="00000000" w:rsidRDefault="00AF1222">
      <w:pPr>
        <w:bidi/>
        <w:jc w:val="both"/>
        <w:rPr>
          <w:rFonts w:cs="David"/>
          <w:rtl/>
        </w:rPr>
      </w:pPr>
    </w:p>
    <w:p w:rsidR="00000000" w:rsidRDefault="00AF1222">
      <w:pPr>
        <w:bidi/>
        <w:jc w:val="both"/>
        <w:rPr>
          <w:rFonts w:cs="David"/>
          <w:u w:val="single"/>
          <w:rtl/>
        </w:rPr>
      </w:pPr>
      <w:r>
        <w:rPr>
          <w:rFonts w:cs="David"/>
          <w:rtl/>
        </w:rPr>
        <w:tab/>
        <w:t>אני ממשיכה בקריאה: סעיף 18. זה העתק של 51א הקיים, שמדבר, כמו שמצופה, שבענייני שפיטה לפי פרק זה – אין על היושב בדין מרות זולת מרו</w:t>
      </w:r>
      <w:r>
        <w:rPr>
          <w:rFonts w:cs="David"/>
          <w:rtl/>
        </w:rPr>
        <w:t xml:space="preserve">תו של הדין, ואין הוא נתון בעניינים אלה למרות מפקדיו. </w:t>
      </w:r>
    </w:p>
    <w:p w:rsidR="00000000" w:rsidRDefault="00AF1222">
      <w:pPr>
        <w:bidi/>
        <w:jc w:val="both"/>
        <w:rPr>
          <w:rFonts w:cs="David"/>
          <w:u w:val="single"/>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למה צריך לכתוב את זה? הרי זה ברור.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נכון. זה מופיע גם בכל – בחוק בתי המשפט, בחוק השיפוט הצבאי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אבל אם נמחק את זה – זה מאד מוזר. לכן צריך להשאיר </w:t>
      </w:r>
      <w:r>
        <w:rPr>
          <w:rFonts w:cs="David"/>
          <w:rtl/>
        </w:rPr>
        <w:t xml:space="preserve">את זה.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אנחנו מאשרים את סעיף 18.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אני קוראת את סעיף 19 – פומביות הדיון.  (קוראת את סעיף 19). </w:t>
      </w:r>
    </w:p>
    <w:p w:rsidR="00000000" w:rsidRDefault="00AF1222">
      <w:pPr>
        <w:bidi/>
        <w:jc w:val="both"/>
        <w:rPr>
          <w:rFonts w:cs="David"/>
          <w:rtl/>
        </w:rPr>
      </w:pPr>
      <w:r>
        <w:rPr>
          <w:rFonts w:cs="David"/>
          <w:rtl/>
        </w:rPr>
        <w:tab/>
        <w:t>המפכ"ל רשאי להורות על עריכת הדיון כולו או חלקו בדלתיים סגורות, אם מצא כי הדבר נחוץ לשם מניעת פגיעה בביטחון המדינה, או בדרכי פ</w:t>
      </w:r>
      <w:r>
        <w:rPr>
          <w:rFonts w:cs="David"/>
          <w:rtl/>
        </w:rPr>
        <w:t xml:space="preserve">עולתה של המשטרה. למשל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מי יקבע שזה פגיעה בביטחון המדינה?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הוא צריך לנמק את זה בכתב.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למי הוא צריך לנמק את זה?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הוא בעצמו – הוא כותב החלטה שהוא מורה על קיום הדיון או חלק ממנו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תמיד כ</w:t>
      </w:r>
      <w:r>
        <w:rPr>
          <w:rFonts w:cs="David"/>
          <w:rtl/>
        </w:rPr>
        <w:t xml:space="preserve">שרוצים להסתיר דבר אז אומרים – זה מטעמי ביטחון.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לא. זה קורה בקושי.  אני לא זוכרת מקרים. הייתי במשך 4 שנים נשיא בית הדין לערעורים.  אני אגיד לך למה-  למשל, מישהו מאגף המודיעין, שהתלונה נגדו היא על התנהגות שלא הלכה או התרשלות במילוי תפקיד. כדי לה</w:t>
      </w:r>
      <w:r>
        <w:rPr>
          <w:rFonts w:cs="David"/>
          <w:rtl/>
        </w:rPr>
        <w:t>וכיח את ההתרשלות הזו, אתה צריך לחשוף נהלי מודיעין. ברור שאתה לא יכול לעשות את זה בדלתיים פתוחות. אז העדות הזו, וזה לא אומר שזה כל הדיון – תהיה בדלתיים סגורות. אני יכולה להגיד לך שהשימוש בסמכות הזו היא באמת במשורה . על כף יחד אחת, במשך 10 שנים, ניתן למנות א</w:t>
      </w:r>
      <w:r>
        <w:rPr>
          <w:rFonts w:cs="David"/>
          <w:rtl/>
        </w:rPr>
        <w:t xml:space="preserve">ת המקרים, אם בכלל. </w:t>
      </w:r>
    </w:p>
    <w:p w:rsidR="00000000" w:rsidRDefault="00AF1222">
      <w:pPr>
        <w:bidi/>
        <w:jc w:val="both"/>
        <w:rPr>
          <w:rFonts w:cs="David"/>
          <w:rtl/>
        </w:rPr>
      </w:pPr>
    </w:p>
    <w:p w:rsidR="00000000" w:rsidRDefault="00AF1222">
      <w:pPr>
        <w:bidi/>
        <w:jc w:val="both"/>
        <w:rPr>
          <w:rFonts w:cs="David"/>
          <w:rtl/>
        </w:rPr>
      </w:pPr>
      <w:r>
        <w:rPr>
          <w:rFonts w:cs="David"/>
          <w:rtl/>
        </w:rPr>
        <w:tab/>
        <w:t>אני ממשיכה בקריאה: "2) רשאי בית הדין להורות, בכל שלב של הדיון, מנימוקים שיירשמו, על עריכת הדיון, כולו או חלקו בדלתיים סגורות אם מצא כי הדבר דרוש מהטעמים המפורטים בפסקה (1), או אם ראה צורך בכך אחת מאלה..." – כאשר כאן העילות נתלקחו בהתא</w:t>
      </w:r>
      <w:r>
        <w:rPr>
          <w:rFonts w:cs="David"/>
          <w:rtl/>
        </w:rPr>
        <w:t>מה מחוק בתי המשפט. ואז יש כאן: "(א) לשם מניעת פגיעה בשלומו של אדם;" – זו הוספה. "(ב) לשם הגנה על עניינו של קטין או חסר ישע כהגדרתם בסעיף 368א לחוק העונשין; (ג) לשם הגנה על עניינו של מתלונן או נאשם בעבירת מין או בעבירה לפי החוק למניעת הטרדה מינית, התשנ"ח-19</w:t>
      </w:r>
      <w:r>
        <w:rPr>
          <w:rFonts w:cs="David"/>
          <w:rtl/>
        </w:rPr>
        <w:t>98; (ד) הדיון הפומבי עלול להרתיע עד מלהעיד עדות חופשית או מלהעיד בכלל;,</w:t>
      </w:r>
      <w:r>
        <w:rPr>
          <w:rFonts w:cs="David"/>
        </w:rPr>
        <w:t xml:space="preserve"> </w:t>
      </w:r>
      <w:r>
        <w:rPr>
          <w:rFonts w:cs="David"/>
          <w:rtl/>
        </w:rPr>
        <w:t xml:space="preserve"> - זה שכלול של 51ב הקיים, בהתאמה לחוק בתי המשפט.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עידו בן יצחק:</w:t>
      </w:r>
    </w:p>
    <w:p w:rsidR="00000000" w:rsidRDefault="00AF1222">
      <w:pPr>
        <w:bidi/>
        <w:jc w:val="both"/>
        <w:rPr>
          <w:rFonts w:cs="David"/>
          <w:rtl/>
        </w:rPr>
      </w:pPr>
    </w:p>
    <w:p w:rsidR="00000000" w:rsidRDefault="00AF1222">
      <w:pPr>
        <w:bidi/>
        <w:jc w:val="both"/>
        <w:rPr>
          <w:rFonts w:cs="David"/>
          <w:rtl/>
        </w:rPr>
      </w:pPr>
      <w:r>
        <w:rPr>
          <w:rFonts w:cs="David"/>
          <w:rtl/>
        </w:rPr>
        <w:tab/>
        <w:t>אני רק רוצה להעיר שזה באמת מקביל לחוק בתי המשפט והדברים שנשארו בחוץ הם דברים שאינם רלבנטיים במקרה הזה, שזה – פגיעה בי</w:t>
      </w:r>
      <w:r>
        <w:rPr>
          <w:rFonts w:cs="David"/>
          <w:rtl/>
        </w:rPr>
        <w:t xml:space="preserve">חסי חוץ, הגנה על המוסר, הגנה על סודות מסחריים. הם דברים שאינם רלבנטיים במקרה הזה.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דווקא שיפרנו כאן, לדעתי. ניסינו, בכל אופן.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לגבי סעיף 1 – אולי היה כדאי להוסיף עוד גורם נוסף ולא המפכ"ל לבדו?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למה לא ל</w:t>
      </w:r>
      <w:r>
        <w:rPr>
          <w:rFonts w:cs="David"/>
          <w:rtl/>
        </w:rPr>
        <w:t xml:space="preserve">השאיר את זה בפני בית הדין?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זה עוד לפני הדיון.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אפשר לעשות דיון פרלמינרי בבקשה של המפכ"ל. שלא המפכ"ל יחליט, אלא שמי שיחליט יהיה בית הדין.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שיביא את הדברים, שיציג בפני בית הדין.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אם יו</w:t>
      </w:r>
      <w:r>
        <w:rPr>
          <w:rFonts w:cs="David"/>
          <w:rtl/>
        </w:rPr>
        <w:t xml:space="preserve">דעים מראש – אני יודעת שאני צריכה להעיד 5 סוכנים. אז אני מראש פונה למפכ"ל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אני אתן לך דוגמה, דווקא מפקודת העיריות. ישיבות מועצת עיר הן פומביות. אלא מה? רשאי ראש הישיבה – שהוא או ראש הרשות או יושב ראש המועצה, להורות על דיון ס</w:t>
      </w:r>
      <w:r>
        <w:rPr>
          <w:rFonts w:cs="David"/>
          <w:rtl/>
        </w:rPr>
        <w:t xml:space="preserve">גור לציבור מנימוקים שיירשמו ובתנאי ש- 75% מחברי המועצה מאשרים את זה בהצבעה, במועצה. הנושא הוא על סדר היום. להיכנס לתוך פרטי הדיון – זה יהיה רק לאחר שאנשים ייצאו החוצה. ואז המועצה צריכה להחליט על זה. פה אנחנו אומרים – למה שבית הדין לא יחליט על זה? בית הדין </w:t>
      </w:r>
      <w:r>
        <w:rPr>
          <w:rFonts w:cs="David"/>
          <w:rtl/>
        </w:rPr>
        <w:t xml:space="preserve">יכול להחליט על דיון בדלתיים סגורות, מאחר ואנחנו מדברים פה רק על בית דין, ולא על דן יחיד.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שיציג את הנתונים בפני בית הדין. </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תראו שהמפקח הכללי, להבדיל מבית הדין, שסמכותו הרבה יותר רחבה,  היא רק  לביטחון המדינה ולפעולתה של המשטרה.</w:t>
      </w:r>
      <w:r>
        <w:rPr>
          <w:rFonts w:cs="David"/>
          <w:rtl/>
        </w:rPr>
        <w:t xml:space="preserve"> מי יכול יותר טוב להכריע בזה מאשר המפקח הכללי?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בית הדין יכול להכריע בזה.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מי מקיים את הדיון? אותו בית דין, בסופו של דבר. הרי הכל פתוח בפניו.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קמנסקי:</w:t>
      </w:r>
    </w:p>
    <w:p w:rsidR="00000000" w:rsidRDefault="00AF1222">
      <w:pPr>
        <w:bidi/>
        <w:jc w:val="both"/>
        <w:rPr>
          <w:rFonts w:cs="David"/>
          <w:rtl/>
        </w:rPr>
      </w:pPr>
    </w:p>
    <w:p w:rsidR="00000000" w:rsidRDefault="00AF1222">
      <w:pPr>
        <w:bidi/>
        <w:jc w:val="both"/>
        <w:rPr>
          <w:rFonts w:cs="David"/>
          <w:rtl/>
        </w:rPr>
      </w:pPr>
      <w:r>
        <w:rPr>
          <w:rFonts w:cs="David"/>
          <w:rtl/>
        </w:rPr>
        <w:tab/>
        <w:t>אבל בית הדין הוא לא ראש המערכת. אנחנו מדברים על שלב שהו</w:t>
      </w:r>
      <w:r>
        <w:rPr>
          <w:rFonts w:cs="David"/>
          <w:rtl/>
        </w:rPr>
        <w:t xml:space="preserve">א קודם לדיון.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שימו את הנתונים לפניו. שבית הדין יקבע אם לקיים דיון או לא.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במה  הם יותר טובים יותר מהמפכ"ל?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הם נכנסים לעובי הקורה, והם, תוך כדי דיון, יידעו את כל הדברים ויחליטו – שבמהלך הדיון הם יכולים להחל</w:t>
      </w:r>
      <w:r>
        <w:rPr>
          <w:rFonts w:cs="David"/>
          <w:rtl/>
        </w:rPr>
        <w:t>יט -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קודם כל – בית הדין הוא לא בן אדם בודד.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הוא יכול לשבת בהרכב של אחד.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אנחנו רוצים שזה יהיה סגור כבר בשלב של הגשת כתב האישום, נכון? תחשבו - זה רק על שתי העילות האלה.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על </w:t>
      </w:r>
      <w:r>
        <w:rPr>
          <w:rFonts w:cs="David"/>
          <w:rtl/>
        </w:rPr>
        <w:t xml:space="preserve">כל דבר אני יכול להגיד שזה ביטחון המדינה או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לא. אם אתה רוצה – קטין או חסר ישע זה לא ביטחון המדינה.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הוא חייב לנמק, והכל שקוף. אני שוב חוזרת על זה.  אני גם לא רואה למה לקחת את זה. זה כל כך חשוב לנו. יש לנו, לפעמים, במקרים </w:t>
      </w:r>
      <w:r>
        <w:rPr>
          <w:rFonts w:cs="David"/>
          <w:rtl/>
        </w:rPr>
        <w:t>מאד בודדים, אבל זה במקרים שמאד חשובים, שגם הגשת כתב האישום, כבר בשלב המקדמי – לא תפורסם, ולא תצא לציבור, ואין לי שום כלי לעשות את זה, אם לא ניתן את זה למפכ"ל. אני לא רואה למה לא לתת את זה לראש המערכת. הוא ראש המערכת שמופקד על הרבה מאד דברים שקשורים לציבור.</w:t>
      </w:r>
      <w:r>
        <w:rPr>
          <w:rFonts w:cs="David"/>
          <w:rtl/>
        </w:rPr>
        <w:t xml:space="preserve"> זה הדבר שבו אני אקח ממנו את הסמכות?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לא לקחת ממנו סמכות. פשוט – שמת את הדברים בפני בית הדין.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אני רוצה להעיר עוד שתי נקודות : על שני המונחים כאן- ביטחון המדינה ופעולתה של המשטרה, הם לא משהו בחלל ריק. המונחים האלה הם גם נשוא לה</w:t>
      </w:r>
      <w:r>
        <w:rPr>
          <w:rFonts w:cs="David"/>
          <w:rtl/>
        </w:rPr>
        <w:t>וצאת תעודת חיסיון. עכשיו אני חושבת לעצמי – אנחנו, בתיק מסוים, הוצאנו תעודת חיסיון שכיסתה דרכי פעולה של המשטרה, נניח – שאי אפשר לחדור אליהם, או – זהותו של סוכן.  לצורך הדיון המשמעתי – היה מקרה מאד חמור, ואי אפשר- חייבים להביא את אותו אדם שגם במקביל, בתיק הפ</w:t>
      </w:r>
      <w:r>
        <w:rPr>
          <w:rFonts w:cs="David"/>
          <w:rtl/>
        </w:rPr>
        <w:t>לילי, הוצאנו עליו תעודת חיסיון. לא היה לנו כזה נושא, אבל יכול להיות נושא כזה, מאד מאד רגיש. אנחנו צריכים שהמפכ"ל, במקביל להוצאת תעודת החיסיון שאנחנו מבקשים לפי סעיף 45 לפקודת הראיות לבית המשפט הפלילי, כשאנחנו יודעי שיהיה פן של הליך משמעתי נגד מי שהתנהג שלא</w:t>
      </w:r>
      <w:r>
        <w:rPr>
          <w:rFonts w:cs="David"/>
          <w:rtl/>
        </w:rPr>
        <w:t xml:space="preserve"> כשורה, כבר בשלב הזה אנחנו מחפשים את תעודת החיסיון. אחרת ייצא שתעודת החיסיון בתיק הפלילי תצא, עד שיהיה כתב האישום – יראו את השם שלו בכתב האישום. הרי המקרים האלה הם בודדים. זה רק ביטחון, ודרכי פעולתה של המשטרה. זה לא כל הנושאים האחרים.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r>
        <w:rPr>
          <w:rFonts w:cs="David"/>
          <w:u w:val="single"/>
          <w:rtl/>
        </w:rPr>
        <w:t>:</w:t>
      </w:r>
    </w:p>
    <w:p w:rsidR="00000000" w:rsidRDefault="00AF1222">
      <w:pPr>
        <w:bidi/>
        <w:jc w:val="both"/>
        <w:rPr>
          <w:rFonts w:cs="David"/>
          <w:rtl/>
        </w:rPr>
      </w:pPr>
    </w:p>
    <w:p w:rsidR="00000000" w:rsidRDefault="00AF1222">
      <w:pPr>
        <w:bidi/>
        <w:jc w:val="both"/>
        <w:rPr>
          <w:rFonts w:cs="David"/>
          <w:rtl/>
        </w:rPr>
      </w:pPr>
      <w:r>
        <w:rPr>
          <w:rFonts w:cs="David"/>
          <w:rtl/>
        </w:rPr>
        <w:tab/>
        <w:t xml:space="preserve"> האם אפשר ליצור מצב שבו, כשהוא מוציא החלטה כזו על חיסיון  - שיהיה הליך של בקרה</w:t>
      </w:r>
    </w:p>
    <w:p w:rsidR="00000000" w:rsidRDefault="00AF1222">
      <w:pPr>
        <w:bidi/>
        <w:jc w:val="both"/>
        <w:rPr>
          <w:rFonts w:cs="David"/>
          <w:rtl/>
        </w:rPr>
      </w:pPr>
      <w:r>
        <w:rPr>
          <w:rFonts w:cs="David"/>
          <w:rtl/>
        </w:rPr>
        <w:t xml:space="preserve">בנוסף על ההחלטה הזו - של המשרד, של היועץ המשפטי של המשרד? אני רוצה עוד עין מבקרת, זה הכל. אני מוכן שזה יהיה היועץ המשפטי של המשרד.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לא, של המשרד זה לא טוב</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w:t>
      </w:r>
      <w:r>
        <w:rPr>
          <w:rFonts w:cs="David"/>
          <w:u w:val="single"/>
          <w:rtl/>
        </w:rPr>
        <w:t xml:space="preserve">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אז היועץ המשפטי של המשטרה.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היועץ המשפטי צריך לתת למפכ"ל חוות דעת</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אפשר לעשות את זה  שהמפכ"ל אכן יחליט על דלתיים סגורות, על סמך חוות דעתו של היועץ המשפטי. </w:t>
      </w:r>
    </w:p>
    <w:p w:rsidR="00000000" w:rsidRDefault="00AF1222">
      <w:pPr>
        <w:bidi/>
        <w:jc w:val="both"/>
        <w:rPr>
          <w:rFonts w:cs="David"/>
          <w:rtl/>
        </w:rPr>
      </w:pPr>
    </w:p>
    <w:p w:rsidR="00000000" w:rsidRDefault="00AF1222">
      <w:pPr>
        <w:bidi/>
        <w:jc w:val="both"/>
        <w:rPr>
          <w:rFonts w:cs="David"/>
          <w:rtl/>
        </w:rPr>
      </w:pPr>
      <w:r>
        <w:rPr>
          <w:rFonts w:cs="David"/>
          <w:u w:val="single"/>
          <w:rtl/>
        </w:rPr>
        <w:br w:type="page"/>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אנחנו לא כותבים את זה, כי במקום אחר יג</w:t>
      </w:r>
      <w:r>
        <w:rPr>
          <w:rFonts w:cs="David"/>
          <w:rtl/>
        </w:rPr>
        <w:t>ידו שאפשר לב -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יש דברים שאנחנו צריכים בהם חובת התייעצות. תמיד מלמעלה מרחפת השאלה של חובת ההתייעצות. מן ההן אתה לומד על הלאו.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אם יהיה כתוב – התייעצות עם היועץ המשפטי של המשטרה, אז זה נכון, זה צריך להיות בהתייעצות אתו,</w:t>
      </w:r>
      <w:r>
        <w:rPr>
          <w:rFonts w:cs="David"/>
          <w:rtl/>
        </w:rPr>
        <w:t xml:space="preserve"> אבל אנחנו פועלים לפי כללי מנהל תקין. אם אתה כותב כאן זה יעמוד לנו לרועץ בכל המקרים האחרים שבהם זה לא כתוב.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אפשר "באישור" או "בהסכמה" של היועץ המשפטי. </w:t>
      </w:r>
    </w:p>
    <w:p w:rsidR="00000000" w:rsidRDefault="00AF1222">
      <w:pPr>
        <w:bidi/>
        <w:jc w:val="both"/>
        <w:rPr>
          <w:rFonts w:cs="David"/>
          <w:rtl/>
        </w:rPr>
      </w:pPr>
    </w:p>
    <w:p w:rsidR="00000000" w:rsidRDefault="00AF1222">
      <w:pPr>
        <w:pStyle w:val="9"/>
        <w:rPr>
          <w:rFonts w:cs="David"/>
          <w:sz w:val="24"/>
          <w:rtl/>
        </w:rPr>
      </w:pPr>
      <w:r>
        <w:rPr>
          <w:rFonts w:cs="David"/>
          <w:sz w:val="24"/>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לא, הוא לא כפוף ליועץ.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גבי פיסמן:</w:t>
      </w:r>
    </w:p>
    <w:p w:rsidR="00000000" w:rsidRDefault="00AF1222">
      <w:pPr>
        <w:bidi/>
        <w:jc w:val="both"/>
        <w:rPr>
          <w:rFonts w:cs="David"/>
          <w:rtl/>
        </w:rPr>
      </w:pPr>
    </w:p>
    <w:p w:rsidR="00000000" w:rsidRDefault="00AF1222">
      <w:pPr>
        <w:bidi/>
        <w:jc w:val="both"/>
        <w:rPr>
          <w:rFonts w:cs="David"/>
          <w:rtl/>
        </w:rPr>
      </w:pPr>
      <w:r>
        <w:rPr>
          <w:rFonts w:cs="David"/>
          <w:rtl/>
        </w:rPr>
        <w:tab/>
        <w:t>-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אומרת </w:t>
      </w:r>
      <w:r>
        <w:rPr>
          <w:rFonts w:cs="David"/>
          <w:rtl/>
        </w:rPr>
        <w:t xml:space="preserve">גבי פיסמן בצדק – החליט המפכ"ל מה שהחליט, ובא הסניגור של האיש ומבקש לשוב ולשקול. הסמכות של המפכ"ל היא לפרק זמן מסוים, מרגע שכונן בית הדין והוא יושב בדין – המושכות אצלו. הוא רואה – ואומר: למה המפכ"ל החליט כך?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והסניגור מקבל את הנימוק</w:t>
      </w:r>
      <w:r>
        <w:rPr>
          <w:rFonts w:cs="David"/>
          <w:rtl/>
        </w:rPr>
        <w:t xml:space="preserve">ים?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בוודאי.  לפעמים אם אתה תנמק אתה תגלה את הדבר שאותו אתה רוצה להסתיר.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 xml:space="preserve">עושים פרפראזה של הדברים.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 xml:space="preserve">בדיוק – קיום ההליך בדלתיים סגורות, מאחר וצריכים להציג כאן נהלי אמ"ן שחשיפתם תמנע המשך פעולה.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עם יד על הלב: כמה מקרים של דרישה של המפכ"ל היו לאורך 5 השנים האחרונות? </w:t>
      </w:r>
    </w:p>
    <w:p w:rsidR="00000000" w:rsidRDefault="00AF1222">
      <w:pPr>
        <w:bidi/>
        <w:jc w:val="both"/>
        <w:rPr>
          <w:rFonts w:cs="David"/>
          <w:rtl/>
        </w:rPr>
      </w:pP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מעטים. רוב המטריה היא לא כזו. אבל מדי פעם – זה קיים. פעם אחת שאני יכולה לזכור – בעשר השנים שבהן יש לי ניסיון – היה פעם משהו שהיה צריך להעיד משהו לגבי שיטות הפעולה</w:t>
      </w:r>
      <w:r>
        <w:rPr>
          <w:rFonts w:cs="David"/>
          <w:rtl/>
        </w:rPr>
        <w:t xml:space="preserve"> של השב"כ שמשיקות למשטרה. זה היה מאד חשוב, ואז היינו צריכים את זה. אלה באמת מקרים מאד בודדים.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במקרה כזה – מי העין הבוחנת?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הנושא בא למפכ"ל. המפכ"ל – כל דבר שקשור לבית הדין צריך להתייעץ עם הייעוץ המשפטי. הייעוץ המשפטי  לכן גם ל</w:t>
      </w:r>
      <w:r>
        <w:rPr>
          <w:rFonts w:cs="David"/>
          <w:rtl/>
        </w:rPr>
        <w:t xml:space="preserve">א יושב בהרכבים של בית הדין.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היועץ המשפטי שותף להחלטה הזו?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כן.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אנחנו מאשרים את כל סעיף 19.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"יחליט" – זה כשהוא רשאי לסייג את זה לקבוצה או לחלק מהאנשים. </w:t>
      </w:r>
    </w:p>
    <w:p w:rsidR="00000000" w:rsidRDefault="00AF1222">
      <w:pPr>
        <w:bidi/>
        <w:jc w:val="both"/>
        <w:rPr>
          <w:rFonts w:cs="David"/>
          <w:rtl/>
        </w:rPr>
      </w:pPr>
    </w:p>
    <w:p w:rsidR="00000000" w:rsidRDefault="00AF1222">
      <w:pPr>
        <w:bidi/>
        <w:jc w:val="both"/>
        <w:rPr>
          <w:rFonts w:cs="David"/>
          <w:rtl/>
        </w:rPr>
      </w:pPr>
      <w:r>
        <w:rPr>
          <w:rFonts w:cs="David"/>
          <w:rtl/>
        </w:rPr>
        <w:tab/>
        <w:t xml:space="preserve">אני ממשיכה בקריאה: (קוראת את </w:t>
      </w:r>
      <w:r>
        <w:rPr>
          <w:rFonts w:cs="David"/>
          <w:rtl/>
        </w:rPr>
        <w:t xml:space="preserve">סעיף 20 (א) (1). זאת אומרת -  בית הדין סוברני להחליט אבל הוא צריך לשמוע את המפכ"ל. </w:t>
      </w:r>
    </w:p>
    <w:p w:rsidR="00000000" w:rsidRDefault="00AF1222">
      <w:pPr>
        <w:bidi/>
        <w:jc w:val="both"/>
        <w:rPr>
          <w:rFonts w:cs="David"/>
          <w:rtl/>
        </w:rPr>
      </w:pPr>
    </w:p>
    <w:p w:rsidR="00000000" w:rsidRDefault="00AF1222">
      <w:pPr>
        <w:bidi/>
        <w:jc w:val="both"/>
        <w:rPr>
          <w:rFonts w:cs="David"/>
          <w:rtl/>
        </w:rPr>
      </w:pPr>
      <w:r>
        <w:rPr>
          <w:rFonts w:cs="David"/>
          <w:rtl/>
        </w:rPr>
        <w:tab/>
        <w:t xml:space="preserve">(קוראת את סעיף 20 (א) (2).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תוך כדי דיון?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לא. אחרי. הסתיים הדיון.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בתיק של הבנק למסחר הוצאנו תעודות חיסיון שהיו תקו</w:t>
      </w:r>
      <w:r>
        <w:rPr>
          <w:rFonts w:cs="David"/>
          <w:rtl/>
        </w:rPr>
        <w:t xml:space="preserve">פתיות, כי בשלב הזה של החקירה  הדברים היו חסויים. אחר כך אפשר היה לגלות אותם, כי אותו איש כבר העיד. רואים איך זה מתפתח במהלך הדיונים. </w:t>
      </w:r>
    </w:p>
    <w:p w:rsidR="00000000" w:rsidRDefault="00AF1222">
      <w:pPr>
        <w:bidi/>
        <w:jc w:val="both"/>
        <w:rPr>
          <w:rFonts w:cs="David"/>
          <w:rtl/>
        </w:rPr>
      </w:pPr>
    </w:p>
    <w:p w:rsidR="00000000" w:rsidRDefault="00AF1222">
      <w:pPr>
        <w:bidi/>
        <w:jc w:val="both"/>
        <w:rPr>
          <w:rFonts w:cs="David"/>
          <w:rtl/>
        </w:rPr>
      </w:pPr>
      <w:r>
        <w:rPr>
          <w:rFonts w:cs="David"/>
          <w:rtl/>
        </w:rPr>
        <w:tab/>
        <w:t xml:space="preserve">(ממשיכה בקריאה – סעיף 20 (ב), (1) ו- (2).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אני רוצה לומר – יש פונקציה של בית הדין  שקיימת -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יש בית הדין ויש הרכבים.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והנשיא קובע מי ההרכב?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נשיא בית הדין לא תמיד יושב באיזשהו הרכב.  יש הרכבים של אנשים שהם שופטים בבית הדין, אבל הנשיא הוא לא תמיד חלק מאותו צבא. </w:t>
      </w:r>
    </w:p>
    <w:p w:rsidR="00000000" w:rsidRDefault="00AF1222">
      <w:pPr>
        <w:bidi/>
        <w:jc w:val="both"/>
        <w:rPr>
          <w:rFonts w:cs="David"/>
          <w:rtl/>
        </w:rPr>
      </w:pPr>
    </w:p>
    <w:p w:rsidR="00000000" w:rsidRDefault="00AF1222">
      <w:pPr>
        <w:bidi/>
        <w:ind w:firstLine="567"/>
        <w:jc w:val="both"/>
        <w:rPr>
          <w:rFonts w:cs="David"/>
          <w:rtl/>
        </w:rPr>
      </w:pPr>
      <w:r>
        <w:rPr>
          <w:rFonts w:cs="David"/>
          <w:rtl/>
        </w:rPr>
        <w:t>(ממשיכה בקריאה – סעיף 20 (ג))- צריך ל</w:t>
      </w:r>
      <w:r>
        <w:rPr>
          <w:rFonts w:cs="David"/>
          <w:rtl/>
        </w:rPr>
        <w:t xml:space="preserve">זכור שזה גם אזרח, ולכן גם קבענו שהסמכות לדון בעבירה לפי סעיף זה היא בידי בית משפט השלום.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עידו בן 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כדי להבהיר שהסמכות היא לא בידי בית הדין המשמעתי.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אושר. נמשיך הלאה.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קוראת בסעיף 21.  הפרעות לדיונים.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w:t>
      </w:r>
      <w:r>
        <w:rPr>
          <w:rFonts w:cs="David"/>
          <w:u w:val="single"/>
          <w:rtl/>
        </w:rPr>
        <w:t>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איפה מתקיימים הדיונים?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במטה הארצי בירושלים יש בית דין למשמעת ובית דין לערעורים.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יש אפשרות לכל אזרח להיות נוכח בדיונים?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כן.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כן. פומביות הדיונים. אפשר להיכנס, ולא רק זה – ראיתי שיש הרבה פע</w:t>
      </w:r>
      <w:r>
        <w:rPr>
          <w:rFonts w:cs="David"/>
          <w:rtl/>
        </w:rPr>
        <w:t xml:space="preserve">מים פרסומים בעיתונים על דיוני בית הדין. יכולים לקחת את התיקים ולעיין בהם. יש שקיפות מלאה. </w:t>
      </w:r>
    </w:p>
    <w:p w:rsidR="00000000" w:rsidRDefault="00AF1222">
      <w:pPr>
        <w:bidi/>
        <w:jc w:val="both"/>
        <w:rPr>
          <w:rFonts w:cs="David"/>
          <w:rtl/>
        </w:rPr>
      </w:pPr>
    </w:p>
    <w:p w:rsidR="00000000" w:rsidRDefault="00AF1222">
      <w:pPr>
        <w:bidi/>
        <w:jc w:val="both"/>
        <w:rPr>
          <w:rFonts w:cs="David"/>
          <w:rtl/>
        </w:rPr>
      </w:pPr>
      <w:r>
        <w:rPr>
          <w:rFonts w:cs="David"/>
          <w:rtl/>
        </w:rPr>
        <w:tab/>
        <w:t xml:space="preserve">בעניין ההפרעה לדיונים – המקרים האלה הם בודדים. </w:t>
      </w:r>
    </w:p>
    <w:p w:rsidR="00000000" w:rsidRDefault="00AF1222">
      <w:pPr>
        <w:bidi/>
        <w:jc w:val="both"/>
        <w:rPr>
          <w:rFonts w:cs="David"/>
          <w:rtl/>
        </w:rPr>
      </w:pPr>
    </w:p>
    <w:p w:rsidR="00000000" w:rsidRDefault="00AF1222">
      <w:pPr>
        <w:bidi/>
        <w:jc w:val="both"/>
        <w:rPr>
          <w:rFonts w:cs="David"/>
          <w:rtl/>
        </w:rPr>
      </w:pPr>
      <w:r>
        <w:rPr>
          <w:rFonts w:cs="David"/>
          <w:rtl/>
        </w:rPr>
        <w:tab/>
        <w:t xml:space="preserve">(ממשיכה בקריאה- סעיף 21(ב). </w:t>
      </w:r>
    </w:p>
    <w:p w:rsidR="00000000" w:rsidRDefault="00AF1222">
      <w:pPr>
        <w:bidi/>
        <w:jc w:val="both"/>
        <w:rPr>
          <w:rFonts w:cs="David"/>
          <w:rtl/>
        </w:rPr>
      </w:pPr>
    </w:p>
    <w:p w:rsidR="00000000" w:rsidRDefault="00AF1222">
      <w:pPr>
        <w:bidi/>
        <w:jc w:val="both"/>
        <w:rPr>
          <w:rFonts w:cs="David"/>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זה לא קצת מגוחך שסעיפים מהסוג הזה צריכים להיות פה, בכלל? אל</w:t>
      </w:r>
      <w:r>
        <w:rPr>
          <w:rFonts w:cs="David"/>
          <w:rtl/>
        </w:rPr>
        <w:t>ה סעיפים שהם אקסיומות, דברים שהם ברורים.</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אתה צריך לתת את הסמכות כאן.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אבל הסמכות מספקת בזה שבית הדין רשאי לצוות על הרחקתו של כל מי שמפריע.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 xml:space="preserve">חוקי היסוד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היום, לאור חוקי היסוד אתה צריך את</w:t>
      </w:r>
      <w:r>
        <w:rPr>
          <w:rFonts w:cs="David"/>
          <w:rtl/>
        </w:rPr>
        <w:t xml:space="preserve"> זה בחוק. הצגתי את זה בהתחלה, שחלק מהעניינים נגזרים מכך שאתה לא יכול להתיר את זה, אלא בחוק.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 xml:space="preserve">זה צריך להיאמר במפורש, שהאיזון ייקבע במפורש.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מה זה הרחקתו של צד להליך"? ואם  הוא לא צד להליך?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גם אפשר.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r>
        <w:rPr>
          <w:rFonts w:cs="David"/>
          <w:u w:val="single"/>
          <w:rtl/>
        </w:rPr>
        <w:t>:</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איפה זה מופיע? למה הסייג הזה של "צד להליך"?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קריאות:</w:t>
      </w:r>
    </w:p>
    <w:p w:rsidR="00000000" w:rsidRDefault="00AF1222">
      <w:pPr>
        <w:bidi/>
        <w:jc w:val="both"/>
        <w:rPr>
          <w:rFonts w:cs="David"/>
          <w:u w:val="single"/>
          <w:rtl/>
        </w:rPr>
      </w:pPr>
    </w:p>
    <w:p w:rsidR="00000000" w:rsidRDefault="00AF1222">
      <w:pPr>
        <w:bidi/>
        <w:jc w:val="both"/>
        <w:rPr>
          <w:rFonts w:cs="David"/>
          <w:rtl/>
        </w:rPr>
      </w:pPr>
      <w:r>
        <w:rPr>
          <w:rFonts w:cs="David"/>
          <w:rtl/>
        </w:rPr>
        <w:tab/>
        <w:t>- - -</w:t>
      </w:r>
    </w:p>
    <w:p w:rsidR="00000000" w:rsidRDefault="00AF1222">
      <w:pPr>
        <w:bidi/>
        <w:jc w:val="both"/>
        <w:rPr>
          <w:rFonts w:cs="David"/>
          <w:rtl/>
        </w:rPr>
      </w:pPr>
      <w:r>
        <w:rPr>
          <w:rFonts w:cs="David"/>
          <w:rtl/>
        </w:rPr>
        <w:tab/>
      </w:r>
    </w:p>
    <w:p w:rsidR="00000000" w:rsidRDefault="00AF1222">
      <w:pPr>
        <w:bidi/>
        <w:jc w:val="both"/>
        <w:rPr>
          <w:rFonts w:cs="David"/>
          <w:u w:val="single"/>
          <w:rtl/>
        </w:rPr>
      </w:pPr>
      <w:r>
        <w:rPr>
          <w:rFonts w:cs="David"/>
          <w:u w:val="single"/>
          <w:rtl/>
        </w:rPr>
        <w:t>עידו בן יצחק:</w:t>
      </w:r>
    </w:p>
    <w:p w:rsidR="00000000" w:rsidRDefault="00AF1222">
      <w:pPr>
        <w:bidi/>
        <w:jc w:val="both"/>
        <w:rPr>
          <w:rFonts w:cs="David"/>
          <w:rtl/>
        </w:rPr>
      </w:pPr>
    </w:p>
    <w:p w:rsidR="00000000" w:rsidRDefault="00AF1222">
      <w:pPr>
        <w:bidi/>
        <w:jc w:val="both"/>
        <w:rPr>
          <w:rFonts w:cs="David"/>
          <w:rtl/>
        </w:rPr>
      </w:pPr>
      <w:r>
        <w:rPr>
          <w:rFonts w:cs="David"/>
          <w:rtl/>
        </w:rPr>
        <w:tab/>
        <w:t xml:space="preserve">ההרחקה היא של כל אחד. היידוע הוא רק של צד להליך.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r>
        <w:rPr>
          <w:rFonts w:cs="David"/>
          <w:rtl/>
        </w:rPr>
        <w:tab/>
      </w:r>
    </w:p>
    <w:p w:rsidR="00000000" w:rsidRDefault="00AF1222">
      <w:pPr>
        <w:bidi/>
        <w:jc w:val="both"/>
        <w:rPr>
          <w:rFonts w:cs="David"/>
          <w:rtl/>
        </w:rPr>
      </w:pPr>
      <w:r>
        <w:rPr>
          <w:rFonts w:cs="David"/>
          <w:rtl/>
        </w:rPr>
        <w:tab/>
        <w:t xml:space="preserve">זה ברור. זה שהוא צד להליך – לפחות שיידע מה קורה בעניינו. </w:t>
      </w:r>
    </w:p>
    <w:p w:rsidR="00000000" w:rsidRDefault="00AF1222">
      <w:pPr>
        <w:bidi/>
        <w:jc w:val="both"/>
        <w:rPr>
          <w:rFonts w:cs="David"/>
          <w:rtl/>
        </w:rPr>
      </w:pPr>
    </w:p>
    <w:p w:rsidR="00000000" w:rsidRDefault="00AF1222">
      <w:pPr>
        <w:bidi/>
        <w:jc w:val="both"/>
        <w:rPr>
          <w:rFonts w:cs="David"/>
          <w:rtl/>
        </w:rPr>
      </w:pPr>
      <w:r>
        <w:rPr>
          <w:rFonts w:cs="David"/>
          <w:u w:val="single"/>
          <w:rtl/>
        </w:rPr>
        <w:br w:type="page"/>
        <w:t>מ"מ היו"ר 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סעיף  21 – אושר.  </w:t>
      </w:r>
    </w:p>
    <w:p w:rsidR="00000000" w:rsidRDefault="00AF1222">
      <w:pPr>
        <w:bidi/>
        <w:jc w:val="both"/>
        <w:rPr>
          <w:rFonts w:cs="David"/>
          <w:rtl/>
        </w:rPr>
      </w:pPr>
    </w:p>
    <w:p w:rsidR="00000000" w:rsidRDefault="00AF1222">
      <w:pPr>
        <w:bidi/>
        <w:jc w:val="both"/>
        <w:rPr>
          <w:rFonts w:cs="David"/>
          <w:rtl/>
        </w:rPr>
      </w:pPr>
      <w:r>
        <w:rPr>
          <w:rFonts w:cs="David"/>
          <w:u w:val="single"/>
          <w:rtl/>
        </w:rPr>
        <w:t>ח</w:t>
      </w:r>
      <w:r>
        <w:rPr>
          <w:rFonts w:cs="David"/>
          <w:u w:val="single"/>
          <w:rtl/>
        </w:rPr>
        <w:t>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בסעיף 22 העתקנו את ההסדר הנוהג לגבי ביזיון בית דין. (קוראת את סעיף 22). הקנס מוגדר בסעיף קטן (ג), והוא בהתאם לחוק העונשין, וייגבה בדרך שבה נקבע קנס שהטיל בית משפט בהליך פלילי.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Pr>
      </w:pPr>
      <w:r>
        <w:rPr>
          <w:rFonts w:cs="David"/>
          <w:rtl/>
        </w:rPr>
        <w:tab/>
        <w:t xml:space="preserve"> כמה כסף זה? .</w:t>
      </w:r>
      <w:r>
        <w:rPr>
          <w:rFonts w:cs="David"/>
        </w:rPr>
        <w:t xml:space="preserve"> </w:t>
      </w:r>
    </w:p>
    <w:p w:rsidR="00000000" w:rsidRDefault="00AF1222">
      <w:pPr>
        <w:bidi/>
        <w:jc w:val="both"/>
        <w:rPr>
          <w:rFonts w:cs="David"/>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היום זה 1,250 שקל.</w:t>
      </w:r>
    </w:p>
    <w:p w:rsidR="00000000" w:rsidRDefault="00AF1222">
      <w:pPr>
        <w:bidi/>
        <w:jc w:val="both"/>
        <w:rPr>
          <w:rFonts w:cs="David"/>
          <w:rtl/>
        </w:rPr>
      </w:pPr>
    </w:p>
    <w:p w:rsidR="00000000" w:rsidRDefault="00AF1222">
      <w:pPr>
        <w:bidi/>
        <w:jc w:val="both"/>
        <w:rPr>
          <w:rFonts w:cs="David"/>
          <w:rtl/>
        </w:rPr>
      </w:pPr>
      <w:r>
        <w:rPr>
          <w:rFonts w:cs="David"/>
          <w:u w:val="single"/>
          <w:rtl/>
        </w:rPr>
        <w:t>חמי דו</w:t>
      </w:r>
      <w:r>
        <w:rPr>
          <w:rFonts w:cs="David"/>
          <w:u w:val="single"/>
          <w:rtl/>
        </w:rPr>
        <w:t>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זה המחצית/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כן.  על החלטה כזו ניתן לערער בפני בית הדין לערעורים, ואני חושבת שבאמת – האיזונים כאן נעשו כהלכתם.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אושר.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23 – צו הבאה (קוראת את הסעיף). </w:t>
      </w:r>
    </w:p>
    <w:p w:rsidR="00000000" w:rsidRDefault="00AF1222">
      <w:pPr>
        <w:bidi/>
        <w:jc w:val="both"/>
        <w:rPr>
          <w:rFonts w:cs="David"/>
          <w:rtl/>
        </w:rPr>
      </w:pPr>
    </w:p>
    <w:p w:rsidR="00000000" w:rsidRDefault="00AF1222">
      <w:pPr>
        <w:bidi/>
        <w:jc w:val="both"/>
        <w:rPr>
          <w:rFonts w:cs="David"/>
          <w:rtl/>
        </w:rPr>
      </w:pPr>
      <w:r>
        <w:rPr>
          <w:rFonts w:cs="David"/>
          <w:rtl/>
        </w:rPr>
        <w:tab/>
        <w:t>"23 (ב) על צו הבאה לפי סעיף זה, יחולו ההוראות לפי סעיף</w:t>
      </w:r>
      <w:r>
        <w:rPr>
          <w:rFonts w:cs="David"/>
          <w:rtl/>
        </w:rPr>
        <w:t xml:space="preserve"> 73א לחוק בתי המשפט (נוסח משולב), התשמ"ד-1984, בשינויים המחויבים."</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מה אומר סעיף 73?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גבי פיסמן:</w:t>
      </w:r>
    </w:p>
    <w:p w:rsidR="00000000" w:rsidRDefault="00AF1222">
      <w:pPr>
        <w:bidi/>
        <w:jc w:val="both"/>
        <w:rPr>
          <w:rFonts w:cs="David"/>
          <w:rtl/>
        </w:rPr>
      </w:pPr>
    </w:p>
    <w:p w:rsidR="00000000" w:rsidRDefault="00AF1222">
      <w:pPr>
        <w:bidi/>
        <w:jc w:val="both"/>
        <w:rPr>
          <w:rFonts w:cs="David"/>
          <w:rtl/>
        </w:rPr>
      </w:pPr>
      <w:r>
        <w:rPr>
          <w:rFonts w:cs="David"/>
          <w:rtl/>
        </w:rPr>
        <w:tab/>
        <w:t xml:space="preserve">הוא אומר כך: "ציווה בית המשפט ...על הבאת אדם לפניו, ייערך צו ההבאה בכתב, ויפורטו בו שמו של האדם שצווה על הבאתו ... ותמצית העובדות המהוות יסוד </w:t>
      </w:r>
      <w:r>
        <w:rPr>
          <w:rFonts w:cs="David"/>
          <w:rtl/>
        </w:rPr>
        <w:t>למתן הצו." בצו ההבאה בית המשפט צריך לפרט לקצין משטרה מתי לשחרר בערובה, אם ניתן הצו, צריך להבעירו את כתב הערובה לבית המשפט או הרשם שנתן את הצו, זה צריך להיות מבוצע בידי שוטר או בידי אותו אדם ספציפי שקבע בית המשפט. מותר לבצע- בכל מקום, בכל עת, כיצד יובא צו ה</w:t>
      </w:r>
      <w:r>
        <w:rPr>
          <w:rFonts w:cs="David"/>
          <w:rtl/>
        </w:rPr>
        <w:t xml:space="preserve">הבאה לאותו אדם, מה הסמכויות של מבצע הצו – האם להיכנס למקום בכוח, להשתמש בכוח סביר – אלה כל ההוראות שמפורטות. </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אנו מאשרים.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רציפות הדיון – סעיף 24. (קוראת את סעיף 24)</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מאשרים.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ייצוג שוטר בדין משמעתי – סע</w:t>
      </w:r>
      <w:r>
        <w:rPr>
          <w:rFonts w:cs="David"/>
          <w:rtl/>
        </w:rPr>
        <w:t xml:space="preserve">יף 25. (קוראת את סעיף 25).  בדיון בפני דן יחיד, שוטר שהוא נאשם מערער אינו רשאי להיות מיוצג.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למה?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גם אין תובע. בדיון המשמעתי של דן יחיד יש לך דן יחיד ואת האיש עצמו. אז אנחנו רואים שיש כאן איזונים. אם היה תובע ולא היה סניגור – בס</w:t>
      </w:r>
      <w:r>
        <w:rPr>
          <w:rFonts w:cs="David"/>
          <w:rtl/>
        </w:rPr>
        <w:t xml:space="preserve">דר. אבל האיש עצמו מופיע, מביא את המסמכים, הוא יכול להביא את העדים שלו. זה מתאים למהותו של הדין המשמעתי, וגם האיזון – שאין כאן תובע, בכלל.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מי זה הדן היחיד? קצין משטרה</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קציני שיפוט, שאנחנו, בדיון הקודם, קבענו שהם יוסמכו ויוכשרו ה</w:t>
      </w:r>
      <w:r>
        <w:rPr>
          <w:rFonts w:cs="David"/>
          <w:rtl/>
        </w:rPr>
        <w:t xml:space="preserve">דיון מתנהל בין הקצין לבינו.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ברוב המקרים הרי לא ייקחו עורכי דין. באיזשהו מקום, גם בשירות המדינה, כשיש שימוע לעובד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גם אצלנו, בשימוע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לפני פיטורין, השעיה וכדומה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אי אפשר למנוע דבר כזה, ששוטר</w:t>
      </w:r>
      <w:r>
        <w:rPr>
          <w:rFonts w:cs="David"/>
          <w:rtl/>
        </w:rPr>
        <w:t xml:space="preserve"> שעומד לדין לא יוכל להביא לעצמו ייצוג. אולי קשה לו לייצג את עצמו?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אתה רואה מצב שמישהו עוזב משמרת, ומזמנים אותו להישפט?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rtl/>
        </w:rPr>
      </w:pPr>
    </w:p>
    <w:p w:rsidR="00000000" w:rsidRDefault="00AF1222">
      <w:pPr>
        <w:bidi/>
        <w:jc w:val="both"/>
        <w:rPr>
          <w:rFonts w:cs="David"/>
          <w:rtl/>
        </w:rPr>
      </w:pPr>
      <w:r>
        <w:rPr>
          <w:rFonts w:cs="David"/>
          <w:rtl/>
        </w:rPr>
        <w:tab/>
        <w:t xml:space="preserve">זה יסכל את היכולת, בדיון המשמעתי המהיר, לשמור, על הסדר והמשמעת. אבל יש גם איזונים. הוא רשאי לבקש לעבור לבית </w:t>
      </w:r>
      <w:r>
        <w:rPr>
          <w:rFonts w:cs="David"/>
          <w:rtl/>
        </w:rPr>
        <w:t xml:space="preserve">דין למשמעת. אם זה נושא מורכב, בדרך כלל זה יבוא לבית דין למשמעת. זה יותר בנושאים הפשוטים. יש לו אפשרות להגיש ערר - -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אני לא זוכר, תזכירו לי, בבקשה: מה התחום שדן יחיד רשאי לענוש -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יש כאן אחר כך את כל אלה: נזיפה, נזיפה חמורה</w:t>
      </w:r>
      <w:r>
        <w:rPr>
          <w:rFonts w:cs="David"/>
          <w:rtl/>
        </w:rPr>
        <w:t>, קנסות – שעכשיו אנחנו בדיוק מתדיינים בהם, ששינוי שכר, והפסדים נמוכים, יחסית, ואנחנו תיקנו מהמצב הקיים, שהם היו יותר גבוהים. ריתוק – רק ל-5 ימים, ובעבירה של משמעת, של נהיגה ברכב משטרתי, בגלל שאנחנו רוצים להילחם בתאונות הדרכים ובעבירות התנועה – זה פסילת רשי</w:t>
      </w:r>
      <w:r>
        <w:rPr>
          <w:rFonts w:cs="David"/>
          <w:rtl/>
        </w:rPr>
        <w:t xml:space="preserve">ון עד 30 -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קריאה:</w:t>
      </w:r>
    </w:p>
    <w:p w:rsidR="00000000" w:rsidRDefault="00AF1222">
      <w:pPr>
        <w:bidi/>
        <w:jc w:val="both"/>
        <w:rPr>
          <w:rFonts w:cs="David"/>
          <w:rtl/>
        </w:rPr>
      </w:pPr>
    </w:p>
    <w:p w:rsidR="00000000" w:rsidRDefault="00AF1222">
      <w:pPr>
        <w:bidi/>
        <w:jc w:val="both"/>
        <w:rPr>
          <w:rFonts w:cs="David"/>
          <w:rtl/>
        </w:rPr>
      </w:pPr>
      <w:r>
        <w:rPr>
          <w:rFonts w:cs="David"/>
          <w:rtl/>
        </w:rPr>
        <w:tab/>
        <w:t>רכב משטרתי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רק משטרתי, לא אזרחי, כיל יכול להיות שרכב משטרתי ייסע במהירות של 140 ק"מ - -</w:t>
      </w:r>
    </w:p>
    <w:p w:rsidR="00000000" w:rsidRDefault="00AF1222">
      <w:pPr>
        <w:bidi/>
        <w:jc w:val="both"/>
        <w:rPr>
          <w:rFonts w:cs="David"/>
          <w:rtl/>
        </w:rPr>
      </w:pPr>
    </w:p>
    <w:p w:rsidR="00000000" w:rsidRDefault="00AF1222">
      <w:pPr>
        <w:bidi/>
        <w:jc w:val="both"/>
        <w:rPr>
          <w:rFonts w:cs="David"/>
          <w:rtl/>
        </w:rPr>
      </w:pPr>
      <w:r>
        <w:rPr>
          <w:rFonts w:cs="David"/>
          <w:rtl/>
        </w:rPr>
        <w:tab/>
        <w:t xml:space="preserve"> אז בסך הכל מדובר כאן בדברים שהם לא מי יודע מה, ותמיד עומדת לו האפשרות גם לפסול את קצין השיפוט וגם לעבור, אם הוא כל כך רוצה. ד</w:t>
      </w:r>
      <w:r>
        <w:rPr>
          <w:rFonts w:cs="David"/>
          <w:rtl/>
        </w:rPr>
        <w:t xml:space="preserve">נו בזה הרבה. תנו לנו גם קרדיט – הדיונים כאן לא סתם נמשכו הרבה שנים. אמרנו שאם אנחנו נותנים ייצוג, אנחנו כאילו הורגים את הדין המשמעתי.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u w:val="single"/>
          <w:rtl/>
        </w:rPr>
      </w:pPr>
      <w:r>
        <w:rPr>
          <w:rFonts w:cs="David"/>
          <w:rtl/>
        </w:rPr>
        <w:tab/>
        <w:t xml:space="preserve">הוא יכול אחר כך - - </w:t>
      </w:r>
    </w:p>
    <w:p w:rsidR="00000000" w:rsidRDefault="00AF1222">
      <w:pPr>
        <w:bidi/>
        <w:jc w:val="both"/>
        <w:rPr>
          <w:rFonts w:cs="David"/>
          <w:u w:val="single"/>
          <w:rtl/>
        </w:rPr>
      </w:pPr>
    </w:p>
    <w:p w:rsidR="00000000" w:rsidRDefault="00AF1222">
      <w:pPr>
        <w:bidi/>
        <w:jc w:val="both"/>
        <w:rPr>
          <w:rFonts w:cs="David"/>
          <w:u w:val="single"/>
          <w:rtl/>
        </w:rPr>
      </w:pPr>
      <w:r>
        <w:rPr>
          <w:rFonts w:cs="David"/>
          <w:u w:val="single"/>
          <w:rtl/>
        </w:rPr>
        <w:t>רונה קדמי: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כן, יש לו ערר.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והערר הולך לבית 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לקצין ש</w:t>
      </w:r>
      <w:r>
        <w:rPr>
          <w:rFonts w:cs="David"/>
          <w:rtl/>
        </w:rPr>
        <w:t xml:space="preserve">יפוט בכיר.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דוד אזולאי:</w:t>
      </w:r>
    </w:p>
    <w:p w:rsidR="00000000" w:rsidRDefault="00AF1222">
      <w:pPr>
        <w:bidi/>
        <w:jc w:val="both"/>
        <w:rPr>
          <w:rFonts w:cs="David"/>
          <w:u w:val="single"/>
          <w:rtl/>
        </w:rPr>
      </w:pPr>
    </w:p>
    <w:p w:rsidR="00000000" w:rsidRDefault="00AF1222">
      <w:pPr>
        <w:bidi/>
        <w:jc w:val="both"/>
        <w:rPr>
          <w:rFonts w:cs="David"/>
          <w:rtl/>
        </w:rPr>
      </w:pPr>
      <w:r>
        <w:rPr>
          <w:rFonts w:cs="David"/>
          <w:rtl/>
        </w:rPr>
        <w:tab/>
        <w:t xml:space="preserve"> ואז הוא יכול להופיע עם עורך דין?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לא. אבל תזכור גם שאין קטגור. זאת אומרת – אין כאן איזון כזה שהוא נמצא מול עורך דין מקצועי, תובע מקצועי. הוא נמצא מול השופט. יכול להיות ששניהם לא משפטנים, בהרבה פעמים.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א</w:t>
      </w:r>
      <w:r>
        <w:rPr>
          <w:rFonts w:cs="David"/>
          <w:rtl/>
        </w:rPr>
        <w:t xml:space="preserve">פשר לאשר את זה. </w:t>
      </w:r>
    </w:p>
    <w:p w:rsidR="00000000" w:rsidRDefault="00AF1222">
      <w:pPr>
        <w:bidi/>
        <w:jc w:val="both"/>
        <w:rPr>
          <w:rFonts w:cs="David"/>
          <w:u w:val="single"/>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u w:val="single"/>
          <w:rtl/>
        </w:rPr>
      </w:pPr>
    </w:p>
    <w:p w:rsidR="00000000" w:rsidRDefault="00AF1222">
      <w:pPr>
        <w:bidi/>
        <w:jc w:val="both"/>
        <w:rPr>
          <w:rFonts w:cs="David"/>
          <w:rtl/>
        </w:rPr>
      </w:pPr>
      <w:r>
        <w:rPr>
          <w:rFonts w:cs="David"/>
          <w:rtl/>
        </w:rPr>
        <w:tab/>
        <w:t>אני ממשיכה בקריאה – סעיף 26 (קוראת את סעיף 26- נוכחות בדין).  בית דין למשמעת רשאי לדון שוטר שלא בפניו רק אם ביקש זאת השוטר, או הביע הסכמתו לכך, ובית הדין סבור, מנימוקים מיוחדים שיירשמו, שלא יהיה בכך משום עיוות דין, ובלבד שהשוטר</w:t>
      </w:r>
      <w:r>
        <w:rPr>
          <w:rFonts w:cs="David"/>
          <w:rtl/>
        </w:rPr>
        <w:t xml:space="preserve"> יהיה נוכח בעת הקראת כתב האישום ומתן פסק הדין, והוא מיוצג בידי עורך דין.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זאת אומרת – יכול להיווצר מצב שבו עורך הדין יהיה לאורך הדיון, ללא הנאשם עצמו. לזה אתם מכוונים? שהשוטר ביקש לא להיות? </w:t>
      </w:r>
    </w:p>
    <w:p w:rsidR="00000000" w:rsidRDefault="00AF1222">
      <w:pPr>
        <w:bidi/>
        <w:jc w:val="both"/>
        <w:rPr>
          <w:rFonts w:cs="David"/>
          <w:u w:val="single"/>
          <w:rtl/>
        </w:rPr>
      </w:pPr>
    </w:p>
    <w:p w:rsidR="00000000" w:rsidRDefault="00AF1222">
      <w:pPr>
        <w:bidi/>
        <w:jc w:val="both"/>
        <w:rPr>
          <w:rFonts w:cs="David"/>
          <w:rtl/>
        </w:rPr>
      </w:pPr>
      <w:r>
        <w:rPr>
          <w:rFonts w:cs="David"/>
          <w:u w:val="single"/>
          <w:rtl/>
        </w:rPr>
        <w:t>חנה קלר:</w:t>
      </w:r>
      <w:r>
        <w:rPr>
          <w:rFonts w:cs="David"/>
          <w:rtl/>
        </w:rPr>
        <w:t xml:space="preserve"> </w:t>
      </w:r>
      <w:r>
        <w:rPr>
          <w:rFonts w:cs="David"/>
          <w:rtl/>
        </w:rPr>
        <w:tab/>
      </w:r>
    </w:p>
    <w:p w:rsidR="00000000" w:rsidRDefault="00AF1222">
      <w:pPr>
        <w:bidi/>
        <w:jc w:val="both"/>
        <w:rPr>
          <w:rFonts w:cs="David"/>
          <w:rtl/>
        </w:rPr>
      </w:pPr>
    </w:p>
    <w:p w:rsidR="00000000" w:rsidRDefault="00AF1222">
      <w:pPr>
        <w:bidi/>
        <w:jc w:val="both"/>
        <w:rPr>
          <w:rFonts w:cs="David"/>
          <w:rtl/>
        </w:rPr>
      </w:pPr>
      <w:r>
        <w:rPr>
          <w:rFonts w:cs="David"/>
          <w:rtl/>
        </w:rPr>
        <w:tab/>
        <w:t>כן. לא רק זה: אדם הודה, והוא צריך לנס</w:t>
      </w:r>
      <w:r>
        <w:rPr>
          <w:rFonts w:cs="David"/>
          <w:rtl/>
        </w:rPr>
        <w:t xml:space="preserve">וע, ומשאיר את הייצוג בידי עורך הדין. האדם מיוצג. יש מישהו שעומד כאן על המשמר.  </w:t>
      </w:r>
    </w:p>
    <w:p w:rsidR="00000000" w:rsidRDefault="00AF1222">
      <w:pPr>
        <w:bidi/>
        <w:jc w:val="both"/>
        <w:rPr>
          <w:rFonts w:cs="David"/>
          <w:rtl/>
        </w:rPr>
      </w:pPr>
    </w:p>
    <w:p w:rsidR="00000000" w:rsidRDefault="00AF1222">
      <w:pPr>
        <w:bidi/>
        <w:jc w:val="both"/>
        <w:rPr>
          <w:rFonts w:cs="David"/>
          <w:rtl/>
        </w:rPr>
      </w:pPr>
      <w:r>
        <w:rPr>
          <w:rFonts w:cs="David"/>
          <w:rtl/>
        </w:rPr>
        <w:t xml:space="preserve">(קוראת את סעיף 26 (ג), (ד) ו – (ה)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פה זה מצב שהוא לא ביקש, הוא פשוט לא הגיע לדיון. </w:t>
      </w:r>
    </w:p>
    <w:p w:rsidR="00000000" w:rsidRDefault="00AF1222">
      <w:pPr>
        <w:bidi/>
        <w:jc w:val="both"/>
        <w:rPr>
          <w:rFonts w:cs="David"/>
          <w:rtl/>
        </w:rPr>
      </w:pPr>
    </w:p>
    <w:p w:rsidR="00000000" w:rsidRDefault="00AF1222">
      <w:pPr>
        <w:bidi/>
        <w:jc w:val="both"/>
        <w:rPr>
          <w:rFonts w:cs="David"/>
          <w:rtl/>
        </w:rPr>
      </w:pPr>
      <w:r>
        <w:rPr>
          <w:rFonts w:cs="David"/>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בדיוק קבענו בבוקר את הדוגמה – יש אישור מסירה מהדואר הרשום. בי</w:t>
      </w:r>
      <w:r>
        <w:rPr>
          <w:rFonts w:cs="David"/>
          <w:rtl/>
        </w:rPr>
        <w:t xml:space="preserve">ת הדין רואה שהוא הוזמן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אבל מי שחתם על ההודעה הוא הילד הקטין של אותו אדם.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בדיוק. לכן, ככלל – בית הדין לא ימהר לעשות את זה - - </w:t>
      </w:r>
    </w:p>
    <w:p w:rsidR="00000000" w:rsidRDefault="00AF1222">
      <w:pPr>
        <w:bidi/>
        <w:jc w:val="both"/>
        <w:rPr>
          <w:rFonts w:cs="David"/>
          <w:rtl/>
        </w:rPr>
      </w:pP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בית הדין לא ממהר ולא ימהר. </w:t>
      </w:r>
    </w:p>
    <w:p w:rsidR="00000000" w:rsidRDefault="00AF1222">
      <w:pPr>
        <w:bidi/>
        <w:jc w:val="both"/>
        <w:rPr>
          <w:rFonts w:cs="David"/>
          <w:rtl/>
        </w:rPr>
      </w:pPr>
    </w:p>
    <w:p w:rsidR="00000000" w:rsidRDefault="00AF1222">
      <w:pPr>
        <w:bidi/>
        <w:jc w:val="both"/>
        <w:rPr>
          <w:rFonts w:cs="David"/>
          <w:rtl/>
        </w:rPr>
      </w:pPr>
      <w:r>
        <w:rPr>
          <w:rFonts w:cs="David"/>
          <w:u w:val="single"/>
          <w:rtl/>
        </w:rPr>
        <w:br w:type="page"/>
        <w:t>חנה קלר:</w:t>
      </w:r>
    </w:p>
    <w:p w:rsidR="00000000" w:rsidRDefault="00AF1222">
      <w:pPr>
        <w:bidi/>
        <w:jc w:val="both"/>
        <w:rPr>
          <w:rFonts w:cs="David"/>
          <w:rtl/>
        </w:rPr>
      </w:pPr>
    </w:p>
    <w:p w:rsidR="00000000" w:rsidRDefault="00AF1222">
      <w:pPr>
        <w:bidi/>
        <w:jc w:val="both"/>
        <w:rPr>
          <w:rFonts w:cs="David"/>
          <w:rtl/>
        </w:rPr>
      </w:pPr>
      <w:r>
        <w:rPr>
          <w:rFonts w:cs="David"/>
          <w:rtl/>
        </w:rPr>
        <w:tab/>
        <w:t>אבל נניח שהוא רואה ששלוש פעמים אותו אד</w:t>
      </w:r>
      <w:r>
        <w:rPr>
          <w:rFonts w:cs="David"/>
          <w:rtl/>
        </w:rPr>
        <w:t xml:space="preserve">ם לא בא, והסתבר שהוא לא קיבל את ההודעות. אם הוא בא ומסביר את זה, תמיד יש אפשרות לבטל. לכן אמרתי שנקרא את זה ביחד, כי תמיד עומדת לו האפשרות לבטל. </w:t>
      </w:r>
    </w:p>
    <w:p w:rsidR="00000000" w:rsidRDefault="00AF1222">
      <w:pPr>
        <w:bidi/>
        <w:jc w:val="both"/>
        <w:rPr>
          <w:rFonts w:cs="David"/>
          <w:rtl/>
        </w:rPr>
      </w:pPr>
    </w:p>
    <w:p w:rsidR="00000000" w:rsidRDefault="00AF1222">
      <w:pPr>
        <w:bidi/>
        <w:jc w:val="both"/>
        <w:rPr>
          <w:rFonts w:cs="David"/>
          <w:rtl/>
        </w:rPr>
      </w:pPr>
      <w:r>
        <w:rPr>
          <w:rFonts w:cs="David"/>
          <w:rtl/>
        </w:rPr>
        <w:t xml:space="preserve">(קוראת את סעיף 26(ה) ו- (ו).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הבעיה היחידה היא שיש פה כאילו פתח של - -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 xml:space="preserve"> אבל זה כמ</w:t>
      </w:r>
      <w:r>
        <w:rPr>
          <w:rFonts w:cs="David"/>
          <w:rtl/>
        </w:rPr>
        <w:t xml:space="preserve">ו בחוק סדר הדין הפלילי.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כאשר זה לא בפניו זה גם אומר שלא היה מי מטעמו שם. בדרך כלל, בבית הדין , מהניסיון – אדם מגיע עם עורך הדין או שהוא -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רונית קמינסקי:</w:t>
      </w:r>
    </w:p>
    <w:p w:rsidR="00000000" w:rsidRDefault="00AF1222">
      <w:pPr>
        <w:bidi/>
        <w:jc w:val="both"/>
        <w:rPr>
          <w:rFonts w:cs="David"/>
          <w:rtl/>
        </w:rPr>
      </w:pPr>
    </w:p>
    <w:p w:rsidR="00000000" w:rsidRDefault="00AF1222">
      <w:pPr>
        <w:bidi/>
        <w:jc w:val="both"/>
        <w:rPr>
          <w:rFonts w:cs="David"/>
          <w:rtl/>
        </w:rPr>
      </w:pPr>
      <w:r>
        <w:rPr>
          <w:rFonts w:cs="David"/>
          <w:rtl/>
        </w:rPr>
        <w:tab/>
        <w:t xml:space="preserve">רובם ככולם. </w:t>
      </w:r>
    </w:p>
    <w:p w:rsidR="00000000" w:rsidRDefault="00AF1222">
      <w:pPr>
        <w:bidi/>
        <w:jc w:val="both"/>
        <w:rPr>
          <w:rFonts w:cs="David"/>
          <w:rtl/>
        </w:rPr>
      </w:pPr>
    </w:p>
    <w:p w:rsidR="00000000" w:rsidRDefault="00AF1222">
      <w:pPr>
        <w:bidi/>
        <w:jc w:val="both"/>
        <w:rPr>
          <w:rFonts w:cs="David"/>
          <w:rtl/>
        </w:rPr>
      </w:pPr>
      <w:r>
        <w:rPr>
          <w:rFonts w:cs="David"/>
          <w:u w:val="single"/>
          <w:rtl/>
        </w:rPr>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 כלומר, אם הוא מגיע לבית הדין יכול להיווצר מצב בו הו</w:t>
      </w:r>
      <w:r>
        <w:rPr>
          <w:rFonts w:cs="David"/>
          <w:rtl/>
        </w:rPr>
        <w:t xml:space="preserve">א לא יהיה, אבל עורך הדין שלו יהיה.  </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יש הערות? אין. אנחנו מאשרים את סעיף 26, פה אחד.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(מקריאה את סעיף  27).  זה סעיף שהוסף. למשל – יש עובדים זרים שמתלוננים שהמשטרה התנהגה בהם לא בסדר, וצריך לגרש אותם, או תיירת שהתלוננה ע</w:t>
      </w:r>
      <w:r>
        <w:rPr>
          <w:rFonts w:cs="David"/>
          <w:rtl/>
        </w:rPr>
        <w:t xml:space="preserve">ל יחס לא טוב, של שוטר בשדה התעופה, בנתב"ג, והיא רוצה לעזוב את הארץ.  </w:t>
      </w:r>
    </w:p>
    <w:p w:rsidR="00000000" w:rsidRDefault="00AF1222">
      <w:pPr>
        <w:bidi/>
        <w:jc w:val="both"/>
        <w:rPr>
          <w:rFonts w:cs="David"/>
          <w:rtl/>
        </w:rPr>
      </w:pPr>
    </w:p>
    <w:p w:rsidR="00000000" w:rsidRDefault="00AF1222">
      <w:pPr>
        <w:bidi/>
        <w:jc w:val="both"/>
        <w:rPr>
          <w:rFonts w:cs="David"/>
          <w:rtl/>
        </w:rPr>
      </w:pPr>
      <w:r>
        <w:rPr>
          <w:rFonts w:cs="David"/>
          <w:rtl/>
        </w:rPr>
        <w:t xml:space="preserve">אני חושבת שההסדר הוא ראוי. </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יש הערות?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זו הוספה שהיא מאד חשובה, מאד חיונית, לדעתי. גם כי  אתה יודע שהשוטרים לא יתחמקו מהדין כי העובד הזר גורש, או שהמ</w:t>
      </w:r>
      <w:r>
        <w:rPr>
          <w:rFonts w:cs="David"/>
          <w:rtl/>
        </w:rPr>
        <w:t xml:space="preserve">תלונן לא רוצה להישאר בארץ, ואי אפשר לכפות עליו. זה אינטרס של ה - - </w:t>
      </w:r>
    </w:p>
    <w:p w:rsidR="00000000" w:rsidRDefault="00AF1222">
      <w:pPr>
        <w:bidi/>
        <w:jc w:val="both"/>
        <w:rPr>
          <w:rFonts w:cs="David"/>
          <w:rtl/>
        </w:rPr>
      </w:pPr>
    </w:p>
    <w:p w:rsidR="00000000" w:rsidRDefault="00AF1222">
      <w:pPr>
        <w:bidi/>
        <w:jc w:val="both"/>
        <w:rPr>
          <w:rFonts w:cs="David"/>
          <w:u w:val="single"/>
          <w:rtl/>
        </w:rPr>
      </w:pPr>
      <w:r>
        <w:rPr>
          <w:rFonts w:cs="David"/>
          <w:u w:val="single"/>
          <w:rtl/>
        </w:rPr>
        <w:br w:type="page"/>
        <w:t>חמי דורון:</w:t>
      </w:r>
    </w:p>
    <w:p w:rsidR="00000000" w:rsidRDefault="00AF1222">
      <w:pPr>
        <w:bidi/>
        <w:jc w:val="both"/>
        <w:rPr>
          <w:rFonts w:cs="David"/>
          <w:rtl/>
        </w:rPr>
      </w:pPr>
    </w:p>
    <w:p w:rsidR="00000000" w:rsidRDefault="00AF1222">
      <w:pPr>
        <w:bidi/>
        <w:jc w:val="both"/>
        <w:rPr>
          <w:rFonts w:cs="David"/>
          <w:rtl/>
        </w:rPr>
      </w:pPr>
      <w:r>
        <w:rPr>
          <w:rFonts w:cs="David"/>
          <w:rtl/>
        </w:rPr>
        <w:tab/>
        <w:t xml:space="preserve">נכון, אני מסכים שזה אינטרס של הציבור, אבל השאלה שלי היא למה גבייה של עדות כזו צריכה להיות בפני הנאשם? </w:t>
      </w:r>
    </w:p>
    <w:p w:rsidR="00000000" w:rsidRDefault="00AF1222">
      <w:pPr>
        <w:bidi/>
        <w:jc w:val="both"/>
        <w:rPr>
          <w:rFonts w:cs="David"/>
          <w:rtl/>
        </w:rPr>
      </w:pPr>
    </w:p>
    <w:p w:rsidR="00000000" w:rsidRDefault="00AF1222">
      <w:pPr>
        <w:bidi/>
        <w:jc w:val="both"/>
        <w:rPr>
          <w:rFonts w:cs="David"/>
          <w:rtl/>
        </w:rPr>
      </w:pPr>
      <w:r>
        <w:rPr>
          <w:rFonts w:cs="David"/>
          <w:u w:val="single"/>
          <w:rtl/>
        </w:rPr>
        <w:t>חנה קלר:</w:t>
      </w:r>
    </w:p>
    <w:p w:rsidR="00000000" w:rsidRDefault="00AF1222">
      <w:pPr>
        <w:bidi/>
        <w:jc w:val="both"/>
        <w:rPr>
          <w:rFonts w:cs="David"/>
          <w:rtl/>
        </w:rPr>
      </w:pPr>
    </w:p>
    <w:p w:rsidR="00000000" w:rsidRDefault="00AF1222">
      <w:pPr>
        <w:bidi/>
        <w:jc w:val="both"/>
        <w:rPr>
          <w:rFonts w:cs="David"/>
          <w:rtl/>
        </w:rPr>
      </w:pPr>
      <w:r>
        <w:rPr>
          <w:rFonts w:cs="David"/>
          <w:rtl/>
        </w:rPr>
        <w:tab/>
        <w:t>אלא אם כן הוחלט אחרת.  אם זה היה באופן  רגיל הנאשם היה נוכ</w:t>
      </w:r>
      <w:r>
        <w:rPr>
          <w:rFonts w:cs="David"/>
          <w:rtl/>
        </w:rPr>
        <w:t xml:space="preserve">ח תמיד, אז למה לגרוע את הזכות שלו? אנחנו בסך הכל מקדימים את הזמן, אבל לא רוצים לשנות את הזכויות של האנשים. </w:t>
      </w:r>
    </w:p>
    <w:p w:rsidR="00000000" w:rsidRDefault="00AF1222">
      <w:pPr>
        <w:bidi/>
        <w:jc w:val="both"/>
        <w:rPr>
          <w:rFonts w:cs="David"/>
          <w:rtl/>
        </w:rPr>
      </w:pPr>
    </w:p>
    <w:p w:rsidR="00000000" w:rsidRDefault="00AF1222">
      <w:pPr>
        <w:bidi/>
        <w:jc w:val="both"/>
        <w:rPr>
          <w:rFonts w:cs="David"/>
          <w:rtl/>
        </w:rPr>
      </w:pPr>
      <w:r>
        <w:rPr>
          <w:rFonts w:cs="David"/>
          <w:u w:val="single"/>
          <w:rtl/>
        </w:rPr>
        <w:t>היו"ר גאלב מג'אדלה:</w:t>
      </w:r>
    </w:p>
    <w:p w:rsidR="00000000" w:rsidRDefault="00AF1222">
      <w:pPr>
        <w:bidi/>
        <w:jc w:val="both"/>
        <w:rPr>
          <w:rFonts w:cs="David"/>
          <w:rtl/>
        </w:rPr>
      </w:pPr>
    </w:p>
    <w:p w:rsidR="00000000" w:rsidRDefault="00AF1222">
      <w:pPr>
        <w:bidi/>
        <w:jc w:val="both"/>
        <w:rPr>
          <w:rFonts w:cs="David"/>
          <w:rtl/>
        </w:rPr>
      </w:pPr>
      <w:r>
        <w:rPr>
          <w:rFonts w:cs="David"/>
          <w:rtl/>
        </w:rPr>
        <w:tab/>
        <w:t xml:space="preserve"> מאשרים את 27 פה אחד, ללא מתנגדים. בכך אנחנו נועלים את הישיבה, ואני מודה לכולכם. </w:t>
      </w:r>
    </w:p>
    <w:p w:rsidR="00000000" w:rsidRDefault="00AF1222">
      <w:pPr>
        <w:bidi/>
        <w:jc w:val="both"/>
        <w:rPr>
          <w:rFonts w:cs="David"/>
          <w:rtl/>
        </w:rPr>
      </w:pPr>
    </w:p>
    <w:p w:rsidR="00000000" w:rsidRDefault="00AF1222">
      <w:pPr>
        <w:bidi/>
        <w:jc w:val="both"/>
        <w:rPr>
          <w:rFonts w:cs="David"/>
          <w:u w:val="single"/>
          <w:rtl/>
        </w:rPr>
      </w:pPr>
      <w:r>
        <w:rPr>
          <w:rFonts w:cs="David"/>
          <w:u w:val="single"/>
          <w:rtl/>
        </w:rPr>
        <w:t>הישיבה ננעלה בשעה 10:40</w:t>
      </w:r>
    </w:p>
    <w:p w:rsidR="00000000" w:rsidRDefault="00AF1222">
      <w:pPr>
        <w:bidi/>
        <w:jc w:val="both"/>
        <w:rPr>
          <w:rFonts w:cs="David"/>
          <w:b/>
          <w:bCs/>
          <w:sz w:val="30"/>
          <w:szCs w:val="30"/>
          <w:u w:val="single"/>
          <w:rtl/>
        </w:rPr>
      </w:pPr>
      <w:r>
        <w:rPr>
          <w:rFonts w:cs="David"/>
          <w:rtl/>
        </w:rPr>
        <w:br w:type="page"/>
      </w:r>
      <w:r>
        <w:rPr>
          <w:rFonts w:cs="David"/>
          <w:rtl/>
        </w:rPr>
        <w:br/>
      </w:r>
    </w:p>
    <w:p w:rsidR="00000000" w:rsidRDefault="00AF1222">
      <w:pPr>
        <w:bidi/>
        <w:jc w:val="both"/>
        <w:rPr>
          <w:rFonts w:cs="David"/>
          <w:b/>
          <w:bCs/>
          <w:sz w:val="28"/>
          <w:szCs w:val="28"/>
          <w:u w:val="single"/>
          <w:rtl/>
        </w:rPr>
      </w:pPr>
      <w:r>
        <w:rPr>
          <w:rFonts w:cs="David"/>
          <w:b/>
          <w:bCs/>
          <w:sz w:val="30"/>
          <w:szCs w:val="30"/>
          <w:u w:val="single"/>
          <w:rtl/>
        </w:rPr>
        <w:t xml:space="preserve">הצעת </w:t>
      </w:r>
      <w:r>
        <w:rPr>
          <w:rFonts w:cs="David"/>
          <w:b/>
          <w:bCs/>
          <w:sz w:val="28"/>
          <w:szCs w:val="28"/>
          <w:u w:val="single"/>
          <w:rtl/>
        </w:rPr>
        <w:t>חוק המשטרה</w:t>
      </w:r>
      <w:r>
        <w:rPr>
          <w:rFonts w:cs="David"/>
          <w:b/>
          <w:bCs/>
          <w:sz w:val="28"/>
          <w:szCs w:val="28"/>
          <w:u w:val="single"/>
          <w:rtl/>
        </w:rPr>
        <w:t xml:space="preserve"> (דין משמעתי, בירור קבילות שוטרים, עובדים שאינם שוטרים והוראות שונות), התשס"ה – 2005</w:t>
      </w:r>
    </w:p>
    <w:p w:rsidR="00000000" w:rsidRDefault="00AF1222">
      <w:pPr>
        <w:bidi/>
        <w:jc w:val="both"/>
        <w:rPr>
          <w:rFonts w:cs="David"/>
          <w:b/>
          <w:bCs/>
          <w:sz w:val="26"/>
          <w:szCs w:val="26"/>
          <w:u w:val="single"/>
          <w:rtl/>
        </w:rPr>
      </w:pPr>
    </w:p>
    <w:tbl>
      <w:tblPr>
        <w:tblW w:w="8537" w:type="dxa"/>
        <w:jc w:val="right"/>
        <w:tblLayout w:type="fixed"/>
        <w:tblLook w:val="0000" w:firstRow="0" w:lastRow="0" w:firstColumn="0" w:lastColumn="0" w:noHBand="0" w:noVBand="0"/>
      </w:tblPr>
      <w:tblGrid>
        <w:gridCol w:w="1337"/>
        <w:gridCol w:w="900"/>
        <w:gridCol w:w="540"/>
        <w:gridCol w:w="12"/>
        <w:gridCol w:w="219"/>
        <w:gridCol w:w="5529"/>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פרק א': פרשנות</w:t>
            </w:r>
          </w:p>
          <w:p w:rsidR="00000000" w:rsidRDefault="00AF1222">
            <w:pPr>
              <w:bidi/>
              <w:jc w:val="both"/>
              <w:rPr>
                <w:rFonts w:cs="David"/>
                <w:b/>
                <w:bCs/>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הגדרות</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בחוק זה – </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"בית דין" – בית דין למשמעת או בית דין לערעורים שכוננו לפי הוראות פרק ב';</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"דן יחיד" – קצין שיפוט או קצין שיפוט בכיר;</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"חוק שירות</w:t>
            </w:r>
            <w:r>
              <w:rPr>
                <w:rFonts w:cs="David"/>
                <w:sz w:val="26"/>
                <w:szCs w:val="26"/>
                <w:rtl/>
              </w:rPr>
              <w:t xml:space="preserve"> בטחון" – חוק שירות בטחון [נוסח משולב], התשמ"ו – 1986</w:t>
            </w:r>
            <w:r>
              <w:rPr>
                <w:rStyle w:val="a5"/>
                <w:rFonts w:cs="David"/>
                <w:sz w:val="26"/>
                <w:szCs w:val="26"/>
                <w:rtl/>
              </w:rPr>
              <w:footnoteReference w:id="1"/>
            </w:r>
            <w:r>
              <w:rPr>
                <w:rFonts w:cs="David"/>
                <w:sz w:val="26"/>
                <w:szCs w:val="26"/>
                <w:rtl/>
              </w:rPr>
              <w:t>;</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"עבירת משמעת" – כמשמעותה בסעיף 5;</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"עובד שאינו שוטר" – מי שמועסק במשטרת ישראל לפי הוראות פרק ד';</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"הפקודה" – פקודת המשטרה [נוסח חדש], התשל"א – 1971</w:t>
            </w:r>
            <w:r>
              <w:rPr>
                <w:rStyle w:val="a5"/>
                <w:rFonts w:cs="David"/>
                <w:sz w:val="26"/>
                <w:szCs w:val="26"/>
                <w:rtl/>
              </w:rPr>
              <w:footnoteReference w:id="2"/>
            </w:r>
            <w:r>
              <w:rPr>
                <w:rFonts w:cs="David"/>
                <w:sz w:val="26"/>
                <w:szCs w:val="26"/>
                <w:rtl/>
              </w:rPr>
              <w:t>;</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"קצין שיפוט" – קצין משטרה בדרגת רב-פקד ומעלה, שאינו קצין שיפוט בכיר, וכן קצין משטרה בדרגת פקד שהמפקח הכללי הסמיכו לכך בכתב, ולענין שפיטת יוצא צבא הממלא חובתו לשירות מילואים במשמר הגבול שבמשטרת ישראל לפי חוק שירות ביטחון  – גם קצין משטרה ב</w:t>
            </w:r>
            <w:r>
              <w:rPr>
                <w:rFonts w:cs="David"/>
                <w:sz w:val="26"/>
                <w:szCs w:val="26"/>
                <w:rtl/>
              </w:rPr>
              <w:t>דרגת מפקח, שהמפקח הכללי הסמיכו לכך בכתב;</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"קצין שיפוט בכיר" – קצין משטרה בדרגת ניצב-משנה ומעלה;</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"השר" – השר לביטחון הפנים.</w:t>
            </w:r>
          </w:p>
          <w:p w:rsidR="00000000" w:rsidRDefault="00AF1222">
            <w:pPr>
              <w:bidi/>
              <w:jc w:val="both"/>
              <w:rPr>
                <w:rFonts w:cs="David"/>
                <w:sz w:val="26"/>
                <w:szCs w:val="26"/>
                <w:rtl/>
              </w:rPr>
            </w:pP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פרשנות</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לכל מונח אחר בחוק זה, תהא המשמעות הנודעת לו בפקודה.</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b/>
                <w:bCs/>
                <w:sz w:val="26"/>
                <w:szCs w:val="26"/>
              </w:rPr>
            </w:pPr>
          </w:p>
          <w:p w:rsidR="00000000" w:rsidRDefault="00AF1222">
            <w:pPr>
              <w:bidi/>
              <w:jc w:val="both"/>
              <w:rPr>
                <w:rFonts w:cs="David"/>
                <w:b/>
                <w:bCs/>
                <w:sz w:val="26"/>
                <w:szCs w:val="26"/>
                <w:rtl/>
              </w:rPr>
            </w:pPr>
            <w:r>
              <w:rPr>
                <w:rFonts w:cs="David"/>
                <w:b/>
                <w:bCs/>
                <w:sz w:val="26"/>
                <w:szCs w:val="26"/>
                <w:rtl/>
              </w:rPr>
              <w:t>פרק ב': דין משמעתי</w:t>
            </w:r>
          </w:p>
          <w:p w:rsidR="00000000" w:rsidRDefault="00AF1222">
            <w:pPr>
              <w:bidi/>
              <w:jc w:val="both"/>
              <w:rPr>
                <w:rFonts w:cs="David"/>
                <w:b/>
                <w:bCs/>
                <w:sz w:val="26"/>
                <w:szCs w:val="26"/>
                <w:rtl/>
              </w:rPr>
            </w:pPr>
            <w:r>
              <w:rPr>
                <w:rFonts w:cs="David"/>
                <w:b/>
                <w:bCs/>
                <w:sz w:val="26"/>
                <w:szCs w:val="26"/>
                <w:rtl/>
              </w:rPr>
              <w:t xml:space="preserve"> </w:t>
            </w:r>
          </w:p>
          <w:p w:rsidR="00000000" w:rsidRDefault="00AF1222">
            <w:pPr>
              <w:bidi/>
              <w:jc w:val="both"/>
              <w:rPr>
                <w:rFonts w:cs="David"/>
                <w:b/>
                <w:bCs/>
                <w:sz w:val="26"/>
                <w:szCs w:val="26"/>
                <w:rtl/>
              </w:rPr>
            </w:pPr>
            <w:r>
              <w:rPr>
                <w:rFonts w:cs="David"/>
                <w:b/>
                <w:bCs/>
                <w:sz w:val="26"/>
                <w:szCs w:val="26"/>
                <w:rtl/>
              </w:rPr>
              <w:t>סימן א': הוראות כלליות</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color w:val="FF0000"/>
                <w:sz w:val="26"/>
                <w:szCs w:val="26"/>
              </w:rPr>
            </w:pPr>
            <w:r>
              <w:rPr>
                <w:rFonts w:cs="David"/>
                <w:b/>
                <w:bCs/>
                <w:sz w:val="26"/>
                <w:szCs w:val="26"/>
                <w:rtl/>
              </w:rPr>
              <w:t>הגדרות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color w:val="FF0000"/>
                <w:sz w:val="26"/>
                <w:szCs w:val="26"/>
              </w:rPr>
            </w:pPr>
            <w:r>
              <w:rPr>
                <w:rFonts w:cs="David"/>
                <w:sz w:val="26"/>
                <w:szCs w:val="26"/>
                <w:rtl/>
              </w:rPr>
              <w:t>בפר</w:t>
            </w:r>
            <w:r>
              <w:rPr>
                <w:rFonts w:cs="David"/>
                <w:sz w:val="26"/>
                <w:szCs w:val="26"/>
                <w:rtl/>
              </w:rPr>
              <w:t xml:space="preserve">ק זה – </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"מחדל" -  הימנעות מעשיה שהיא חובה לפי כל דין או לפי כל הוראה אחרת שניתנה כדין;</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"שוטר" – לרבות יוצא צבא הממלא חובתו לשירות סדיר או לשירות מילואים, במשטרת ישראל לפי חוק שירות בטחון, כשהוא בשירות.</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תחולת הדין המשמעתי</w:t>
            </w:r>
          </w:p>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שוטר כפוף לדין המשמעתי לפי</w:t>
            </w:r>
            <w:r>
              <w:rPr>
                <w:rFonts w:cs="David"/>
                <w:sz w:val="26"/>
                <w:szCs w:val="26"/>
                <w:rtl/>
              </w:rPr>
              <w:t xml:space="preserve"> פרק זה.</w:t>
            </w: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עבירת משמעת</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עבירת משמעת היא עבירה הפוגעת בסדר הטוב ובמשמעת, והמנויה בתוספת הראשונה.</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העמדה לדין משמעתי</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u w:val="single"/>
              </w:rPr>
            </w:pPr>
            <w:r>
              <w:rPr>
                <w:rFonts w:cs="David"/>
                <w:sz w:val="26"/>
                <w:szCs w:val="26"/>
                <w:rtl/>
              </w:rPr>
              <w:t>העמדה לדין משמעתי של שוטר בשל עבירת משמעת, בפני דן יחיד או בפני בית דין, תהיה לפי הוראות פרק זה.</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תחולה לפי מקום</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color w:val="FF0000"/>
                <w:sz w:val="26"/>
                <w:szCs w:val="26"/>
              </w:rPr>
            </w:pPr>
            <w:r>
              <w:rPr>
                <w:rFonts w:cs="David"/>
                <w:sz w:val="26"/>
                <w:szCs w:val="26"/>
                <w:rtl/>
              </w:rPr>
              <w:t>הדין המשמעתי יח</w:t>
            </w:r>
            <w:r>
              <w:rPr>
                <w:rFonts w:cs="David"/>
                <w:sz w:val="26"/>
                <w:szCs w:val="26"/>
                <w:rtl/>
              </w:rPr>
              <w:t xml:space="preserve">ול גם אם עבירת המשמעת נעברה, כולה או מקצתה, מחוץ לשטח ישראל; לענין זה, "שטח ישראל" – כהגדרתו בסעיף 7(ג) בחוק העונשין, התשל"ז- 1977 </w:t>
            </w:r>
            <w:r>
              <w:rPr>
                <w:rStyle w:val="a5"/>
                <w:rFonts w:cs="David"/>
                <w:sz w:val="26"/>
                <w:szCs w:val="26"/>
                <w:rtl/>
              </w:rPr>
              <w:footnoteReference w:id="3"/>
            </w:r>
            <w:r>
              <w:rPr>
                <w:rFonts w:cs="David"/>
                <w:sz w:val="26"/>
                <w:szCs w:val="26"/>
                <w:rtl/>
              </w:rPr>
              <w:t xml:space="preserve"> (להלן – חוק העונשין).</w:t>
            </w:r>
          </w:p>
          <w:p w:rsidR="00000000" w:rsidRDefault="00AF1222">
            <w:pPr>
              <w:bidi/>
              <w:jc w:val="both"/>
              <w:rPr>
                <w:rFonts w:cs="David"/>
                <w:b/>
                <w:bCs/>
                <w:sz w:val="26"/>
                <w:szCs w:val="26"/>
                <w:u w:val="single"/>
              </w:rPr>
            </w:pPr>
          </w:p>
        </w:tc>
      </w:tr>
      <w:tr w:rsidR="00000000">
        <w:trPr>
          <w:cantSplit/>
          <w:trHeight w:val="54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יסוד נפשי בעבירות משמעת</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771"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529"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מבצע עבירת משמעת גם אם עשאה ברשלנות, אל</w:t>
            </w:r>
            <w:r>
              <w:rPr>
                <w:rFonts w:cs="David"/>
                <w:sz w:val="26"/>
                <w:szCs w:val="26"/>
                <w:rtl/>
              </w:rPr>
              <w:t>א אם כן נאמר אחרת בהגדרת העבירה.</w:t>
            </w:r>
          </w:p>
          <w:p w:rsidR="00000000" w:rsidRDefault="00AF1222">
            <w:pPr>
              <w:bidi/>
              <w:jc w:val="both"/>
              <w:rPr>
                <w:rFonts w:cs="David"/>
                <w:b/>
                <w:bCs/>
                <w:sz w:val="26"/>
                <w:szCs w:val="26"/>
                <w:u w:val="single"/>
              </w:rPr>
            </w:pPr>
          </w:p>
        </w:tc>
      </w:tr>
      <w:tr w:rsidR="00000000">
        <w:trPr>
          <w:cantSplit/>
          <w:trHeight w:val="54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771"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529"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בסעיף זה, "רשלנות" – אי מודעות לטיב המעשה, לקיום הנסיבות או לאפשרות הגרימה לתוצאות המעשה, הנמנים עם פרטי עבירת המשמעת, כששוטר סביר יכול היה, בנסיבות הענין, להיות מודע לאותו פרט, ובלבד –</w:t>
            </w:r>
          </w:p>
          <w:p w:rsidR="00000000" w:rsidRDefault="00AF1222">
            <w:pPr>
              <w:numPr>
                <w:ilvl w:val="0"/>
                <w:numId w:val="6"/>
              </w:numPr>
              <w:bidi/>
              <w:ind w:right="720"/>
              <w:jc w:val="both"/>
              <w:rPr>
                <w:rFonts w:cs="David"/>
                <w:sz w:val="26"/>
                <w:szCs w:val="26"/>
                <w:rtl/>
              </w:rPr>
            </w:pPr>
            <w:r>
              <w:rPr>
                <w:rFonts w:cs="David"/>
                <w:sz w:val="26"/>
                <w:szCs w:val="26"/>
                <w:rtl/>
              </w:rPr>
              <w:t>שלענין הפרטים הנותרים הית</w:t>
            </w:r>
            <w:r>
              <w:rPr>
                <w:rFonts w:cs="David"/>
                <w:sz w:val="26"/>
                <w:szCs w:val="26"/>
                <w:rtl/>
              </w:rPr>
              <w:t>ה לפחות רשלנות כאמור;</w:t>
            </w:r>
          </w:p>
          <w:p w:rsidR="00000000" w:rsidRDefault="00AF1222">
            <w:pPr>
              <w:numPr>
                <w:ilvl w:val="0"/>
                <w:numId w:val="6"/>
                <w:numberingChange w:id="1" w:author="User" w:date="2005-04-17T16:33:00Z" w:original="(%1:1:0:)"/>
              </w:numPr>
              <w:bidi/>
              <w:ind w:right="720"/>
              <w:jc w:val="both"/>
              <w:rPr>
                <w:rFonts w:cs="David"/>
                <w:sz w:val="26"/>
                <w:szCs w:val="26"/>
                <w:rtl/>
              </w:rPr>
            </w:pPr>
            <w:r>
              <w:rPr>
                <w:rFonts w:cs="David"/>
                <w:sz w:val="26"/>
                <w:szCs w:val="26"/>
                <w:rtl/>
              </w:rPr>
              <w:t>שאפשרות גרימת התוצאות לא היתה בגדר הסיכון הסביר.</w:t>
            </w:r>
          </w:p>
          <w:p w:rsidR="00000000" w:rsidRDefault="00AF1222">
            <w:pPr>
              <w:bidi/>
              <w:jc w:val="both"/>
              <w:rPr>
                <w:rFonts w:cs="David"/>
                <w:sz w:val="26"/>
                <w:szCs w:val="26"/>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 xml:space="preserve">אי תחולת </w:t>
            </w:r>
          </w:p>
          <w:p w:rsidR="00000000" w:rsidRDefault="00AF1222">
            <w:pPr>
              <w:bidi/>
              <w:jc w:val="both"/>
              <w:rPr>
                <w:rFonts w:cs="David"/>
                <w:b/>
                <w:bCs/>
                <w:sz w:val="26"/>
                <w:szCs w:val="26"/>
                <w:rtl/>
              </w:rPr>
            </w:pPr>
            <w:r>
              <w:rPr>
                <w:rFonts w:cs="David"/>
                <w:b/>
                <w:bCs/>
                <w:sz w:val="26"/>
                <w:szCs w:val="26"/>
                <w:rtl/>
              </w:rPr>
              <w:t xml:space="preserve">דיני הראיות </w:t>
            </w:r>
          </w:p>
          <w:p w:rsidR="00000000" w:rsidRDefault="00AF1222">
            <w:pPr>
              <w:bidi/>
              <w:jc w:val="both"/>
              <w:rPr>
                <w:rFonts w:cs="David"/>
                <w:b/>
                <w:bCs/>
                <w:sz w:val="26"/>
                <w:szCs w:val="26"/>
                <w:rtl/>
              </w:rPr>
            </w:pPr>
            <w:r>
              <w:rPr>
                <w:rFonts w:cs="David"/>
                <w:b/>
                <w:bCs/>
                <w:sz w:val="26"/>
                <w:szCs w:val="26"/>
                <w:rtl/>
              </w:rPr>
              <w:t>הכלליים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על הדיון המשמעתי לפי פרק זה לא יחולו דיני הראיות הנוהגים בבתי המשפט, אלא אם כן נאמר אחרת בפרק זה.</w:t>
            </w:r>
          </w:p>
          <w:p w:rsidR="00000000" w:rsidRDefault="00AF1222">
            <w:pPr>
              <w:bidi/>
              <w:jc w:val="both"/>
              <w:rPr>
                <w:rFonts w:cs="David"/>
                <w:sz w:val="26"/>
                <w:szCs w:val="26"/>
                <w:rtl/>
              </w:rPr>
            </w:pPr>
          </w:p>
          <w:p w:rsidR="00000000" w:rsidRDefault="00AF1222">
            <w:pPr>
              <w:bidi/>
              <w:jc w:val="both"/>
              <w:rPr>
                <w:rFonts w:cs="David"/>
                <w:b/>
                <w:bCs/>
                <w:sz w:val="26"/>
                <w:szCs w:val="26"/>
                <w:u w:val="single"/>
              </w:rPr>
            </w:pPr>
          </w:p>
        </w:tc>
      </w:tr>
      <w:tr w:rsidR="00000000">
        <w:trPr>
          <w:cantSplit/>
          <w:trHeight w:val="15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סדרי – דין</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52"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48"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השר יקבע את סדרי הדין</w:t>
            </w:r>
            <w:r>
              <w:rPr>
                <w:rFonts w:cs="David"/>
                <w:sz w:val="26"/>
                <w:szCs w:val="26"/>
                <w:rtl/>
              </w:rPr>
              <w:t>, לרבות סדרי המצאת מסמכים, שלפיהם יקוים וינוהל הדיון המשמעתי לפי פרק זה.</w:t>
            </w:r>
          </w:p>
          <w:p w:rsidR="00000000" w:rsidRDefault="00AF1222">
            <w:pPr>
              <w:bidi/>
              <w:jc w:val="both"/>
              <w:rPr>
                <w:rFonts w:cs="David"/>
                <w:b/>
                <w:bCs/>
                <w:sz w:val="26"/>
                <w:szCs w:val="26"/>
                <w:u w:val="single"/>
              </w:rPr>
            </w:pPr>
          </w:p>
        </w:tc>
      </w:tr>
      <w:tr w:rsidR="00000000">
        <w:trPr>
          <w:cantSplit/>
          <w:trHeight w:val="1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52"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48"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בכל ענין של סדרי דין, שלא נקבעו לגביו הוראות לפי פרק זה, ינהג היושב בדין בדרך הנראית לו הטובה ביותר לעשיית משפט צדק.</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אין אחריות משמעתית פעמיים</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אין דנים שוטר בדין משמעתי</w:t>
            </w:r>
            <w:r>
              <w:rPr>
                <w:rFonts w:cs="David"/>
                <w:sz w:val="26"/>
                <w:szCs w:val="26"/>
                <w:rtl/>
              </w:rPr>
              <w:t xml:space="preserve"> על מעשה שזוכה ממנו או שהורשע בו בדין משמעתי, לפי  פרק זה.</w:t>
            </w:r>
          </w:p>
          <w:p w:rsidR="00000000" w:rsidRDefault="00AF1222">
            <w:pPr>
              <w:bidi/>
              <w:jc w:val="both"/>
              <w:rPr>
                <w:rFonts w:cs="David"/>
                <w:sz w:val="26"/>
                <w:szCs w:val="26"/>
                <w:rtl/>
              </w:rPr>
            </w:pP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שיפוט משמעתי בנוסף לשיפוט פלילי</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אחריותו של שוטר בשל עבירת משמעת אינה גורעת מאחריותו הפלילית בשל מעשה או מחדל, ומותר לנקוט נגדו הליכי משמעת, אף אם הורשע או זוכה בשל המעשה או המחדל בבית משפט</w:t>
            </w:r>
            <w:r>
              <w:rPr>
                <w:rFonts w:cs="David"/>
                <w:sz w:val="26"/>
                <w:szCs w:val="26"/>
                <w:rtl/>
              </w:rPr>
              <w:t>.</w:t>
            </w:r>
          </w:p>
          <w:p w:rsidR="00000000" w:rsidRDefault="00AF1222">
            <w:pPr>
              <w:bidi/>
              <w:jc w:val="both"/>
              <w:rPr>
                <w:rFonts w:cs="David"/>
                <w:color w:val="FF0000"/>
                <w:sz w:val="26"/>
                <w:szCs w:val="26"/>
                <w:rtl/>
              </w:rPr>
            </w:pPr>
          </w:p>
          <w:p w:rsidR="00000000" w:rsidRDefault="00AF1222">
            <w:pPr>
              <w:bidi/>
              <w:jc w:val="both"/>
              <w:rPr>
                <w:rFonts w:cs="David"/>
                <w:b/>
                <w:bCs/>
                <w:sz w:val="26"/>
                <w:szCs w:val="26"/>
                <w:u w:val="single"/>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התליית הליכי משמעת</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הוגש נגד שוטר כתב אישום לבית דין למשמעת או כתב תלונה לדן יחיד והוגש נגד השוטר בשל אותו מעשה או מחדל גם כתב אישום לבית משפט בשל עבירה פלילית או שהיועץ המשפטי לממשלה הודיע שבכוונתו להגיש כתב אישום כאמור, יותלו הליכי המשמעת, ע</w:t>
            </w:r>
            <w:r>
              <w:rPr>
                <w:rFonts w:cs="David"/>
                <w:sz w:val="26"/>
                <w:szCs w:val="26"/>
                <w:rtl/>
              </w:rPr>
              <w:t>ל אף הוראות סעיף 12, עד גמר ההליכים הפליליים, והוא הדין אם כתב האישום או כתב התלונה הוגשו נגד השוטר לאחר הגשת כתב האישום לבית המשפט בשל העבירה הפלילית.</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הסתיימו ההליכים הפליליים או הודיע היועץ המשפטי לממשלה כי חזר בו מכוונתו להגיש כתב אישום, ימשיכו </w:t>
            </w:r>
            <w:r>
              <w:rPr>
                <w:rFonts w:cs="David"/>
                <w:sz w:val="26"/>
                <w:szCs w:val="26"/>
                <w:rtl/>
              </w:rPr>
              <w:t>בית הדין למשמעת או הדן יחיד, לפי הענין, בהליכי המשמעת; ואולם, אם חלפה, מיום התליית ההליכים, תקופת ההתיישנות האמורה בפסקאות (1) או (2) של סעיף 16(א) לפי הענין, לא יימשכו הליכי המשמעת אלא אם כן הורה המפקח הכללי על המשך ההליכים מטעמים מיוחדים שיירשמו.</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הוראות סעיף קטן (א) לא יחולו אם התקיים אחד מאלה:</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השוטר שנגדו הוגש כתב האישום לבית הדין למשמעת או כתב התלונה לדן יחיד הסכים להישפט בדין משמעתי לפני גמר ההליכים הפליליים נגדו;</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 xml:space="preserve">בית הדין למשמעת או הדן יחיד, לפי הענין, החליט, על פי בקשת היועץ המשפטי </w:t>
            </w:r>
            <w:r>
              <w:rPr>
                <w:rFonts w:cs="David"/>
                <w:sz w:val="26"/>
                <w:szCs w:val="26"/>
                <w:rtl/>
              </w:rPr>
              <w:t>לממשלה, כי נסיבות המקרה מחייבות את המשך הליכי המשמעת על אף שטרם הסתיימו ההליכים הפליליים.</w:t>
            </w: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שיפוט משמעתי לפי חיקוק אחר</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pStyle w:val="a3"/>
              <w:rPr>
                <w:rFonts w:cs="David"/>
                <w:sz w:val="26"/>
              </w:rPr>
            </w:pPr>
            <w:r>
              <w:rPr>
                <w:rFonts w:cs="David"/>
                <w:sz w:val="24"/>
                <w:rtl/>
              </w:rPr>
              <w:t>נמנה שוטר עם בעלי מקצוע הכפופים לשיפוט משמעתי לפי חיקוק אחר, ניתן לשפוט אותו בדין משמעתי לפי פרק זה, אף אם כבר נשפט בשל אותו מעשה או</w:t>
            </w:r>
            <w:r>
              <w:rPr>
                <w:rFonts w:cs="David"/>
                <w:sz w:val="24"/>
                <w:rtl/>
              </w:rPr>
              <w:t xml:space="preserve"> מחדל לפי החיקוק האחר, וכן ניתן לשפוט אותו לפי החיקוק האחר,  אף אם נשפט לפי פרק זה.</w:t>
            </w:r>
          </w:p>
          <w:p w:rsidR="00000000" w:rsidRDefault="00AF1222">
            <w:pPr>
              <w:bidi/>
              <w:jc w:val="both"/>
              <w:rPr>
                <w:rFonts w:cs="David"/>
                <w:b/>
                <w:bCs/>
                <w:sz w:val="26"/>
                <w:szCs w:val="26"/>
                <w:u w:val="single"/>
              </w:rPr>
            </w:pPr>
          </w:p>
        </w:tc>
      </w:tr>
      <w:tr w:rsidR="00000000">
        <w:trPr>
          <w:cantSplit/>
          <w:trHeight w:val="80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 xml:space="preserve">הליכים משמעתיים נגד מי שחדל להיות שוטר   </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numPr>
                <w:ilvl w:val="0"/>
                <w:numId w:val="8"/>
              </w:numPr>
              <w:bidi/>
              <w:ind w:right="720"/>
              <w:jc w:val="both"/>
              <w:rPr>
                <w:rFonts w:cs="David"/>
                <w:sz w:val="26"/>
                <w:szCs w:val="26"/>
              </w:rPr>
            </w:pPr>
            <w:r>
              <w:rPr>
                <w:rFonts w:cs="David"/>
                <w:sz w:val="26"/>
                <w:szCs w:val="26"/>
                <w:rtl/>
              </w:rPr>
              <w:t xml:space="preserve">הוגש נגד שוטר כתב אישום או כתב תלונה בשל עבירת משמעת, ובטרם הוקרא כתב האישום או כתב התלונה בענינו חדל להיות שוטר, </w:t>
            </w:r>
            <w:r>
              <w:rPr>
                <w:rFonts w:cs="David"/>
                <w:sz w:val="26"/>
                <w:szCs w:val="26"/>
                <w:rtl/>
              </w:rPr>
              <w:t>לחלוטין או לשעה, יופסקו ההליכים נגדו.</w:t>
            </w:r>
          </w:p>
          <w:p w:rsidR="00000000" w:rsidRDefault="00AF1222">
            <w:pPr>
              <w:bidi/>
              <w:jc w:val="both"/>
              <w:rPr>
                <w:rFonts w:cs="David"/>
                <w:sz w:val="26"/>
                <w:szCs w:val="26"/>
                <w:rtl/>
              </w:rPr>
            </w:pPr>
          </w:p>
          <w:p w:rsidR="00000000" w:rsidRDefault="00AF1222">
            <w:pPr>
              <w:numPr>
                <w:ilvl w:val="0"/>
                <w:numId w:val="8"/>
              </w:numPr>
              <w:bidi/>
              <w:ind w:right="720"/>
              <w:jc w:val="both"/>
              <w:rPr>
                <w:rFonts w:cs="David"/>
                <w:sz w:val="26"/>
                <w:szCs w:val="26"/>
                <w:rtl/>
              </w:rPr>
            </w:pPr>
            <w:r>
              <w:rPr>
                <w:rFonts w:cs="David"/>
                <w:sz w:val="26"/>
                <w:szCs w:val="26"/>
                <w:rtl/>
              </w:rPr>
              <w:t>חדל נאשם, מערער או משיב להיות שוטר, לחלוטין או לשעה, לאחר הקראת כתב האישום, ובטרם הסתיים הדיון המתנהל בענינו בבית דין, יופסקו ההליכים בבית הדין, אלא אם כן החליט בית הדין, מיוזמתו או לבקשת בעל דין, להמשיך בהליכים מ</w:t>
            </w:r>
            <w:r>
              <w:rPr>
                <w:rFonts w:cs="David"/>
                <w:sz w:val="26"/>
                <w:szCs w:val="26"/>
                <w:rtl/>
              </w:rPr>
              <w:t xml:space="preserve">טעמים מיוחדים שיירשמו, ובלבד שטרם חלפו ששה חודשים מהיום שבו התקיים ההליך האחרון מטעם בית הדין. </w:t>
            </w:r>
          </w:p>
          <w:p w:rsidR="00000000" w:rsidRDefault="00AF1222">
            <w:pPr>
              <w:bidi/>
              <w:jc w:val="both"/>
              <w:rPr>
                <w:rFonts w:cs="David"/>
                <w:rtl/>
              </w:rPr>
            </w:pPr>
          </w:p>
          <w:p w:rsidR="00000000" w:rsidRDefault="00AF1222">
            <w:pPr>
              <w:bidi/>
              <w:jc w:val="both"/>
              <w:rPr>
                <w:rFonts w:cs="David"/>
              </w:rPr>
            </w:pPr>
          </w:p>
        </w:tc>
      </w:tr>
      <w:tr w:rsidR="00000000">
        <w:trPr>
          <w:cantSplit/>
          <w:trHeight w:val="158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8"/>
                <w:szCs w:val="26"/>
              </w:rPr>
            </w:pPr>
            <w:r>
              <w:rPr>
                <w:rFonts w:cs="David"/>
                <w:sz w:val="26"/>
                <w:szCs w:val="26"/>
                <w:rtl/>
              </w:rPr>
              <w:t>עבר אדם עבירת משמעת בהיותו שוטר שהוא יוצא צבא הממלא חובתו לשירות מילואים במשטרת ישראל לפי חוק שירות בטחון, ולאחר ביצוע העבירה חדל, לחלוטין או לשעה, להי</w:t>
            </w:r>
            <w:r>
              <w:rPr>
                <w:rFonts w:cs="David"/>
                <w:sz w:val="26"/>
                <w:szCs w:val="26"/>
                <w:rtl/>
              </w:rPr>
              <w:t>ות שוטר, ניתן להעמידו לדין משמעתי לפי הוראות פרק זה בשל אותה עבירה, ובלבד שטרם חלפו ששה חודשים מהיום שבו חדל להיות שוטר; הוגשו כתב אישום או כתב תלונה נגד אדם כאמור לפני שחדל להיות שוטר לחלוטין או לשעה, ניתן, על אף הוראות סעיף קטן (א) להמשיך בהליכי המשמעת נ</w:t>
            </w:r>
            <w:r>
              <w:rPr>
                <w:rFonts w:cs="David"/>
                <w:sz w:val="26"/>
                <w:szCs w:val="26"/>
                <w:rtl/>
              </w:rPr>
              <w:t xml:space="preserve">גדו ובלבד שטרם חלפו ששה חודשים מיום הגשת כתב האישום או כתב התלונה, או מהיום שבו התקיים ההליך האחרון בענינו מטעם בית הדין, לפי המאוחר מביניהם. </w:t>
            </w:r>
          </w:p>
          <w:p w:rsidR="00000000" w:rsidRDefault="00AF1222">
            <w:pPr>
              <w:bidi/>
              <w:jc w:val="both"/>
              <w:rPr>
                <w:rFonts w:cs="David"/>
                <w:sz w:val="28"/>
                <w:szCs w:val="26"/>
              </w:rPr>
            </w:pPr>
          </w:p>
        </w:tc>
      </w:tr>
      <w:tr w:rsidR="00000000">
        <w:trPr>
          <w:cantSplit/>
          <w:trHeight w:val="1032"/>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8"/>
                <w:szCs w:val="26"/>
              </w:rPr>
            </w:pPr>
            <w:r>
              <w:rPr>
                <w:rFonts w:cs="David"/>
                <w:sz w:val="26"/>
                <w:szCs w:val="26"/>
                <w:rtl/>
              </w:rPr>
              <w:t>הוגשו כתב אישום או כתב תלונה נגד מי שחדל להיות שוטר, או המשיך בית הדין בהליכים לגבי מי שחדל להיות שוטר, ל</w:t>
            </w:r>
            <w:r>
              <w:rPr>
                <w:rFonts w:cs="David"/>
                <w:sz w:val="26"/>
                <w:szCs w:val="26"/>
                <w:rtl/>
              </w:rPr>
              <w:t>פי הוראות סעיף זה, יראו אותו, לענין פרק זה, כשוטר, אלא אם כן נאמר אחרת בפרק זה.</w:t>
            </w:r>
          </w:p>
          <w:p w:rsidR="00000000" w:rsidRDefault="00AF1222">
            <w:pPr>
              <w:bidi/>
              <w:jc w:val="both"/>
              <w:rPr>
                <w:rFonts w:cs="David"/>
                <w:sz w:val="28"/>
                <w:szCs w:val="26"/>
              </w:rPr>
            </w:pPr>
            <w:r>
              <w:rPr>
                <w:rFonts w:cs="David"/>
                <w:sz w:val="26"/>
                <w:szCs w:val="26"/>
                <w:rtl/>
              </w:rPr>
              <w:t xml:space="preserve"> </w:t>
            </w:r>
          </w:p>
        </w:tc>
      </w:tr>
      <w:tr w:rsidR="00000000">
        <w:trPr>
          <w:cantSplit/>
          <w:trHeight w:val="410"/>
          <w:jc w:val="right"/>
        </w:trPr>
        <w:tc>
          <w:tcPr>
            <w:tcW w:w="1337" w:type="dxa"/>
            <w:vMerge w:val="restart"/>
            <w:tcBorders>
              <w:top w:val="nil"/>
              <w:left w:val="nil"/>
              <w:bottom w:val="nil"/>
              <w:right w:val="nil"/>
            </w:tcBorders>
          </w:tcPr>
          <w:p w:rsidR="00000000" w:rsidRDefault="00AF1222">
            <w:pPr>
              <w:bidi/>
              <w:jc w:val="both"/>
              <w:rPr>
                <w:rFonts w:cs="David"/>
              </w:rPr>
            </w:pPr>
            <w:r>
              <w:rPr>
                <w:rFonts w:cs="David"/>
                <w:b/>
                <w:bCs/>
                <w:sz w:val="26"/>
                <w:szCs w:val="26"/>
                <w:rtl/>
              </w:rPr>
              <w:t>התיישנות עבירות</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לא יועמד שוטר לדין משמעתי לאחר שחלפו מיום ביצוע עבירת המשמעת תקופות התיישנות כמפורט להלן: </w:t>
            </w:r>
          </w:p>
          <w:p w:rsidR="00000000" w:rsidRDefault="00AF1222">
            <w:pPr>
              <w:numPr>
                <w:ilvl w:val="0"/>
                <w:numId w:val="9"/>
              </w:numPr>
              <w:bidi/>
              <w:ind w:right="360"/>
              <w:jc w:val="both"/>
              <w:rPr>
                <w:rFonts w:cs="David"/>
                <w:sz w:val="26"/>
                <w:szCs w:val="26"/>
                <w:rtl/>
              </w:rPr>
            </w:pPr>
            <w:r>
              <w:rPr>
                <w:rFonts w:cs="David"/>
                <w:sz w:val="26"/>
                <w:szCs w:val="26"/>
                <w:rtl/>
              </w:rPr>
              <w:t>לפני בית דין למשמעת – שלוש שנים</w:t>
            </w:r>
          </w:p>
          <w:p w:rsidR="00000000" w:rsidRDefault="00AF1222">
            <w:pPr>
              <w:numPr>
                <w:ilvl w:val="0"/>
                <w:numId w:val="9"/>
                <w:numberingChange w:id="2" w:author="User" w:date="2005-04-17T16:33:00Z" w:original="(%1:1:0:)"/>
              </w:numPr>
              <w:bidi/>
              <w:ind w:right="360"/>
              <w:jc w:val="both"/>
              <w:rPr>
                <w:rFonts w:cs="David"/>
                <w:sz w:val="26"/>
                <w:szCs w:val="26"/>
                <w:rtl/>
              </w:rPr>
            </w:pPr>
            <w:r>
              <w:rPr>
                <w:rFonts w:cs="David"/>
                <w:sz w:val="26"/>
                <w:szCs w:val="26"/>
                <w:rtl/>
              </w:rPr>
              <w:t>לפני דן יחיד – ש</w:t>
            </w:r>
            <w:r>
              <w:rPr>
                <w:rFonts w:cs="David"/>
                <w:sz w:val="26"/>
                <w:szCs w:val="26"/>
                <w:rtl/>
              </w:rPr>
              <w:t>נה</w:t>
            </w:r>
          </w:p>
          <w:p w:rsidR="00000000" w:rsidRDefault="00AF1222">
            <w:pPr>
              <w:bidi/>
              <w:jc w:val="both"/>
              <w:rPr>
                <w:rFonts w:cs="David"/>
              </w:rPr>
            </w:pPr>
          </w:p>
        </w:tc>
      </w:tr>
      <w:tr w:rsidR="00000000">
        <w:trPr>
          <w:cantSplit/>
          <w:trHeight w:val="994"/>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ind w:left="34"/>
              <w:jc w:val="both"/>
              <w:rPr>
                <w:rFonts w:cs="David"/>
                <w:sz w:val="28"/>
                <w:szCs w:val="26"/>
              </w:rPr>
            </w:pPr>
            <w:r>
              <w:rPr>
                <w:rFonts w:cs="David"/>
                <w:sz w:val="26"/>
                <w:szCs w:val="26"/>
                <w:rtl/>
              </w:rPr>
              <w:t>על  אף הוראות סעיף קטן (א), התנהלו בירור, בדיקה או חקירה בעבירת משמעת בתוך התקופות האמורות בסעיף קטן (א), לפי הענין, יחל מנין תקופות ההתיישנות לגביה, כאמור באותו סעיף קטן, ביום ההליך האחרון של הבירור, הבדיקה או החקירה.</w:t>
            </w:r>
          </w:p>
          <w:p w:rsidR="00000000" w:rsidRDefault="00AF1222">
            <w:pPr>
              <w:bidi/>
              <w:ind w:left="34"/>
              <w:jc w:val="both"/>
              <w:rPr>
                <w:rFonts w:cs="David"/>
                <w:b/>
                <w:bCs/>
                <w:sz w:val="26"/>
                <w:szCs w:val="26"/>
                <w:u w:val="single"/>
              </w:rPr>
            </w:pPr>
          </w:p>
        </w:tc>
      </w:tr>
      <w:tr w:rsidR="00000000">
        <w:trPr>
          <w:cantSplit/>
          <w:trHeight w:val="2685"/>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ind w:left="34"/>
              <w:jc w:val="both"/>
              <w:rPr>
                <w:rFonts w:cs="David"/>
                <w:b/>
                <w:bCs/>
                <w:color w:val="FF0000"/>
                <w:sz w:val="28"/>
                <w:szCs w:val="26"/>
                <w:u w:val="single"/>
              </w:rPr>
            </w:pPr>
            <w:r>
              <w:rPr>
                <w:rFonts w:cs="David"/>
                <w:sz w:val="26"/>
                <w:szCs w:val="26"/>
                <w:rtl/>
              </w:rPr>
              <w:t>הוגש כתב אישום לבי</w:t>
            </w:r>
            <w:r>
              <w:rPr>
                <w:rFonts w:cs="David"/>
                <w:sz w:val="26"/>
                <w:szCs w:val="26"/>
                <w:rtl/>
              </w:rPr>
              <w:t>ת דין למשמעת או כתב תלונה לדן יחיד בתוך התקופות האמורות בסעיפים קטנים (א) או (ב), לפי הענין, ולא החל הדיון בפני בית הדין למשמעת – בתוך 3 שנים מיום הגשת כתב האישום, או לפני הדן יחיד – בתוך שנה מיום הגשת כתב התלונה, יופסקו ההליכים נגד השוטר, והוא הדין אם חלק</w:t>
            </w:r>
            <w:r>
              <w:rPr>
                <w:rFonts w:cs="David"/>
                <w:sz w:val="26"/>
                <w:szCs w:val="26"/>
                <w:rtl/>
              </w:rPr>
              <w:t xml:space="preserve"> הפסקה בדיון בהליך לפני בית הדין למשמעת או הדן יחיד לתקופה העולה על התקופות האמורות, לפי הענין.</w:t>
            </w: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התיישנות עונשים</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color w:val="FF0000"/>
                <w:sz w:val="26"/>
                <w:szCs w:val="26"/>
                <w:u w:val="single"/>
              </w:rPr>
            </w:pPr>
            <w:r>
              <w:rPr>
                <w:rFonts w:cs="David"/>
                <w:color w:val="000000"/>
                <w:sz w:val="26"/>
                <w:szCs w:val="26"/>
                <w:rtl/>
              </w:rPr>
              <w:t xml:space="preserve">עונש שהוטל בדין משמעתי ולא הוחל בביצועו לא יבוצע, ואם הוחל ביצועו והופסק, לא ימשיכו בו – </w:t>
            </w:r>
          </w:p>
          <w:p w:rsidR="00000000" w:rsidRDefault="00AF1222">
            <w:pPr>
              <w:bidi/>
              <w:ind w:left="34"/>
              <w:jc w:val="both"/>
              <w:rPr>
                <w:rFonts w:cs="David"/>
                <w:color w:val="000000"/>
                <w:sz w:val="26"/>
                <w:szCs w:val="26"/>
                <w:rtl/>
              </w:rPr>
            </w:pPr>
            <w:r>
              <w:rPr>
                <w:rFonts w:cs="David"/>
                <w:color w:val="000000"/>
                <w:sz w:val="26"/>
                <w:szCs w:val="26"/>
                <w:rtl/>
              </w:rPr>
              <w:t xml:space="preserve">  </w:t>
            </w:r>
          </w:p>
          <w:p w:rsidR="00000000" w:rsidRDefault="00AF1222">
            <w:pPr>
              <w:numPr>
                <w:ilvl w:val="1"/>
                <w:numId w:val="10"/>
              </w:numPr>
              <w:bidi/>
              <w:ind w:right="1440"/>
              <w:jc w:val="both"/>
              <w:rPr>
                <w:rFonts w:cs="David"/>
                <w:color w:val="000000"/>
                <w:sz w:val="26"/>
                <w:szCs w:val="26"/>
                <w:rtl/>
              </w:rPr>
            </w:pPr>
            <w:r>
              <w:rPr>
                <w:rFonts w:cs="David"/>
                <w:color w:val="000000"/>
                <w:sz w:val="26"/>
                <w:szCs w:val="26"/>
                <w:rtl/>
              </w:rPr>
              <w:t>לענין עונש שהטיל בית דין – אם חלפה שנה מי</w:t>
            </w:r>
            <w:r>
              <w:rPr>
                <w:rFonts w:cs="David"/>
                <w:color w:val="000000"/>
                <w:sz w:val="26"/>
                <w:szCs w:val="26"/>
                <w:rtl/>
              </w:rPr>
              <w:t>ום שפסק הדין נעשה חלוט  או מיום הפסקת  ביצוע העונש, לפי הענין;</w:t>
            </w:r>
          </w:p>
          <w:p w:rsidR="00000000" w:rsidRDefault="00AF1222">
            <w:pPr>
              <w:bidi/>
              <w:jc w:val="both"/>
              <w:rPr>
                <w:rFonts w:cs="David"/>
                <w:color w:val="000000"/>
                <w:sz w:val="26"/>
                <w:szCs w:val="26"/>
                <w:rtl/>
              </w:rPr>
            </w:pPr>
          </w:p>
          <w:p w:rsidR="00000000" w:rsidRDefault="00AF1222">
            <w:pPr>
              <w:numPr>
                <w:ilvl w:val="1"/>
                <w:numId w:val="10"/>
              </w:numPr>
              <w:tabs>
                <w:tab w:val="left" w:pos="459"/>
              </w:tabs>
              <w:bidi/>
              <w:ind w:right="1440"/>
              <w:jc w:val="both"/>
              <w:rPr>
                <w:rFonts w:cs="David"/>
                <w:color w:val="000000"/>
                <w:sz w:val="26"/>
                <w:szCs w:val="26"/>
                <w:rtl/>
              </w:rPr>
            </w:pPr>
            <w:r>
              <w:rPr>
                <w:rFonts w:cs="David"/>
                <w:color w:val="000000"/>
                <w:sz w:val="26"/>
                <w:szCs w:val="26"/>
                <w:rtl/>
              </w:rPr>
              <w:t>לענין עונש שהטיל דן  יחיד – אם  חלפו ששה  חודשים  מיום שפסק הדין נעשה  חלוט או מיום הפסקת ביצוע העונש, לפי  הענין.</w:t>
            </w:r>
          </w:p>
          <w:p w:rsidR="00000000" w:rsidRDefault="00AF1222">
            <w:pPr>
              <w:bidi/>
              <w:jc w:val="both"/>
              <w:rPr>
                <w:rFonts w:cs="David"/>
                <w:color w:val="FF0000"/>
                <w:sz w:val="26"/>
                <w:szCs w:val="26"/>
                <w:u w:val="single"/>
                <w:rtl/>
              </w:rPr>
            </w:pPr>
          </w:p>
          <w:p w:rsidR="00000000" w:rsidRDefault="00AF1222">
            <w:pPr>
              <w:bidi/>
              <w:jc w:val="both"/>
              <w:rPr>
                <w:rFonts w:cs="David"/>
                <w:b/>
                <w:bCs/>
                <w:sz w:val="26"/>
                <w:szCs w:val="26"/>
                <w:u w:val="single"/>
              </w:rPr>
            </w:pPr>
          </w:p>
        </w:tc>
      </w:tr>
      <w:tr w:rsidR="00000000">
        <w:trPr>
          <w:trHeight w:val="15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אי תלות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color w:val="000000"/>
                <w:sz w:val="26"/>
                <w:szCs w:val="26"/>
              </w:rPr>
            </w:pPr>
            <w:r>
              <w:rPr>
                <w:rFonts w:cs="David"/>
                <w:color w:val="000000"/>
                <w:sz w:val="26"/>
                <w:szCs w:val="26"/>
                <w:rtl/>
              </w:rPr>
              <w:t>בעניני שפיטה לפי פרק זה, אין על היושב בדין מרות זולת מרו</w:t>
            </w:r>
            <w:r>
              <w:rPr>
                <w:rFonts w:cs="David"/>
                <w:color w:val="000000"/>
                <w:sz w:val="26"/>
                <w:szCs w:val="26"/>
                <w:rtl/>
              </w:rPr>
              <w:t>תו של הדין,  ואין הוא  נתון בענינים אלה למרות מפקדיו.</w:t>
            </w:r>
          </w:p>
          <w:p w:rsidR="00000000" w:rsidRDefault="00AF1222">
            <w:pPr>
              <w:bidi/>
              <w:jc w:val="both"/>
              <w:rPr>
                <w:rFonts w:cs="David"/>
                <w:color w:val="000000"/>
                <w:sz w:val="26"/>
                <w:szCs w:val="26"/>
                <w:rtl/>
              </w:rPr>
            </w:pPr>
          </w:p>
          <w:p w:rsidR="00000000" w:rsidRDefault="00AF1222">
            <w:pPr>
              <w:bidi/>
              <w:jc w:val="both"/>
              <w:rPr>
                <w:rFonts w:cs="David"/>
                <w:b/>
                <w:bCs/>
                <w:sz w:val="26"/>
                <w:szCs w:val="26"/>
                <w:u w:val="single"/>
              </w:rPr>
            </w:pPr>
          </w:p>
        </w:tc>
      </w:tr>
      <w:tr w:rsidR="00000000">
        <w:trPr>
          <w:cantSplit/>
          <w:trHeight w:val="1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פומביות</w:t>
            </w:r>
          </w:p>
          <w:p w:rsidR="00000000" w:rsidRDefault="00AF1222">
            <w:pPr>
              <w:bidi/>
              <w:jc w:val="both"/>
              <w:rPr>
                <w:rFonts w:cs="David"/>
              </w:rPr>
            </w:pPr>
            <w:r>
              <w:rPr>
                <w:rFonts w:cs="David"/>
                <w:b/>
                <w:bCs/>
                <w:sz w:val="26"/>
                <w:szCs w:val="26"/>
                <w:rtl/>
              </w:rPr>
              <w:t>הדיון</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color w:val="000000"/>
                <w:sz w:val="26"/>
                <w:szCs w:val="26"/>
              </w:rPr>
            </w:pPr>
            <w:r>
              <w:rPr>
                <w:rFonts w:cs="David"/>
                <w:color w:val="000000"/>
                <w:sz w:val="26"/>
                <w:szCs w:val="26"/>
                <w:rtl/>
              </w:rPr>
              <w:t>דיון בבית דין ייערך בדלתיים פתוחות.</w:t>
            </w:r>
          </w:p>
          <w:p w:rsidR="00000000" w:rsidRDefault="00AF1222">
            <w:pPr>
              <w:bidi/>
              <w:jc w:val="both"/>
              <w:rPr>
                <w:rFonts w:cs="David"/>
                <w:b/>
                <w:bCs/>
                <w:sz w:val="26"/>
                <w:szCs w:val="26"/>
                <w:u w:val="single"/>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color w:val="000000"/>
                <w:sz w:val="26"/>
                <w:szCs w:val="26"/>
              </w:rPr>
            </w:pPr>
            <w:r>
              <w:rPr>
                <w:rFonts w:cs="David"/>
                <w:color w:val="000000"/>
                <w:sz w:val="26"/>
                <w:szCs w:val="26"/>
                <w:rtl/>
              </w:rPr>
              <w:t xml:space="preserve">על אף הוראות סעיף קטן (א) – </w:t>
            </w:r>
          </w:p>
          <w:p w:rsidR="00000000" w:rsidRDefault="00AF1222">
            <w:pPr>
              <w:bidi/>
              <w:jc w:val="both"/>
              <w:rPr>
                <w:rFonts w:cs="David"/>
                <w:color w:val="000000"/>
                <w:sz w:val="26"/>
                <w:szCs w:val="26"/>
                <w:rtl/>
              </w:rPr>
            </w:pPr>
          </w:p>
          <w:p w:rsidR="00000000" w:rsidRDefault="00AF1222">
            <w:pPr>
              <w:numPr>
                <w:ilvl w:val="0"/>
                <w:numId w:val="11"/>
              </w:numPr>
              <w:bidi/>
              <w:ind w:right="765"/>
              <w:jc w:val="both"/>
              <w:rPr>
                <w:rFonts w:cs="David"/>
                <w:color w:val="000000"/>
                <w:sz w:val="26"/>
                <w:szCs w:val="26"/>
                <w:rtl/>
              </w:rPr>
            </w:pPr>
            <w:r>
              <w:rPr>
                <w:rFonts w:cs="David"/>
                <w:color w:val="000000"/>
                <w:sz w:val="26"/>
                <w:szCs w:val="26"/>
                <w:rtl/>
              </w:rPr>
              <w:t>רשאי המפקח הכללי להורות, לפני הדיון, מנימוקים שיירשמו, על עריכת הדיון, כולו או חלקו, בדלתיים סגורו</w:t>
            </w:r>
            <w:r>
              <w:rPr>
                <w:rFonts w:cs="David"/>
                <w:color w:val="000000"/>
                <w:sz w:val="26"/>
                <w:szCs w:val="26"/>
                <w:rtl/>
              </w:rPr>
              <w:t>ת, אם מצא כי הדבר דרוש לשם מניעת פגיעה בביטחון המדינה או בדרכי פעולתה של המשטרה;</w:t>
            </w:r>
          </w:p>
          <w:p w:rsidR="00000000" w:rsidRDefault="00AF1222">
            <w:pPr>
              <w:bidi/>
              <w:ind w:left="360"/>
              <w:jc w:val="both"/>
              <w:rPr>
                <w:rFonts w:cs="David"/>
                <w:color w:val="000000"/>
                <w:sz w:val="26"/>
                <w:szCs w:val="26"/>
                <w:rtl/>
              </w:rPr>
            </w:pPr>
          </w:p>
          <w:p w:rsidR="00000000" w:rsidRDefault="00AF1222">
            <w:pPr>
              <w:numPr>
                <w:ilvl w:val="0"/>
                <w:numId w:val="11"/>
              </w:numPr>
              <w:bidi/>
              <w:ind w:right="765"/>
              <w:jc w:val="both"/>
              <w:rPr>
                <w:rFonts w:cs="David"/>
                <w:sz w:val="26"/>
                <w:szCs w:val="26"/>
                <w:rtl/>
              </w:rPr>
            </w:pPr>
            <w:r>
              <w:rPr>
                <w:rFonts w:cs="David"/>
                <w:color w:val="000000"/>
                <w:sz w:val="26"/>
                <w:szCs w:val="26"/>
                <w:rtl/>
              </w:rPr>
              <w:t xml:space="preserve">רשאי בית הדין להורות, בכל שלב של הדיון, מנימוקים שיירשמו, על עריכת הדיון, כולו או חלקו, בדלתיים סגורות אם מצא כי הדבר דרוש מהטעמים המפורטים בפסקה (1), או אם ראה צורך בכך </w:t>
            </w:r>
            <w:r>
              <w:rPr>
                <w:rFonts w:cs="David"/>
                <w:color w:val="000000"/>
                <w:sz w:val="26"/>
                <w:szCs w:val="26"/>
                <w:rtl/>
              </w:rPr>
              <w:t>באחת מאלה:</w:t>
            </w:r>
          </w:p>
          <w:p w:rsidR="00000000" w:rsidRDefault="00AF1222">
            <w:pPr>
              <w:bidi/>
              <w:jc w:val="both"/>
              <w:rPr>
                <w:rFonts w:cs="David"/>
                <w:sz w:val="26"/>
                <w:szCs w:val="26"/>
                <w:rtl/>
              </w:rPr>
            </w:pPr>
          </w:p>
          <w:p w:rsidR="00000000" w:rsidRDefault="00AF1222">
            <w:pPr>
              <w:bidi/>
              <w:jc w:val="both"/>
              <w:rPr>
                <w:rFonts w:cs="David"/>
                <w:sz w:val="26"/>
                <w:szCs w:val="26"/>
                <w:rtl/>
              </w:rPr>
            </w:pPr>
          </w:p>
          <w:p w:rsidR="00000000" w:rsidRDefault="00AF1222">
            <w:pPr>
              <w:numPr>
                <w:ilvl w:val="1"/>
                <w:numId w:val="11"/>
              </w:numPr>
              <w:bidi/>
              <w:ind w:right="1440"/>
              <w:jc w:val="both"/>
              <w:rPr>
                <w:rFonts w:cs="David"/>
                <w:sz w:val="26"/>
                <w:szCs w:val="26"/>
                <w:rtl/>
              </w:rPr>
            </w:pPr>
            <w:r>
              <w:rPr>
                <w:rFonts w:cs="David"/>
                <w:sz w:val="26"/>
                <w:szCs w:val="26"/>
                <w:rtl/>
              </w:rPr>
              <w:t>לשם מניעת פגיעה בשלומו של אדם;</w:t>
            </w:r>
          </w:p>
          <w:p w:rsidR="00000000" w:rsidRDefault="00AF1222">
            <w:pPr>
              <w:numPr>
                <w:ilvl w:val="1"/>
                <w:numId w:val="11"/>
                <w:numberingChange w:id="3" w:author="User" w:date="2005-04-17T16:33:00Z" w:original="(%2:1:45:)"/>
              </w:numPr>
              <w:bidi/>
              <w:ind w:right="1440"/>
              <w:jc w:val="both"/>
              <w:rPr>
                <w:rFonts w:cs="David"/>
                <w:sz w:val="26"/>
                <w:szCs w:val="26"/>
                <w:rtl/>
              </w:rPr>
            </w:pPr>
            <w:r>
              <w:rPr>
                <w:rFonts w:cs="David"/>
                <w:sz w:val="26"/>
                <w:szCs w:val="26"/>
                <w:rtl/>
              </w:rPr>
              <w:t>לשם הגנה על ענינו של קטין או חסר ישע כהגדרתם בסעיף 368א לחוק העונשין;</w:t>
            </w:r>
          </w:p>
          <w:p w:rsidR="00000000" w:rsidRDefault="00AF1222">
            <w:pPr>
              <w:numPr>
                <w:ilvl w:val="1"/>
                <w:numId w:val="11"/>
                <w:numberingChange w:id="4" w:author="User" w:date="2005-04-17T16:33:00Z" w:original="(%2:1:45:)"/>
              </w:numPr>
              <w:bidi/>
              <w:ind w:right="1440"/>
              <w:jc w:val="both"/>
              <w:rPr>
                <w:rFonts w:cs="David"/>
                <w:sz w:val="26"/>
                <w:szCs w:val="26"/>
                <w:rtl/>
              </w:rPr>
            </w:pPr>
            <w:r>
              <w:rPr>
                <w:rFonts w:cs="David"/>
                <w:sz w:val="26"/>
                <w:szCs w:val="26"/>
                <w:rtl/>
              </w:rPr>
              <w:t>לשם הגנה על ענינו של מתלונן או נאשם בעבירת מין או בעבירה לפי החוק למניעת הטרדה מינית, התשנ"ח – 1998</w:t>
            </w:r>
            <w:r>
              <w:rPr>
                <w:rStyle w:val="a5"/>
                <w:rFonts w:cs="David"/>
                <w:sz w:val="26"/>
                <w:szCs w:val="26"/>
              </w:rPr>
              <w:footnoteReference w:id="4"/>
            </w:r>
            <w:r>
              <w:rPr>
                <w:rFonts w:cs="David"/>
                <w:sz w:val="26"/>
                <w:szCs w:val="26"/>
                <w:rtl/>
              </w:rPr>
              <w:t>;</w:t>
            </w:r>
          </w:p>
          <w:p w:rsidR="00000000" w:rsidRDefault="00AF1222">
            <w:pPr>
              <w:numPr>
                <w:ilvl w:val="1"/>
                <w:numId w:val="11"/>
                <w:numberingChange w:id="5" w:author="User" w:date="2005-04-17T16:33:00Z" w:original="(%2:1:45:)"/>
              </w:numPr>
              <w:bidi/>
              <w:ind w:right="1440"/>
              <w:jc w:val="both"/>
              <w:rPr>
                <w:rFonts w:cs="David"/>
                <w:sz w:val="26"/>
                <w:szCs w:val="26"/>
                <w:rtl/>
              </w:rPr>
            </w:pPr>
            <w:r>
              <w:rPr>
                <w:rFonts w:cs="David"/>
                <w:sz w:val="26"/>
                <w:szCs w:val="26"/>
                <w:rtl/>
              </w:rPr>
              <w:t>הדיו</w:t>
            </w:r>
            <w:r>
              <w:rPr>
                <w:rFonts w:cs="David"/>
                <w:sz w:val="26"/>
                <w:szCs w:val="26"/>
                <w:rtl/>
              </w:rPr>
              <w:t>ן הפומבי עלול להרתיע עד מלהעיד עדות חפשית או מלהעיד בכלל.</w:t>
            </w:r>
          </w:p>
          <w:p w:rsidR="00000000" w:rsidRDefault="00AF1222">
            <w:pPr>
              <w:bidi/>
              <w:jc w:val="both"/>
              <w:rPr>
                <w:rFonts w:cs="David"/>
                <w:sz w:val="26"/>
                <w:szCs w:val="26"/>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ind w:left="34" w:hanging="34"/>
              <w:jc w:val="both"/>
              <w:rPr>
                <w:rFonts w:cs="David"/>
                <w:sz w:val="26"/>
                <w:szCs w:val="26"/>
              </w:rPr>
            </w:pPr>
            <w:r>
              <w:rPr>
                <w:rFonts w:cs="David"/>
                <w:sz w:val="26"/>
                <w:szCs w:val="26"/>
                <w:rtl/>
              </w:rPr>
              <w:t xml:space="preserve">החליט המפקח הכללי או בית הדין על פי סמכותו לפי הוראות סעיף קטן (ב), על עריכת הדיון בדלתיים סגורות, רשאי הוא להרשות לאדם או לקבוצת בני אדם להיות נוכחים בדיון, כולו או חלקו. </w:t>
            </w:r>
          </w:p>
          <w:p w:rsidR="00000000" w:rsidRDefault="00AF1222">
            <w:pPr>
              <w:bidi/>
              <w:jc w:val="both"/>
              <w:rPr>
                <w:rFonts w:cs="David"/>
                <w:b/>
                <w:bCs/>
                <w:sz w:val="26"/>
                <w:szCs w:val="26"/>
                <w:u w:val="single"/>
              </w:rPr>
            </w:pPr>
          </w:p>
        </w:tc>
      </w:tr>
      <w:tr w:rsidR="00000000">
        <w:trPr>
          <w:cantSplit/>
          <w:trHeight w:val="1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איסור פרסום</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numPr>
                <w:ilvl w:val="0"/>
                <w:numId w:val="12"/>
              </w:numPr>
              <w:bidi/>
              <w:ind w:left="1080" w:right="1500"/>
              <w:jc w:val="both"/>
              <w:rPr>
                <w:rFonts w:cs="David"/>
                <w:sz w:val="26"/>
                <w:szCs w:val="26"/>
              </w:rPr>
            </w:pPr>
            <w:r>
              <w:rPr>
                <w:rFonts w:cs="David"/>
                <w:sz w:val="26"/>
                <w:szCs w:val="26"/>
                <w:rtl/>
              </w:rPr>
              <w:t>לא יפרסם אדם דבר על דיון המתנהל בפני בית דין בדלתיים סגורות אלא ברשות בית הדין, ואם המפקח הכללי הוא שהורה, לפי הוראות סעיף 19(ב)(1), על עריכת הדיון בדלתיים סגורות –  לא יתיר בית דין את הפרסום כאמור אלא לאחר שהובאה בפניו עמדת המפקח הכללי לענין זה.</w:t>
            </w:r>
          </w:p>
          <w:p w:rsidR="00000000" w:rsidRDefault="00AF1222">
            <w:pPr>
              <w:bidi/>
              <w:ind w:left="-60"/>
              <w:jc w:val="both"/>
              <w:rPr>
                <w:rFonts w:cs="David"/>
                <w:sz w:val="26"/>
                <w:szCs w:val="26"/>
                <w:rtl/>
              </w:rPr>
            </w:pPr>
          </w:p>
          <w:p w:rsidR="00000000" w:rsidRDefault="00AF1222">
            <w:pPr>
              <w:numPr>
                <w:ilvl w:val="0"/>
                <w:numId w:val="12"/>
              </w:numPr>
              <w:bidi/>
              <w:ind w:left="1080" w:right="1500"/>
              <w:jc w:val="both"/>
              <w:rPr>
                <w:rFonts w:cs="David"/>
                <w:sz w:val="26"/>
                <w:szCs w:val="26"/>
                <w:rtl/>
              </w:rPr>
            </w:pPr>
            <w:r>
              <w:rPr>
                <w:rFonts w:cs="David"/>
                <w:sz w:val="26"/>
                <w:szCs w:val="26"/>
                <w:rtl/>
              </w:rPr>
              <w:t>הסתיים הדיון כאמור בפיסקה (1), רשאי מי שהורה על עריכת הדיון בדלתיים סגורות לפי הוראות סעיף 19, ואם בית הדין הורה כאמור – נשיא בית הדין, להתיר את הפרסום, אם ראה שאין עוד מניעה לעשות כן.</w:t>
            </w:r>
          </w:p>
          <w:p w:rsidR="00000000" w:rsidRDefault="00AF1222">
            <w:pPr>
              <w:bidi/>
              <w:jc w:val="both"/>
              <w:rPr>
                <w:rFonts w:cs="David"/>
                <w:sz w:val="26"/>
                <w:szCs w:val="26"/>
                <w:rtl/>
              </w:rPr>
            </w:pPr>
          </w:p>
          <w:p w:rsidR="00000000" w:rsidRDefault="00AF1222">
            <w:pPr>
              <w:bidi/>
              <w:jc w:val="both"/>
              <w:rPr>
                <w:rFonts w:cs="David"/>
                <w:sz w:val="26"/>
                <w:szCs w:val="26"/>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numPr>
                <w:ilvl w:val="0"/>
                <w:numId w:val="13"/>
              </w:numPr>
              <w:bidi/>
              <w:ind w:right="720"/>
              <w:jc w:val="both"/>
              <w:rPr>
                <w:rFonts w:cs="David"/>
                <w:sz w:val="26"/>
                <w:szCs w:val="26"/>
              </w:rPr>
            </w:pPr>
            <w:r>
              <w:rPr>
                <w:rFonts w:cs="David"/>
                <w:sz w:val="26"/>
                <w:szCs w:val="26"/>
                <w:rtl/>
              </w:rPr>
              <w:t xml:space="preserve">התקיים דיון, כולו או חלקו, בדלתיים פתוחות, רשאי בית </w:t>
            </w:r>
            <w:r>
              <w:rPr>
                <w:rFonts w:cs="David"/>
                <w:sz w:val="26"/>
                <w:szCs w:val="26"/>
                <w:rtl/>
              </w:rPr>
              <w:t>דין לאסור כל פרסום בקשר לדיון, לרבות שם המתלונן, מסמכים שהוגשו לבית הדין, פרוטוקול הדיון, הכרעת הדין או גזר הדין, והכל אם ראה כי הדבר דרוש לשם מניעת פגיעה בביטחון המדינה, בשלומו של אדם או בדרכי פעולתה של המשטרה;</w:t>
            </w:r>
          </w:p>
          <w:p w:rsidR="00000000" w:rsidRDefault="00AF1222">
            <w:pPr>
              <w:bidi/>
              <w:ind w:left="360"/>
              <w:jc w:val="both"/>
              <w:rPr>
                <w:rFonts w:cs="David"/>
                <w:sz w:val="26"/>
                <w:szCs w:val="26"/>
                <w:rtl/>
              </w:rPr>
            </w:pPr>
          </w:p>
          <w:p w:rsidR="00000000" w:rsidRDefault="00AF1222">
            <w:pPr>
              <w:numPr>
                <w:ilvl w:val="0"/>
                <w:numId w:val="13"/>
              </w:numPr>
              <w:bidi/>
              <w:ind w:right="720"/>
              <w:jc w:val="both"/>
              <w:rPr>
                <w:rFonts w:cs="David"/>
                <w:sz w:val="26"/>
                <w:szCs w:val="26"/>
                <w:rtl/>
              </w:rPr>
            </w:pPr>
            <w:r>
              <w:rPr>
                <w:rFonts w:cs="David"/>
                <w:sz w:val="26"/>
                <w:szCs w:val="26"/>
                <w:rtl/>
              </w:rPr>
              <w:t xml:space="preserve"> הסתיים הדיון כאמור בפסקה (1), רשאי נשי</w:t>
            </w:r>
            <w:r>
              <w:rPr>
                <w:rFonts w:cs="David"/>
                <w:sz w:val="26"/>
                <w:szCs w:val="26"/>
                <w:rtl/>
              </w:rPr>
              <w:t>א בית הדין להתיר את הפרסום, אם ראה שאין עוד מניעה לעשות כן.</w:t>
            </w:r>
          </w:p>
          <w:p w:rsidR="00000000" w:rsidRDefault="00AF1222">
            <w:pPr>
              <w:bidi/>
              <w:jc w:val="both"/>
              <w:rPr>
                <w:rFonts w:cs="David"/>
                <w:sz w:val="26"/>
                <w:szCs w:val="26"/>
                <w:rtl/>
              </w:rPr>
            </w:pPr>
          </w:p>
          <w:p w:rsidR="00000000" w:rsidRDefault="00AF1222">
            <w:pPr>
              <w:bidi/>
              <w:jc w:val="both"/>
              <w:rPr>
                <w:rFonts w:cs="David"/>
                <w:sz w:val="26"/>
                <w:szCs w:val="26"/>
              </w:rPr>
            </w:pPr>
          </w:p>
        </w:tc>
      </w:tr>
      <w:tr w:rsidR="00000000">
        <w:trPr>
          <w:cantSplit/>
          <w:trHeight w:val="41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המפרסם דבר שפרסומו נאסר לפי הוראות סעיף זה, דינו – מאסר שישה חודשים.</w:t>
            </w:r>
          </w:p>
          <w:p w:rsidR="00000000" w:rsidRDefault="00AF1222">
            <w:pPr>
              <w:bidi/>
              <w:jc w:val="both"/>
              <w:rPr>
                <w:rFonts w:cs="David"/>
                <w:b/>
                <w:bCs/>
                <w:sz w:val="26"/>
                <w:szCs w:val="26"/>
                <w:u w:val="single"/>
              </w:rPr>
            </w:pPr>
          </w:p>
        </w:tc>
      </w:tr>
      <w:tr w:rsidR="00000000">
        <w:trPr>
          <w:cantSplit/>
          <w:trHeight w:val="412"/>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הסמכות לדון בעבירה לפי סעיף זה היא בידי בית משפט השלום.</w:t>
            </w:r>
          </w:p>
          <w:p w:rsidR="00000000" w:rsidRDefault="00AF1222">
            <w:pPr>
              <w:bidi/>
              <w:jc w:val="both"/>
              <w:rPr>
                <w:rFonts w:cs="David"/>
                <w:sz w:val="26"/>
                <w:szCs w:val="26"/>
              </w:rPr>
            </w:pPr>
          </w:p>
        </w:tc>
      </w:tr>
      <w:tr w:rsidR="00000000">
        <w:trPr>
          <w:cantSplit/>
          <w:trHeight w:val="1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הפרעות</w:t>
            </w:r>
          </w:p>
          <w:p w:rsidR="00000000" w:rsidRDefault="00AF1222">
            <w:pPr>
              <w:bidi/>
              <w:jc w:val="both"/>
              <w:rPr>
                <w:rFonts w:cs="David"/>
              </w:rPr>
            </w:pPr>
            <w:r>
              <w:rPr>
                <w:rFonts w:cs="David"/>
                <w:b/>
                <w:bCs/>
                <w:sz w:val="26"/>
                <w:szCs w:val="26"/>
                <w:rtl/>
              </w:rPr>
              <w:t>לדיונים</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רשאי לצוות על הרחקתו</w:t>
            </w:r>
            <w:r>
              <w:rPr>
                <w:rFonts w:cs="David"/>
                <w:sz w:val="26"/>
                <w:szCs w:val="26"/>
                <w:rtl/>
              </w:rPr>
              <w:t xml:space="preserve"> של כל אחד מאלה מאולם בית הדין בעת הדיון:</w:t>
            </w:r>
          </w:p>
          <w:p w:rsidR="00000000" w:rsidRDefault="00AF1222">
            <w:pPr>
              <w:tabs>
                <w:tab w:val="right" w:pos="220"/>
              </w:tabs>
              <w:bidi/>
              <w:jc w:val="both"/>
              <w:rPr>
                <w:rFonts w:cs="David"/>
                <w:sz w:val="26"/>
                <w:szCs w:val="26"/>
                <w:rtl/>
              </w:rPr>
            </w:pPr>
          </w:p>
          <w:p w:rsidR="00000000" w:rsidRDefault="00AF1222">
            <w:pPr>
              <w:numPr>
                <w:ilvl w:val="0"/>
                <w:numId w:val="14"/>
              </w:numPr>
              <w:tabs>
                <w:tab w:val="right" w:pos="220"/>
              </w:tabs>
              <w:bidi/>
              <w:ind w:right="720"/>
              <w:jc w:val="both"/>
              <w:rPr>
                <w:rFonts w:cs="David"/>
                <w:sz w:val="26"/>
                <w:szCs w:val="26"/>
                <w:rtl/>
              </w:rPr>
            </w:pPr>
            <w:r>
              <w:rPr>
                <w:rFonts w:cs="David"/>
                <w:sz w:val="26"/>
                <w:szCs w:val="26"/>
                <w:rtl/>
              </w:rPr>
              <w:t>מי שמפריע לדיוני בית הדין או מתנהג בצורה הפוגעת בכבוד בית   הדין;</w:t>
            </w:r>
          </w:p>
          <w:p w:rsidR="00000000" w:rsidRDefault="00AF1222">
            <w:pPr>
              <w:tabs>
                <w:tab w:val="right" w:pos="220"/>
              </w:tabs>
              <w:bidi/>
              <w:ind w:left="362" w:hanging="362"/>
              <w:jc w:val="both"/>
              <w:rPr>
                <w:rFonts w:cs="David"/>
                <w:sz w:val="26"/>
                <w:szCs w:val="26"/>
                <w:rtl/>
              </w:rPr>
            </w:pPr>
          </w:p>
          <w:p w:rsidR="00000000" w:rsidRDefault="00AF1222">
            <w:pPr>
              <w:numPr>
                <w:ilvl w:val="0"/>
                <w:numId w:val="14"/>
              </w:numPr>
              <w:bidi/>
              <w:ind w:right="720"/>
              <w:jc w:val="both"/>
              <w:rPr>
                <w:rFonts w:cs="David"/>
                <w:sz w:val="26"/>
                <w:szCs w:val="26"/>
                <w:rtl/>
              </w:rPr>
            </w:pPr>
            <w:r>
              <w:rPr>
                <w:rFonts w:cs="David"/>
                <w:sz w:val="26"/>
                <w:szCs w:val="26"/>
                <w:rtl/>
              </w:rPr>
              <w:t>מי שיש בנוכחותו, לדעת בית הדין, כדי להרתיע עד מלהעיד  עדות חופשית או מלהעיד בכלל.</w:t>
            </w:r>
          </w:p>
          <w:p w:rsidR="00000000" w:rsidRDefault="00AF1222">
            <w:pPr>
              <w:bidi/>
              <w:ind w:left="362" w:hanging="362"/>
              <w:jc w:val="both"/>
              <w:rPr>
                <w:rFonts w:cs="David"/>
                <w:color w:val="FF0000"/>
                <w:sz w:val="26"/>
                <w:szCs w:val="26"/>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ציווה בית הדין כאמור בסעיף קטן (א), רשאי הוא להת</w:t>
            </w:r>
            <w:r>
              <w:rPr>
                <w:rFonts w:cs="David"/>
                <w:sz w:val="26"/>
                <w:szCs w:val="26"/>
                <w:rtl/>
              </w:rPr>
              <w:t xml:space="preserve">יר שימוש בכוח סביר לשם ביצוע ההרחקה, אם מצא כי הדבר נדרש, ובלבד שהזהיר את מי שציווה על הרחקתו כי בכוונתו לעשות כן. </w:t>
            </w:r>
          </w:p>
          <w:p w:rsidR="00000000" w:rsidRDefault="00AF1222">
            <w:pPr>
              <w:bidi/>
              <w:jc w:val="both"/>
              <w:rPr>
                <w:rFonts w:cs="David"/>
                <w:sz w:val="26"/>
                <w:szCs w:val="26"/>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ציווה בית הדין, לפי הוראות סעיף קטן (א), על הרחקתו של צד להליך, יובאו ההליכים לידיעתו בדרך שיורה בית הדין.</w:t>
            </w:r>
          </w:p>
          <w:p w:rsidR="00000000" w:rsidRDefault="00AF1222">
            <w:pPr>
              <w:bidi/>
              <w:jc w:val="both"/>
              <w:rPr>
                <w:rFonts w:cs="David"/>
                <w:sz w:val="26"/>
                <w:szCs w:val="26"/>
              </w:rPr>
            </w:pPr>
          </w:p>
        </w:tc>
      </w:tr>
      <w:tr w:rsidR="00000000">
        <w:trPr>
          <w:cantSplit/>
          <w:trHeight w:val="2573"/>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 xml:space="preserve">בזיון </w:t>
            </w:r>
          </w:p>
          <w:p w:rsidR="00000000" w:rsidRDefault="00AF1222">
            <w:pPr>
              <w:bidi/>
              <w:jc w:val="both"/>
              <w:rPr>
                <w:rFonts w:cs="David"/>
                <w:b/>
                <w:bCs/>
                <w:sz w:val="26"/>
                <w:szCs w:val="26"/>
                <w:rtl/>
              </w:rPr>
            </w:pPr>
            <w:r>
              <w:rPr>
                <w:rFonts w:cs="David"/>
                <w:b/>
                <w:bCs/>
                <w:sz w:val="26"/>
                <w:szCs w:val="26"/>
                <w:rtl/>
              </w:rPr>
              <w:t>בית דין</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r>
              <w:rPr>
                <w:rFonts w:cs="David"/>
                <w:sz w:val="26"/>
                <w:szCs w:val="26"/>
                <w:rtl/>
              </w:rPr>
              <w:t>)</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הדן בענין שבשיפוטו, רשאי להטיל קנס בשיעור כאמור בסעיף קטן (ג), על מי שמתקיים בו אחד מאלה, בין אם הוא שוטר ובין אם אינו שוטר:</w:t>
            </w:r>
          </w:p>
          <w:p w:rsidR="00000000" w:rsidRDefault="00AF1222">
            <w:pPr>
              <w:bidi/>
              <w:jc w:val="both"/>
              <w:rPr>
                <w:rFonts w:cs="David"/>
                <w:sz w:val="26"/>
                <w:szCs w:val="26"/>
                <w:rtl/>
              </w:rPr>
            </w:pPr>
          </w:p>
          <w:p w:rsidR="00000000" w:rsidRDefault="00AF1222">
            <w:pPr>
              <w:numPr>
                <w:ilvl w:val="2"/>
                <w:numId w:val="10"/>
              </w:numPr>
              <w:bidi/>
              <w:ind w:left="2061" w:right="2340"/>
              <w:jc w:val="both"/>
              <w:rPr>
                <w:rFonts w:cs="David"/>
                <w:sz w:val="26"/>
                <w:szCs w:val="26"/>
                <w:rtl/>
              </w:rPr>
            </w:pPr>
            <w:r>
              <w:rPr>
                <w:rFonts w:cs="David"/>
                <w:sz w:val="26"/>
                <w:szCs w:val="26"/>
                <w:rtl/>
              </w:rPr>
              <w:t xml:space="preserve">הוא הוזמן כדין לבית דין ולא התייצב או עזב לפני שקיבל רשות לעשות כן, ולא הראה סיבה מספקת להעדרו או לעזיבתו; </w:t>
            </w:r>
          </w:p>
          <w:p w:rsidR="00000000" w:rsidRDefault="00AF1222">
            <w:pPr>
              <w:bidi/>
              <w:jc w:val="both"/>
              <w:rPr>
                <w:rFonts w:cs="David"/>
                <w:sz w:val="26"/>
                <w:szCs w:val="26"/>
                <w:rtl/>
              </w:rPr>
            </w:pPr>
          </w:p>
          <w:p w:rsidR="00000000" w:rsidRDefault="00AF1222">
            <w:pPr>
              <w:numPr>
                <w:ilvl w:val="2"/>
                <w:numId w:val="10"/>
              </w:numPr>
              <w:bidi/>
              <w:ind w:left="2061" w:right="2340"/>
              <w:jc w:val="both"/>
              <w:rPr>
                <w:rFonts w:cs="David"/>
                <w:sz w:val="26"/>
                <w:szCs w:val="26"/>
                <w:rtl/>
              </w:rPr>
            </w:pPr>
            <w:r>
              <w:rPr>
                <w:rFonts w:cs="David"/>
                <w:sz w:val="26"/>
                <w:szCs w:val="26"/>
                <w:rtl/>
              </w:rPr>
              <w:t>הו</w:t>
            </w:r>
            <w:r>
              <w:rPr>
                <w:rFonts w:cs="David"/>
                <w:sz w:val="26"/>
                <w:szCs w:val="26"/>
                <w:rtl/>
              </w:rPr>
              <w:t>א נדרש כדין על ידי בית דין להמציא מסמך שברשותו ולא המציאו ללא הצדק חוקי;</w:t>
            </w:r>
          </w:p>
          <w:p w:rsidR="00000000" w:rsidRDefault="00AF1222">
            <w:pPr>
              <w:bidi/>
              <w:ind w:left="-972"/>
              <w:jc w:val="both"/>
              <w:rPr>
                <w:rFonts w:cs="David"/>
                <w:sz w:val="26"/>
                <w:szCs w:val="26"/>
                <w:rtl/>
              </w:rPr>
            </w:pPr>
          </w:p>
          <w:p w:rsidR="00000000" w:rsidRDefault="00AF1222">
            <w:pPr>
              <w:numPr>
                <w:ilvl w:val="2"/>
                <w:numId w:val="10"/>
              </w:numPr>
              <w:bidi/>
              <w:ind w:left="2061" w:right="2340"/>
              <w:jc w:val="both"/>
              <w:rPr>
                <w:rFonts w:cs="David"/>
                <w:sz w:val="26"/>
                <w:szCs w:val="26"/>
                <w:rtl/>
              </w:rPr>
            </w:pPr>
            <w:r>
              <w:rPr>
                <w:rFonts w:cs="David"/>
                <w:sz w:val="26"/>
                <w:szCs w:val="26"/>
                <w:rtl/>
              </w:rPr>
              <w:t>בהיותו עד בבית דין לא השיב על שאלה שנדרש כדין להשיב עליה או השיב ביודעין תשובה מתחמקת ללא הצדק חוקי.</w:t>
            </w:r>
          </w:p>
          <w:p w:rsidR="00000000" w:rsidRDefault="00AF1222">
            <w:pPr>
              <w:bidi/>
              <w:jc w:val="both"/>
              <w:rPr>
                <w:rFonts w:cs="David"/>
                <w:b/>
                <w:bCs/>
                <w:sz w:val="26"/>
                <w:szCs w:val="26"/>
                <w:u w:val="single"/>
              </w:rPr>
            </w:pPr>
          </w:p>
        </w:tc>
      </w:tr>
      <w:tr w:rsidR="00000000">
        <w:trPr>
          <w:cantSplit/>
          <w:trHeight w:val="75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רשאי להטיל על אדם קנס לפי הוראות סעיף קטן (א), אף שלא בפניו.</w:t>
            </w:r>
          </w:p>
        </w:tc>
      </w:tr>
      <w:tr w:rsidR="00000000">
        <w:trPr>
          <w:cantSplit/>
          <w:trHeight w:val="75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קנס שהוטל לפי סעיף קטן (א), לא יעלה על מחצית הסכום האמור בסעיף 40(2) לחוק העונשין, התשל"ז – 1977</w:t>
            </w:r>
            <w:r>
              <w:rPr>
                <w:rStyle w:val="a5"/>
                <w:rFonts w:cs="David"/>
                <w:sz w:val="26"/>
                <w:szCs w:val="26"/>
                <w:rtl/>
              </w:rPr>
              <w:footnoteReference w:id="5"/>
            </w:r>
            <w:r>
              <w:rPr>
                <w:rFonts w:cs="David"/>
                <w:sz w:val="26"/>
                <w:szCs w:val="26"/>
                <w:rtl/>
              </w:rPr>
              <w:t xml:space="preserve">, וייגבה בדרך שבה נגבה קנס שהטיל בית משפט בהליך פלילי. </w:t>
            </w:r>
          </w:p>
          <w:p w:rsidR="00000000" w:rsidRDefault="00AF1222">
            <w:pPr>
              <w:bidi/>
              <w:jc w:val="both"/>
              <w:rPr>
                <w:rFonts w:cs="David"/>
                <w:sz w:val="26"/>
                <w:szCs w:val="26"/>
              </w:rPr>
            </w:pPr>
          </w:p>
        </w:tc>
      </w:tr>
      <w:tr w:rsidR="00000000">
        <w:trPr>
          <w:cantSplit/>
          <w:trHeight w:val="825"/>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על החלטת בית דין למשמעת לפי סעיף קטן (א) ניתן לערער לפני בית הדי</w:t>
            </w:r>
            <w:r>
              <w:rPr>
                <w:rFonts w:cs="David"/>
                <w:sz w:val="26"/>
                <w:szCs w:val="26"/>
                <w:rtl/>
              </w:rPr>
              <w:t>ן לערעורים.</w:t>
            </w:r>
          </w:p>
          <w:p w:rsidR="00000000" w:rsidRDefault="00AF1222">
            <w:pPr>
              <w:bidi/>
              <w:jc w:val="both"/>
              <w:rPr>
                <w:rFonts w:cs="David"/>
                <w:sz w:val="26"/>
                <w:szCs w:val="26"/>
                <w:u w:val="single"/>
              </w:rPr>
            </w:pPr>
          </w:p>
        </w:tc>
      </w:tr>
      <w:tr w:rsidR="00000000">
        <w:trPr>
          <w:cantSplit/>
          <w:trHeight w:val="80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צו הבאה</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pStyle w:val="a3"/>
              <w:rPr>
                <w:rFonts w:cs="David"/>
                <w:sz w:val="26"/>
              </w:rPr>
            </w:pPr>
            <w:r>
              <w:rPr>
                <w:rFonts w:cs="David"/>
                <w:sz w:val="24"/>
                <w:rtl/>
              </w:rPr>
              <w:t>(א)</w:t>
            </w:r>
          </w:p>
        </w:tc>
        <w:tc>
          <w:tcPr>
            <w:tcW w:w="5760" w:type="dxa"/>
            <w:gridSpan w:val="3"/>
            <w:tcBorders>
              <w:top w:val="nil"/>
              <w:left w:val="nil"/>
              <w:bottom w:val="nil"/>
              <w:right w:val="nil"/>
            </w:tcBorders>
          </w:tcPr>
          <w:p w:rsidR="00000000" w:rsidRDefault="00AF1222">
            <w:pPr>
              <w:bidi/>
              <w:jc w:val="both"/>
              <w:rPr>
                <w:rFonts w:cs="David"/>
                <w:sz w:val="28"/>
                <w:szCs w:val="26"/>
              </w:rPr>
            </w:pPr>
            <w:r>
              <w:rPr>
                <w:rFonts w:cs="David"/>
                <w:sz w:val="26"/>
                <w:szCs w:val="26"/>
                <w:rtl/>
              </w:rPr>
              <w:t>נאשם, משיב, או מי שהוזמן להעיד בבית דין, שלא התייצב, או שלא המציא מסמך לבית דין, אם הצטווה לעשות כן, רשאי בית הדין, אם שוכנע כי אותו אדם נמנע מלבוא או מלהמציא את המסמך בלא הצדק סביר, לצוות על הבאתו לפני בית הדין בזמן שיקבע בצ</w:t>
            </w:r>
            <w:r>
              <w:rPr>
                <w:rFonts w:cs="David"/>
                <w:sz w:val="26"/>
                <w:szCs w:val="26"/>
                <w:rtl/>
              </w:rPr>
              <w:t>ו, ובלבד שהזהירו כי בכוונתו לעשות כן.</w:t>
            </w:r>
          </w:p>
          <w:p w:rsidR="00000000" w:rsidRDefault="00AF1222">
            <w:pPr>
              <w:bidi/>
              <w:jc w:val="both"/>
              <w:rPr>
                <w:rFonts w:cs="David"/>
                <w:sz w:val="26"/>
                <w:szCs w:val="26"/>
              </w:rPr>
            </w:pPr>
          </w:p>
        </w:tc>
      </w:tr>
      <w:tr w:rsidR="00000000">
        <w:trPr>
          <w:cantSplit/>
          <w:trHeight w:val="80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pStyle w:val="a3"/>
              <w:rPr>
                <w:rFonts w:cs="David"/>
                <w:sz w:val="26"/>
              </w:rPr>
            </w:pPr>
            <w:r>
              <w:rPr>
                <w:rFonts w:cs="David"/>
                <w:sz w:val="24"/>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על צו הבאה לפי סעיף זה, יחולו ההוראות לפי סעיף 73א לחוק בתי המשפט [נוסח משולב], התשמ"ד  - 1984</w:t>
            </w:r>
            <w:r>
              <w:rPr>
                <w:rStyle w:val="a5"/>
                <w:rFonts w:cs="David"/>
                <w:sz w:val="26"/>
                <w:szCs w:val="26"/>
                <w:rtl/>
              </w:rPr>
              <w:footnoteReference w:id="6"/>
            </w:r>
            <w:r>
              <w:rPr>
                <w:rFonts w:cs="David"/>
                <w:sz w:val="26"/>
                <w:szCs w:val="26"/>
                <w:rtl/>
              </w:rPr>
              <w:t>, בשינויים המחויבים.</w:t>
            </w:r>
          </w:p>
          <w:p w:rsidR="00000000" w:rsidRDefault="00AF1222">
            <w:pPr>
              <w:pStyle w:val="a3"/>
              <w:rPr>
                <w:rFonts w:cs="David"/>
                <w:sz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רציפות הדיון</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כל עוד לא הוחל בגביית ראיות, רשאי בית דין למשמעת ל</w:t>
            </w:r>
            <w:r>
              <w:rPr>
                <w:rFonts w:cs="David"/>
                <w:sz w:val="26"/>
                <w:szCs w:val="26"/>
                <w:rtl/>
              </w:rPr>
              <w:t xml:space="preserve">דחות את מועד תחילת הדיון או את המשכו; הוחל בגביית הראיות, יימשך הדיון ברציפות, ככל שניתן הדבר. </w:t>
            </w:r>
          </w:p>
          <w:p w:rsidR="00000000" w:rsidRDefault="00AF1222">
            <w:pPr>
              <w:bidi/>
              <w:jc w:val="both"/>
              <w:rPr>
                <w:rFonts w:cs="David"/>
                <w:b/>
                <w:bCs/>
                <w:sz w:val="26"/>
                <w:szCs w:val="26"/>
                <w:u w:val="single"/>
              </w:rPr>
            </w:pPr>
          </w:p>
        </w:tc>
      </w:tr>
      <w:tr w:rsidR="00000000">
        <w:trPr>
          <w:cantSplit/>
          <w:trHeight w:val="39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ייצוג שוטר בדין משמעתי</w:t>
            </w: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בדיון בפני בית דין, רשאי שוטר שהוא נאשם, מערער או משיב, להיות מיוצג על ידי עורך דין.</w:t>
            </w:r>
          </w:p>
          <w:p w:rsidR="00000000" w:rsidRDefault="00AF1222">
            <w:pPr>
              <w:bidi/>
              <w:jc w:val="both"/>
              <w:rPr>
                <w:rFonts w:cs="David"/>
                <w:b/>
                <w:bCs/>
                <w:sz w:val="26"/>
                <w:szCs w:val="26"/>
                <w:u w:val="single"/>
              </w:rPr>
            </w:pPr>
            <w:r>
              <w:rPr>
                <w:rFonts w:cs="David"/>
                <w:sz w:val="26"/>
                <w:szCs w:val="26"/>
                <w:rtl/>
              </w:rPr>
              <w:t xml:space="preserve">      </w:t>
            </w:r>
          </w:p>
        </w:tc>
      </w:tr>
      <w:tr w:rsidR="00000000">
        <w:trPr>
          <w:cantSplit/>
          <w:trHeight w:val="39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בדיון בפני דן יחיד, שוטר, ש</w:t>
            </w:r>
            <w:r>
              <w:rPr>
                <w:rFonts w:cs="David"/>
                <w:sz w:val="26"/>
                <w:szCs w:val="26"/>
                <w:rtl/>
              </w:rPr>
              <w:t>הוא נאשם או עורר, אינו רשאי להיות מיוצג.</w:t>
            </w:r>
          </w:p>
          <w:p w:rsidR="00000000" w:rsidRDefault="00AF1222">
            <w:pPr>
              <w:bidi/>
              <w:jc w:val="both"/>
              <w:rPr>
                <w:rFonts w:cs="David"/>
                <w:b/>
                <w:bCs/>
                <w:sz w:val="26"/>
                <w:szCs w:val="26"/>
                <w:u w:val="single"/>
              </w:rPr>
            </w:pPr>
          </w:p>
        </w:tc>
      </w:tr>
      <w:tr w:rsidR="00000000">
        <w:trPr>
          <w:cantSplit/>
          <w:trHeight w:val="95"/>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נוכחות בדין</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בכפוף להוראות סעיף זה, לא יידון שוטר בדין משמעתי שלא בפניו.</w:t>
            </w:r>
          </w:p>
          <w:p w:rsidR="00000000" w:rsidRDefault="00AF1222">
            <w:pPr>
              <w:bidi/>
              <w:jc w:val="both"/>
              <w:rPr>
                <w:rFonts w:cs="David"/>
                <w:b/>
                <w:bCs/>
                <w:sz w:val="26"/>
                <w:szCs w:val="26"/>
                <w:u w:val="single"/>
              </w:rPr>
            </w:pPr>
          </w:p>
        </w:tc>
      </w:tr>
      <w:tr w:rsidR="00000000">
        <w:trPr>
          <w:cantSplit/>
          <w:trHeight w:val="9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למשמעת רשאי לדון שוטר שלא בפניו אם ביקש זאת השוטר או הביע הסכמתו לכך, ובית הדין סבור, מנימוקים מיוחדים שיירשמו, שלא</w:t>
            </w:r>
            <w:r>
              <w:rPr>
                <w:rFonts w:cs="David"/>
                <w:sz w:val="26"/>
                <w:szCs w:val="26"/>
                <w:rtl/>
              </w:rPr>
              <w:t xml:space="preserve"> יהיה בכך משום עיוות דין, ובלבד שהשוטר יהיה נוכח בעת הקראת כתב האישום ומתן פסק הדין, והוא מיוצג על ידי עורך דין.</w:t>
            </w:r>
          </w:p>
          <w:p w:rsidR="00000000" w:rsidRDefault="00AF1222">
            <w:pPr>
              <w:bidi/>
              <w:jc w:val="both"/>
              <w:rPr>
                <w:rFonts w:cs="David"/>
                <w:b/>
                <w:bCs/>
                <w:sz w:val="26"/>
                <w:szCs w:val="26"/>
                <w:u w:val="single"/>
              </w:rPr>
            </w:pPr>
          </w:p>
        </w:tc>
      </w:tr>
      <w:tr w:rsidR="00000000">
        <w:trPr>
          <w:cantSplit/>
          <w:trHeight w:val="9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למשמעת רשאי לדון שוטר ולגזור את דינו שלא בפניו אם הוא הוזמן כדין והוסבר לו בהזמנה שאם לא יתייצב ניתן יהיה לדונו  ולגזור את דינו</w:t>
            </w:r>
            <w:r>
              <w:rPr>
                <w:rFonts w:cs="David"/>
                <w:sz w:val="26"/>
                <w:szCs w:val="26"/>
                <w:rtl/>
              </w:rPr>
              <w:t xml:space="preserve"> שלא בפניו, ובית הדין סבור, מנימוקים מיוחדים שיירשמו, שלא יהא בכך משום עיוות דין, ואולם לא יגזור בית דין עונש מחבוש על השוטר שלא בפניו.</w:t>
            </w:r>
          </w:p>
          <w:p w:rsidR="00000000" w:rsidRDefault="00AF1222">
            <w:pPr>
              <w:bidi/>
              <w:jc w:val="both"/>
              <w:rPr>
                <w:rFonts w:cs="David"/>
                <w:b/>
                <w:bCs/>
                <w:sz w:val="26"/>
                <w:szCs w:val="26"/>
                <w:u w:val="single"/>
              </w:rPr>
            </w:pPr>
          </w:p>
        </w:tc>
      </w:tr>
      <w:tr w:rsidR="00000000">
        <w:trPr>
          <w:cantSplit/>
          <w:trHeight w:val="9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האמור בסעיפים קטנים (ב) ו – (ג), רשאי בית דין למשמעת, בכל שלב של הדיון, לצוות על התייצבותו של השוטר.</w:t>
            </w:r>
          </w:p>
          <w:p w:rsidR="00000000" w:rsidRDefault="00AF1222">
            <w:pPr>
              <w:bidi/>
              <w:jc w:val="both"/>
              <w:rPr>
                <w:rFonts w:cs="David"/>
                <w:b/>
                <w:bCs/>
                <w:sz w:val="26"/>
                <w:szCs w:val="26"/>
                <w:u w:val="single"/>
              </w:rPr>
            </w:pPr>
          </w:p>
        </w:tc>
      </w:tr>
      <w:tr w:rsidR="00000000">
        <w:trPr>
          <w:cantSplit/>
          <w:trHeight w:val="9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w:t>
            </w:r>
            <w:r>
              <w:rPr>
                <w:rFonts w:cs="David"/>
                <w:sz w:val="26"/>
                <w:szCs w:val="26"/>
                <w:rtl/>
              </w:rPr>
              <w:t>ה)</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נגזר דינו של שוטר שלא בפניו, רשאי בית הדין, לבקשת השוטר, לבטל את הדיון, לרבות את הכרעת הדין וגזר הדין, אם ניתנו בהעדרו, אם נוכח שהיתה סיבה מוצדקת לאי התייצבותו או אם ראה שהדבר דרוש כדי למנוע עיוות דין; בקשה לפי סעיף קטן זה תוגש בתוך 15 ימים מהיום שהומצא</w:t>
            </w:r>
            <w:r>
              <w:rPr>
                <w:rFonts w:cs="David"/>
                <w:sz w:val="26"/>
                <w:szCs w:val="26"/>
                <w:rtl/>
              </w:rPr>
              <w:t xml:space="preserve"> לשוטר פסק הדין, ואולם רשאי בית הדין, מטעמים מיוחדים שיירשמו, לדון בבקשה כאמור, אף אם הוגשה לאחר תום התקופה האמורה.</w:t>
            </w:r>
          </w:p>
          <w:p w:rsidR="00000000" w:rsidRDefault="00AF1222">
            <w:pPr>
              <w:bidi/>
              <w:jc w:val="both"/>
              <w:rPr>
                <w:rFonts w:cs="David"/>
                <w:b/>
                <w:bCs/>
                <w:sz w:val="26"/>
                <w:szCs w:val="26"/>
                <w:u w:val="single"/>
              </w:rPr>
            </w:pPr>
          </w:p>
        </w:tc>
      </w:tr>
      <w:tr w:rsidR="00000000">
        <w:trPr>
          <w:cantSplit/>
          <w:trHeight w:val="9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(ו)</w:t>
            </w:r>
          </w:p>
        </w:tc>
        <w:tc>
          <w:tcPr>
            <w:tcW w:w="5760" w:type="dxa"/>
            <w:gridSpan w:val="3"/>
            <w:tcBorders>
              <w:top w:val="nil"/>
              <w:left w:val="nil"/>
              <w:bottom w:val="nil"/>
              <w:right w:val="nil"/>
            </w:tcBorders>
          </w:tcPr>
          <w:p w:rsidR="00000000" w:rsidRDefault="00AF1222">
            <w:pPr>
              <w:bidi/>
              <w:jc w:val="both"/>
              <w:rPr>
                <w:rFonts w:cs="David"/>
                <w:szCs w:val="26"/>
              </w:rPr>
            </w:pPr>
            <w:r>
              <w:rPr>
                <w:rFonts w:cs="David"/>
                <w:sz w:val="26"/>
                <w:szCs w:val="26"/>
                <w:rtl/>
              </w:rPr>
              <w:t>אין בהוראות סעיף זה כדי לגרוע מסמכותו של בית דין לצוות על הרחקתו של השוטר, לפי הוראות סעיף 21.</w:t>
            </w:r>
          </w:p>
          <w:p w:rsidR="00000000" w:rsidRDefault="00AF1222">
            <w:pPr>
              <w:bidi/>
              <w:jc w:val="both"/>
              <w:rPr>
                <w:rFonts w:cs="David"/>
                <w:b/>
                <w:bCs/>
                <w:sz w:val="26"/>
                <w:szCs w:val="26"/>
                <w:u w:val="single"/>
              </w:rPr>
            </w:pPr>
          </w:p>
        </w:tc>
      </w:tr>
      <w:tr w:rsidR="00000000">
        <w:trPr>
          <w:cantSplit/>
          <w:trHeight w:val="54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גבייה מוקדמת של עדות</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color w:val="000000"/>
                <w:sz w:val="26"/>
                <w:szCs w:val="26"/>
              </w:rPr>
            </w:pPr>
            <w:r>
              <w:rPr>
                <w:rFonts w:cs="David"/>
                <w:color w:val="000000"/>
                <w:sz w:val="26"/>
                <w:szCs w:val="26"/>
                <w:rtl/>
              </w:rPr>
              <w:t>הוגש</w:t>
            </w:r>
            <w:r>
              <w:rPr>
                <w:rFonts w:cs="David"/>
                <w:color w:val="000000"/>
                <w:sz w:val="26"/>
                <w:szCs w:val="26"/>
                <w:rtl/>
              </w:rPr>
              <w:t xml:space="preserve"> כתב אישום לבית דין למשמעת וטרם החל הדיון, רשאי בית הדין, לבקשת בעל דין, לגבות עדותו של אדם לאלתר, אם ראה שהעדות חשובה לבירור האשמה וכי יש יסוד סביר להניח שלא ניתן יהיה לגבותה במהלך הדיון; החל בירור או נפתחה חקירה בעבירת משמעת וטרם הוגש כתב אישום רשאי לעשו</w:t>
            </w:r>
            <w:r>
              <w:rPr>
                <w:rFonts w:cs="David"/>
                <w:color w:val="000000"/>
                <w:sz w:val="26"/>
                <w:szCs w:val="26"/>
                <w:rtl/>
              </w:rPr>
              <w:t>ת כן נשיא בית הדין למשמעת, לבקשת תובע או לבקשת שוטר העשוי להיות נאשם בעבירה.</w:t>
            </w:r>
          </w:p>
          <w:p w:rsidR="00000000" w:rsidRDefault="00AF1222">
            <w:pPr>
              <w:bidi/>
              <w:jc w:val="both"/>
              <w:rPr>
                <w:rFonts w:cs="David"/>
                <w:b/>
                <w:bCs/>
                <w:sz w:val="26"/>
                <w:szCs w:val="26"/>
                <w:u w:val="single"/>
              </w:rPr>
            </w:pPr>
          </w:p>
        </w:tc>
      </w:tr>
      <w:tr w:rsidR="00000000">
        <w:trPr>
          <w:cantSplit/>
          <w:trHeight w:val="54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color w:val="000000"/>
                <w:sz w:val="26"/>
                <w:szCs w:val="26"/>
              </w:rPr>
            </w:pPr>
            <w:r>
              <w:rPr>
                <w:rFonts w:cs="David"/>
                <w:color w:val="000000"/>
                <w:sz w:val="26"/>
                <w:szCs w:val="26"/>
                <w:rtl/>
              </w:rPr>
              <w:t xml:space="preserve">עדות כאמור בסעיף קטן (א) תיגבה בפני תובע ובפני הנאשם או מי שעשוי להיות נאשם, אלא אם כן החליט בית הדין או נשיא בית הדין, לפי הענין, מטעמים מיוחדים שיירשמו, לגבותה שלא בפני </w:t>
            </w:r>
            <w:r>
              <w:rPr>
                <w:rFonts w:cs="David"/>
                <w:color w:val="000000"/>
                <w:sz w:val="26"/>
                <w:szCs w:val="26"/>
                <w:rtl/>
              </w:rPr>
              <w:t>הנאשם או מי שעשוי להיות נאשם.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ב': דן יחיד</w:t>
            </w:r>
          </w:p>
          <w:p w:rsidR="00000000" w:rsidRDefault="00AF1222">
            <w:pPr>
              <w:bidi/>
              <w:jc w:val="both"/>
              <w:rPr>
                <w:rFonts w:cs="David"/>
                <w:b/>
                <w:bCs/>
                <w:sz w:val="26"/>
                <w:szCs w:val="26"/>
                <w:u w:val="single"/>
              </w:rPr>
            </w:pPr>
          </w:p>
        </w:tc>
      </w:tr>
      <w:tr w:rsidR="00000000">
        <w:trPr>
          <w:cantSplit/>
          <w:trHeight w:val="41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דרגת דן יחיד</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ind w:left="86" w:hanging="86"/>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ind w:left="86" w:hanging="86"/>
              <w:jc w:val="both"/>
              <w:rPr>
                <w:rFonts w:cs="David"/>
                <w:sz w:val="26"/>
                <w:szCs w:val="26"/>
              </w:rPr>
            </w:pPr>
            <w:r>
              <w:rPr>
                <w:rFonts w:cs="David"/>
                <w:sz w:val="26"/>
                <w:szCs w:val="26"/>
                <w:rtl/>
              </w:rPr>
              <w:t xml:space="preserve"> דרגת דן יחיד תהיה גבוהה בשתי דרגות לפחות מדרגת הנאשם, ואולם רשאי המפקח הכללי לדון נאשם אף אם דרגת הנאשם נמוכה מדרגתו בדרגה אחת בלבד.</w:t>
            </w:r>
          </w:p>
          <w:p w:rsidR="00000000" w:rsidRDefault="00AF1222">
            <w:pPr>
              <w:bidi/>
              <w:ind w:left="86" w:hanging="86"/>
              <w:jc w:val="both"/>
              <w:rPr>
                <w:rFonts w:cs="David"/>
                <w:sz w:val="26"/>
                <w:szCs w:val="26"/>
              </w:rPr>
            </w:pPr>
          </w:p>
        </w:tc>
      </w:tr>
      <w:tr w:rsidR="00000000">
        <w:trPr>
          <w:cantSplit/>
          <w:trHeight w:val="41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ind w:left="86" w:hanging="86"/>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ind w:left="86" w:hanging="86"/>
              <w:jc w:val="both"/>
              <w:rPr>
                <w:rFonts w:cs="David"/>
                <w:sz w:val="26"/>
                <w:szCs w:val="26"/>
              </w:rPr>
            </w:pPr>
            <w:r>
              <w:rPr>
                <w:rFonts w:cs="David"/>
                <w:sz w:val="26"/>
                <w:szCs w:val="26"/>
                <w:rtl/>
              </w:rPr>
              <w:t xml:space="preserve"> היה הנאשם שוטר שדרגתו מפקח ומעלה, יהי</w:t>
            </w:r>
            <w:r>
              <w:rPr>
                <w:rFonts w:cs="David"/>
                <w:sz w:val="26"/>
                <w:szCs w:val="26"/>
                <w:rtl/>
              </w:rPr>
              <w:t>ה הדן יחיד קצין שיפוט בכיר בלבד.</w:t>
            </w:r>
          </w:p>
          <w:p w:rsidR="00000000" w:rsidRDefault="00AF1222">
            <w:pPr>
              <w:bidi/>
              <w:ind w:left="86" w:hanging="86"/>
              <w:jc w:val="both"/>
              <w:rPr>
                <w:rFonts w:cs="David"/>
                <w:b/>
                <w:bCs/>
                <w:sz w:val="26"/>
                <w:szCs w:val="26"/>
                <w:u w:val="single"/>
              </w:rPr>
            </w:pPr>
          </w:p>
        </w:tc>
      </w:tr>
      <w:tr w:rsidR="00000000">
        <w:trPr>
          <w:cantSplit/>
          <w:trHeight w:val="2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פסלות דן יחיד</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דן יחיד יפסול עצמו מלשבת בדין, מיוזמתו או לפי בקשה מנומקת מאת הנאשם, אם סבר כי קיימות נסיבות שיש בהן כדי ליצור חשש ממשי למשוא פנים בניהול הדיון, או כי קיימים טעמים אחרים המצדיקים לעשות כן.</w:t>
            </w:r>
          </w:p>
          <w:p w:rsidR="00000000" w:rsidRDefault="00AF1222">
            <w:pPr>
              <w:bidi/>
              <w:jc w:val="both"/>
              <w:rPr>
                <w:rFonts w:cs="David"/>
                <w:b/>
                <w:bCs/>
                <w:sz w:val="26"/>
                <w:szCs w:val="26"/>
                <w:u w:val="single"/>
              </w:rPr>
            </w:pPr>
          </w:p>
        </w:tc>
      </w:tr>
      <w:tr w:rsidR="00000000">
        <w:trPr>
          <w:cantSplit/>
          <w:trHeight w:val="2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החליט הדן יחיד לפסול עצמו מלשבת בדין, יועבר הדיון לדן יחיד אחר; החליט הדן יחיד שלא לפסול את עצמו מלישב בדין, יציין בהחלטתו את הנימוקים לכך.</w:t>
            </w:r>
          </w:p>
          <w:p w:rsidR="00000000" w:rsidRDefault="00AF1222">
            <w:pPr>
              <w:bidi/>
              <w:jc w:val="both"/>
              <w:rPr>
                <w:rFonts w:cs="David"/>
                <w:b/>
                <w:bCs/>
                <w:sz w:val="26"/>
                <w:szCs w:val="26"/>
                <w:u w:val="single"/>
              </w:rPr>
            </w:pPr>
          </w:p>
        </w:tc>
      </w:tr>
      <w:tr w:rsidR="00000000">
        <w:trPr>
          <w:cantSplit/>
          <w:trHeight w:val="2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החליט המפקח הכללי לפסול עצמו מלשבת בדין בענינו של נאשם בדרגת תת-ניצב ומעלה, יועבר הדיון על אף הוראות סעיף</w:t>
            </w:r>
            <w:r>
              <w:rPr>
                <w:rFonts w:cs="David"/>
                <w:sz w:val="26"/>
                <w:szCs w:val="26"/>
                <w:rtl/>
              </w:rPr>
              <w:t xml:space="preserve"> 28 לרב-ניצב או לשופט שיצאו לקצבה ושימנה השר לענין זה.</w:t>
            </w:r>
          </w:p>
          <w:p w:rsidR="00000000" w:rsidRDefault="00AF1222">
            <w:pPr>
              <w:bidi/>
              <w:jc w:val="both"/>
              <w:rPr>
                <w:rFonts w:cs="David"/>
                <w:b/>
                <w:bCs/>
                <w:sz w:val="26"/>
                <w:szCs w:val="26"/>
                <w:u w:val="single"/>
              </w:rPr>
            </w:pPr>
          </w:p>
        </w:tc>
      </w:tr>
      <w:tr w:rsidR="00000000">
        <w:trPr>
          <w:cantSplit/>
          <w:trHeight w:val="28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פסק</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בתום הדיון יחליט דן יחיד, מנימוקים שיירשמו, לזכות את הנאשם, או להרשיעו – אם מצא אותו אשם; הרשיע דן יחיד את הנאשם- יגזור את דינו.</w:t>
            </w:r>
          </w:p>
          <w:p w:rsidR="00000000" w:rsidRDefault="00AF1222">
            <w:pPr>
              <w:bidi/>
              <w:jc w:val="both"/>
              <w:rPr>
                <w:rFonts w:cs="David"/>
                <w:b/>
                <w:bCs/>
                <w:sz w:val="26"/>
                <w:szCs w:val="26"/>
                <w:u w:val="single"/>
              </w:rPr>
            </w:pPr>
          </w:p>
        </w:tc>
      </w:tr>
      <w:tr w:rsidR="00000000">
        <w:trPr>
          <w:cantSplit/>
          <w:trHeight w:val="808"/>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לא יגזור דן יחיד דינו של נאשם מבלי שנתן לו הזדמנ</w:t>
            </w:r>
            <w:r>
              <w:rPr>
                <w:rFonts w:cs="David"/>
                <w:sz w:val="26"/>
                <w:szCs w:val="26"/>
                <w:rtl/>
              </w:rPr>
              <w:t>ות לטעון את טענותיו לעונש, לרבות הבאת עדים.</w:t>
            </w:r>
          </w:p>
          <w:p w:rsidR="00000000" w:rsidRDefault="00AF1222">
            <w:pPr>
              <w:bidi/>
              <w:jc w:val="both"/>
              <w:rPr>
                <w:rFonts w:cs="David"/>
                <w:b/>
                <w:bCs/>
                <w:sz w:val="26"/>
                <w:szCs w:val="26"/>
                <w:u w:val="single"/>
              </w:rPr>
            </w:pPr>
          </w:p>
        </w:tc>
      </w:tr>
      <w:tr w:rsidR="00000000">
        <w:trPr>
          <w:cantSplit/>
          <w:trHeight w:val="41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חובת זימון מתלונן</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דן יחיד הדן בעבירת משמעת על פי תלונה של מי שנפגע במישרין מעבירת המשמעת, לא יזכה את הנאשם אלא לאחר שנתן לנפגע כאמור הזדמנות להשמיע עדותו בפניו. </w:t>
            </w:r>
          </w:p>
          <w:p w:rsidR="00000000" w:rsidRDefault="00AF1222">
            <w:pPr>
              <w:bidi/>
              <w:jc w:val="both"/>
              <w:rPr>
                <w:rFonts w:cs="David"/>
                <w:b/>
                <w:bCs/>
                <w:sz w:val="26"/>
                <w:szCs w:val="26"/>
                <w:u w:val="single"/>
              </w:rPr>
            </w:pPr>
          </w:p>
        </w:tc>
      </w:tr>
      <w:tr w:rsidR="00000000">
        <w:trPr>
          <w:cantSplit/>
          <w:trHeight w:val="41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זוכה נאשם בלא שניתנה לנפגע הזד</w:t>
            </w:r>
            <w:r>
              <w:rPr>
                <w:rFonts w:cs="David"/>
                <w:sz w:val="26"/>
                <w:szCs w:val="26"/>
                <w:rtl/>
              </w:rPr>
              <w:t>מנות להשמיע עדותו, כאמור בסעיף קטן (א), בטל הפסק, ולענין זה לא יחולו לגביו הוראות סעיף 11.</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הרשעה בעבירת משמעת על פי עובדות</w:t>
            </w:r>
          </w:p>
          <w:p w:rsidR="00000000" w:rsidRDefault="00AF1222">
            <w:pPr>
              <w:bidi/>
              <w:jc w:val="both"/>
              <w:rPr>
                <w:rFonts w:cs="David"/>
                <w:b/>
                <w:bCs/>
                <w:sz w:val="26"/>
                <w:szCs w:val="26"/>
                <w:rtl/>
              </w:rPr>
            </w:pPr>
            <w:r>
              <w:rPr>
                <w:rFonts w:cs="David"/>
                <w:b/>
                <w:bCs/>
                <w:sz w:val="26"/>
                <w:szCs w:val="26"/>
                <w:rtl/>
              </w:rPr>
              <w:t>שלא נטענו בכתב התלונה</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דן יחיד רשאי להרשיע נאשם בעבירת משמעת שאשמתו בה נתגלתה מן העובדות שהוכחו לפניו, אף אם עובדות אלו לא נטע</w:t>
            </w:r>
            <w:r>
              <w:rPr>
                <w:rFonts w:cs="David"/>
                <w:sz w:val="26"/>
                <w:szCs w:val="26"/>
                <w:rtl/>
              </w:rPr>
              <w:t>נו בכתב התלונה, ובלבד שניתנה לנאשם הזדמנות סבירה להתגונן.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הרשעה בעבירות משמעת אחדות</w:t>
            </w:r>
          </w:p>
        </w:tc>
        <w:tc>
          <w:tcPr>
            <w:tcW w:w="900" w:type="dxa"/>
            <w:tcBorders>
              <w:top w:val="nil"/>
              <w:left w:val="nil"/>
              <w:bottom w:val="nil"/>
              <w:right w:val="nil"/>
            </w:tcBorders>
          </w:tcPr>
          <w:p w:rsidR="00000000" w:rsidRDefault="00AF1222">
            <w:pPr>
              <w:numPr>
                <w:ilvl w:val="0"/>
                <w:numId w:val="5"/>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דן יחיד רשאי להרשיע נאשם בשל כל אחת מעבירות המשמעת שאשמתו בהן נתגלתה מן העובדות שהוכחו לפניו, אך לא יענישנו יותר מפעם אחת בשל אותו מעשה.</w:t>
            </w:r>
          </w:p>
          <w:p w:rsidR="00000000" w:rsidRDefault="00AF1222">
            <w:pPr>
              <w:bidi/>
              <w:jc w:val="both"/>
              <w:rPr>
                <w:rFonts w:cs="David"/>
                <w:b/>
                <w:bCs/>
                <w:sz w:val="26"/>
                <w:szCs w:val="26"/>
                <w:u w:val="single"/>
              </w:rPr>
            </w:pPr>
          </w:p>
        </w:tc>
      </w:tr>
      <w:tr w:rsidR="00000000">
        <w:trPr>
          <w:trHeight w:val="1459"/>
          <w:jc w:val="right"/>
        </w:trPr>
        <w:tc>
          <w:tcPr>
            <w:tcW w:w="1337" w:type="dxa"/>
            <w:tcBorders>
              <w:top w:val="nil"/>
              <w:left w:val="nil"/>
              <w:bottom w:val="nil"/>
              <w:right w:val="nil"/>
            </w:tcBorders>
          </w:tcPr>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4"/>
            <w:tcBorders>
              <w:top w:val="nil"/>
              <w:left w:val="nil"/>
              <w:bottom w:val="nil"/>
              <w:right w:val="nil"/>
            </w:tcBorders>
          </w:tcPr>
          <w:p w:rsidR="00000000" w:rsidRDefault="00AF1222">
            <w:pPr>
              <w:numPr>
                <w:ilvl w:val="0"/>
                <w:numId w:val="17"/>
              </w:numPr>
              <w:bidi/>
              <w:ind w:right="1500"/>
              <w:jc w:val="both"/>
              <w:rPr>
                <w:rFonts w:cs="David"/>
                <w:sz w:val="26"/>
                <w:szCs w:val="26"/>
              </w:rPr>
            </w:pPr>
            <w:r>
              <w:rPr>
                <w:rFonts w:cs="David"/>
                <w:sz w:val="26"/>
                <w:szCs w:val="26"/>
                <w:rtl/>
              </w:rPr>
              <w:t xml:space="preserve">לגבי נאשם שהוא יוצא </w:t>
            </w:r>
            <w:r>
              <w:rPr>
                <w:rFonts w:cs="David"/>
                <w:sz w:val="26"/>
                <w:szCs w:val="26"/>
                <w:rtl/>
              </w:rPr>
              <w:t>צבא הממלא חובתו לשירות סדיר במשטרת ישראל לפי חוק שירות בטחון – קנס שאינו עולה על שליש משכר יסוד חודשי שלו בשעת הטלת העונש;</w:t>
            </w:r>
          </w:p>
          <w:p w:rsidR="00000000" w:rsidRDefault="00AF1222">
            <w:pPr>
              <w:bidi/>
              <w:jc w:val="both"/>
              <w:rPr>
                <w:rFonts w:cs="David"/>
                <w:sz w:val="26"/>
                <w:szCs w:val="26"/>
                <w:rtl/>
              </w:rPr>
            </w:pPr>
          </w:p>
          <w:p w:rsidR="00000000" w:rsidRDefault="00AF1222">
            <w:pPr>
              <w:numPr>
                <w:ilvl w:val="0"/>
                <w:numId w:val="17"/>
              </w:numPr>
              <w:bidi/>
              <w:ind w:right="1500"/>
              <w:jc w:val="both"/>
              <w:rPr>
                <w:rFonts w:cs="David"/>
                <w:sz w:val="26"/>
                <w:szCs w:val="26"/>
                <w:rtl/>
              </w:rPr>
            </w:pPr>
            <w:r>
              <w:rPr>
                <w:rFonts w:cs="David"/>
                <w:sz w:val="26"/>
                <w:szCs w:val="26"/>
                <w:rtl/>
              </w:rPr>
              <w:t>לגבי נאשם שהוא יוצא צבא הממלא חובתו לשירות מילואים במשטרת ישראל לפי חוק שירות בטחון – קנס שאינו עולה על שליש משכר יסוד חודשי שהי</w:t>
            </w:r>
            <w:r>
              <w:rPr>
                <w:rFonts w:cs="David"/>
                <w:sz w:val="26"/>
                <w:szCs w:val="26"/>
                <w:rtl/>
              </w:rPr>
              <w:t>ה משולם לנאשם לו היה שוטר קבע בדרגתו, במשמר הגבול שבמשטרת ישראל;</w:t>
            </w:r>
          </w:p>
          <w:p w:rsidR="00000000" w:rsidRDefault="00AF1222">
            <w:pPr>
              <w:bidi/>
              <w:jc w:val="both"/>
              <w:rPr>
                <w:rFonts w:cs="David"/>
                <w:sz w:val="26"/>
                <w:szCs w:val="26"/>
                <w:rtl/>
              </w:rPr>
            </w:pPr>
          </w:p>
          <w:p w:rsidR="00000000" w:rsidRDefault="00AF1222">
            <w:pPr>
              <w:numPr>
                <w:ilvl w:val="0"/>
                <w:numId w:val="17"/>
              </w:numPr>
              <w:bidi/>
              <w:ind w:right="1500"/>
              <w:jc w:val="both"/>
              <w:rPr>
                <w:rFonts w:cs="David"/>
                <w:sz w:val="26"/>
                <w:szCs w:val="26"/>
                <w:rtl/>
              </w:rPr>
            </w:pPr>
            <w:r>
              <w:rPr>
                <w:rFonts w:cs="David"/>
                <w:sz w:val="26"/>
                <w:szCs w:val="26"/>
                <w:rtl/>
              </w:rPr>
              <w:t>לגבי נאשם שחדל להיות שוטר – קנס שאינו עולה על שליש מהשכר הממוצע במשק, כהגדרתו בחוק הביטוח הלאומי [נוסח משולב], התשנ"ה – 1995</w:t>
            </w:r>
            <w:r>
              <w:rPr>
                <w:rStyle w:val="a5"/>
                <w:rFonts w:cs="David"/>
                <w:sz w:val="26"/>
                <w:szCs w:val="26"/>
                <w:rtl/>
              </w:rPr>
              <w:footnoteReference w:id="7"/>
            </w:r>
            <w:r>
              <w:rPr>
                <w:rFonts w:cs="David"/>
                <w:sz w:val="26"/>
                <w:szCs w:val="26"/>
                <w:rtl/>
              </w:rPr>
              <w:t xml:space="preserve"> (בחוק זה – השכר הממוצע במשק);</w:t>
            </w:r>
          </w:p>
          <w:p w:rsidR="00000000" w:rsidRDefault="00AF1222">
            <w:pPr>
              <w:bidi/>
              <w:ind w:left="1140"/>
              <w:jc w:val="both"/>
              <w:rPr>
                <w:rFonts w:cs="David"/>
                <w:sz w:val="26"/>
                <w:szCs w:val="26"/>
                <w:rtl/>
              </w:rPr>
            </w:pPr>
          </w:p>
          <w:p w:rsidR="00000000" w:rsidRDefault="00AF1222">
            <w:pPr>
              <w:numPr>
                <w:ilvl w:val="0"/>
                <w:numId w:val="17"/>
              </w:numPr>
              <w:bidi/>
              <w:ind w:right="1500"/>
              <w:jc w:val="both"/>
              <w:rPr>
                <w:rFonts w:cs="David"/>
                <w:sz w:val="26"/>
                <w:szCs w:val="26"/>
                <w:rtl/>
              </w:rPr>
            </w:pPr>
            <w:r>
              <w:rPr>
                <w:rFonts w:cs="David"/>
                <w:sz w:val="26"/>
                <w:szCs w:val="26"/>
                <w:rtl/>
              </w:rPr>
              <w:t>לג</w:t>
            </w:r>
            <w:r>
              <w:rPr>
                <w:rFonts w:cs="David"/>
                <w:sz w:val="26"/>
                <w:szCs w:val="26"/>
                <w:rtl/>
              </w:rPr>
              <w:t>בי נאשם אחר – קנס שאינו עולה על שכר של עשרה ימים, כפי שנקבע בפקודות משטרת ישראל.</w:t>
            </w:r>
          </w:p>
          <w:p w:rsidR="00000000" w:rsidRDefault="00AF1222">
            <w:pPr>
              <w:bidi/>
              <w:jc w:val="both"/>
              <w:rPr>
                <w:rFonts w:cs="David"/>
                <w:sz w:val="26"/>
                <w:szCs w:val="26"/>
                <w:rtl/>
              </w:rPr>
            </w:pPr>
          </w:p>
          <w:p w:rsidR="00000000" w:rsidRDefault="00AF1222">
            <w:pPr>
              <w:bidi/>
              <w:jc w:val="both"/>
              <w:rPr>
                <w:rFonts w:cs="David"/>
                <w:sz w:val="26"/>
                <w:szCs w:val="26"/>
                <w:rtl/>
              </w:rPr>
            </w:pPr>
          </w:p>
          <w:p w:rsidR="00000000" w:rsidRDefault="00AF1222">
            <w:pPr>
              <w:bidi/>
              <w:ind w:left="360"/>
              <w:jc w:val="both"/>
              <w:rPr>
                <w:rFonts w:cs="David"/>
                <w:sz w:val="26"/>
                <w:szCs w:val="26"/>
                <w:rtl/>
              </w:rPr>
            </w:pPr>
            <w:r>
              <w:rPr>
                <w:rFonts w:cs="David"/>
                <w:sz w:val="26"/>
                <w:szCs w:val="26"/>
                <w:rtl/>
              </w:rPr>
              <w:t>(ד) ריתוק למקום השירות לתקופה שאינה עולה על עשרה ימים, ובלבד שלא יוטל ריתוק על מי שחדל להיות שוטר.</w:t>
            </w:r>
          </w:p>
          <w:p w:rsidR="00000000" w:rsidRDefault="00AF1222">
            <w:pPr>
              <w:bidi/>
              <w:ind w:left="360"/>
              <w:jc w:val="both"/>
              <w:rPr>
                <w:rFonts w:cs="David"/>
                <w:sz w:val="26"/>
                <w:szCs w:val="26"/>
                <w:rtl/>
              </w:rPr>
            </w:pPr>
          </w:p>
          <w:p w:rsidR="00000000" w:rsidRDefault="00AF1222">
            <w:pPr>
              <w:numPr>
                <w:ilvl w:val="0"/>
                <w:numId w:val="7"/>
              </w:numPr>
              <w:bidi/>
              <w:ind w:right="720"/>
              <w:jc w:val="both"/>
              <w:rPr>
                <w:rFonts w:cs="David"/>
                <w:sz w:val="26"/>
                <w:szCs w:val="26"/>
                <w:rtl/>
              </w:rPr>
            </w:pPr>
            <w:r>
              <w:rPr>
                <w:rFonts w:cs="David"/>
                <w:sz w:val="26"/>
                <w:szCs w:val="26"/>
                <w:rtl/>
              </w:rPr>
              <w:t>בעבירת משמעת הכרוכה בנהיגה ברכב משטרתי – פסילת רשיון נהיגה משטרתי לתק</w:t>
            </w:r>
            <w:r>
              <w:rPr>
                <w:rFonts w:cs="David"/>
                <w:sz w:val="26"/>
                <w:szCs w:val="26"/>
                <w:rtl/>
              </w:rPr>
              <w:t>ופה שאינה עולה על 60 ימים.</w:t>
            </w:r>
          </w:p>
          <w:p w:rsidR="00000000" w:rsidRDefault="00AF1222">
            <w:pPr>
              <w:bidi/>
              <w:jc w:val="both"/>
              <w:rPr>
                <w:rFonts w:cs="David"/>
                <w:sz w:val="26"/>
                <w:szCs w:val="26"/>
                <w:rtl/>
              </w:rPr>
            </w:pPr>
          </w:p>
          <w:p w:rsidR="00000000" w:rsidRDefault="00AF1222">
            <w:pPr>
              <w:numPr>
                <w:ilvl w:val="0"/>
                <w:numId w:val="7"/>
              </w:numPr>
              <w:bidi/>
              <w:ind w:right="720"/>
              <w:jc w:val="both"/>
              <w:rPr>
                <w:rFonts w:cs="David"/>
                <w:sz w:val="26"/>
                <w:szCs w:val="26"/>
                <w:rtl/>
              </w:rPr>
            </w:pPr>
            <w:r>
              <w:rPr>
                <w:rFonts w:cs="David"/>
                <w:sz w:val="26"/>
                <w:szCs w:val="26"/>
                <w:rtl/>
              </w:rPr>
              <w:t>לגבי נאשם שהוא יוצא צבא כאמור בפסקת-משנה   (ג)(1), כשהוא בשירות – מחבוש לתקופה שאינה עולה על 35 ימים.</w:t>
            </w:r>
          </w:p>
          <w:p w:rsidR="00000000" w:rsidRDefault="00AF1222">
            <w:pPr>
              <w:bidi/>
              <w:jc w:val="both"/>
              <w:rPr>
                <w:rFonts w:cs="David"/>
                <w:sz w:val="26"/>
                <w:szCs w:val="26"/>
                <w:rtl/>
              </w:rPr>
            </w:pPr>
          </w:p>
          <w:p w:rsidR="00000000" w:rsidRDefault="00AF1222">
            <w:pPr>
              <w:bidi/>
              <w:jc w:val="both"/>
              <w:rPr>
                <w:rFonts w:cs="David"/>
                <w:sz w:val="26"/>
                <w:szCs w:val="26"/>
              </w:rPr>
            </w:pPr>
          </w:p>
        </w:tc>
      </w:tr>
      <w:tr w:rsidR="00000000">
        <w:trPr>
          <w:trHeight w:val="1459"/>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דחיית ביצוע עונש</w:t>
            </w:r>
          </w:p>
        </w:tc>
        <w:tc>
          <w:tcPr>
            <w:tcW w:w="900" w:type="dxa"/>
            <w:tcBorders>
              <w:top w:val="nil"/>
              <w:left w:val="nil"/>
              <w:bottom w:val="nil"/>
              <w:right w:val="nil"/>
            </w:tcBorders>
          </w:tcPr>
          <w:p w:rsidR="00000000" w:rsidRDefault="00AF1222">
            <w:pPr>
              <w:numPr>
                <w:ilvl w:val="0"/>
                <w:numId w:val="5"/>
                <w:numberingChange w:id="6" w:author="User" w:date="2005-04-17T16:33:00Z" w:original="%1:35:0:."/>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rPr>
            </w:pPr>
            <w:r>
              <w:rPr>
                <w:rFonts w:cs="David"/>
                <w:sz w:val="26"/>
                <w:szCs w:val="26"/>
                <w:rtl/>
              </w:rPr>
              <w:t>דן יחיד רשאי, מנימוקים מיוחדים שיירשמו, לדחות את ביצוע העונש או לקבוע תנאים לביצועו במעמד מתן הפס</w:t>
            </w:r>
            <w:r>
              <w:rPr>
                <w:rFonts w:cs="David"/>
                <w:sz w:val="26"/>
                <w:szCs w:val="26"/>
                <w:rtl/>
              </w:rPr>
              <w:t>ק, ואם הוגש ערר- גם לאחר מתן הפסק וכל עוד לא החל הדיון בערר; החל הדיון בערר – תהא הסמכות האמורה, נתונה לדן בערר.</w:t>
            </w:r>
          </w:p>
        </w:tc>
      </w:tr>
      <w:tr w:rsidR="00000000">
        <w:trPr>
          <w:cantSplit/>
          <w:trHeight w:val="5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ערר על פסק</w:t>
            </w:r>
          </w:p>
        </w:tc>
        <w:tc>
          <w:tcPr>
            <w:tcW w:w="900" w:type="dxa"/>
            <w:vMerge w:val="restart"/>
            <w:tcBorders>
              <w:top w:val="nil"/>
              <w:left w:val="nil"/>
              <w:bottom w:val="nil"/>
              <w:right w:val="nil"/>
            </w:tcBorders>
          </w:tcPr>
          <w:p w:rsidR="00000000" w:rsidRDefault="00AF1222">
            <w:pPr>
              <w:numPr>
                <w:ilvl w:val="0"/>
                <w:numId w:val="5"/>
                <w:numberingChange w:id="7" w:author="User" w:date="2005-04-17T16:33:00Z" w:original="%1:36: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שוטר שהרשיעו דן יחיד, רשאי, בתוך 15 ימים מיום שהומצא לו הפסק, להגיש ערר על הפסק ואם חויב בתשלום פיצויים לפי הוראות סעיף</w:t>
            </w:r>
            <w:r>
              <w:rPr>
                <w:rFonts w:cs="David"/>
                <w:sz w:val="26"/>
                <w:szCs w:val="26"/>
                <w:rtl/>
              </w:rPr>
              <w:t xml:space="preserve"> 71 – גם על החיוב כאמור, בדרך שקבע השר.</w:t>
            </w:r>
          </w:p>
          <w:p w:rsidR="00000000" w:rsidRDefault="00AF1222">
            <w:pPr>
              <w:bidi/>
              <w:jc w:val="both"/>
              <w:rPr>
                <w:rFonts w:cs="David"/>
                <w:b/>
                <w:bCs/>
                <w:sz w:val="26"/>
                <w:szCs w:val="26"/>
                <w:u w:val="single"/>
              </w:rPr>
            </w:pPr>
          </w:p>
        </w:tc>
      </w:tr>
      <w:tr w:rsidR="00000000">
        <w:trPr>
          <w:cantSplit/>
          <w:trHeight w:val="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בערר ידון קצין שיפוט בכיר שדרגתו אינה נמוכה מדרגת הדן יחיד שנתן את הפסק ושמונה לכך בדרך שקבע השר.</w:t>
            </w:r>
          </w:p>
          <w:p w:rsidR="00000000" w:rsidRDefault="00AF1222">
            <w:pPr>
              <w:bidi/>
              <w:jc w:val="both"/>
              <w:rPr>
                <w:rFonts w:cs="David"/>
                <w:b/>
                <w:bCs/>
                <w:sz w:val="26"/>
                <w:szCs w:val="26"/>
                <w:u w:val="single"/>
              </w:rPr>
            </w:pPr>
          </w:p>
        </w:tc>
      </w:tr>
      <w:tr w:rsidR="00000000">
        <w:trPr>
          <w:cantSplit/>
          <w:trHeight w:val="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קצין שיפוט בכיר שמונה לדון בערר רשאי לדון בו, אף אם הוגש לאחר המועד האמור בסעיף קטן (א), אם הוכח, להנח</w:t>
            </w:r>
            <w:r>
              <w:rPr>
                <w:rFonts w:cs="David"/>
                <w:sz w:val="26"/>
                <w:szCs w:val="26"/>
                <w:rtl/>
              </w:rPr>
              <w:t>ת דעתו, כי היה הצדק סביר לאיחור.</w:t>
            </w:r>
          </w:p>
          <w:p w:rsidR="00000000" w:rsidRDefault="00AF1222">
            <w:pPr>
              <w:bidi/>
              <w:jc w:val="both"/>
              <w:rPr>
                <w:rFonts w:cs="David"/>
                <w:b/>
                <w:bCs/>
                <w:sz w:val="26"/>
                <w:szCs w:val="26"/>
                <w:u w:val="single"/>
              </w:rPr>
            </w:pPr>
            <w:r>
              <w:rPr>
                <w:rFonts w:cs="David"/>
                <w:sz w:val="26"/>
                <w:szCs w:val="26"/>
                <w:rtl/>
              </w:rPr>
              <w:t xml:space="preserve"> </w:t>
            </w:r>
          </w:p>
        </w:tc>
      </w:tr>
      <w:tr w:rsidR="00000000">
        <w:trPr>
          <w:cantSplit/>
          <w:trHeight w:val="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העורר רשאי לחזור בו מעררו כל עוד לא ניתנה החלטה בערר.</w:t>
            </w:r>
          </w:p>
          <w:p w:rsidR="00000000" w:rsidRDefault="00AF1222">
            <w:pPr>
              <w:bidi/>
              <w:jc w:val="both"/>
              <w:rPr>
                <w:rFonts w:cs="David"/>
                <w:b/>
                <w:bCs/>
                <w:sz w:val="26"/>
                <w:szCs w:val="26"/>
                <w:u w:val="single"/>
              </w:rPr>
            </w:pPr>
          </w:p>
        </w:tc>
      </w:tr>
      <w:tr w:rsidR="00000000">
        <w:trPr>
          <w:cantSplit/>
          <w:trHeight w:val="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הוראות סעיף 29 יחולו, בשינויים המחויבים, גם לגבי מי שדן בערר.</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סופיות פסק של רב ניצב ושל שופט</w:t>
            </w:r>
          </w:p>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numPr>
                <w:ilvl w:val="0"/>
                <w:numId w:val="5"/>
                <w:numberingChange w:id="8" w:author="User" w:date="2005-04-17T16:33:00Z" w:original="%1:37:0:."/>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36(א), פסק של המפקח הכללי בשבתו כ</w:t>
            </w:r>
            <w:r>
              <w:rPr>
                <w:rFonts w:cs="David"/>
                <w:sz w:val="26"/>
                <w:szCs w:val="26"/>
                <w:rtl/>
              </w:rPr>
              <w:t>דן יחיד או פסק של רב-ניצב או שופט, שאליו הועבר הדיון, לפי הוראות סעיף 29(ג), הוא פסק סופי.</w:t>
            </w:r>
          </w:p>
          <w:p w:rsidR="00000000" w:rsidRDefault="00AF1222">
            <w:pPr>
              <w:bidi/>
              <w:jc w:val="both"/>
              <w:rPr>
                <w:rFonts w:cs="David"/>
                <w:b/>
                <w:bCs/>
                <w:sz w:val="26"/>
                <w:szCs w:val="26"/>
                <w:u w:val="single"/>
              </w:rPr>
            </w:pPr>
          </w:p>
        </w:tc>
      </w:tr>
      <w:tr w:rsidR="00000000">
        <w:trPr>
          <w:cantSplit/>
          <w:trHeight w:val="67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סמכויות קצין שיפוט בכיר הדן בערר</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9" w:author="User" w:date="2005-04-17T16:33:00Z" w:original="%1:38: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קצין שיפוט בכיר הדן בערר רשאי –</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לקבל את הערר ולזכות את הנאשם;</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להקל בעונש;</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לדחות את הערר;</w:t>
            </w:r>
          </w:p>
          <w:p w:rsidR="00000000" w:rsidRDefault="00AF1222">
            <w:pPr>
              <w:bidi/>
              <w:jc w:val="both"/>
              <w:rPr>
                <w:rFonts w:cs="David"/>
                <w:sz w:val="26"/>
                <w:szCs w:val="26"/>
                <w:rtl/>
              </w:rPr>
            </w:pPr>
          </w:p>
          <w:p w:rsidR="00000000" w:rsidRDefault="00AF1222">
            <w:pPr>
              <w:numPr>
                <w:ilvl w:val="1"/>
                <w:numId w:val="7"/>
              </w:numPr>
              <w:bidi/>
              <w:ind w:right="1440"/>
              <w:jc w:val="both"/>
              <w:rPr>
                <w:rFonts w:cs="David"/>
                <w:sz w:val="26"/>
                <w:szCs w:val="26"/>
                <w:rtl/>
              </w:rPr>
            </w:pPr>
            <w:r>
              <w:rPr>
                <w:rFonts w:cs="David"/>
                <w:sz w:val="26"/>
                <w:szCs w:val="26"/>
                <w:rtl/>
              </w:rPr>
              <w:t>להרשיע בעבי</w:t>
            </w:r>
            <w:r>
              <w:rPr>
                <w:rFonts w:cs="David"/>
                <w:sz w:val="26"/>
                <w:szCs w:val="26"/>
                <w:rtl/>
              </w:rPr>
              <w:t>רת משמעת אחרת, ובלבד שניתנה לנאשם הזדמנות סבירה להתגונן.</w:t>
            </w:r>
          </w:p>
          <w:p w:rsidR="00000000" w:rsidRDefault="00AF1222">
            <w:pPr>
              <w:bidi/>
              <w:jc w:val="both"/>
              <w:rPr>
                <w:rFonts w:cs="David"/>
                <w:sz w:val="26"/>
                <w:szCs w:val="26"/>
              </w:rPr>
            </w:pPr>
          </w:p>
        </w:tc>
      </w:tr>
      <w:tr w:rsidR="00000000">
        <w:trPr>
          <w:cantSplit/>
          <w:trHeight w:val="67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היה הערר על חיוב בתשלום פיצויים לפי סעיף 71, רשאי קצין השיפוט הבכיר הדן בערר לבטל את החיוב בתשלום או להפחית  את שיעור הפיצויים.</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ג': בית הדין למשמעת</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כינון</w:t>
            </w:r>
          </w:p>
          <w:p w:rsidR="00000000" w:rsidRDefault="00AF1222">
            <w:pPr>
              <w:bidi/>
              <w:jc w:val="both"/>
              <w:rPr>
                <w:rFonts w:cs="David"/>
                <w:b/>
                <w:bCs/>
                <w:sz w:val="26"/>
                <w:szCs w:val="26"/>
                <w:rtl/>
              </w:rPr>
            </w:pPr>
            <w:r>
              <w:rPr>
                <w:rFonts w:cs="David"/>
                <w:b/>
                <w:bCs/>
                <w:sz w:val="26"/>
                <w:szCs w:val="26"/>
                <w:rtl/>
              </w:rPr>
              <w:t>בית דין למשמעת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0" w:author="User" w:date="2005-04-17T16:33:00Z" w:original="%1:39:0:."/>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המפקח</w:t>
            </w:r>
            <w:r>
              <w:rPr>
                <w:rFonts w:cs="David"/>
                <w:sz w:val="26"/>
                <w:szCs w:val="26"/>
                <w:rtl/>
              </w:rPr>
              <w:t xml:space="preserve"> הכללי יכונן, בצו, בית דין למשמעת שידון שוטרים בעבירות משמעת, ויקבע את מקום מושבו.</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ind w:left="10206" w:hanging="10206"/>
              <w:jc w:val="both"/>
              <w:rPr>
                <w:rFonts w:cs="David"/>
                <w:b/>
                <w:bCs/>
                <w:sz w:val="26"/>
                <w:szCs w:val="26"/>
              </w:rPr>
            </w:pPr>
            <w:r>
              <w:rPr>
                <w:rFonts w:cs="David"/>
                <w:b/>
                <w:bCs/>
                <w:sz w:val="26"/>
                <w:szCs w:val="26"/>
                <w:rtl/>
              </w:rPr>
              <w:t>מינוי</w:t>
            </w:r>
          </w:p>
          <w:p w:rsidR="00000000" w:rsidRDefault="00AF1222">
            <w:pPr>
              <w:bidi/>
              <w:ind w:left="10206" w:hanging="10206"/>
              <w:jc w:val="both"/>
              <w:rPr>
                <w:rFonts w:cs="David"/>
                <w:b/>
                <w:bCs/>
                <w:sz w:val="26"/>
                <w:szCs w:val="26"/>
                <w:rtl/>
              </w:rPr>
            </w:pPr>
            <w:r>
              <w:rPr>
                <w:rFonts w:cs="David"/>
                <w:b/>
                <w:bCs/>
                <w:sz w:val="26"/>
                <w:szCs w:val="26"/>
                <w:rtl/>
              </w:rPr>
              <w:t>נשיא</w:t>
            </w:r>
          </w:p>
          <w:p w:rsidR="00000000" w:rsidRDefault="00AF1222">
            <w:pPr>
              <w:bidi/>
              <w:ind w:left="10206" w:hanging="10206"/>
              <w:jc w:val="both"/>
              <w:rPr>
                <w:rFonts w:cs="David"/>
                <w:b/>
                <w:bCs/>
                <w:sz w:val="26"/>
                <w:szCs w:val="26"/>
                <w:rtl/>
              </w:rPr>
            </w:pPr>
            <w:r>
              <w:rPr>
                <w:rFonts w:cs="David"/>
                <w:b/>
                <w:bCs/>
                <w:sz w:val="26"/>
                <w:szCs w:val="26"/>
                <w:rtl/>
              </w:rPr>
              <w:t>בית</w:t>
            </w:r>
          </w:p>
          <w:p w:rsidR="00000000" w:rsidRDefault="00AF1222">
            <w:pPr>
              <w:bidi/>
              <w:jc w:val="both"/>
              <w:rPr>
                <w:rFonts w:cs="David"/>
                <w:b/>
                <w:bCs/>
                <w:sz w:val="26"/>
                <w:szCs w:val="26"/>
                <w:rtl/>
              </w:rPr>
            </w:pPr>
            <w:r>
              <w:rPr>
                <w:rFonts w:cs="David"/>
                <w:b/>
                <w:bCs/>
                <w:sz w:val="26"/>
                <w:szCs w:val="26"/>
                <w:rtl/>
              </w:rPr>
              <w:t>הדין</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1" w:author="User" w:date="2005-04-17T16:33:00Z" w:original="%1:40:0:."/>
              </w:numPr>
              <w:bidi/>
              <w:ind w:right="720"/>
              <w:jc w:val="both"/>
              <w:rPr>
                <w:rFonts w:cs="David"/>
                <w:sz w:val="26"/>
                <w:szCs w:val="26"/>
              </w:rPr>
            </w:pPr>
          </w:p>
        </w:tc>
        <w:tc>
          <w:tcPr>
            <w:tcW w:w="6300" w:type="dxa"/>
            <w:gridSpan w:val="4"/>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ימנה נשיא לבית הדין למשמעת שהוא קצין משטרה בכיר שדרגתו תיקבע בפקודות משטרת ישראל, ועורך דין.</w:t>
            </w:r>
          </w:p>
          <w:p w:rsidR="00000000" w:rsidRDefault="00AF1222">
            <w:pPr>
              <w:bidi/>
              <w:jc w:val="both"/>
              <w:rPr>
                <w:rFonts w:cs="David"/>
                <w:b/>
                <w:bCs/>
                <w:sz w:val="26"/>
                <w:szCs w:val="26"/>
                <w:u w:val="single"/>
              </w:rPr>
            </w:pPr>
          </w:p>
        </w:tc>
      </w:tr>
      <w:tr w:rsidR="00000000">
        <w:trPr>
          <w:cantSplit/>
          <w:trHeight w:val="2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 xml:space="preserve">מינוי מותב בית הדין </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12" w:author="User" w:date="2005-04-17T16:33:00Z" w:original="%1:41: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מותב בי</w:t>
            </w:r>
            <w:r>
              <w:rPr>
                <w:rFonts w:cs="David"/>
                <w:sz w:val="26"/>
                <w:szCs w:val="26"/>
                <w:rtl/>
              </w:rPr>
              <w:t>ת דין למשמעת יורכב משלושה שופטים, שימנה נשיא בית הדין, שהם קציני משטרה בכירים, מהם שניים לפחות עורכי דין; השופטים ימונו מתוך רשימת שופטים שקבע המפקח הכללי.</w:t>
            </w:r>
          </w:p>
          <w:p w:rsidR="00000000" w:rsidRDefault="00AF1222">
            <w:pPr>
              <w:bidi/>
              <w:jc w:val="both"/>
              <w:rPr>
                <w:rFonts w:cs="David"/>
                <w:b/>
                <w:bCs/>
                <w:sz w:val="26"/>
                <w:szCs w:val="26"/>
                <w:u w:val="single"/>
              </w:rPr>
            </w:pPr>
          </w:p>
        </w:tc>
      </w:tr>
      <w:tr w:rsidR="00000000">
        <w:trPr>
          <w:cantSplit/>
          <w:trHeight w:val="2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gridSpan w:val="3"/>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קטן (א), מותב בית דין למשמעת הדן בעבירת משמעת של שוטר לפי פרטים 8 או 19 בת</w:t>
            </w:r>
            <w:r>
              <w:rPr>
                <w:rFonts w:cs="David"/>
                <w:sz w:val="26"/>
                <w:szCs w:val="26"/>
                <w:rtl/>
              </w:rPr>
              <w:t>וספת הראשונה, שנעברה כלפי אדם שאינו שוטר, יורכב משלושה שופטים, שימנה נשיא בית הדין למשמעת, כמפורט להלן:</w:t>
            </w:r>
          </w:p>
          <w:p w:rsidR="00000000" w:rsidRDefault="00AF1222">
            <w:pPr>
              <w:numPr>
                <w:ilvl w:val="1"/>
                <w:numId w:val="10"/>
              </w:numPr>
              <w:bidi/>
              <w:ind w:right="1440"/>
              <w:jc w:val="both"/>
              <w:rPr>
                <w:rFonts w:cs="David"/>
                <w:sz w:val="26"/>
                <w:szCs w:val="26"/>
                <w:rtl/>
              </w:rPr>
            </w:pPr>
            <w:r>
              <w:rPr>
                <w:rFonts w:cs="David"/>
                <w:sz w:val="26"/>
                <w:szCs w:val="26"/>
                <w:rtl/>
              </w:rPr>
              <w:t>שני קציני משטרה בכירים, מתוך רשימת השופטים כאמור בסעיף קטן (א), מהם אחד, לפחות, עורך דין;</w:t>
            </w:r>
          </w:p>
          <w:p w:rsidR="00000000" w:rsidRDefault="00AF1222">
            <w:pPr>
              <w:numPr>
                <w:ilvl w:val="1"/>
                <w:numId w:val="10"/>
                <w:numberingChange w:id="13" w:author="User" w:date="2005-04-17T16:33:00Z" w:original="(%2:3:0:)"/>
              </w:numPr>
              <w:bidi/>
              <w:ind w:right="1440"/>
              <w:jc w:val="both"/>
              <w:rPr>
                <w:rFonts w:cs="David"/>
                <w:sz w:val="26"/>
                <w:szCs w:val="26"/>
                <w:rtl/>
              </w:rPr>
            </w:pPr>
            <w:r>
              <w:rPr>
                <w:rFonts w:cs="David"/>
                <w:sz w:val="26"/>
                <w:szCs w:val="26"/>
                <w:rtl/>
              </w:rPr>
              <w:t>נציג ציבור, מתוך רשימת נציגי ציבור הכשירים להתמנות שופ</w:t>
            </w:r>
            <w:r>
              <w:rPr>
                <w:rFonts w:cs="David"/>
                <w:sz w:val="26"/>
                <w:szCs w:val="26"/>
                <w:rtl/>
              </w:rPr>
              <w:t>טי בית משפט שלום, שקבע השר בהסכמת שר המשפטים.</w:t>
            </w:r>
          </w:p>
          <w:p w:rsidR="00000000" w:rsidRDefault="00AF1222">
            <w:pPr>
              <w:bidi/>
              <w:jc w:val="both"/>
              <w:rPr>
                <w:rFonts w:cs="David"/>
                <w:b/>
                <w:bCs/>
                <w:sz w:val="26"/>
                <w:szCs w:val="26"/>
                <w:u w:val="single"/>
              </w:rPr>
            </w:pP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540"/>
        <w:gridCol w:w="576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דרגת שופט</w:t>
            </w:r>
          </w:p>
        </w:tc>
        <w:tc>
          <w:tcPr>
            <w:tcW w:w="900" w:type="dxa"/>
            <w:tcBorders>
              <w:top w:val="nil"/>
              <w:left w:val="nil"/>
              <w:bottom w:val="nil"/>
              <w:right w:val="nil"/>
            </w:tcBorders>
          </w:tcPr>
          <w:p w:rsidR="00000000" w:rsidRDefault="00AF1222">
            <w:pPr>
              <w:numPr>
                <w:ilvl w:val="0"/>
                <w:numId w:val="5"/>
                <w:numberingChange w:id="14" w:author="User" w:date="2005-04-17T16:33:00Z" w:original="%1:42: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בבית דין למשמעת לא יישב שופט שדרגתו נמוכה מדרגת נאשם.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בית דין למשמעת בשופט אחד</w:t>
            </w:r>
          </w:p>
        </w:tc>
        <w:tc>
          <w:tcPr>
            <w:tcW w:w="900" w:type="dxa"/>
            <w:tcBorders>
              <w:top w:val="nil"/>
              <w:left w:val="nil"/>
              <w:bottom w:val="nil"/>
              <w:right w:val="nil"/>
            </w:tcBorders>
          </w:tcPr>
          <w:p w:rsidR="00000000" w:rsidRDefault="00AF1222">
            <w:pPr>
              <w:numPr>
                <w:ilvl w:val="0"/>
                <w:numId w:val="5"/>
                <w:numberingChange w:id="15" w:author="User" w:date="2005-04-17T16:33:00Z" w:original="%1:4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41(א), ידון בית דין למשמעת בשופט אחד, אם הורה זאת המפקח הכללי או מי שהוא הסמיך לכך, ולע</w:t>
            </w:r>
            <w:r>
              <w:rPr>
                <w:rFonts w:cs="David"/>
                <w:sz w:val="26"/>
                <w:szCs w:val="26"/>
                <w:rtl/>
              </w:rPr>
              <w:t>נין עבירת משמעת לפי פרט 19(א) לתוספת הראשונה – אם הורה זאת היועץ המשפטי לממשלה או מי שהוא הסמיך לכך; שופט כאמור יהיה קצין משטרה בכיר שהוא עורך דין, שימנה נשיא בית הדין למשמעת מתוך רשימת השופטים כאמור בסעיף 41(א).</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הרחבת סמכות</w:t>
            </w:r>
          </w:p>
        </w:tc>
        <w:tc>
          <w:tcPr>
            <w:tcW w:w="900" w:type="dxa"/>
            <w:tcBorders>
              <w:top w:val="nil"/>
              <w:left w:val="nil"/>
              <w:bottom w:val="nil"/>
              <w:right w:val="nil"/>
            </w:tcBorders>
          </w:tcPr>
          <w:p w:rsidR="00000000" w:rsidRDefault="00AF1222">
            <w:pPr>
              <w:numPr>
                <w:ilvl w:val="0"/>
                <w:numId w:val="5"/>
                <w:numberingChange w:id="16" w:author="User" w:date="2005-04-17T16:33:00Z" w:original="%1:4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מותב בית דין למשמעת שמונ</w:t>
            </w:r>
            <w:r>
              <w:rPr>
                <w:rFonts w:cs="David"/>
                <w:sz w:val="26"/>
                <w:szCs w:val="26"/>
                <w:rtl/>
              </w:rPr>
              <w:t>ה לפי הוראות סעיף 41(ב), מוסמך לדון בעבירות משמעת נוספות על אלה המנויות באותו סעיף, ובלבד שהן כלולות באותו כתב אישום, או שהתגלו במהלך הדיון.</w:t>
            </w:r>
          </w:p>
          <w:p w:rsidR="00000000" w:rsidRDefault="00AF1222">
            <w:pPr>
              <w:bidi/>
              <w:jc w:val="both"/>
              <w:rPr>
                <w:rFonts w:cs="David"/>
                <w:sz w:val="26"/>
                <w:szCs w:val="26"/>
              </w:rPr>
            </w:pPr>
          </w:p>
        </w:tc>
      </w:tr>
      <w:tr w:rsidR="00000000">
        <w:trPr>
          <w:cantSplit/>
          <w:trHeight w:val="28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אב בית דין</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17" w:author="User" w:date="2005-04-17T16:33:00Z" w:original="%1:45: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יושב בדין נשיא בית דין – יהיה הוא אב בית הדין;</w:t>
            </w:r>
          </w:p>
          <w:p w:rsidR="00000000" w:rsidRDefault="00AF1222">
            <w:pPr>
              <w:bidi/>
              <w:jc w:val="both"/>
              <w:rPr>
                <w:rFonts w:cs="David"/>
                <w:sz w:val="26"/>
                <w:szCs w:val="26"/>
                <w:rtl/>
              </w:rPr>
            </w:pPr>
            <w:r>
              <w:rPr>
                <w:rFonts w:cs="David"/>
                <w:sz w:val="26"/>
                <w:szCs w:val="26"/>
                <w:rtl/>
              </w:rPr>
              <w:t>לא יושב בדין נשיא בית הדין – יהיה הבכיר בדרגה</w:t>
            </w:r>
            <w:r>
              <w:rPr>
                <w:rFonts w:cs="David"/>
                <w:sz w:val="26"/>
                <w:szCs w:val="26"/>
                <w:rtl/>
              </w:rPr>
              <w:t xml:space="preserve"> אב בית הדין ואם אין בכיר בדרגה, ייקבע אב בית הדין על ידי נשיא בית הדין.</w:t>
            </w:r>
          </w:p>
          <w:p w:rsidR="00000000" w:rsidRDefault="00AF1222">
            <w:pPr>
              <w:bidi/>
              <w:jc w:val="both"/>
              <w:rPr>
                <w:rFonts w:cs="David"/>
                <w:b/>
                <w:bCs/>
                <w:sz w:val="26"/>
                <w:szCs w:val="26"/>
                <w:u w:val="single"/>
              </w:rPr>
            </w:pPr>
          </w:p>
        </w:tc>
      </w:tr>
      <w:tr w:rsidR="00000000">
        <w:trPr>
          <w:cantSplit/>
          <w:trHeight w:val="28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אב בית הדין ינהל את הדיון בישיבות בית הדין ורשאי הוא להורות כל הוראה הדרושה לקיום הסדר במקום הדיון.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מינוי תובע</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8" w:author="User" w:date="2005-04-17T16:33:00Z" w:original="%1:4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או מי שהוא הסמיך לכך, ימנה עורך דין שהוא  קצ</w:t>
            </w:r>
            <w:r>
              <w:rPr>
                <w:rFonts w:cs="David"/>
                <w:sz w:val="26"/>
                <w:szCs w:val="26"/>
                <w:rtl/>
              </w:rPr>
              <w:t>ין משטרה שדרגתו תיקבע בפקודות משטרת ישראל, שייצג אותו וישמש תובע בבית הדין למשמעת.</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בקשה לפסלות שופט</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9" w:author="User" w:date="2005-04-17T16:33:00Z" w:original="%1:4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color w:val="FF0000"/>
                <w:sz w:val="26"/>
                <w:szCs w:val="26"/>
              </w:rPr>
            </w:pPr>
            <w:r>
              <w:rPr>
                <w:rFonts w:cs="David"/>
                <w:sz w:val="26"/>
                <w:szCs w:val="26"/>
                <w:rtl/>
              </w:rPr>
              <w:t>בעל דין רשאי לפנות לבית הדין למשמעת בבקשה מנומקת לפסול שופט היושב בדינו; נענה בית הדין לבקשה – ימונה שופט אחר  תחתיו; נדחתה הבקשה – רשאי בעל דין לער</w:t>
            </w:r>
            <w:r>
              <w:rPr>
                <w:rFonts w:cs="David"/>
                <w:sz w:val="26"/>
                <w:szCs w:val="26"/>
                <w:rtl/>
              </w:rPr>
              <w:t>ור על הדחייה לפני המפקח הכללי בדרך שתיקבע בפקודות משטרת ישראל.</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הכרעת הדין</w:t>
            </w:r>
          </w:p>
        </w:tc>
        <w:tc>
          <w:tcPr>
            <w:tcW w:w="900" w:type="dxa"/>
            <w:tcBorders>
              <w:top w:val="nil"/>
              <w:left w:val="nil"/>
              <w:bottom w:val="nil"/>
              <w:right w:val="nil"/>
            </w:tcBorders>
          </w:tcPr>
          <w:p w:rsidR="00000000" w:rsidRDefault="00AF1222">
            <w:pPr>
              <w:numPr>
                <w:ilvl w:val="0"/>
                <w:numId w:val="5"/>
                <w:numberingChange w:id="20" w:author="User" w:date="2005-04-17T16:33:00Z" w:original="%1:4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בתום בירור האשמה יחליט בית הדין למשמעת, מנימוקים שיירשמו, (להלן – הכרעת הדין) לזכות את הנאשם, או להרשיעו – אם מצא אותו אשם.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הרשעה בעבירה על-פי עובדות שלא נטענו בכתב האישום</w:t>
            </w:r>
          </w:p>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numPr>
                <w:ilvl w:val="0"/>
                <w:numId w:val="5"/>
                <w:numberingChange w:id="21" w:author="User" w:date="2005-04-17T16:33:00Z" w:original="%1:4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למשמעת רשאי להרשיע נאשם בעבירה שאשמתו בה נתגלתה מן העובדות שהוכחו לפניו, אף אם עובדות אלו לא נטענו בכתב האישום, ובלבד שניתנה לנאשם הזדמנות סבירה להתגונן.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הרשעה בעבירות אחדות</w:t>
            </w:r>
          </w:p>
        </w:tc>
        <w:tc>
          <w:tcPr>
            <w:tcW w:w="900" w:type="dxa"/>
            <w:tcBorders>
              <w:top w:val="nil"/>
              <w:left w:val="nil"/>
              <w:bottom w:val="nil"/>
              <w:right w:val="nil"/>
            </w:tcBorders>
          </w:tcPr>
          <w:p w:rsidR="00000000" w:rsidRDefault="00AF1222">
            <w:pPr>
              <w:numPr>
                <w:ilvl w:val="0"/>
                <w:numId w:val="5"/>
                <w:numberingChange w:id="22" w:author="User" w:date="2005-04-17T16:33:00Z" w:original="%1:50: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בית הדין למשמעת רשאי להרשיע נאשם בשל כל אחת מן העבירות שאשמתו </w:t>
            </w:r>
            <w:r>
              <w:rPr>
                <w:rFonts w:cs="David"/>
                <w:sz w:val="26"/>
                <w:szCs w:val="26"/>
                <w:rtl/>
              </w:rPr>
              <w:t>בהן נתגלתה מן העובדות שהוכחו לפניו, אך לא יענישנו יותר מפעם אחת בשל אותו מעשה.</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ראיות לענין העונש</w:t>
            </w:r>
          </w:p>
        </w:tc>
        <w:tc>
          <w:tcPr>
            <w:tcW w:w="900" w:type="dxa"/>
            <w:tcBorders>
              <w:top w:val="nil"/>
              <w:left w:val="nil"/>
              <w:bottom w:val="nil"/>
              <w:right w:val="nil"/>
            </w:tcBorders>
          </w:tcPr>
          <w:p w:rsidR="00000000" w:rsidRDefault="00AF1222">
            <w:pPr>
              <w:numPr>
                <w:ilvl w:val="0"/>
                <w:numId w:val="5"/>
                <w:numberingChange w:id="23" w:author="User" w:date="2005-04-17T16:33:00Z" w:original="%1:51: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הורשע נאשם בעבירה, רשאים התובע והנאשם להביא ראיותיהם לענין העונש, לרבות ראיות בדבר הרשעותיו הקודמות של הנאשם.</w:t>
            </w:r>
          </w:p>
          <w:p w:rsidR="00000000" w:rsidRDefault="00AF1222">
            <w:pPr>
              <w:bidi/>
              <w:jc w:val="both"/>
              <w:rPr>
                <w:rFonts w:cs="David"/>
                <w:b/>
                <w:bCs/>
                <w:sz w:val="26"/>
                <w:szCs w:val="26"/>
                <w:u w:val="single"/>
              </w:rPr>
            </w:pPr>
          </w:p>
        </w:tc>
      </w:tr>
      <w:tr w:rsidR="00000000">
        <w:trPr>
          <w:cantSplit/>
          <w:trHeight w:val="15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סמכות ענישה של בית דין למשמעת</w:t>
            </w:r>
          </w:p>
        </w:tc>
        <w:tc>
          <w:tcPr>
            <w:tcW w:w="900" w:type="dxa"/>
            <w:vMerge w:val="restart"/>
            <w:tcBorders>
              <w:top w:val="nil"/>
              <w:left w:val="nil"/>
              <w:bottom w:val="nil"/>
              <w:right w:val="nil"/>
            </w:tcBorders>
          </w:tcPr>
          <w:p w:rsidR="00000000" w:rsidRDefault="00AF1222">
            <w:pPr>
              <w:numPr>
                <w:ilvl w:val="0"/>
                <w:numId w:val="5"/>
                <w:numberingChange w:id="24" w:author="User" w:date="2005-04-17T16:33:00Z" w:original="%1:52: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w:t>
            </w:r>
            <w:r>
              <w:rPr>
                <w:rFonts w:cs="David"/>
                <w:sz w:val="26"/>
                <w:szCs w:val="26"/>
                <w:rtl/>
              </w:rPr>
              <w:t xml:space="preserve">ורשע נאשם בעבירה יגזור בית הדין את דינו ויטיל עליו עונשים אלה, כולם או חלקם – </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נזיפה;</w:t>
            </w:r>
          </w:p>
          <w:p w:rsidR="00000000" w:rsidRDefault="00AF1222">
            <w:pPr>
              <w:bidi/>
              <w:ind w:left="1080"/>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נזיפה חמורה;</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קנס שאינו עולה על כפל הקנס שמוסמך דן יחיד שהוא קצין שיפוט בכיר להטיל לפי סעיף 34 (2)(ג), לפי הענין;</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 xml:space="preserve"> ריתוק למקום השירות לתקופה שאינה עולה</w:t>
            </w:r>
            <w:r>
              <w:rPr>
                <w:rFonts w:cs="David"/>
                <w:sz w:val="26"/>
                <w:szCs w:val="26"/>
                <w:rtl/>
              </w:rPr>
              <w:t xml:space="preserve"> על 45 ימים;</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מחבוש לתקופה שאינה עולה על 45 ימים;</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הורדה בדרגה;</w:t>
            </w:r>
          </w:p>
          <w:p w:rsidR="00000000" w:rsidRDefault="00AF1222">
            <w:pPr>
              <w:bidi/>
              <w:jc w:val="both"/>
              <w:rPr>
                <w:rFonts w:cs="David"/>
                <w:sz w:val="26"/>
                <w:szCs w:val="26"/>
                <w:rtl/>
              </w:rPr>
            </w:pPr>
          </w:p>
          <w:p w:rsidR="00000000" w:rsidRDefault="00AF1222">
            <w:pPr>
              <w:numPr>
                <w:ilvl w:val="1"/>
                <w:numId w:val="17"/>
              </w:numPr>
              <w:bidi/>
              <w:ind w:right="1440"/>
              <w:jc w:val="both"/>
              <w:rPr>
                <w:rFonts w:cs="David"/>
                <w:sz w:val="26"/>
                <w:szCs w:val="26"/>
                <w:rtl/>
              </w:rPr>
            </w:pPr>
            <w:r>
              <w:rPr>
                <w:rFonts w:cs="David"/>
                <w:sz w:val="26"/>
                <w:szCs w:val="26"/>
                <w:rtl/>
              </w:rPr>
              <w:t>בעבירה הכרוכה בנהיגה ברכב משטרתי – פסילת רשיון נהיגה משטרתי לתקופה שאינה עולה על 90 ימים.</w:t>
            </w:r>
          </w:p>
          <w:p w:rsidR="00000000" w:rsidRDefault="00AF1222">
            <w:pPr>
              <w:bidi/>
              <w:ind w:left="567" w:hanging="567"/>
              <w:jc w:val="both"/>
              <w:rPr>
                <w:rFonts w:cs="David"/>
                <w:sz w:val="26"/>
                <w:szCs w:val="26"/>
              </w:rPr>
            </w:pPr>
          </w:p>
        </w:tc>
      </w:tr>
      <w:tr w:rsidR="00000000">
        <w:trPr>
          <w:cantSplit/>
          <w:trHeight w:val="41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לא יוטל עונש ריתוק או מחבוש לפי סעיף זה על מי שחדל להיות שוטר.</w:t>
            </w:r>
          </w:p>
          <w:p w:rsidR="00000000" w:rsidRDefault="00AF1222">
            <w:pPr>
              <w:bidi/>
              <w:jc w:val="both"/>
              <w:rPr>
                <w:rFonts w:cs="David"/>
                <w:b/>
                <w:bCs/>
                <w:sz w:val="26"/>
                <w:szCs w:val="26"/>
                <w:u w:val="single"/>
              </w:rPr>
            </w:pPr>
          </w:p>
        </w:tc>
      </w:tr>
      <w:tr w:rsidR="00000000">
        <w:trPr>
          <w:cantSplit/>
          <w:trHeight w:val="412"/>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tl/>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tl/>
              </w:rPr>
            </w:pPr>
            <w:r>
              <w:rPr>
                <w:rFonts w:cs="David"/>
                <w:sz w:val="26"/>
                <w:szCs w:val="26"/>
                <w:rtl/>
              </w:rPr>
              <w:t>הורדה בדרג</w:t>
            </w:r>
            <w:r>
              <w:rPr>
                <w:rFonts w:cs="David"/>
                <w:sz w:val="26"/>
                <w:szCs w:val="26"/>
                <w:rtl/>
              </w:rPr>
              <w:t>ה לפי סעיף זה תהיה לתקופה שתיקבע בפקודות משטרת ישראל, ואולם רשאי בית הדין לקבוע תקופה אחרת מטעמים שיירשמו.</w:t>
            </w:r>
          </w:p>
          <w:p w:rsidR="00000000" w:rsidRDefault="00AF1222">
            <w:pPr>
              <w:bidi/>
              <w:jc w:val="both"/>
              <w:rPr>
                <w:rFonts w:cs="David"/>
                <w:sz w:val="26"/>
                <w:szCs w:val="26"/>
                <w:rtl/>
              </w:rPr>
            </w:pPr>
          </w:p>
        </w:tc>
      </w:tr>
      <w:tr w:rsidR="00000000">
        <w:trPr>
          <w:cantSplit/>
          <w:trHeight w:val="1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דחיית ביצוע עונש</w:t>
            </w:r>
          </w:p>
        </w:tc>
        <w:tc>
          <w:tcPr>
            <w:tcW w:w="900" w:type="dxa"/>
            <w:vMerge w:val="restart"/>
            <w:tcBorders>
              <w:top w:val="nil"/>
              <w:left w:val="nil"/>
              <w:bottom w:val="nil"/>
              <w:right w:val="nil"/>
            </w:tcBorders>
          </w:tcPr>
          <w:p w:rsidR="00000000" w:rsidRDefault="00AF1222">
            <w:pPr>
              <w:numPr>
                <w:ilvl w:val="0"/>
                <w:numId w:val="5"/>
                <w:numberingChange w:id="25" w:author="User" w:date="2005-04-17T16:33:00Z" w:original="%1:53: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רשאי, לבקשת נאשם ומנימוקים שיירשמו, במעמד מתן גזר הדין, לדחות את ביצוע העונש או לקבוע תנאים לביצועו.</w:t>
            </w:r>
          </w:p>
          <w:p w:rsidR="00000000" w:rsidRDefault="00AF1222">
            <w:pPr>
              <w:bidi/>
              <w:jc w:val="both"/>
              <w:rPr>
                <w:rFonts w:cs="David"/>
                <w:b/>
                <w:bCs/>
                <w:sz w:val="26"/>
                <w:szCs w:val="26"/>
                <w:u w:val="single"/>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ניתן</w:t>
            </w:r>
            <w:r>
              <w:rPr>
                <w:rFonts w:cs="David"/>
                <w:sz w:val="26"/>
                <w:szCs w:val="26"/>
                <w:rtl/>
              </w:rPr>
              <w:t xml:space="preserve"> גזר דין, רשאי אב בית הדין שגזר את הדין, לבקשת נאשם ומנימוקים שיירשמו לדחות את ביצוע העונש או לקבוע תנאים לביצועו, גם לאחר מתן גזר הדין.</w:t>
            </w:r>
          </w:p>
          <w:p w:rsidR="00000000" w:rsidRDefault="00AF1222">
            <w:pPr>
              <w:bidi/>
              <w:jc w:val="both"/>
              <w:rPr>
                <w:rFonts w:cs="David"/>
                <w:b/>
                <w:bCs/>
                <w:sz w:val="26"/>
                <w:szCs w:val="26"/>
                <w:u w:val="single"/>
              </w:rPr>
            </w:pPr>
          </w:p>
        </w:tc>
      </w:tr>
      <w:tr w:rsidR="00000000">
        <w:trPr>
          <w:cantSplit/>
          <w:trHeight w:val="17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קטן (ב), ערער הנאשם על פסק הדין, יגיש את בקשתו לדחיית ביצוע העונש או לקביעת תנאים לביצועו לנש</w:t>
            </w:r>
            <w:r>
              <w:rPr>
                <w:rFonts w:cs="David"/>
                <w:sz w:val="26"/>
                <w:szCs w:val="26"/>
                <w:rtl/>
              </w:rPr>
              <w:t>יא בית הדין לערעורים, שתהא נתונה לו הסמכות האמורה בסעיף זה.</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בית דין שנחלקו בו הדעות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26" w:author="User" w:date="2005-04-17T16:33:00Z" w:original="%1:5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בית דין שנחלקו בו הדעות תכריע דעת הרוב; לא היתה דעת רוב לענין סוג העונש או מידתו תכריע דעת אב בית הדין.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ד': בית דין לערעורים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כינון בית דין לערעורים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27" w:author="User" w:date="2005-04-17T16:33:00Z" w:original="%1:55: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השר יכונן, בצו, בית דין לערעורים, שידון בערעורים על פסקי דין של בית דין למשמעת ויקבע את מקום מושבו.</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מינוי נשיא בית הדין לערעורים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28" w:author="User" w:date="2005-04-17T16:33:00Z" w:original="%1:5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u w:val="single"/>
              </w:rPr>
            </w:pPr>
            <w:r>
              <w:rPr>
                <w:rFonts w:cs="David"/>
                <w:sz w:val="26"/>
                <w:szCs w:val="26"/>
                <w:rtl/>
              </w:rPr>
              <w:t xml:space="preserve">השר ימנה נשיא לבית הדין לערעורים שהוא קצין משטרה בכיר שדרגתו תיקבע בפקודות משטרת ישראל, ובלבד שדרגתו תהיה גבוהה מדרגת </w:t>
            </w:r>
            <w:r>
              <w:rPr>
                <w:rFonts w:cs="David"/>
                <w:sz w:val="26"/>
                <w:szCs w:val="26"/>
                <w:rtl/>
              </w:rPr>
              <w:t>נשיא בית הדין למשמעת.</w:t>
            </w: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מינוי מותב בית דין לערעורים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29" w:author="User" w:date="2005-04-17T16:33:00Z" w:original="%1:5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מותב בית הדין לערעורים יורכב משלושה שופטים, שימנה נשיא בית הדין, שהם קציני משטרה בכירים, מהם שניים לפחות, עורכי דין; השופטים ימונו מתוך רשימת שופטים שקבע המפקח הכללי. </w:t>
            </w:r>
          </w:p>
          <w:p w:rsidR="00000000" w:rsidRDefault="00AF1222">
            <w:pPr>
              <w:bidi/>
              <w:jc w:val="both"/>
              <w:rPr>
                <w:rFonts w:cs="David"/>
                <w:b/>
                <w:bCs/>
                <w:color w:val="FF0000"/>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דרגת שופט</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30" w:author="User" w:date="2005-04-17T16:33:00Z" w:original="%1:5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בבית הדין לער</w:t>
            </w:r>
            <w:r>
              <w:rPr>
                <w:rFonts w:cs="David"/>
                <w:sz w:val="26"/>
                <w:szCs w:val="26"/>
                <w:rtl/>
              </w:rPr>
              <w:t>עורים לא יישב שופט שדרגתו נמוכה מדרגת הנאשם.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בקשה לפסלות שופט בערעור</w:t>
            </w:r>
          </w:p>
        </w:tc>
        <w:tc>
          <w:tcPr>
            <w:tcW w:w="900" w:type="dxa"/>
            <w:tcBorders>
              <w:top w:val="nil"/>
              <w:left w:val="nil"/>
              <w:bottom w:val="nil"/>
              <w:right w:val="nil"/>
            </w:tcBorders>
          </w:tcPr>
          <w:p w:rsidR="00000000" w:rsidRDefault="00AF1222">
            <w:pPr>
              <w:numPr>
                <w:ilvl w:val="0"/>
                <w:numId w:val="5"/>
                <w:numberingChange w:id="31" w:author="User" w:date="2005-04-17T16:33:00Z" w:original="%1:5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בעל דין רשאי לפנות לבית הדין לערעורים בבקשה מנומקת לפסול שופט היושב בדינו; נענה בית הדין לערעורים לבקשה, ימונה שופט אחר תחתיו; נדחתה הבקשה, רשאי בעל הדין לערור על הדחייה בפני השר ב</w:t>
            </w:r>
            <w:r>
              <w:rPr>
                <w:rFonts w:cs="David"/>
                <w:sz w:val="26"/>
                <w:szCs w:val="26"/>
                <w:rtl/>
              </w:rPr>
              <w:t>דרך שקבע השר.</w:t>
            </w:r>
          </w:p>
          <w:p w:rsidR="00000000" w:rsidRDefault="00AF1222">
            <w:pPr>
              <w:bidi/>
              <w:jc w:val="both"/>
              <w:rPr>
                <w:rFonts w:cs="David"/>
                <w:b/>
                <w:bCs/>
                <w:sz w:val="26"/>
                <w:szCs w:val="26"/>
                <w:u w:val="single"/>
              </w:rPr>
            </w:pPr>
          </w:p>
        </w:tc>
      </w:tr>
      <w:tr w:rsidR="00000000">
        <w:trPr>
          <w:cantSplit/>
          <w:trHeight w:val="28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זכות ערעור</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32" w:author="User" w:date="2005-04-17T16:33:00Z" w:original="%1:60: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נאשם שהורשע בבית דין למשמעת, וכן המפקח הכללי או מי שהוא הסמיך לכך, רשאים, בתוך 45 ימים מיום מתן פסק הדין, לערער על הכרעת הדין, על גזר הדין או על פסק הדין כולו, ורשאים הם לעשות כן גם אם חדל הנאשם להיות שוטר.</w:t>
            </w:r>
          </w:p>
          <w:p w:rsidR="00000000" w:rsidRDefault="00AF1222">
            <w:pPr>
              <w:bidi/>
              <w:jc w:val="both"/>
              <w:rPr>
                <w:rFonts w:cs="David"/>
                <w:b/>
                <w:bCs/>
                <w:sz w:val="26"/>
                <w:szCs w:val="26"/>
                <w:u w:val="single"/>
              </w:rPr>
            </w:pPr>
          </w:p>
        </w:tc>
      </w:tr>
      <w:tr w:rsidR="00000000">
        <w:trPr>
          <w:cantSplit/>
          <w:trHeight w:val="28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ניתן</w:t>
            </w:r>
            <w:r>
              <w:rPr>
                <w:rFonts w:cs="David"/>
                <w:sz w:val="26"/>
                <w:szCs w:val="26"/>
                <w:rtl/>
              </w:rPr>
              <w:t xml:space="preserve"> פסק הדין שלא במעמד הנאשם או התובע, יחל מנין התקופה להגשת הערעור כאמור בסעיף קטן (א) מן היום שבו הומצא לו פסק הדין, בדרך שתיקבע בפקודות משטרת ישראל.</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הגשת כתב ערעור</w:t>
            </w:r>
          </w:p>
        </w:tc>
        <w:tc>
          <w:tcPr>
            <w:tcW w:w="900" w:type="dxa"/>
            <w:tcBorders>
              <w:top w:val="nil"/>
              <w:left w:val="nil"/>
              <w:bottom w:val="nil"/>
              <w:right w:val="nil"/>
            </w:tcBorders>
          </w:tcPr>
          <w:p w:rsidR="00000000" w:rsidRDefault="00AF1222">
            <w:pPr>
              <w:numPr>
                <w:ilvl w:val="0"/>
                <w:numId w:val="5"/>
                <w:numberingChange w:id="33" w:author="User" w:date="2005-04-17T16:33:00Z" w:original="%1:61: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ערעור יהיה בהגשת כתב ערעור לבית הדין לערעורים, חתום בידי המערער או בא-כוחו, בדרך שקבע</w:t>
            </w:r>
            <w:r>
              <w:rPr>
                <w:rFonts w:cs="David"/>
                <w:sz w:val="26"/>
                <w:szCs w:val="26"/>
                <w:rtl/>
              </w:rPr>
              <w:t xml:space="preserve"> השר.</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ייצוג המפקח הכללי</w:t>
            </w:r>
          </w:p>
          <w:p w:rsidR="00000000" w:rsidRDefault="00AF1222">
            <w:pPr>
              <w:bidi/>
              <w:jc w:val="both"/>
              <w:rPr>
                <w:rFonts w:cs="David"/>
                <w:b/>
                <w:bCs/>
                <w:sz w:val="26"/>
                <w:szCs w:val="26"/>
                <w:rtl/>
              </w:rPr>
            </w:pPr>
          </w:p>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numPr>
                <w:ilvl w:val="0"/>
                <w:numId w:val="5"/>
                <w:numberingChange w:id="34" w:author="User" w:date="2005-04-17T16:33:00Z" w:original="%1:62: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או מי שהוא הסמיך לכך, ימנה עורך דין שהוא קצין משטרה שדרגתו תיקבע בפקודות משטרת ישראל, שייצג אותו לפני בית הדין לערעורים, כמשיב או כמערער, לפי הענין.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חזרה מערעור</w:t>
            </w:r>
          </w:p>
        </w:tc>
        <w:tc>
          <w:tcPr>
            <w:tcW w:w="900" w:type="dxa"/>
            <w:tcBorders>
              <w:top w:val="nil"/>
              <w:left w:val="nil"/>
              <w:bottom w:val="nil"/>
              <w:right w:val="nil"/>
            </w:tcBorders>
          </w:tcPr>
          <w:p w:rsidR="00000000" w:rsidRDefault="00AF1222">
            <w:pPr>
              <w:numPr>
                <w:ilvl w:val="0"/>
                <w:numId w:val="5"/>
                <w:numberingChange w:id="35" w:author="User" w:date="2005-04-17T16:33:00Z" w:original="%1:6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מערער רשאי לחזור בו מערעורו בכל שלב של הערע</w:t>
            </w:r>
            <w:r>
              <w:rPr>
                <w:rFonts w:cs="David"/>
                <w:sz w:val="26"/>
                <w:szCs w:val="26"/>
                <w:rtl/>
              </w:rPr>
              <w:t>ור, אולם משהסתיימו טענות בעלי הדין, לא יחזור בו מערעורו אלא ברשות בית הדין לערעורים.</w:t>
            </w:r>
          </w:p>
          <w:p w:rsidR="00000000" w:rsidRDefault="00AF1222">
            <w:pPr>
              <w:bidi/>
              <w:jc w:val="both"/>
              <w:rPr>
                <w:rFonts w:cs="David"/>
                <w:b/>
                <w:bCs/>
                <w:sz w:val="26"/>
                <w:szCs w:val="26"/>
                <w:u w:val="single"/>
              </w:rPr>
            </w:pPr>
          </w:p>
        </w:tc>
      </w:tr>
      <w:tr w:rsidR="00000000">
        <w:trPr>
          <w:cantSplit/>
          <w:trHeight w:val="3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דיון בערעור בפני בעלי הדין</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36" w:author="User" w:date="2005-04-17T16:33:00Z" w:original="%1:64: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הדיון בערעור יהיה בפני בעלי הדין; אולם אם הוזמן בעל דין ולא התייצב, רשאי בית הדין לערעורים לדון בערעור שלא בפניו, ואם לא התייצב המער</w:t>
            </w:r>
            <w:r>
              <w:rPr>
                <w:rFonts w:cs="David"/>
                <w:sz w:val="26"/>
                <w:szCs w:val="26"/>
                <w:rtl/>
              </w:rPr>
              <w:t>ער – רשאי הוא לדחות את הערעור מטעם זה בלבד.</w:t>
            </w:r>
          </w:p>
          <w:p w:rsidR="00000000" w:rsidRDefault="00AF1222">
            <w:pPr>
              <w:bidi/>
              <w:jc w:val="both"/>
              <w:rPr>
                <w:rFonts w:cs="David"/>
                <w:b/>
                <w:bCs/>
                <w:sz w:val="26"/>
                <w:szCs w:val="26"/>
                <w:u w:val="single"/>
              </w:rPr>
            </w:pPr>
          </w:p>
        </w:tc>
      </w:tr>
      <w:tr w:rsidR="00000000">
        <w:trPr>
          <w:cantSplit/>
          <w:trHeight w:val="36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נדחה ערעורו של נאשם בשל אי התייצבותו, יבטל בית הדין לערעורים את ההחלטה על דחיית הערעור על פי בקשת המערער, וישמע את הערעור, אם נוכח כי היתה סיבה מוצדקת לאי התייצבות המערער או אם ראה שהדבר דרוש כדי למנוע עי</w:t>
            </w:r>
            <w:r>
              <w:rPr>
                <w:rFonts w:cs="David"/>
                <w:sz w:val="26"/>
                <w:szCs w:val="26"/>
                <w:rtl/>
              </w:rPr>
              <w:t>וות דין; בקשה לפי סעיף קטן זה תוגש בתוך 15 ימים מיום שהחלטת הדחייה הודעה למערער, ואולם רשאי בית הדין לערעורים, מטעמים מיוחדים שיירשמו, לדון בבקשה כאמור, אף אם הוגשה לאחר תום התקופה האמורה.</w:t>
            </w:r>
          </w:p>
          <w:p w:rsidR="00000000" w:rsidRDefault="00AF1222">
            <w:pPr>
              <w:bidi/>
              <w:jc w:val="both"/>
              <w:rPr>
                <w:rFonts w:cs="David"/>
                <w:b/>
                <w:bCs/>
                <w:sz w:val="26"/>
                <w:szCs w:val="26"/>
                <w:u w:val="single"/>
              </w:rPr>
            </w:pPr>
          </w:p>
        </w:tc>
      </w:tr>
      <w:tr w:rsidR="00000000">
        <w:trPr>
          <w:cantSplit/>
          <w:trHeight w:val="2157"/>
          <w:jc w:val="right"/>
        </w:trPr>
        <w:tc>
          <w:tcPr>
            <w:tcW w:w="1337" w:type="dxa"/>
            <w:vMerge w:val="restart"/>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 xml:space="preserve">סמכות </w:t>
            </w:r>
          </w:p>
          <w:p w:rsidR="00000000" w:rsidRDefault="00AF1222">
            <w:pPr>
              <w:bidi/>
              <w:jc w:val="both"/>
              <w:rPr>
                <w:rFonts w:cs="David"/>
                <w:b/>
                <w:bCs/>
                <w:sz w:val="26"/>
                <w:szCs w:val="26"/>
                <w:u w:val="single"/>
              </w:rPr>
            </w:pPr>
            <w:r>
              <w:rPr>
                <w:rFonts w:cs="David"/>
                <w:b/>
                <w:bCs/>
                <w:sz w:val="26"/>
                <w:szCs w:val="26"/>
                <w:rtl/>
              </w:rPr>
              <w:t>בית הדין לערעורים</w:t>
            </w:r>
          </w:p>
        </w:tc>
        <w:tc>
          <w:tcPr>
            <w:tcW w:w="900" w:type="dxa"/>
            <w:vMerge w:val="restart"/>
            <w:tcBorders>
              <w:top w:val="nil"/>
              <w:left w:val="nil"/>
              <w:bottom w:val="nil"/>
              <w:right w:val="nil"/>
            </w:tcBorders>
          </w:tcPr>
          <w:p w:rsidR="00000000" w:rsidRDefault="00AF1222">
            <w:pPr>
              <w:numPr>
                <w:ilvl w:val="0"/>
                <w:numId w:val="5"/>
                <w:numberingChange w:id="37" w:author="User" w:date="2005-04-17T16:33:00Z" w:original="%1:65:0:."/>
              </w:numPr>
              <w:bidi/>
              <w:ind w:right="720"/>
              <w:jc w:val="both"/>
              <w:rPr>
                <w:rFonts w:cs="David"/>
                <w:sz w:val="26"/>
                <w:szCs w:val="26"/>
              </w:rPr>
            </w:pPr>
          </w:p>
        </w:tc>
        <w:tc>
          <w:tcPr>
            <w:tcW w:w="6300" w:type="dxa"/>
            <w:gridSpan w:val="2"/>
            <w:vMerge w:val="restart"/>
            <w:tcBorders>
              <w:top w:val="nil"/>
              <w:left w:val="nil"/>
              <w:bottom w:val="nil"/>
              <w:right w:val="nil"/>
            </w:tcBorders>
          </w:tcPr>
          <w:p w:rsidR="00000000" w:rsidRDefault="00AF1222">
            <w:pPr>
              <w:bidi/>
              <w:jc w:val="both"/>
              <w:rPr>
                <w:rFonts w:cs="David"/>
                <w:sz w:val="26"/>
                <w:szCs w:val="26"/>
              </w:rPr>
            </w:pPr>
            <w:r>
              <w:rPr>
                <w:rFonts w:cs="David"/>
                <w:sz w:val="26"/>
                <w:szCs w:val="26"/>
                <w:rtl/>
              </w:rPr>
              <w:t>בית הדין לערעורים רשאי לעשות אחת מא</w:t>
            </w:r>
            <w:r>
              <w:rPr>
                <w:rFonts w:cs="David"/>
                <w:sz w:val="26"/>
                <w:szCs w:val="26"/>
                <w:rtl/>
              </w:rPr>
              <w:t>לה:</w:t>
            </w:r>
          </w:p>
          <w:p w:rsidR="00000000" w:rsidRDefault="00AF1222">
            <w:pPr>
              <w:bidi/>
              <w:jc w:val="both"/>
              <w:rPr>
                <w:rFonts w:cs="David"/>
                <w:sz w:val="26"/>
                <w:szCs w:val="26"/>
                <w:rtl/>
              </w:rPr>
            </w:pPr>
          </w:p>
          <w:p w:rsidR="00000000" w:rsidRDefault="00AF1222">
            <w:pPr>
              <w:numPr>
                <w:ilvl w:val="1"/>
                <w:numId w:val="14"/>
              </w:numPr>
              <w:bidi/>
              <w:ind w:right="1440"/>
              <w:jc w:val="both"/>
              <w:rPr>
                <w:rFonts w:cs="David"/>
                <w:sz w:val="26"/>
                <w:szCs w:val="26"/>
                <w:rtl/>
              </w:rPr>
            </w:pPr>
            <w:r>
              <w:rPr>
                <w:rFonts w:cs="David"/>
                <w:sz w:val="26"/>
                <w:szCs w:val="26"/>
                <w:rtl/>
              </w:rPr>
              <w:t>לקבל את הערעור, כולו או חלקו, לשנות את פסק הדין של בית הדין למשמעת, או לבטלו ולתת אחר במקומו;</w:t>
            </w:r>
          </w:p>
          <w:p w:rsidR="00000000" w:rsidRDefault="00AF1222">
            <w:pPr>
              <w:bidi/>
              <w:ind w:left="1080"/>
              <w:jc w:val="both"/>
              <w:rPr>
                <w:rFonts w:cs="David"/>
                <w:sz w:val="26"/>
                <w:szCs w:val="26"/>
                <w:rtl/>
              </w:rPr>
            </w:pPr>
          </w:p>
          <w:p w:rsidR="00000000" w:rsidRDefault="00AF1222">
            <w:pPr>
              <w:numPr>
                <w:ilvl w:val="1"/>
                <w:numId w:val="14"/>
              </w:numPr>
              <w:bidi/>
              <w:ind w:right="1440"/>
              <w:jc w:val="both"/>
              <w:rPr>
                <w:rFonts w:cs="David"/>
                <w:sz w:val="26"/>
                <w:szCs w:val="26"/>
                <w:rtl/>
              </w:rPr>
            </w:pPr>
            <w:r>
              <w:rPr>
                <w:rFonts w:cs="David"/>
                <w:sz w:val="26"/>
                <w:szCs w:val="26"/>
                <w:rtl/>
              </w:rPr>
              <w:t>לדחות את הערעור;</w:t>
            </w:r>
          </w:p>
          <w:p w:rsidR="00000000" w:rsidRDefault="00AF1222">
            <w:pPr>
              <w:bidi/>
              <w:jc w:val="both"/>
              <w:rPr>
                <w:rFonts w:cs="David"/>
                <w:sz w:val="26"/>
                <w:szCs w:val="26"/>
                <w:rtl/>
              </w:rPr>
            </w:pPr>
          </w:p>
          <w:p w:rsidR="00000000" w:rsidRDefault="00AF1222">
            <w:pPr>
              <w:numPr>
                <w:ilvl w:val="1"/>
                <w:numId w:val="14"/>
              </w:numPr>
              <w:bidi/>
              <w:ind w:right="1440"/>
              <w:jc w:val="both"/>
              <w:rPr>
                <w:rFonts w:cs="David"/>
                <w:sz w:val="26"/>
                <w:szCs w:val="26"/>
                <w:rtl/>
              </w:rPr>
            </w:pPr>
            <w:r>
              <w:rPr>
                <w:rFonts w:cs="David"/>
                <w:sz w:val="26"/>
                <w:szCs w:val="26"/>
                <w:rtl/>
              </w:rPr>
              <w:t>לתת בקשר לפסק הדין כל החלטה אחרת שבית הדין למשמעת היה מוסמך לתתה, ובכלל זה להרשיע נאשם בעבירת משמעת שאשמתו בה התגלתה מן העובדו</w:t>
            </w:r>
            <w:r>
              <w:rPr>
                <w:rFonts w:cs="David"/>
                <w:sz w:val="26"/>
                <w:szCs w:val="26"/>
                <w:rtl/>
              </w:rPr>
              <w:t>ת שהוכחו, אף אם העבירה שונה מזו שהורשע בה בבית הדין למשמעת, או שהעובדות שהוכחו לא נטענו בו, ובלבד שניתנה לנאשם הזדמנות סבירה להתגונן; ואולם לא יטיל בית הדין למשמעת על הנאשם עונש חמור משהוטל עליו, אלא אם כן הוגש ערעור על קולת העונש;</w:t>
            </w:r>
          </w:p>
          <w:p w:rsidR="00000000" w:rsidRDefault="00AF1222">
            <w:pPr>
              <w:bidi/>
              <w:jc w:val="both"/>
              <w:rPr>
                <w:rFonts w:cs="David"/>
                <w:sz w:val="26"/>
                <w:szCs w:val="26"/>
                <w:rtl/>
              </w:rPr>
            </w:pPr>
          </w:p>
          <w:p w:rsidR="00000000" w:rsidRDefault="00AF1222">
            <w:pPr>
              <w:numPr>
                <w:ilvl w:val="1"/>
                <w:numId w:val="14"/>
              </w:numPr>
              <w:bidi/>
              <w:ind w:right="1440"/>
              <w:jc w:val="both"/>
              <w:rPr>
                <w:rFonts w:cs="David"/>
                <w:sz w:val="26"/>
                <w:szCs w:val="26"/>
                <w:rtl/>
              </w:rPr>
            </w:pPr>
            <w:r>
              <w:rPr>
                <w:rFonts w:cs="David"/>
                <w:sz w:val="26"/>
                <w:szCs w:val="26"/>
                <w:rtl/>
              </w:rPr>
              <w:t>להחזיר את הדיון לבי</w:t>
            </w:r>
            <w:r>
              <w:rPr>
                <w:rFonts w:cs="David"/>
                <w:sz w:val="26"/>
                <w:szCs w:val="26"/>
                <w:rtl/>
              </w:rPr>
              <w:t>ת הדין למשמעת שנתן את פסק הדין, עם הוראות.</w:t>
            </w:r>
          </w:p>
          <w:p w:rsidR="00000000" w:rsidRDefault="00AF1222">
            <w:pPr>
              <w:bidi/>
              <w:jc w:val="both"/>
              <w:rPr>
                <w:rFonts w:cs="David"/>
                <w:sz w:val="26"/>
                <w:szCs w:val="26"/>
              </w:rPr>
            </w:pPr>
          </w:p>
        </w:tc>
      </w:tr>
      <w:tr w:rsidR="00000000">
        <w:trPr>
          <w:cantSplit/>
          <w:trHeight w:val="259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0" w:type="auto"/>
            <w:gridSpan w:val="2"/>
            <w:vMerge/>
            <w:tcBorders>
              <w:top w:val="nil"/>
              <w:left w:val="nil"/>
              <w:bottom w:val="nil"/>
              <w:right w:val="nil"/>
            </w:tcBorders>
            <w:vAlign w:val="center"/>
          </w:tcPr>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סמכות נשיא בית הדין לערעורים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38" w:author="User" w:date="2005-04-17T16:33:00Z" w:original="%1:6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לנשיא בית הדין לערעורים תהיה סמכות לדון בכל ענין שבסדרי דין, הנתונה לפי פרק זה לבית הדין לערעורים, וכן סמכות לעשות פעולה שבית הדין נדרש לעשותה, ובכלל אלה:</w:t>
            </w:r>
          </w:p>
          <w:p w:rsidR="00000000" w:rsidRDefault="00AF1222">
            <w:pPr>
              <w:bidi/>
              <w:jc w:val="both"/>
              <w:rPr>
                <w:rFonts w:cs="David"/>
                <w:sz w:val="26"/>
                <w:szCs w:val="26"/>
                <w:rtl/>
              </w:rPr>
            </w:pPr>
          </w:p>
          <w:p w:rsidR="00000000" w:rsidRDefault="00AF1222">
            <w:pPr>
              <w:numPr>
                <w:ilvl w:val="0"/>
                <w:numId w:val="18"/>
              </w:numPr>
              <w:bidi/>
              <w:ind w:right="840"/>
              <w:jc w:val="both"/>
              <w:rPr>
                <w:rFonts w:cs="David"/>
                <w:sz w:val="26"/>
                <w:szCs w:val="26"/>
                <w:rtl/>
              </w:rPr>
            </w:pPr>
            <w:r>
              <w:rPr>
                <w:rFonts w:cs="David"/>
                <w:sz w:val="26"/>
                <w:szCs w:val="26"/>
                <w:rtl/>
              </w:rPr>
              <w:t>הארכת מועדים</w:t>
            </w:r>
            <w:r>
              <w:rPr>
                <w:rFonts w:cs="David"/>
                <w:sz w:val="26"/>
                <w:szCs w:val="26"/>
                <w:rtl/>
              </w:rPr>
              <w:t xml:space="preserve"> להגשת ערעור לאחר שעברה התקופה  להגשתו כאמור בסעיף 60, אם מצא כי יש הצדק סביר לעשות כן;</w:t>
            </w:r>
          </w:p>
          <w:p w:rsidR="00000000" w:rsidRDefault="00AF1222">
            <w:pPr>
              <w:numPr>
                <w:ilvl w:val="0"/>
                <w:numId w:val="18"/>
                <w:numberingChange w:id="39" w:author="User" w:date="2005-04-17T16:33:00Z" w:original="(%1:1:0:)"/>
              </w:numPr>
              <w:bidi/>
              <w:ind w:right="840"/>
              <w:jc w:val="both"/>
              <w:rPr>
                <w:rFonts w:cs="David"/>
                <w:sz w:val="26"/>
                <w:szCs w:val="26"/>
                <w:rtl/>
              </w:rPr>
            </w:pPr>
            <w:r>
              <w:rPr>
                <w:rFonts w:cs="David"/>
                <w:sz w:val="26"/>
                <w:szCs w:val="26"/>
                <w:rtl/>
              </w:rPr>
              <w:t xml:space="preserve"> דחיית ביצוע עונש, הפסקתו או קביעת תנאים לביצועו.</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פסק דין סופי</w:t>
            </w:r>
          </w:p>
        </w:tc>
        <w:tc>
          <w:tcPr>
            <w:tcW w:w="900" w:type="dxa"/>
            <w:tcBorders>
              <w:top w:val="nil"/>
              <w:left w:val="nil"/>
              <w:bottom w:val="nil"/>
              <w:right w:val="nil"/>
            </w:tcBorders>
          </w:tcPr>
          <w:p w:rsidR="00000000" w:rsidRDefault="00AF1222">
            <w:pPr>
              <w:numPr>
                <w:ilvl w:val="0"/>
                <w:numId w:val="5"/>
                <w:numberingChange w:id="40" w:author="User" w:date="2005-04-17T16:33:00Z" w:original="%1:6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פסק דין של בית דין לערעורים הוא סופי.</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ה' – משפט חוזר</w:t>
            </w:r>
          </w:p>
          <w:p w:rsidR="00000000" w:rsidRDefault="00AF1222">
            <w:pPr>
              <w:bidi/>
              <w:jc w:val="both"/>
              <w:rPr>
                <w:rFonts w:cs="David"/>
                <w:b/>
                <w:bCs/>
                <w:sz w:val="26"/>
                <w:szCs w:val="26"/>
                <w:u w:val="single"/>
              </w:rPr>
            </w:pPr>
          </w:p>
        </w:tc>
      </w:tr>
      <w:tr w:rsidR="00000000">
        <w:trPr>
          <w:trHeight w:val="4813"/>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עילות לקיום משפט חוזר</w:t>
            </w:r>
          </w:p>
        </w:tc>
        <w:tc>
          <w:tcPr>
            <w:tcW w:w="900" w:type="dxa"/>
            <w:tcBorders>
              <w:top w:val="nil"/>
              <w:left w:val="nil"/>
              <w:bottom w:val="nil"/>
              <w:right w:val="nil"/>
            </w:tcBorders>
          </w:tcPr>
          <w:p w:rsidR="00000000" w:rsidRDefault="00AF1222">
            <w:pPr>
              <w:numPr>
                <w:ilvl w:val="0"/>
                <w:numId w:val="5"/>
                <w:numberingChange w:id="41" w:author="User" w:date="2005-04-17T16:33:00Z" w:original="%1:6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נשי</w:t>
            </w:r>
            <w:r>
              <w:rPr>
                <w:rFonts w:cs="David"/>
                <w:sz w:val="26"/>
                <w:szCs w:val="26"/>
                <w:rtl/>
              </w:rPr>
              <w:t>א בית הדין לערעורים רשאי להורות כי בית הדין לערעורים, או בית דין למשמעת שקבע לכך, יקיים משפט חוזר בענין משמעתי שנפסק בו סופית, גם אם חדל הנאשם להיות שוטר, אם ראה כי התקיים אחד מאלה:</w:t>
            </w:r>
          </w:p>
          <w:p w:rsidR="00000000" w:rsidRDefault="00AF1222">
            <w:pPr>
              <w:bidi/>
              <w:jc w:val="both"/>
              <w:rPr>
                <w:rFonts w:cs="David"/>
                <w:sz w:val="26"/>
                <w:szCs w:val="26"/>
                <w:rtl/>
              </w:rPr>
            </w:pPr>
          </w:p>
          <w:p w:rsidR="00000000" w:rsidRDefault="00AF1222">
            <w:pPr>
              <w:numPr>
                <w:ilvl w:val="0"/>
                <w:numId w:val="19"/>
              </w:numPr>
              <w:bidi/>
              <w:ind w:right="420"/>
              <w:jc w:val="both"/>
              <w:rPr>
                <w:rFonts w:cs="David"/>
                <w:sz w:val="26"/>
                <w:szCs w:val="26"/>
                <w:rtl/>
              </w:rPr>
            </w:pPr>
            <w:r>
              <w:rPr>
                <w:rFonts w:cs="David"/>
                <w:sz w:val="26"/>
                <w:szCs w:val="26"/>
                <w:rtl/>
              </w:rPr>
              <w:t>בית משפט או בית דין פסק כי ראיה מהראיות שהובאו באותו ענין יסודה היה ב</w:t>
            </w:r>
            <w:r>
              <w:rPr>
                <w:rFonts w:cs="David"/>
                <w:sz w:val="26"/>
                <w:szCs w:val="26"/>
                <w:rtl/>
              </w:rPr>
              <w:t>שקר או בזיוף, ויש יסוד להניח כי אילולא ראיה זאת היה בכך כדי לשנות את תוצאות המשפט לטובת הנידון;</w:t>
            </w:r>
          </w:p>
          <w:p w:rsidR="00000000" w:rsidRDefault="00AF1222">
            <w:pPr>
              <w:numPr>
                <w:ilvl w:val="0"/>
                <w:numId w:val="19"/>
                <w:numberingChange w:id="42" w:author="User" w:date="2005-04-17T16:33:00Z" w:original="(%1:1:0:)"/>
              </w:numPr>
              <w:bidi/>
              <w:ind w:right="420"/>
              <w:jc w:val="both"/>
              <w:rPr>
                <w:rFonts w:cs="David"/>
                <w:sz w:val="26"/>
                <w:szCs w:val="26"/>
                <w:rtl/>
              </w:rPr>
            </w:pPr>
            <w:r>
              <w:rPr>
                <w:rFonts w:cs="David"/>
                <w:sz w:val="26"/>
                <w:szCs w:val="26"/>
                <w:rtl/>
              </w:rPr>
              <w:t>הוצגו עובדות או ראיות, העשויות, לבדן או ביחד עם החומר שהיה בפני בית הדין בראשונה, לשנות את תוצאות המשפט לטובת הנידון;</w:t>
            </w:r>
          </w:p>
          <w:p w:rsidR="00000000" w:rsidRDefault="00AF1222">
            <w:pPr>
              <w:numPr>
                <w:ilvl w:val="0"/>
                <w:numId w:val="19"/>
                <w:numberingChange w:id="43" w:author="User" w:date="2005-04-17T16:33:00Z" w:original="(%1:1:0:)"/>
              </w:numPr>
              <w:bidi/>
              <w:ind w:right="420"/>
              <w:jc w:val="both"/>
              <w:rPr>
                <w:rFonts w:cs="David"/>
                <w:sz w:val="26"/>
                <w:szCs w:val="26"/>
                <w:rtl/>
              </w:rPr>
            </w:pPr>
            <w:r>
              <w:rPr>
                <w:rFonts w:cs="David"/>
                <w:sz w:val="26"/>
                <w:szCs w:val="26"/>
                <w:rtl/>
              </w:rPr>
              <w:t xml:space="preserve">אדם אחר הורשע בינתיים בביצוע אותו </w:t>
            </w:r>
            <w:r>
              <w:rPr>
                <w:rFonts w:cs="David"/>
                <w:sz w:val="26"/>
                <w:szCs w:val="26"/>
                <w:rtl/>
              </w:rPr>
              <w:t>מעשה עבירה, ומהנסיבות שהתגלו במשפטו של אותו אדם אחר נראה כי מי שהורשע בראשונה בעבירה לא ביצע אותה;</w:t>
            </w:r>
          </w:p>
          <w:p w:rsidR="00000000" w:rsidRDefault="00AF1222">
            <w:pPr>
              <w:numPr>
                <w:ilvl w:val="0"/>
                <w:numId w:val="19"/>
                <w:numberingChange w:id="44" w:author="User" w:date="2005-04-17T16:33:00Z" w:original="(%1:1:0:)"/>
              </w:numPr>
              <w:bidi/>
              <w:ind w:right="420"/>
              <w:jc w:val="both"/>
              <w:rPr>
                <w:rFonts w:cs="David"/>
                <w:sz w:val="26"/>
                <w:szCs w:val="26"/>
                <w:rtl/>
              </w:rPr>
            </w:pPr>
            <w:r>
              <w:rPr>
                <w:rFonts w:cs="David"/>
                <w:sz w:val="26"/>
                <w:szCs w:val="26"/>
                <w:rtl/>
              </w:rPr>
              <w:t>התעורר חשד של ממש כי בהרשעה נגרם לנידון עיוות דין.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הזכאים לבקש משפט חוזר</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45" w:author="User" w:date="2005-04-17T16:33:00Z" w:original="%1:6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הרשות לבקש משפט חוזר נתונה לנידון וכן למפקח הכללי או למי שהוא הסמיך לכך.</w:t>
            </w:r>
          </w:p>
          <w:p w:rsidR="00000000" w:rsidRDefault="00AF1222">
            <w:pPr>
              <w:bidi/>
              <w:jc w:val="both"/>
              <w:rPr>
                <w:rFonts w:cs="David"/>
                <w:b/>
                <w:bCs/>
                <w:sz w:val="26"/>
                <w:szCs w:val="26"/>
                <w:u w:val="single"/>
              </w:rPr>
            </w:pPr>
          </w:p>
        </w:tc>
      </w:tr>
      <w:tr w:rsidR="00000000">
        <w:trPr>
          <w:cantSplit/>
          <w:trHeight w:val="52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פיצוי על הרשעה או על ענישה שבוטלה</w:t>
            </w:r>
          </w:p>
        </w:tc>
        <w:tc>
          <w:tcPr>
            <w:tcW w:w="900" w:type="dxa"/>
            <w:vMerge w:val="restart"/>
            <w:tcBorders>
              <w:top w:val="nil"/>
              <w:left w:val="nil"/>
              <w:bottom w:val="nil"/>
              <w:right w:val="nil"/>
            </w:tcBorders>
          </w:tcPr>
          <w:p w:rsidR="00000000" w:rsidRDefault="00AF1222">
            <w:pPr>
              <w:numPr>
                <w:ilvl w:val="0"/>
                <w:numId w:val="5"/>
                <w:numberingChange w:id="46" w:author="User" w:date="2005-04-17T16:33:00Z" w:original="%1:70: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במשפט חוזר יהיו לבית הדין לערעורים או לבית הדין למשמעת כל הסמכויות הנתונות להם לפי פרק זה, פרט לסמכות להחמיר בעונש; בית הדין רשאי לתת כל צו הנראה בעיניו, כדי לפצות נידון שנשא את עונשו או חלק ממנו ושהרשעתו בוטלה</w:t>
            </w:r>
            <w:r>
              <w:rPr>
                <w:rFonts w:cs="David"/>
                <w:sz w:val="26"/>
                <w:szCs w:val="26"/>
                <w:rtl/>
              </w:rPr>
              <w:t xml:space="preserve"> כתוצאה מן המשפט החוזר, או לתת כל סעד אחר. </w:t>
            </w:r>
          </w:p>
          <w:p w:rsidR="00000000" w:rsidRDefault="00AF1222">
            <w:pPr>
              <w:bidi/>
              <w:jc w:val="both"/>
              <w:rPr>
                <w:rFonts w:cs="David"/>
                <w:b/>
                <w:bCs/>
                <w:sz w:val="26"/>
                <w:szCs w:val="26"/>
                <w:u w:val="single"/>
              </w:rPr>
            </w:pPr>
          </w:p>
        </w:tc>
      </w:tr>
      <w:tr w:rsidR="00000000">
        <w:trPr>
          <w:cantSplit/>
          <w:trHeight w:val="52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צו לפי סעיף קטן (א) טעון אישור בית משפט מחוזי, ודינו, משאושר, כדין פסק דין של בית משפט שניתן בענין אזרחי.</w:t>
            </w:r>
          </w:p>
          <w:p w:rsidR="00000000" w:rsidRDefault="00AF1222">
            <w:pPr>
              <w:bidi/>
              <w:jc w:val="both"/>
              <w:rPr>
                <w:rFonts w:cs="David"/>
                <w:b/>
                <w:bCs/>
                <w:sz w:val="26"/>
                <w:szCs w:val="26"/>
                <w:u w:val="single"/>
              </w:rPr>
            </w:pP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540"/>
        <w:gridCol w:w="576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ו' – דרכי ענישה</w:t>
            </w:r>
          </w:p>
          <w:p w:rsidR="00000000" w:rsidRDefault="00AF1222">
            <w:pPr>
              <w:bidi/>
              <w:jc w:val="both"/>
              <w:rPr>
                <w:rFonts w:cs="David"/>
                <w:b/>
                <w:bCs/>
                <w:sz w:val="26"/>
                <w:szCs w:val="26"/>
              </w:rPr>
            </w:pPr>
          </w:p>
        </w:tc>
      </w:tr>
      <w:tr w:rsidR="00000000">
        <w:trPr>
          <w:cantSplit/>
          <w:trHeight w:val="5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חיוב בפיצויים</w:t>
            </w:r>
          </w:p>
          <w:p w:rsidR="00000000" w:rsidRDefault="00AF1222">
            <w:pPr>
              <w:bidi/>
              <w:jc w:val="both"/>
              <w:rPr>
                <w:rFonts w:cs="David"/>
                <w:b/>
                <w:bCs/>
                <w:sz w:val="26"/>
                <w:szCs w:val="26"/>
                <w:rtl/>
              </w:rPr>
            </w:pP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47" w:author="User" w:date="2005-04-17T16:33:00Z" w:original="%1:71: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בית דין או דן יחיד שהרשיע שוטר בעבירת משמעת </w:t>
            </w:r>
            <w:r>
              <w:rPr>
                <w:rFonts w:cs="David"/>
                <w:sz w:val="26"/>
                <w:szCs w:val="26"/>
                <w:rtl/>
              </w:rPr>
              <w:t>רשאי לחייבו, בנוסף לכל עונש, בתשלום פיצויים על  נזק לרכוש שנגרם במישרין עקב העבירה, ובית דין – גם בתשלום פיצויים על נזק לגוף שנגרם כאמור; ואולם לא יחייב בית דין או דן יחיד נאשם בתשלום פיצויים לפי סעיף זה בסכום העולה על המפורט להלן:</w:t>
            </w:r>
          </w:p>
          <w:p w:rsidR="00000000" w:rsidRDefault="00AF1222">
            <w:pPr>
              <w:numPr>
                <w:ilvl w:val="0"/>
                <w:numId w:val="20"/>
              </w:numPr>
              <w:bidi/>
              <w:ind w:right="720"/>
              <w:jc w:val="both"/>
              <w:rPr>
                <w:rFonts w:cs="David"/>
                <w:sz w:val="26"/>
                <w:szCs w:val="26"/>
                <w:rtl/>
              </w:rPr>
            </w:pPr>
            <w:r>
              <w:rPr>
                <w:rFonts w:cs="David"/>
                <w:sz w:val="26"/>
                <w:szCs w:val="26"/>
                <w:rtl/>
              </w:rPr>
              <w:t xml:space="preserve">לגבי יוצא צבא הממלא </w:t>
            </w:r>
            <w:r>
              <w:rPr>
                <w:rFonts w:cs="David"/>
                <w:sz w:val="26"/>
                <w:szCs w:val="26"/>
                <w:rtl/>
              </w:rPr>
              <w:t>חובתו לשירות מילואים במשטרת ישראל לפי חוק שירות בטחון – שכר יסוד חודשי שהיה משולם לנאשם לו היה שוטר קבע בדרגתו, במשמר הגבול שבמשטרת ישראל;</w:t>
            </w:r>
          </w:p>
          <w:p w:rsidR="00000000" w:rsidRDefault="00AF1222">
            <w:pPr>
              <w:numPr>
                <w:ilvl w:val="0"/>
                <w:numId w:val="20"/>
                <w:numberingChange w:id="48" w:author="User" w:date="2005-04-17T16:33:00Z" w:original="(%1:1:0:)"/>
              </w:numPr>
              <w:bidi/>
              <w:ind w:right="720"/>
              <w:jc w:val="both"/>
              <w:rPr>
                <w:rFonts w:cs="David"/>
                <w:sz w:val="26"/>
                <w:szCs w:val="26"/>
                <w:rtl/>
              </w:rPr>
            </w:pPr>
            <w:r>
              <w:rPr>
                <w:rFonts w:cs="David"/>
                <w:sz w:val="26"/>
                <w:szCs w:val="26"/>
                <w:rtl/>
              </w:rPr>
              <w:t>לגבי מי שחדל להיות שוטר – השכר הממוצע במשק;</w:t>
            </w:r>
          </w:p>
          <w:p w:rsidR="00000000" w:rsidRDefault="00AF1222">
            <w:pPr>
              <w:numPr>
                <w:ilvl w:val="0"/>
                <w:numId w:val="20"/>
                <w:numberingChange w:id="49" w:author="User" w:date="2005-04-17T16:33:00Z" w:original="(%1:1:0:)"/>
              </w:numPr>
              <w:bidi/>
              <w:ind w:right="720"/>
              <w:jc w:val="both"/>
              <w:rPr>
                <w:rFonts w:cs="David"/>
                <w:sz w:val="26"/>
                <w:szCs w:val="26"/>
                <w:rtl/>
              </w:rPr>
            </w:pPr>
            <w:r>
              <w:rPr>
                <w:rFonts w:cs="David"/>
                <w:sz w:val="26"/>
                <w:szCs w:val="26"/>
                <w:rtl/>
              </w:rPr>
              <w:t>לגבי נאשם אחר – שכרו החודשי האחרון ששולם לו לפני הטלת החיוב.</w:t>
            </w:r>
          </w:p>
          <w:p w:rsidR="00000000" w:rsidRDefault="00AF1222">
            <w:pPr>
              <w:bidi/>
              <w:jc w:val="both"/>
              <w:rPr>
                <w:rFonts w:cs="David"/>
                <w:b/>
                <w:bCs/>
                <w:sz w:val="26"/>
                <w:szCs w:val="26"/>
                <w:u w:val="single"/>
              </w:rPr>
            </w:pPr>
          </w:p>
        </w:tc>
      </w:tr>
      <w:tr w:rsidR="00000000">
        <w:trPr>
          <w:cantSplit/>
          <w:trHeight w:val="56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חיוב בפיצויים לפי סעיף זה אינו פוטר מאחריות לנזקים לפי כל דין.</w:t>
            </w:r>
          </w:p>
          <w:p w:rsidR="00000000" w:rsidRDefault="00AF1222">
            <w:pPr>
              <w:bidi/>
              <w:jc w:val="both"/>
              <w:rPr>
                <w:rFonts w:cs="David"/>
                <w:b/>
                <w:bCs/>
                <w:sz w:val="26"/>
                <w:szCs w:val="26"/>
                <w:u w:val="single"/>
              </w:rPr>
            </w:pPr>
          </w:p>
        </w:tc>
      </w:tr>
      <w:tr w:rsidR="00000000">
        <w:trPr>
          <w:cantSplit/>
          <w:trHeight w:val="9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מחבוש על תנאי</w:t>
            </w:r>
          </w:p>
        </w:tc>
        <w:tc>
          <w:tcPr>
            <w:tcW w:w="900" w:type="dxa"/>
            <w:vMerge w:val="restart"/>
            <w:tcBorders>
              <w:top w:val="nil"/>
              <w:left w:val="nil"/>
              <w:bottom w:val="nil"/>
              <w:right w:val="nil"/>
            </w:tcBorders>
          </w:tcPr>
          <w:p w:rsidR="00000000" w:rsidRDefault="00AF1222">
            <w:pPr>
              <w:numPr>
                <w:ilvl w:val="0"/>
                <w:numId w:val="5"/>
                <w:numberingChange w:id="50" w:author="User" w:date="2005-04-17T16:33:00Z" w:original="%1:72: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הוטל על נאשם בדין משמעתי עונש מחבוש, רשאי דן יחיד או בית דין להורות בגזר הדין שהעונש, כולו או חלקו, יהיה על תנאי.</w:t>
            </w:r>
          </w:p>
          <w:p w:rsidR="00000000" w:rsidRDefault="00AF1222">
            <w:pPr>
              <w:bidi/>
              <w:jc w:val="both"/>
              <w:rPr>
                <w:rFonts w:cs="David"/>
                <w:b/>
                <w:bCs/>
                <w:sz w:val="26"/>
                <w:szCs w:val="26"/>
                <w:u w:val="single"/>
              </w:rPr>
            </w:pPr>
          </w:p>
        </w:tc>
      </w:tr>
      <w:tr w:rsidR="00000000">
        <w:trPr>
          <w:cantSplit/>
          <w:trHeight w:val="86"/>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מי שנידון לעונש  מחבוש על תנאי לא ישא עונש</w:t>
            </w:r>
            <w:r>
              <w:rPr>
                <w:rFonts w:cs="David"/>
                <w:sz w:val="26"/>
                <w:szCs w:val="26"/>
                <w:rtl/>
              </w:rPr>
              <w:t>ו אלא אם כן עבר, בתוך התקופה שנקבעה בגזר דינו, שלא תפחת משנה ולא תעלה על שלוש שנים (בפרק זה – תקופת התנאי), אחת מעבירות המשמעת שנקבעו בגזר הדין (בפרק זה – עבירת משמעת נוספת), והורשע בעבירת המשמעת הנוספת, בתוך תקופת התנאי או לאחריה.</w:t>
            </w:r>
          </w:p>
          <w:p w:rsidR="00000000" w:rsidRDefault="00AF1222">
            <w:pPr>
              <w:bidi/>
              <w:jc w:val="both"/>
              <w:rPr>
                <w:rFonts w:cs="David"/>
                <w:sz w:val="26"/>
                <w:szCs w:val="26"/>
              </w:rPr>
            </w:pPr>
          </w:p>
        </w:tc>
      </w:tr>
      <w:tr w:rsidR="00000000">
        <w:trPr>
          <w:cantSplit/>
          <w:trHeight w:val="86"/>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תקופת התנאי תתחי</w:t>
            </w:r>
            <w:r>
              <w:rPr>
                <w:rFonts w:cs="David"/>
                <w:sz w:val="26"/>
                <w:szCs w:val="26"/>
                <w:rtl/>
              </w:rPr>
              <w:t>ל ביום מתן גזר הדין.</w:t>
            </w:r>
          </w:p>
          <w:p w:rsidR="00000000" w:rsidRDefault="00AF1222">
            <w:pPr>
              <w:bidi/>
              <w:ind w:left="404" w:hanging="404"/>
              <w:jc w:val="both"/>
              <w:rPr>
                <w:rFonts w:cs="David"/>
                <w:sz w:val="26"/>
                <w:szCs w:val="26"/>
              </w:rPr>
            </w:pPr>
          </w:p>
        </w:tc>
      </w:tr>
      <w:tr w:rsidR="00000000">
        <w:trPr>
          <w:cantSplit/>
          <w:trHeight w:val="86"/>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קביעת העבירות לפי סעיף קטן (ב) יכול שתהיה בציון סוג של עבירות או בפירוט עבירות מסוימות, אם דרך תיאורן ואם דרך אזכור הוראות חוק; היתה העבירה כאמור עבירה המפורטת בפרטים (1) או (3) בתוספת הראשונה, תתואר ההתנהגות העברינית המהווה או</w:t>
            </w:r>
            <w:r>
              <w:rPr>
                <w:rFonts w:cs="David"/>
                <w:sz w:val="26"/>
                <w:szCs w:val="26"/>
                <w:rtl/>
              </w:rPr>
              <w:t>תה; אוזכרה הוראת חוק ובוטלה לאחר מכן, והוראה אחרת באה במקומה, יראו את גזר הדין כמאזכר את ההוראה האחרת.</w:t>
            </w:r>
          </w:p>
          <w:p w:rsidR="00000000" w:rsidRDefault="00AF1222">
            <w:pPr>
              <w:bidi/>
              <w:jc w:val="both"/>
              <w:rPr>
                <w:rFonts w:cs="David"/>
                <w:color w:val="000000"/>
                <w:sz w:val="26"/>
                <w:szCs w:val="26"/>
              </w:rPr>
            </w:pPr>
          </w:p>
        </w:tc>
      </w:tr>
      <w:tr w:rsidR="00000000">
        <w:trPr>
          <w:cantSplit/>
          <w:trHeight w:val="86"/>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w:t>
            </w:r>
          </w:p>
        </w:tc>
        <w:tc>
          <w:tcPr>
            <w:tcW w:w="5760" w:type="dxa"/>
            <w:tcBorders>
              <w:top w:val="nil"/>
              <w:left w:val="nil"/>
              <w:bottom w:val="nil"/>
              <w:right w:val="nil"/>
            </w:tcBorders>
          </w:tcPr>
          <w:p w:rsidR="00000000" w:rsidRDefault="00AF1222">
            <w:pPr>
              <w:bidi/>
              <w:ind w:left="-19" w:firstLine="19"/>
              <w:jc w:val="both"/>
              <w:rPr>
                <w:rFonts w:cs="David"/>
                <w:color w:val="000000"/>
                <w:sz w:val="26"/>
                <w:szCs w:val="26"/>
              </w:rPr>
            </w:pPr>
            <w:r>
              <w:rPr>
                <w:rFonts w:cs="David"/>
                <w:color w:val="000000"/>
                <w:sz w:val="26"/>
                <w:szCs w:val="26"/>
                <w:rtl/>
              </w:rPr>
              <w:t>נאשם שנידון למחבוש על-תנאי והורשע בשל עבירת משמעת נוספת, יורה בית הדין או הדן יחיד על הפעלת המחבוש על תנאי.</w:t>
            </w:r>
          </w:p>
          <w:p w:rsidR="00000000" w:rsidRDefault="00AF1222">
            <w:pPr>
              <w:bidi/>
              <w:jc w:val="both"/>
              <w:rPr>
                <w:rFonts w:cs="David"/>
                <w:sz w:val="26"/>
                <w:szCs w:val="26"/>
              </w:rPr>
            </w:pPr>
          </w:p>
        </w:tc>
      </w:tr>
      <w:tr w:rsidR="00000000">
        <w:trPr>
          <w:cantSplit/>
          <w:trHeight w:val="86"/>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(ו)</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הוטל על נאשם מחבוש בפועל בשל </w:t>
            </w:r>
            <w:r>
              <w:rPr>
                <w:rFonts w:cs="David"/>
                <w:sz w:val="26"/>
                <w:szCs w:val="26"/>
                <w:rtl/>
              </w:rPr>
              <w:t>עבירת משמעת נוספת, והופעל נגדו עונש המחבוש על תנאי, ישא את שתי תקופות המחבוש בזו אחר זו, אלא אם כן בית הדין או הדן יחיד שהרשיעו בעבירה הנוספת הורה, מטעמים שיירשמו, כי שתי התקופות, כולן או חלקן, יהיו חופפות; ואולם תקופת המחבוש הרצופה שעל הנידון לשאת לא תעלה</w:t>
            </w:r>
            <w:r>
              <w:rPr>
                <w:rFonts w:cs="David"/>
                <w:sz w:val="26"/>
                <w:szCs w:val="26"/>
                <w:rtl/>
              </w:rPr>
              <w:t xml:space="preserve"> על 70 ימים.</w:t>
            </w:r>
          </w:p>
          <w:p w:rsidR="00000000" w:rsidRDefault="00AF1222">
            <w:pPr>
              <w:bidi/>
              <w:jc w:val="both"/>
              <w:rPr>
                <w:rFonts w:cs="David"/>
                <w:b/>
                <w:bCs/>
                <w:sz w:val="26"/>
                <w:szCs w:val="26"/>
                <w:u w:val="single"/>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הארכת תקופת התנאי</w:t>
            </w:r>
          </w:p>
        </w:tc>
        <w:tc>
          <w:tcPr>
            <w:tcW w:w="900" w:type="dxa"/>
            <w:vMerge w:val="restart"/>
            <w:tcBorders>
              <w:top w:val="nil"/>
              <w:left w:val="nil"/>
              <w:bottom w:val="nil"/>
              <w:right w:val="nil"/>
            </w:tcBorders>
          </w:tcPr>
          <w:p w:rsidR="00000000" w:rsidRDefault="00AF1222">
            <w:pPr>
              <w:numPr>
                <w:ilvl w:val="0"/>
                <w:numId w:val="5"/>
                <w:numberingChange w:id="51" w:author="User" w:date="2005-04-17T16:33:00Z" w:original="%1:73: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בית דין או דן יחיד שהרשיע נאשם בעבירת משמעת נוספת ולא הטיל עליו בשל אותה עבירה עונש מחבוש, רשאי, על אף הוראות סעיף 72(ה) ובמקום לצוות על הפעלת המחבוש על תנאי, להורות על הארכת תקופת התנאי או חידושה לתקופה נוספת שלא </w:t>
            </w:r>
            <w:r>
              <w:rPr>
                <w:rFonts w:cs="David"/>
                <w:sz w:val="26"/>
                <w:szCs w:val="26"/>
                <w:rtl/>
              </w:rPr>
              <w:t>תעלה על שנה אחת, אם שוכנע, מטעמים מיוחדים שיירשמו, כי בנסיבות הענין לא יהיה זה צודק להפעיל את המחבוש על תנאי.</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לא ישתמש בית דין או דן יחיד בסמכותו לפי סעיף קטן (א) אלא לגבי ההרשעה הראשונה של נאשם בשל עבירת משמעת נוספת.</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האריך בית דין או דן יח</w:t>
            </w:r>
            <w:r>
              <w:rPr>
                <w:rFonts w:cs="David"/>
                <w:sz w:val="26"/>
                <w:szCs w:val="26"/>
                <w:rtl/>
              </w:rPr>
              <w:t>יד את תקופת התנאי לתקופה נוספת, לפני תום תקופת התנאי, תחל תקופת התנאי הנוספת בתום תקופת התנאי; חידש בית דין או דן יחיד את תקופת התנאי לאחר שתמה תקופת התנאי, תחל תקופת התנאי הנוספת ביום מתן פסק הדין.</w:t>
            </w:r>
          </w:p>
          <w:p w:rsidR="00000000" w:rsidRDefault="00AF1222">
            <w:pPr>
              <w:bidi/>
              <w:jc w:val="both"/>
              <w:rPr>
                <w:rFonts w:cs="David"/>
                <w:b/>
                <w:bCs/>
                <w:color w:val="FF0000"/>
                <w:sz w:val="26"/>
                <w:szCs w:val="26"/>
              </w:rPr>
            </w:pPr>
          </w:p>
        </w:tc>
      </w:tr>
      <w:tr w:rsidR="00000000">
        <w:trPr>
          <w:trHeight w:val="26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נשיאת מספר עונשי מחבוש</w:t>
            </w:r>
          </w:p>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numPr>
                <w:ilvl w:val="0"/>
                <w:numId w:val="5"/>
                <w:numberingChange w:id="52" w:author="User" w:date="2005-04-17T16:33:00Z" w:original="%1:7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נאשם שנידון בדין משמעתי לע</w:t>
            </w:r>
            <w:r>
              <w:rPr>
                <w:rFonts w:cs="David"/>
                <w:sz w:val="26"/>
                <w:szCs w:val="26"/>
                <w:rtl/>
              </w:rPr>
              <w:t>ונש מחבוש, ולפני שנשא את כל עונשו חזר ונידון בדין משמעתי לעונש מחבוש, יישא עונש מחבוש אחד של התקופה הארוכה ביותר; ואולם רשאי בית הדין או הדן יחיד המטיל את העונש המאוחר להורות כי הנידון יישא את שני עונשי המחבוש, כולם או חלקם, בזה אחר זה, ובלבד שתקופת המחבוש</w:t>
            </w:r>
            <w:r>
              <w:rPr>
                <w:rFonts w:cs="David"/>
                <w:sz w:val="26"/>
                <w:szCs w:val="26"/>
                <w:rtl/>
              </w:rPr>
              <w:t xml:space="preserve"> הרצופה שעל הנידון לשאת לא תעלה על 70 ימים.</w:t>
            </w:r>
          </w:p>
          <w:p w:rsidR="00000000" w:rsidRDefault="00AF1222">
            <w:pPr>
              <w:bidi/>
              <w:jc w:val="both"/>
              <w:rPr>
                <w:rFonts w:cs="David"/>
                <w:sz w:val="26"/>
                <w:szCs w:val="26"/>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ביטול עונש או הקלה בו</w:t>
            </w:r>
          </w:p>
        </w:tc>
        <w:tc>
          <w:tcPr>
            <w:tcW w:w="900" w:type="dxa"/>
            <w:vMerge w:val="restart"/>
            <w:tcBorders>
              <w:top w:val="nil"/>
              <w:left w:val="nil"/>
              <w:bottom w:val="nil"/>
              <w:right w:val="nil"/>
            </w:tcBorders>
          </w:tcPr>
          <w:p w:rsidR="00000000" w:rsidRDefault="00AF1222">
            <w:pPr>
              <w:numPr>
                <w:ilvl w:val="0"/>
                <w:numId w:val="5"/>
                <w:numberingChange w:id="53" w:author="User" w:date="2005-04-17T16:33:00Z" w:original="%1:75: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רשאי, בנסיבות מיוחדות שיירשמו, לבטל עונש שהוטל בדין משמעתי בפסק דין סופי,  להפחית ממנו או להחליפו בעונש קל ממנו.</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חויב שוטר בדין משמעתי בפסק דין סופי, בתשלום פי</w:t>
            </w:r>
            <w:r>
              <w:rPr>
                <w:rFonts w:cs="David"/>
                <w:sz w:val="26"/>
                <w:szCs w:val="26"/>
                <w:rtl/>
              </w:rPr>
              <w:t>צויים לפי סעיף 71, בשל נזק שנגרם לרכוש המשטרה, רשאי המפקח הכללי, בנסיבות מיוחדות שיירשמו, לבטל את החיוב בפיצויים או להקטין את שיעורם.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פיטורים עקב דין משמעתי או פלילי</w:t>
            </w:r>
          </w:p>
        </w:tc>
        <w:tc>
          <w:tcPr>
            <w:tcW w:w="900" w:type="dxa"/>
            <w:tcBorders>
              <w:top w:val="nil"/>
              <w:left w:val="nil"/>
              <w:bottom w:val="nil"/>
              <w:right w:val="nil"/>
            </w:tcBorders>
          </w:tcPr>
          <w:p w:rsidR="00000000" w:rsidRDefault="00AF1222">
            <w:pPr>
              <w:numPr>
                <w:ilvl w:val="0"/>
                <w:numId w:val="5"/>
                <w:numberingChange w:id="54" w:author="User" w:date="2005-04-17T16:33:00Z" w:original="%1:7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color w:val="FF0000"/>
                <w:sz w:val="26"/>
                <w:szCs w:val="26"/>
              </w:rPr>
            </w:pPr>
            <w:r>
              <w:rPr>
                <w:rFonts w:cs="David"/>
                <w:sz w:val="26"/>
                <w:szCs w:val="26"/>
                <w:rtl/>
              </w:rPr>
              <w:t>המפקח הכללי רשאי לפטר שוטר שנידון בדין משמעתי או בפלילים אף אם זוכה, אם הוא סבור, ע</w:t>
            </w:r>
            <w:r>
              <w:rPr>
                <w:rFonts w:cs="David"/>
                <w:sz w:val="26"/>
                <w:szCs w:val="26"/>
                <w:rtl/>
              </w:rPr>
              <w:t>קב הדיון המשמעתי או הפלילי, כי אין השוטר מתאים להמשיך ולשרת במשטרה, ובלבד שקצין משטרה בכיר לא יפוטר אלא באישור השר.</w:t>
            </w:r>
          </w:p>
          <w:p w:rsidR="00000000" w:rsidRDefault="00AF1222">
            <w:pPr>
              <w:bidi/>
              <w:jc w:val="both"/>
              <w:rPr>
                <w:rFonts w:cs="David"/>
                <w:b/>
                <w:bCs/>
                <w:sz w:val="26"/>
                <w:szCs w:val="26"/>
                <w:u w:val="single"/>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גביית קנסות ופיצויים</w:t>
            </w:r>
          </w:p>
        </w:tc>
        <w:tc>
          <w:tcPr>
            <w:tcW w:w="900" w:type="dxa"/>
            <w:vMerge w:val="restart"/>
            <w:tcBorders>
              <w:top w:val="nil"/>
              <w:left w:val="nil"/>
              <w:bottom w:val="nil"/>
              <w:right w:val="nil"/>
            </w:tcBorders>
          </w:tcPr>
          <w:p w:rsidR="00000000" w:rsidRDefault="00AF1222">
            <w:pPr>
              <w:numPr>
                <w:ilvl w:val="0"/>
                <w:numId w:val="5"/>
                <w:numberingChange w:id="55" w:author="User" w:date="2005-04-17T16:33:00Z" w:original="%1:77: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התחייב שוטר בדין משמעתי לשלם קנס או פיצויים, ייגבו הקנס או הפיצויים על ידי ניכוי מהסכומים המגיעים לו עקב שיר</w:t>
            </w:r>
            <w:r>
              <w:rPr>
                <w:rFonts w:cs="David"/>
                <w:sz w:val="26"/>
                <w:szCs w:val="26"/>
                <w:rtl/>
              </w:rPr>
              <w:t>ותו במשטרה, בדרך שתיקבע בפקודות משטרת ישראל, ובלבד ששיעור הניכוי ממשכורתו החודשית לא יעלה בחודש אחד על השיעורים הקבועים בסעיף 8 לחוק הגנת השכר, התשי"ח- 1958</w:t>
            </w:r>
            <w:r>
              <w:rPr>
                <w:rStyle w:val="a5"/>
                <w:rFonts w:cs="David"/>
                <w:sz w:val="26"/>
                <w:szCs w:val="26"/>
                <w:rtl/>
              </w:rPr>
              <w:footnoteReference w:id="8"/>
            </w:r>
            <w:r>
              <w:rPr>
                <w:rFonts w:cs="David"/>
                <w:sz w:val="26"/>
                <w:szCs w:val="26"/>
                <w:rtl/>
              </w:rPr>
              <w:t>; לא ניתן לגבות את הקנס או הפיצויים על ידי ניכוי כאמור, ייגבו בדרך שבה נגבה ק</w:t>
            </w:r>
            <w:r>
              <w:rPr>
                <w:rFonts w:cs="David"/>
                <w:sz w:val="26"/>
                <w:szCs w:val="26"/>
                <w:rtl/>
              </w:rPr>
              <w:t>נס שהטיל בית המשפט בהליך פלילי.</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קנסות ופיצויים שנגבו כאמור בסעיף קטן (א) ישולמו לקרן הכללית של משטרת ישראל.</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על אף הוראות סעיף קטן (ב), התחייב שוטר בדין משמעתי לשלם פיצויים לפי הוראות סעיף 71(א) לאדם שניזוק עקב העבירה, ישולמו הפיצויים לאותו </w:t>
            </w:r>
            <w:r>
              <w:rPr>
                <w:rFonts w:cs="David"/>
                <w:sz w:val="26"/>
                <w:szCs w:val="26"/>
                <w:rtl/>
              </w:rPr>
              <w:t>אדם.</w:t>
            </w:r>
          </w:p>
          <w:p w:rsidR="00000000" w:rsidRDefault="00AF1222">
            <w:pPr>
              <w:bidi/>
              <w:jc w:val="both"/>
              <w:rPr>
                <w:rFonts w:cs="David"/>
                <w:b/>
                <w:bCs/>
                <w:sz w:val="26"/>
                <w:szCs w:val="26"/>
                <w:u w:val="single"/>
              </w:rPr>
            </w:pPr>
          </w:p>
        </w:tc>
      </w:tr>
      <w:tr w:rsidR="00000000">
        <w:trPr>
          <w:cantSplit/>
          <w:trHeight w:val="39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מקום נשיאת עונש מחבוש</w:t>
            </w:r>
          </w:p>
        </w:tc>
        <w:tc>
          <w:tcPr>
            <w:tcW w:w="900" w:type="dxa"/>
            <w:vMerge w:val="restart"/>
            <w:tcBorders>
              <w:top w:val="nil"/>
              <w:left w:val="nil"/>
              <w:bottom w:val="nil"/>
              <w:right w:val="nil"/>
            </w:tcBorders>
          </w:tcPr>
          <w:p w:rsidR="00000000" w:rsidRDefault="00AF1222">
            <w:pPr>
              <w:numPr>
                <w:ilvl w:val="0"/>
                <w:numId w:val="5"/>
                <w:numberingChange w:id="56" w:author="User" w:date="2005-04-17T16:33:00Z" w:original="%1:78: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שהוטל עליו עונש מחבוש ישא את עונשו במיתקן משטרתי שקבע המפקח הכללי; הוטל עונש מחבוש על יוצא צבא הממלא חובתו לשירות סדיר או לשירות מילואים במשטרת ישראל לפי חוק שירות ביטחון, ישא את עונשו במתקן משטרתי כאמור, או במיתק</w:t>
            </w:r>
            <w:r>
              <w:rPr>
                <w:rFonts w:cs="David"/>
                <w:sz w:val="26"/>
                <w:szCs w:val="26"/>
                <w:rtl/>
              </w:rPr>
              <w:t>ן צבאי שקבע המפקח הכללי בהסכמת ראש המטה הכללי של צבא הגנה לישראל.</w:t>
            </w:r>
          </w:p>
          <w:p w:rsidR="00000000" w:rsidRDefault="00AF1222">
            <w:pPr>
              <w:bidi/>
              <w:jc w:val="both"/>
              <w:rPr>
                <w:rFonts w:cs="David"/>
                <w:b/>
                <w:bCs/>
                <w:sz w:val="26"/>
                <w:szCs w:val="26"/>
                <w:u w:val="single"/>
              </w:rPr>
            </w:pPr>
          </w:p>
        </w:tc>
      </w:tr>
      <w:tr w:rsidR="00000000">
        <w:trPr>
          <w:cantSplit/>
          <w:trHeight w:val="39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יקבע את סדרי המנהל, המשמר, המשטר והמשמעת במיתקן משטרתי שנקבע לנשיאת עונש מחבוש.</w:t>
            </w:r>
          </w:p>
          <w:p w:rsidR="00000000" w:rsidRDefault="00AF1222">
            <w:pPr>
              <w:bidi/>
              <w:jc w:val="both"/>
              <w:rPr>
                <w:rFonts w:cs="David"/>
                <w:b/>
                <w:bCs/>
                <w:sz w:val="26"/>
                <w:szCs w:val="26"/>
                <w:u w:val="single"/>
              </w:rPr>
            </w:pPr>
          </w:p>
        </w:tc>
      </w:tr>
      <w:tr w:rsidR="00000000">
        <w:trPr>
          <w:cantSplit/>
          <w:trHeight w:val="27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תנאי המחבוש</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57" w:author="User" w:date="2005-04-17T16:33:00Z" w:original="%1:79: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הנושא עונש מחבוש יוחזק בתנאים הולמים שלא יהיה בהם כדי לפגוע ב</w:t>
            </w:r>
            <w:r>
              <w:rPr>
                <w:rFonts w:cs="David"/>
                <w:sz w:val="26"/>
                <w:szCs w:val="26"/>
                <w:rtl/>
              </w:rPr>
              <w:t>בריאותו ובכבודו.</w:t>
            </w:r>
          </w:p>
          <w:p w:rsidR="00000000" w:rsidRDefault="00AF1222">
            <w:pPr>
              <w:bidi/>
              <w:jc w:val="both"/>
              <w:rPr>
                <w:rFonts w:cs="David"/>
                <w:b/>
                <w:bCs/>
                <w:sz w:val="26"/>
                <w:szCs w:val="26"/>
                <w:u w:val="single"/>
              </w:rPr>
            </w:pPr>
          </w:p>
        </w:tc>
      </w:tr>
      <w:tr w:rsidR="00000000">
        <w:trPr>
          <w:cantSplit/>
          <w:trHeight w:val="2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כאמור בסעיף קטן (א), יהיה זכאי לכל אלה:</w:t>
            </w:r>
          </w:p>
          <w:p w:rsidR="00000000" w:rsidRDefault="00AF1222">
            <w:pPr>
              <w:bidi/>
              <w:jc w:val="both"/>
              <w:rPr>
                <w:rFonts w:cs="David"/>
                <w:sz w:val="26"/>
                <w:szCs w:val="26"/>
                <w:rtl/>
              </w:rPr>
            </w:pPr>
          </w:p>
          <w:p w:rsidR="00000000" w:rsidRDefault="00AF1222">
            <w:pPr>
              <w:numPr>
                <w:ilvl w:val="0"/>
                <w:numId w:val="21"/>
              </w:numPr>
              <w:bidi/>
              <w:ind w:right="720"/>
              <w:jc w:val="both"/>
              <w:rPr>
                <w:rFonts w:cs="David"/>
                <w:sz w:val="26"/>
                <w:szCs w:val="26"/>
                <w:rtl/>
              </w:rPr>
            </w:pPr>
            <w:r>
              <w:rPr>
                <w:rFonts w:cs="David"/>
                <w:sz w:val="26"/>
                <w:szCs w:val="26"/>
                <w:rtl/>
              </w:rPr>
              <w:t>לתנאי תברואה הולמים, לתנאים שיאפשרו לו לשמור על ניקיונו האישי, לטיפול רפואי הנדרש לשם שמירה על בריאותו ולתנאי השגחה מתאימים על פי דרישת רופא;</w:t>
            </w:r>
          </w:p>
          <w:p w:rsidR="00000000" w:rsidRDefault="00AF1222">
            <w:pPr>
              <w:numPr>
                <w:ilvl w:val="0"/>
                <w:numId w:val="21"/>
                <w:numberingChange w:id="58" w:author="User" w:date="2005-04-17T16:33:00Z" w:original="(%1:1:0:)"/>
              </w:numPr>
              <w:bidi/>
              <w:ind w:right="720"/>
              <w:jc w:val="both"/>
              <w:rPr>
                <w:rFonts w:cs="David"/>
                <w:sz w:val="26"/>
                <w:szCs w:val="26"/>
                <w:rtl/>
              </w:rPr>
            </w:pPr>
            <w:r>
              <w:rPr>
                <w:rFonts w:cs="David"/>
                <w:sz w:val="26"/>
                <w:szCs w:val="26"/>
                <w:rtl/>
              </w:rPr>
              <w:t>למיטה, למזרן ולשמיכות לשימושו האישי</w:t>
            </w:r>
            <w:r>
              <w:rPr>
                <w:rFonts w:cs="David"/>
                <w:sz w:val="26"/>
                <w:szCs w:val="26"/>
                <w:rtl/>
              </w:rPr>
              <w:t xml:space="preserve"> ולהחזקת חפצים אישיים כפי שייקבע בפקודות משטרת ישראל;</w:t>
            </w:r>
          </w:p>
          <w:p w:rsidR="00000000" w:rsidRDefault="00AF1222">
            <w:pPr>
              <w:numPr>
                <w:ilvl w:val="0"/>
                <w:numId w:val="21"/>
                <w:numberingChange w:id="59" w:author="User" w:date="2005-04-17T16:33:00Z" w:original="(%1:1:0:)"/>
              </w:numPr>
              <w:bidi/>
              <w:ind w:right="720"/>
              <w:jc w:val="both"/>
              <w:rPr>
                <w:rFonts w:cs="David"/>
                <w:sz w:val="26"/>
                <w:szCs w:val="26"/>
                <w:rtl/>
              </w:rPr>
            </w:pPr>
            <w:r>
              <w:rPr>
                <w:rFonts w:cs="David"/>
                <w:sz w:val="26"/>
                <w:szCs w:val="26"/>
                <w:rtl/>
              </w:rPr>
              <w:t>למזון בכמות ובהרכב המתאימים לשמירה על בריאותו;</w:t>
            </w:r>
          </w:p>
          <w:p w:rsidR="00000000" w:rsidRDefault="00AF1222">
            <w:pPr>
              <w:numPr>
                <w:ilvl w:val="0"/>
                <w:numId w:val="21"/>
                <w:numberingChange w:id="60" w:author="User" w:date="2005-04-17T16:33:00Z" w:original="(%1:1:0:)"/>
              </w:numPr>
              <w:bidi/>
              <w:ind w:right="720"/>
              <w:jc w:val="both"/>
              <w:rPr>
                <w:rFonts w:cs="David"/>
                <w:sz w:val="26"/>
                <w:szCs w:val="26"/>
                <w:rtl/>
              </w:rPr>
            </w:pPr>
            <w:r>
              <w:rPr>
                <w:rFonts w:cs="David"/>
                <w:sz w:val="26"/>
                <w:szCs w:val="26"/>
                <w:rtl/>
              </w:rPr>
              <w:t>לתנאי תאורה ואוורור סבירים בתא;</w:t>
            </w:r>
          </w:p>
          <w:p w:rsidR="00000000" w:rsidRDefault="00AF1222">
            <w:pPr>
              <w:numPr>
                <w:ilvl w:val="0"/>
                <w:numId w:val="21"/>
                <w:numberingChange w:id="61" w:author="User" w:date="2005-04-17T16:33:00Z" w:original="(%1:1:0:)"/>
              </w:numPr>
              <w:bidi/>
              <w:ind w:right="720"/>
              <w:jc w:val="both"/>
              <w:rPr>
                <w:rFonts w:cs="David"/>
                <w:sz w:val="26"/>
                <w:szCs w:val="26"/>
                <w:rtl/>
              </w:rPr>
            </w:pPr>
            <w:r>
              <w:rPr>
                <w:rFonts w:cs="David"/>
                <w:sz w:val="26"/>
                <w:szCs w:val="26"/>
                <w:rtl/>
              </w:rPr>
              <w:t>להליכה יומית באוויר הפתוח, אם תנאי המקום מאפשרים זאת, בתנאים ובמועדים שייקבעו בפקודות משטרת ישראל; זכות זו ניתנ</w:t>
            </w:r>
            <w:r>
              <w:rPr>
                <w:rFonts w:cs="David"/>
                <w:sz w:val="26"/>
                <w:szCs w:val="26"/>
                <w:rtl/>
              </w:rPr>
              <w:t>ת להגבלה מטעמים של שמירה על שלומו של השוטר;</w:t>
            </w:r>
          </w:p>
          <w:p w:rsidR="00000000" w:rsidRDefault="00AF1222">
            <w:pPr>
              <w:numPr>
                <w:ilvl w:val="0"/>
                <w:numId w:val="21"/>
                <w:numberingChange w:id="62" w:author="User" w:date="2005-04-17T16:33:00Z" w:original="(%1:1:0:)"/>
              </w:numPr>
              <w:bidi/>
              <w:ind w:right="720"/>
              <w:jc w:val="both"/>
              <w:rPr>
                <w:rFonts w:cs="David"/>
                <w:sz w:val="26"/>
                <w:szCs w:val="26"/>
                <w:u w:val="single"/>
                <w:rtl/>
              </w:rPr>
            </w:pPr>
            <w:r>
              <w:rPr>
                <w:rFonts w:cs="David"/>
                <w:sz w:val="26"/>
                <w:szCs w:val="26"/>
                <w:rtl/>
              </w:rPr>
              <w:t>לקבלת מבקרים, לשליחת מכתבים ולקיום קשר טלפוני, כפי שייקבע בפקודות משטרת ישראל.</w:t>
            </w:r>
          </w:p>
          <w:p w:rsidR="00000000" w:rsidRDefault="00AF1222">
            <w:pPr>
              <w:bidi/>
              <w:ind w:left="360"/>
              <w:jc w:val="both"/>
              <w:rPr>
                <w:rFonts w:cs="David"/>
                <w:sz w:val="26"/>
                <w:szCs w:val="26"/>
                <w:u w:val="single"/>
              </w:rPr>
            </w:pPr>
          </w:p>
        </w:tc>
      </w:tr>
      <w:tr w:rsidR="00000000">
        <w:trPr>
          <w:cantSplit/>
          <w:trHeight w:val="273"/>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הנושא עונש מחבוש, ישמור על הסדר ועל הרכוש במקום המחבוש, ישמור על הניקיון בתאו וימלא אחר ההוראות בדבר סדרי המשטר והמש</w:t>
            </w:r>
            <w:r>
              <w:rPr>
                <w:rFonts w:cs="David"/>
                <w:sz w:val="26"/>
                <w:szCs w:val="26"/>
                <w:rtl/>
              </w:rPr>
              <w:t>מעת במקום המחבוש.</w:t>
            </w:r>
          </w:p>
          <w:p w:rsidR="00000000" w:rsidRDefault="00AF1222">
            <w:pPr>
              <w:bidi/>
              <w:jc w:val="both"/>
              <w:rPr>
                <w:rFonts w:cs="David"/>
                <w:b/>
                <w:bCs/>
                <w:sz w:val="26"/>
                <w:szCs w:val="26"/>
                <w:u w:val="single"/>
              </w:rPr>
            </w:pPr>
          </w:p>
        </w:tc>
      </w:tr>
      <w:tr w:rsidR="00000000">
        <w:trPr>
          <w:cantSplit/>
          <w:trHeight w:val="54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אמצעי ריסון ומשמעת</w:t>
            </w:r>
          </w:p>
          <w:p w:rsidR="00000000" w:rsidRDefault="00AF1222">
            <w:pPr>
              <w:bidi/>
              <w:jc w:val="both"/>
              <w:rPr>
                <w:rFonts w:cs="David"/>
              </w:rPr>
            </w:pPr>
          </w:p>
        </w:tc>
        <w:tc>
          <w:tcPr>
            <w:tcW w:w="900" w:type="dxa"/>
            <w:vMerge w:val="restart"/>
            <w:tcBorders>
              <w:top w:val="nil"/>
              <w:left w:val="nil"/>
              <w:bottom w:val="nil"/>
              <w:right w:val="nil"/>
            </w:tcBorders>
          </w:tcPr>
          <w:p w:rsidR="00000000" w:rsidRDefault="00AF1222">
            <w:pPr>
              <w:numPr>
                <w:ilvl w:val="0"/>
                <w:numId w:val="5"/>
                <w:numberingChange w:id="63" w:author="User" w:date="2005-04-17T16:33:00Z" w:original="%1:80: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ניתן לנקוט אמצעים סבירים, לרבות שימוש בכוח, נגד שוטר   המוחזק במחבוש, כשקיים חשש כי הוא עומד להימלט או לגרום נזק לגוף או לרכוש, כדי למנוע את הבריחה או את הנזק כאמור וכדי להשליט סדר ומשמעת במקום המחבוש.</w:t>
            </w:r>
          </w:p>
          <w:p w:rsidR="00000000" w:rsidRDefault="00AF1222">
            <w:pPr>
              <w:bidi/>
              <w:jc w:val="both"/>
              <w:rPr>
                <w:rFonts w:cs="David"/>
                <w:b/>
                <w:bCs/>
                <w:sz w:val="26"/>
                <w:szCs w:val="26"/>
                <w:u w:val="single"/>
              </w:rPr>
            </w:pPr>
          </w:p>
        </w:tc>
      </w:tr>
      <w:tr w:rsidR="00000000">
        <w:trPr>
          <w:cantSplit/>
          <w:trHeight w:val="540"/>
          <w:jc w:val="right"/>
        </w:trPr>
        <w:tc>
          <w:tcPr>
            <w:tcW w:w="0" w:type="auto"/>
            <w:vMerge/>
            <w:tcBorders>
              <w:top w:val="nil"/>
              <w:left w:val="nil"/>
              <w:bottom w:val="nil"/>
              <w:right w:val="nil"/>
            </w:tcBorders>
            <w:vAlign w:val="center"/>
          </w:tcPr>
          <w:p w:rsidR="00000000" w:rsidRDefault="00AF1222">
            <w:pPr>
              <w:bidi/>
              <w:jc w:val="both"/>
              <w:rPr>
                <w:rFonts w:cs="David"/>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w:t>
            </w: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שוטר המוחזק במחבוש, שלא מילא חובות שהוא חייב בקיומן במקום המחבוש, ניתן לנקוט נגדו אמצעי משמעת לאחר שניתנה לו הזדמנות להשמיע את טענותיו בפני הקצין הממונה על המיתקן; בסעיף קטן זה, "אמצעי משמעת" – אחד או יותר מאלה: שלילת זכותו של השוטר להחזיק חפצים, שלילת </w:t>
            </w:r>
            <w:r>
              <w:rPr>
                <w:rFonts w:cs="David"/>
                <w:sz w:val="26"/>
                <w:szCs w:val="26"/>
                <w:rtl/>
              </w:rPr>
              <w:t>זכותו למבקרים, שלילת זכותו לשליחת מכתבים ולקיום קשר טלפוני או החזקתו בבידוד במקום המחבוש לתקופה שלא תעלה על שבעה ימים רצופים.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סימן ז': הוראות שונות</w:t>
            </w:r>
          </w:p>
          <w:p w:rsidR="00000000" w:rsidRDefault="00AF1222">
            <w:pPr>
              <w:bidi/>
              <w:jc w:val="both"/>
              <w:rPr>
                <w:rFonts w:cs="David"/>
                <w:b/>
                <w:bCs/>
                <w:sz w:val="26"/>
                <w:szCs w:val="26"/>
              </w:rPr>
            </w:pPr>
          </w:p>
        </w:tc>
      </w:tr>
      <w:tr w:rsidR="00000000">
        <w:trPr>
          <w:cantSplit/>
          <w:trHeight w:val="10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חיסיון</w:t>
            </w:r>
          </w:p>
        </w:tc>
        <w:tc>
          <w:tcPr>
            <w:tcW w:w="900" w:type="dxa"/>
            <w:vMerge w:val="restart"/>
            <w:tcBorders>
              <w:top w:val="nil"/>
              <w:left w:val="nil"/>
              <w:bottom w:val="nil"/>
              <w:right w:val="nil"/>
            </w:tcBorders>
          </w:tcPr>
          <w:p w:rsidR="00000000" w:rsidRDefault="00AF1222">
            <w:pPr>
              <w:numPr>
                <w:ilvl w:val="0"/>
                <w:numId w:val="5"/>
                <w:numberingChange w:id="64" w:author="User" w:date="2005-04-17T16:33:00Z" w:original="%1:81: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אין אדם חייב למסור, ודן יחיד או בית דין לא יקבל, ראיה אם שר הביע דעתו, בתעודה חתומה בי</w:t>
            </w:r>
            <w:r>
              <w:rPr>
                <w:rFonts w:cs="David"/>
                <w:sz w:val="26"/>
                <w:szCs w:val="26"/>
                <w:rtl/>
              </w:rPr>
              <w:t>דו, כי מסירתה עלולה לפגוע בביטחון המדינה, בשלומו של אדם, בדרכי פעולתה של המשטרה או באינטרס ציבורי חשוב אחר, אלא אם כן מצא שופט בית הדין לערעורים, על פי עתירת בעל דין המבקש גילוי הראיה, כי הצורך לגלותה לשם עשיית צדק עדיף מן הענין שיש שלא לגלותה.</w:t>
            </w:r>
          </w:p>
          <w:p w:rsidR="00000000" w:rsidRDefault="00AF1222">
            <w:pPr>
              <w:bidi/>
              <w:jc w:val="both"/>
              <w:rPr>
                <w:rFonts w:cs="David"/>
                <w:b/>
                <w:bCs/>
                <w:sz w:val="26"/>
                <w:szCs w:val="26"/>
                <w:u w:val="single"/>
              </w:rPr>
            </w:pPr>
          </w:p>
        </w:tc>
      </w:tr>
      <w:tr w:rsidR="00000000">
        <w:trPr>
          <w:cantSplit/>
          <w:trHeight w:val="10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הוג</w:t>
            </w:r>
            <w:r>
              <w:rPr>
                <w:rFonts w:cs="David"/>
                <w:sz w:val="26"/>
                <w:szCs w:val="26"/>
                <w:rtl/>
              </w:rPr>
              <w:t>שה לבית דין למשמעת תעודה כאמור בסעיף קטן (א), רשאי בית הדין, על פי בקשת בעל הדין המבקש גילוי הראיה, להפסיק את הדיון לתקופה שיקבע כדי לאפשר הגשת העתירה לגילוי הראיה, ואם ראה לנכון – גם עד להחלטה בעתירה.</w:t>
            </w:r>
          </w:p>
          <w:p w:rsidR="00000000" w:rsidRDefault="00AF1222">
            <w:pPr>
              <w:bidi/>
              <w:jc w:val="both"/>
              <w:rPr>
                <w:rFonts w:cs="David"/>
                <w:b/>
                <w:bCs/>
                <w:sz w:val="26"/>
                <w:szCs w:val="26"/>
                <w:u w:val="single"/>
              </w:rPr>
            </w:pPr>
          </w:p>
        </w:tc>
      </w:tr>
      <w:tr w:rsidR="00000000">
        <w:trPr>
          <w:cantSplit/>
          <w:trHeight w:val="10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הוראות סעיף 46(א) לפקודת הראיות [נוסח חדש] התש</w:t>
            </w:r>
            <w:r>
              <w:rPr>
                <w:rFonts w:cs="David"/>
                <w:sz w:val="26"/>
                <w:szCs w:val="26"/>
                <w:rtl/>
              </w:rPr>
              <w:t>ל"א – 1971</w:t>
            </w:r>
            <w:r>
              <w:rPr>
                <w:rStyle w:val="a5"/>
                <w:rFonts w:cs="David"/>
                <w:sz w:val="26"/>
                <w:szCs w:val="26"/>
                <w:rtl/>
              </w:rPr>
              <w:footnoteReference w:id="9"/>
            </w:r>
            <w:r>
              <w:rPr>
                <w:rFonts w:cs="David"/>
                <w:sz w:val="26"/>
                <w:szCs w:val="26"/>
                <w:rtl/>
              </w:rPr>
              <w:t xml:space="preserve"> יחולו, בשינויים המחויבים, על דיון בעתירה לגילוי ראיה לפי סעיף זה.</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שתיקת נאשם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65" w:author="User" w:date="2005-04-17T16:33:00Z" w:original="%1:82: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color w:val="FF0000"/>
                <w:sz w:val="26"/>
                <w:szCs w:val="26"/>
              </w:rPr>
            </w:pPr>
            <w:r>
              <w:rPr>
                <w:rFonts w:cs="David"/>
                <w:sz w:val="26"/>
                <w:szCs w:val="26"/>
                <w:rtl/>
              </w:rPr>
              <w:t>הימנעות נאשם מהעיד עשויה לשמש חיזוק למשקל הראיות של התביעה, וכן סיוע לראיות התביעה במקום שסבר בית הדין כי דרוש להן סי</w:t>
            </w:r>
            <w:r>
              <w:rPr>
                <w:rFonts w:cs="David"/>
                <w:sz w:val="26"/>
                <w:szCs w:val="26"/>
                <w:rtl/>
              </w:rPr>
              <w:t>וע.</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קבילות אמרה</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66" w:author="User" w:date="2005-04-17T16:33:00Z" w:original="%1:8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אמרה שנתן נאשם בהליך משמעתי, לא תשמש ראיה נגדו בהליך פלילי.</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פסק דין במשפט פלילי</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67" w:author="User" w:date="2005-04-17T16:33:00Z" w:original="%1:8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pStyle w:val="a3"/>
              <w:rPr>
                <w:rFonts w:cs="David"/>
                <w:sz w:val="26"/>
              </w:rPr>
            </w:pPr>
            <w:r>
              <w:rPr>
                <w:rFonts w:cs="David"/>
                <w:sz w:val="24"/>
                <w:rtl/>
              </w:rPr>
              <w:t>הממצאים והמסקנות של פסק דין סופי במשפט פלילי שנוהל נגד שוטר, יראו אותם כמוכחים בהליך משמעתי נגד אותו שוטר.</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 xml:space="preserve">תקופות שלא יבואו במנין תקופת שירות </w:t>
            </w:r>
            <w:r>
              <w:rPr>
                <w:rFonts w:cs="David"/>
                <w:b/>
                <w:bCs/>
                <w:sz w:val="26"/>
                <w:szCs w:val="26"/>
                <w:rtl/>
              </w:rPr>
              <w:t>בטחון</w:t>
            </w:r>
          </w:p>
        </w:tc>
        <w:tc>
          <w:tcPr>
            <w:tcW w:w="900" w:type="dxa"/>
            <w:tcBorders>
              <w:top w:val="nil"/>
              <w:left w:val="nil"/>
              <w:bottom w:val="nil"/>
              <w:right w:val="nil"/>
            </w:tcBorders>
          </w:tcPr>
          <w:p w:rsidR="00000000" w:rsidRDefault="00AF1222">
            <w:pPr>
              <w:numPr>
                <w:ilvl w:val="0"/>
                <w:numId w:val="5"/>
                <w:numberingChange w:id="68" w:author="User" w:date="2005-04-17T16:33:00Z" w:original="%1:85: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תקופת מאסר או מחבוש שנשא שוטר הממלא חובתו  לשירות סדיר או לשירות מילואים  במשטרת ישראל לפי חוק שירות בטחון, או תקופה שבה נעדר מן השירות שלא כדין ושעליה נידון, לא תבוא במנין תקופת שירות ביטחון לפי חוק שירות בטחון, אלא אם כן ניתנה הוראה אחרת מאת ד</w:t>
            </w:r>
            <w:r>
              <w:rPr>
                <w:rFonts w:cs="David"/>
                <w:sz w:val="26"/>
                <w:szCs w:val="26"/>
                <w:rtl/>
              </w:rPr>
              <w:t>ן יחיד, בית דין, או בית משפט.</w:t>
            </w:r>
          </w:p>
          <w:p w:rsidR="00000000" w:rsidRDefault="00AF1222">
            <w:pPr>
              <w:bidi/>
              <w:jc w:val="both"/>
              <w:rPr>
                <w:rFonts w:cs="David"/>
                <w:sz w:val="26"/>
                <w:szCs w:val="26"/>
                <w:rtl/>
              </w:rPr>
            </w:pPr>
          </w:p>
          <w:p w:rsidR="00000000" w:rsidRDefault="00AF1222">
            <w:pPr>
              <w:bidi/>
              <w:jc w:val="both"/>
              <w:rPr>
                <w:rFonts w:cs="David"/>
                <w:b/>
                <w:bCs/>
                <w:sz w:val="26"/>
                <w:szCs w:val="26"/>
                <w:u w:val="single"/>
              </w:rPr>
            </w:pPr>
          </w:p>
        </w:tc>
      </w:tr>
      <w:tr w:rsidR="00000000">
        <w:trPr>
          <w:cantSplit/>
          <w:trHeight w:val="650"/>
          <w:jc w:val="right"/>
        </w:trPr>
        <w:tc>
          <w:tcPr>
            <w:tcW w:w="1337" w:type="dxa"/>
            <w:vMerge w:val="restart"/>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 xml:space="preserve">אי זכאות  לשכר בעד ימי היעדרות </w:t>
            </w:r>
          </w:p>
        </w:tc>
        <w:tc>
          <w:tcPr>
            <w:tcW w:w="900" w:type="dxa"/>
            <w:vMerge w:val="restart"/>
            <w:tcBorders>
              <w:top w:val="nil"/>
              <w:left w:val="nil"/>
              <w:bottom w:val="nil"/>
              <w:right w:val="nil"/>
            </w:tcBorders>
          </w:tcPr>
          <w:p w:rsidR="00000000" w:rsidRDefault="00AF1222">
            <w:pPr>
              <w:numPr>
                <w:ilvl w:val="0"/>
                <w:numId w:val="5"/>
                <w:numberingChange w:id="69" w:author="User" w:date="2005-04-17T16:33:00Z" w:original="%1:86: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שוטר שהורשע בעבירת משמעת לפי פרט (5) לתוספת הראשונה או שנעדר מן השירות באחת מהנסיבות המפורטות להלן, לא יהיה זכאי לשכר בעד כל יום או חלק ממנו של היעדרות: </w:t>
            </w:r>
          </w:p>
          <w:p w:rsidR="00000000" w:rsidRDefault="00AF1222">
            <w:pPr>
              <w:numPr>
                <w:ilvl w:val="0"/>
                <w:numId w:val="22"/>
              </w:numPr>
              <w:bidi/>
              <w:ind w:right="720"/>
              <w:jc w:val="both"/>
              <w:rPr>
                <w:rFonts w:cs="David"/>
                <w:sz w:val="26"/>
                <w:szCs w:val="26"/>
                <w:rtl/>
              </w:rPr>
            </w:pPr>
            <w:r>
              <w:rPr>
                <w:rFonts w:cs="David"/>
                <w:sz w:val="26"/>
                <w:szCs w:val="26"/>
                <w:rtl/>
              </w:rPr>
              <w:t xml:space="preserve">השוטר היה נתון במעצר או </w:t>
            </w:r>
            <w:r>
              <w:rPr>
                <w:rFonts w:cs="David"/>
                <w:sz w:val="26"/>
                <w:szCs w:val="26"/>
                <w:rtl/>
              </w:rPr>
              <w:t>ששוחרר בערובה בתנאים מגבילים המונעים ממנו להתייצב לשירות;</w:t>
            </w:r>
          </w:p>
          <w:p w:rsidR="00000000" w:rsidRDefault="00AF1222">
            <w:pPr>
              <w:numPr>
                <w:ilvl w:val="0"/>
                <w:numId w:val="22"/>
                <w:numberingChange w:id="70" w:author="User" w:date="2005-04-17T16:33:00Z" w:original="(%1:1:0:)"/>
              </w:numPr>
              <w:bidi/>
              <w:ind w:right="720"/>
              <w:jc w:val="both"/>
              <w:rPr>
                <w:rFonts w:cs="David"/>
                <w:sz w:val="26"/>
                <w:szCs w:val="26"/>
                <w:rtl/>
              </w:rPr>
            </w:pPr>
            <w:r>
              <w:rPr>
                <w:rFonts w:cs="David"/>
                <w:sz w:val="26"/>
                <w:szCs w:val="26"/>
                <w:rtl/>
              </w:rPr>
              <w:t xml:space="preserve">השוטר היה נתון במאסר או במחבוש. </w:t>
            </w:r>
          </w:p>
          <w:p w:rsidR="00000000" w:rsidRDefault="00AF1222">
            <w:pPr>
              <w:bidi/>
              <w:jc w:val="both"/>
              <w:rPr>
                <w:rFonts w:cs="David"/>
                <w:b/>
                <w:bCs/>
                <w:sz w:val="26"/>
                <w:szCs w:val="26"/>
                <w:u w:val="single"/>
              </w:rPr>
            </w:pPr>
          </w:p>
        </w:tc>
      </w:tr>
      <w:tr w:rsidR="00000000">
        <w:trPr>
          <w:cantSplit/>
          <w:trHeight w:val="6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המפקח הכללי או מי שהוא הסמיך לכך רשאי, על אף הוראות סעיף קטן (א), להורות, מנימוקים מיוחדים שיירשמו, כי ישולם לשוטר כאמור בסעיף קטן (א), השכר שהיה מקבל, כ</w:t>
            </w:r>
            <w:r>
              <w:rPr>
                <w:rFonts w:cs="David"/>
                <w:sz w:val="26"/>
                <w:szCs w:val="26"/>
                <w:rtl/>
              </w:rPr>
              <w:t>ולו או חלקו, לולא התקיימו לגביו הוראות סעיף קטן (א).</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שמירת סמכויות השר והמפקח הכללי</w:t>
            </w:r>
          </w:p>
        </w:tc>
        <w:tc>
          <w:tcPr>
            <w:tcW w:w="900" w:type="dxa"/>
            <w:tcBorders>
              <w:top w:val="nil"/>
              <w:left w:val="nil"/>
              <w:bottom w:val="nil"/>
              <w:right w:val="nil"/>
            </w:tcBorders>
          </w:tcPr>
          <w:p w:rsidR="00000000" w:rsidRDefault="00AF1222">
            <w:pPr>
              <w:numPr>
                <w:ilvl w:val="0"/>
                <w:numId w:val="5"/>
                <w:numberingChange w:id="71" w:author="User" w:date="2005-04-17T16:33:00Z" w:original="%1:8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אין בהוראות פרק זה כדי לגרוע  מסמכויות הנתונות לשר או למפקח  הכללי לגבי השוטר לפי החוק או הפקודה.</w:t>
            </w:r>
          </w:p>
          <w:p w:rsidR="00000000" w:rsidRDefault="00AF1222">
            <w:pPr>
              <w:bidi/>
              <w:jc w:val="both"/>
              <w:rPr>
                <w:rFonts w:cs="David"/>
                <w:b/>
                <w:bCs/>
                <w:sz w:val="26"/>
                <w:szCs w:val="26"/>
                <w:u w:val="single"/>
              </w:rPr>
            </w:pP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540"/>
        <w:gridCol w:w="576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פרק ג': בירור קבילות שוטרים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הגדרות</w:t>
            </w:r>
          </w:p>
        </w:tc>
        <w:tc>
          <w:tcPr>
            <w:tcW w:w="900" w:type="dxa"/>
            <w:tcBorders>
              <w:top w:val="nil"/>
              <w:left w:val="nil"/>
              <w:bottom w:val="nil"/>
              <w:right w:val="nil"/>
            </w:tcBorders>
          </w:tcPr>
          <w:p w:rsidR="00000000" w:rsidRDefault="00AF1222">
            <w:pPr>
              <w:numPr>
                <w:ilvl w:val="0"/>
                <w:numId w:val="5"/>
                <w:numberingChange w:id="72" w:author="User" w:date="2005-04-17T16:33:00Z" w:original="%1:8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בפרק זה –</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"מעשה" –</w:t>
            </w:r>
            <w:r>
              <w:rPr>
                <w:rFonts w:cs="David"/>
                <w:sz w:val="26"/>
                <w:szCs w:val="26"/>
                <w:rtl/>
              </w:rPr>
              <w:t xml:space="preserve"> לרבות מחדל ופיגור בעשייה, כאמור בסעיף 96;</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"סוהר" – כמשמעותו בפקודת בתי הסוהר [נוסח חדש], התשל"ב – 1971</w:t>
            </w:r>
            <w:r>
              <w:rPr>
                <w:rStyle w:val="a5"/>
                <w:rFonts w:cs="David"/>
                <w:sz w:val="26"/>
                <w:szCs w:val="26"/>
                <w:rtl/>
              </w:rPr>
              <w:footnoteReference w:id="10"/>
            </w:r>
            <w:r>
              <w:rPr>
                <w:rFonts w:cs="David"/>
                <w:sz w:val="26"/>
                <w:szCs w:val="26"/>
                <w:rtl/>
              </w:rPr>
              <w:t>, שסופח למשטרת ישראל;</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"שוטר" – לרבות יוצא צבא הממלא חובתו לשירות סדיר או לשירות מילואים, במשטרת ישראל לפי ח</w:t>
            </w:r>
            <w:r>
              <w:rPr>
                <w:rFonts w:cs="David"/>
                <w:sz w:val="26"/>
                <w:szCs w:val="26"/>
                <w:rtl/>
              </w:rPr>
              <w:t>וק שירות בטחון, אלא אם כן נאמר אחרת.</w:t>
            </w:r>
          </w:p>
          <w:p w:rsidR="00000000" w:rsidRDefault="00AF1222">
            <w:pPr>
              <w:bidi/>
              <w:jc w:val="both"/>
              <w:rPr>
                <w:rFonts w:cs="David"/>
                <w:sz w:val="26"/>
                <w:szCs w:val="26"/>
                <w:rtl/>
              </w:rPr>
            </w:pPr>
          </w:p>
          <w:p w:rsidR="00000000" w:rsidRDefault="00AF1222">
            <w:pPr>
              <w:bidi/>
              <w:jc w:val="both"/>
              <w:rPr>
                <w:rFonts w:cs="David"/>
                <w:sz w:val="26"/>
                <w:szCs w:val="26"/>
                <w:rtl/>
              </w:rPr>
            </w:pPr>
            <w:r>
              <w:rPr>
                <w:rFonts w:cs="David"/>
                <w:sz w:val="26"/>
                <w:szCs w:val="26"/>
                <w:rtl/>
              </w:rPr>
              <w:t>"שוטר נפגע" או "סוהר נפגע" – שוטר או סוהר שנעשה לגביו מעשה.</w:t>
            </w:r>
          </w:p>
          <w:p w:rsidR="00000000" w:rsidRDefault="00AF1222">
            <w:pPr>
              <w:bidi/>
              <w:jc w:val="both"/>
              <w:rPr>
                <w:rFonts w:cs="David"/>
                <w:b/>
                <w:bCs/>
                <w:sz w:val="26"/>
                <w:szCs w:val="26"/>
                <w:u w:val="single"/>
              </w:rPr>
            </w:pPr>
          </w:p>
        </w:tc>
      </w:tr>
      <w:tr w:rsidR="00000000">
        <w:trPr>
          <w:cantSplit/>
          <w:trHeight w:val="39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מינוי נציב קבילות שוטרים</w:t>
            </w:r>
          </w:p>
        </w:tc>
        <w:tc>
          <w:tcPr>
            <w:tcW w:w="900" w:type="dxa"/>
            <w:vMerge w:val="restart"/>
            <w:tcBorders>
              <w:top w:val="nil"/>
              <w:left w:val="nil"/>
              <w:bottom w:val="nil"/>
              <w:right w:val="nil"/>
            </w:tcBorders>
          </w:tcPr>
          <w:p w:rsidR="00000000" w:rsidRDefault="00AF1222">
            <w:pPr>
              <w:numPr>
                <w:ilvl w:val="0"/>
                <w:numId w:val="5"/>
                <w:numberingChange w:id="73" w:author="User" w:date="2005-04-17T16:33:00Z" w:original="%1:89: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השר, בהתייעצות עם שר המשפטים ובאישור ועדת הפנים ואיכות הסביבה של הכנסת, ימנה נציב קבילות שוטרים (בחוק זה – נציב הקבילות); </w:t>
            </w:r>
            <w:r>
              <w:rPr>
                <w:rFonts w:cs="David"/>
                <w:sz w:val="26"/>
                <w:szCs w:val="26"/>
                <w:rtl/>
              </w:rPr>
              <w:t>תקופת כהונתו של נציב הקבילות תהיה חמש שנים מיום מינויו.</w:t>
            </w:r>
          </w:p>
          <w:p w:rsidR="00000000" w:rsidRDefault="00AF1222">
            <w:pPr>
              <w:bidi/>
              <w:jc w:val="both"/>
              <w:rPr>
                <w:rFonts w:cs="David"/>
                <w:b/>
                <w:bCs/>
                <w:sz w:val="26"/>
                <w:szCs w:val="26"/>
                <w:u w:val="single"/>
              </w:rPr>
            </w:pPr>
          </w:p>
        </w:tc>
      </w:tr>
      <w:tr w:rsidR="00000000">
        <w:trPr>
          <w:cantSplit/>
          <w:trHeight w:val="593"/>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הודעה על מינויו של נציב הקבילות ועל המען למשלוח הקבילות תפורסם ברשומות.</w:t>
            </w:r>
          </w:p>
          <w:p w:rsidR="00000000" w:rsidRDefault="00AF1222">
            <w:pPr>
              <w:bidi/>
              <w:jc w:val="both"/>
              <w:rPr>
                <w:rFonts w:cs="David"/>
                <w:b/>
                <w:bCs/>
                <w:sz w:val="26"/>
                <w:szCs w:val="26"/>
                <w:u w:val="single"/>
              </w:rPr>
            </w:pPr>
          </w:p>
        </w:tc>
      </w:tr>
      <w:tr w:rsidR="00000000">
        <w:trPr>
          <w:cantSplit/>
          <w:trHeight w:val="592"/>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השר ימנה ממלא מקום לנציב הקבילות.</w:t>
            </w: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פקיעת כהונה</w:t>
            </w:r>
          </w:p>
        </w:tc>
        <w:tc>
          <w:tcPr>
            <w:tcW w:w="900" w:type="dxa"/>
            <w:tcBorders>
              <w:top w:val="nil"/>
              <w:left w:val="nil"/>
              <w:bottom w:val="nil"/>
              <w:right w:val="nil"/>
            </w:tcBorders>
          </w:tcPr>
          <w:p w:rsidR="00000000" w:rsidRDefault="00AF1222">
            <w:pPr>
              <w:numPr>
                <w:ilvl w:val="0"/>
                <w:numId w:val="5"/>
                <w:numberingChange w:id="74" w:author="User" w:date="2005-04-17T16:33:00Z" w:original="%1:90: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נציב הקבילות יחדל לכהן לפני תום תקופת כהונתו באחת מאלה:</w:t>
            </w:r>
          </w:p>
          <w:p w:rsidR="00000000" w:rsidRDefault="00AF1222">
            <w:pPr>
              <w:bidi/>
              <w:jc w:val="both"/>
              <w:rPr>
                <w:rFonts w:cs="David"/>
                <w:sz w:val="26"/>
                <w:szCs w:val="26"/>
                <w:rtl/>
              </w:rPr>
            </w:pPr>
            <w:r>
              <w:rPr>
                <w:rFonts w:cs="David"/>
                <w:sz w:val="26"/>
                <w:szCs w:val="26"/>
                <w:rtl/>
              </w:rPr>
              <w:t xml:space="preserve"> </w:t>
            </w:r>
          </w:p>
          <w:p w:rsidR="00000000" w:rsidRDefault="00AF1222">
            <w:pPr>
              <w:numPr>
                <w:ilvl w:val="0"/>
                <w:numId w:val="23"/>
              </w:numPr>
              <w:bidi/>
              <w:ind w:right="1140"/>
              <w:jc w:val="both"/>
              <w:rPr>
                <w:rFonts w:cs="David"/>
                <w:sz w:val="26"/>
                <w:szCs w:val="26"/>
                <w:rtl/>
              </w:rPr>
            </w:pPr>
            <w:r>
              <w:rPr>
                <w:rFonts w:cs="David"/>
                <w:sz w:val="26"/>
                <w:szCs w:val="26"/>
                <w:rtl/>
              </w:rPr>
              <w:t>התפטר במסירת כתב התפטרות לשר;</w:t>
            </w:r>
          </w:p>
          <w:p w:rsidR="00000000" w:rsidRDefault="00AF1222">
            <w:pPr>
              <w:bidi/>
              <w:ind w:left="780"/>
              <w:jc w:val="both"/>
              <w:rPr>
                <w:rFonts w:cs="David"/>
                <w:sz w:val="26"/>
                <w:szCs w:val="26"/>
                <w:rtl/>
              </w:rPr>
            </w:pPr>
          </w:p>
          <w:p w:rsidR="00000000" w:rsidRDefault="00AF1222">
            <w:pPr>
              <w:numPr>
                <w:ilvl w:val="0"/>
                <w:numId w:val="23"/>
              </w:numPr>
              <w:bidi/>
              <w:ind w:right="1140"/>
              <w:jc w:val="both"/>
              <w:rPr>
                <w:rFonts w:cs="David"/>
                <w:sz w:val="26"/>
                <w:szCs w:val="26"/>
                <w:rtl/>
              </w:rPr>
            </w:pPr>
            <w:r>
              <w:rPr>
                <w:rFonts w:cs="David"/>
                <w:sz w:val="26"/>
                <w:szCs w:val="26"/>
                <w:rtl/>
              </w:rPr>
              <w:t>הוגש נגדו כתב אישום בעבירה אשר מפאת מהותה, חומרתה או נסיבותיה, אין הוא ראוי לכהן כנציב הקבילות.</w:t>
            </w:r>
          </w:p>
          <w:p w:rsidR="00000000" w:rsidRDefault="00AF1222">
            <w:pPr>
              <w:bidi/>
              <w:jc w:val="both"/>
              <w:rPr>
                <w:rFonts w:cs="David"/>
                <w:b/>
                <w:bCs/>
                <w:sz w:val="26"/>
                <w:szCs w:val="26"/>
                <w:u w:val="single"/>
                <w:rtl/>
              </w:rPr>
            </w:pP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העברה מכהונה</w:t>
            </w:r>
          </w:p>
        </w:tc>
        <w:tc>
          <w:tcPr>
            <w:tcW w:w="900" w:type="dxa"/>
            <w:tcBorders>
              <w:top w:val="nil"/>
              <w:left w:val="nil"/>
              <w:bottom w:val="nil"/>
              <w:right w:val="nil"/>
            </w:tcBorders>
          </w:tcPr>
          <w:p w:rsidR="00000000" w:rsidRDefault="00AF1222">
            <w:pPr>
              <w:numPr>
                <w:ilvl w:val="0"/>
                <w:numId w:val="5"/>
                <w:numberingChange w:id="75" w:author="User" w:date="2005-04-17T16:33:00Z" w:original="%1:91: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השר, בהתייעצות עם שר המשפטים ובאישור ועדת הפנים ואיכות הסביבה של הכנסת, רשאי להעביר את נציב הקבילות </w:t>
            </w:r>
            <w:r>
              <w:rPr>
                <w:rFonts w:cs="David"/>
                <w:sz w:val="26"/>
                <w:szCs w:val="26"/>
                <w:rtl/>
              </w:rPr>
              <w:t>מתפקידו לפני תום תקופת כהונתו, אם נבצר ממנו למלא את תפקידיו תקופה העולה על ששה חודשים רצופים.</w:t>
            </w:r>
          </w:p>
          <w:p w:rsidR="00000000" w:rsidRDefault="00AF1222">
            <w:pPr>
              <w:bidi/>
              <w:jc w:val="both"/>
              <w:rPr>
                <w:rFonts w:cs="David"/>
                <w:sz w:val="26"/>
                <w:szCs w:val="26"/>
              </w:rPr>
            </w:pPr>
          </w:p>
        </w:tc>
      </w:tr>
      <w:tr w:rsidR="00000000">
        <w:trPr>
          <w:cantSplit/>
          <w:trHeight w:val="39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מילוי מקום נציב הקבילות</w:t>
            </w:r>
          </w:p>
        </w:tc>
        <w:tc>
          <w:tcPr>
            <w:tcW w:w="900" w:type="dxa"/>
            <w:vMerge w:val="restart"/>
            <w:tcBorders>
              <w:top w:val="nil"/>
              <w:left w:val="nil"/>
              <w:bottom w:val="nil"/>
              <w:right w:val="nil"/>
            </w:tcBorders>
          </w:tcPr>
          <w:p w:rsidR="00000000" w:rsidRDefault="00AF1222">
            <w:pPr>
              <w:numPr>
                <w:ilvl w:val="0"/>
                <w:numId w:val="5"/>
                <w:numberingChange w:id="76" w:author="User" w:date="2005-04-17T16:33:00Z" w:original="%1:92: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נבצר מנציב הקבילות, דרך ארעי, למלא את תפקידיו, ישמש ממלא מקומו כנציב הקבילות, לתקופה שלא תעלה על שלושה חודשים, ורשאי השר להאריך</w:t>
            </w:r>
            <w:r>
              <w:rPr>
                <w:rFonts w:cs="David"/>
                <w:sz w:val="26"/>
                <w:szCs w:val="26"/>
                <w:rtl/>
              </w:rPr>
              <w:t xml:space="preserve"> את התקופה האמורה לתקופות נוספות, ובלבד שסך כל התקופות שבהן ישמש ממלא המקום כנציב הקבילות, לא יעלה על ששה חודשים.</w:t>
            </w:r>
          </w:p>
          <w:p w:rsidR="00000000" w:rsidRDefault="00AF1222">
            <w:pPr>
              <w:bidi/>
              <w:jc w:val="both"/>
              <w:rPr>
                <w:rFonts w:cs="David"/>
                <w:b/>
                <w:bCs/>
                <w:sz w:val="26"/>
                <w:szCs w:val="26"/>
                <w:u w:val="single"/>
              </w:rPr>
            </w:pPr>
          </w:p>
        </w:tc>
      </w:tr>
      <w:tr w:rsidR="00000000">
        <w:trPr>
          <w:cantSplit/>
          <w:trHeight w:val="39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התפנתה משרתו של נציב הקבילות וטרם התמנה אחר במקומו, ישמש ממלא מקומו כנציב הקבילות, עד למינוי נציב הקבילות כאמור בסעיף 89.</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הרשאים להג</w:t>
            </w:r>
            <w:r>
              <w:rPr>
                <w:rFonts w:cs="David"/>
                <w:b/>
                <w:bCs/>
                <w:sz w:val="26"/>
                <w:szCs w:val="26"/>
                <w:rtl/>
              </w:rPr>
              <w:t>יש קבילה</w:t>
            </w:r>
          </w:p>
        </w:tc>
        <w:tc>
          <w:tcPr>
            <w:tcW w:w="900" w:type="dxa"/>
            <w:tcBorders>
              <w:top w:val="nil"/>
              <w:left w:val="nil"/>
              <w:bottom w:val="nil"/>
              <w:right w:val="nil"/>
            </w:tcBorders>
          </w:tcPr>
          <w:p w:rsidR="00000000" w:rsidRDefault="00AF1222">
            <w:pPr>
              <w:numPr>
                <w:ilvl w:val="0"/>
                <w:numId w:val="5"/>
                <w:numberingChange w:id="77" w:author="User" w:date="2005-04-17T16:33:00Z" w:original="%1:9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אלה רשאים להגיש קבילה: </w:t>
            </w:r>
          </w:p>
          <w:p w:rsidR="00000000" w:rsidRDefault="00AF1222">
            <w:pPr>
              <w:numPr>
                <w:ilvl w:val="0"/>
                <w:numId w:val="24"/>
              </w:numPr>
              <w:bidi/>
              <w:ind w:right="1381"/>
              <w:jc w:val="both"/>
              <w:rPr>
                <w:rFonts w:cs="David"/>
                <w:sz w:val="26"/>
                <w:szCs w:val="26"/>
                <w:rtl/>
              </w:rPr>
            </w:pPr>
            <w:r>
              <w:rPr>
                <w:rFonts w:cs="David"/>
                <w:sz w:val="26"/>
                <w:szCs w:val="26"/>
                <w:rtl/>
              </w:rPr>
              <w:t>אדם הרואה עצמו נפגע ממעשה שנעשה לגביו בעת היותו שוטר או בעת היותו סוהר;</w:t>
            </w:r>
          </w:p>
          <w:p w:rsidR="00000000" w:rsidRDefault="00AF1222">
            <w:pPr>
              <w:numPr>
                <w:ilvl w:val="0"/>
                <w:numId w:val="24"/>
                <w:numberingChange w:id="78" w:author="User" w:date="2005-04-17T16:33:00Z" w:original="(%1:1:0:)"/>
              </w:numPr>
              <w:bidi/>
              <w:ind w:right="1381"/>
              <w:jc w:val="both"/>
              <w:rPr>
                <w:rFonts w:cs="David"/>
                <w:sz w:val="26"/>
                <w:szCs w:val="26"/>
                <w:rtl/>
              </w:rPr>
            </w:pPr>
            <w:r>
              <w:rPr>
                <w:rFonts w:cs="David"/>
                <w:sz w:val="26"/>
                <w:szCs w:val="26"/>
                <w:rtl/>
              </w:rPr>
              <w:t xml:space="preserve">אדם מטעמו של השוטר הנפגע או הסוהר הנפגע, ובתנאי שאותו אדם אינו שוטר או סוהר, לפי הענין; נפטר השוטר הנפגע או הסוהר הנפגע - הורהו, בן זוגו, </w:t>
            </w:r>
            <w:r>
              <w:rPr>
                <w:rFonts w:cs="David"/>
                <w:sz w:val="26"/>
                <w:szCs w:val="26"/>
                <w:rtl/>
              </w:rPr>
              <w:t>בנו, בתו, אחיו או אחותו.</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הנקבל</w:t>
            </w:r>
          </w:p>
        </w:tc>
        <w:tc>
          <w:tcPr>
            <w:tcW w:w="900" w:type="dxa"/>
            <w:tcBorders>
              <w:top w:val="nil"/>
              <w:left w:val="nil"/>
              <w:bottom w:val="nil"/>
              <w:right w:val="nil"/>
            </w:tcBorders>
          </w:tcPr>
          <w:p w:rsidR="00000000" w:rsidRDefault="00AF1222">
            <w:pPr>
              <w:numPr>
                <w:ilvl w:val="0"/>
                <w:numId w:val="5"/>
                <w:numberingChange w:id="79" w:author="User" w:date="2005-04-17T16:33:00Z" w:original="%1:9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קבילה ניתנת להגשה על מי שבעת עשיית המעשה היה שוטר (בפרק זה - הנקבל).</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הגשת  קבילה</w:t>
            </w:r>
          </w:p>
        </w:tc>
        <w:tc>
          <w:tcPr>
            <w:tcW w:w="900" w:type="dxa"/>
            <w:tcBorders>
              <w:top w:val="nil"/>
              <w:left w:val="nil"/>
              <w:bottom w:val="nil"/>
              <w:right w:val="nil"/>
            </w:tcBorders>
          </w:tcPr>
          <w:p w:rsidR="00000000" w:rsidRDefault="00AF1222">
            <w:pPr>
              <w:numPr>
                <w:ilvl w:val="0"/>
                <w:numId w:val="5"/>
                <w:numberingChange w:id="80" w:author="User" w:date="2005-04-17T16:33:00Z" w:original="%1:95: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קבילה תומצא בכתב, במישרין, לנציב הקבילות, ותהא חתומה בידי מגישה; בקבילה יצוינו כל אלה:</w:t>
            </w:r>
          </w:p>
          <w:p w:rsidR="00000000" w:rsidRDefault="00AF1222">
            <w:pPr>
              <w:bidi/>
              <w:jc w:val="both"/>
              <w:rPr>
                <w:rFonts w:cs="David"/>
                <w:sz w:val="26"/>
                <w:szCs w:val="26"/>
                <w:rtl/>
              </w:rPr>
            </w:pPr>
          </w:p>
          <w:p w:rsidR="00000000" w:rsidRDefault="00AF1222">
            <w:pPr>
              <w:numPr>
                <w:ilvl w:val="0"/>
                <w:numId w:val="25"/>
              </w:numPr>
              <w:bidi/>
              <w:ind w:right="735"/>
              <w:jc w:val="both"/>
              <w:rPr>
                <w:rFonts w:cs="David"/>
                <w:sz w:val="26"/>
                <w:szCs w:val="26"/>
                <w:rtl/>
              </w:rPr>
            </w:pPr>
            <w:r>
              <w:rPr>
                <w:rFonts w:cs="David"/>
                <w:sz w:val="26"/>
                <w:szCs w:val="26"/>
                <w:rtl/>
              </w:rPr>
              <w:t xml:space="preserve">שמו, מספרו האישי, דרגתו, תפקידו ומענו </w:t>
            </w:r>
            <w:r>
              <w:rPr>
                <w:rFonts w:cs="David"/>
                <w:sz w:val="26"/>
                <w:szCs w:val="26"/>
                <w:rtl/>
              </w:rPr>
              <w:t>של השוטר הנפגע או הסוהר הנפגע, והיחידה המשטרתית שבה הוא משרת או שירת, או שאליה הוא מסופח או סופח; הגיש את הקבילה אדם כאמור בסעיף 93(2), יצוינו בה גם שמו ומענו של מגיש הקבילה;</w:t>
            </w:r>
          </w:p>
          <w:p w:rsidR="00000000" w:rsidRDefault="00AF1222">
            <w:pPr>
              <w:numPr>
                <w:ilvl w:val="0"/>
                <w:numId w:val="25"/>
                <w:numberingChange w:id="81" w:author="User" w:date="2005-04-17T16:33:00Z" w:original="(%1:1:0:)"/>
              </w:numPr>
              <w:bidi/>
              <w:ind w:right="735"/>
              <w:jc w:val="both"/>
              <w:rPr>
                <w:rFonts w:cs="David"/>
                <w:sz w:val="26"/>
                <w:szCs w:val="26"/>
                <w:rtl/>
              </w:rPr>
            </w:pPr>
            <w:r>
              <w:rPr>
                <w:rFonts w:cs="David"/>
                <w:sz w:val="26"/>
                <w:szCs w:val="26"/>
                <w:rtl/>
              </w:rPr>
              <w:t>פרטי זהותו של הנקבל, ואם אין בידי מגיש הקבילה פרטים כאמור - כל פרט שיש בו כדי</w:t>
            </w:r>
            <w:r>
              <w:rPr>
                <w:rFonts w:cs="David"/>
                <w:sz w:val="26"/>
                <w:szCs w:val="26"/>
                <w:rtl/>
              </w:rPr>
              <w:t xml:space="preserve"> לסייע לזיהויו;</w:t>
            </w:r>
          </w:p>
          <w:p w:rsidR="00000000" w:rsidRDefault="00AF1222">
            <w:pPr>
              <w:numPr>
                <w:ilvl w:val="0"/>
                <w:numId w:val="25"/>
                <w:numberingChange w:id="82" w:author="User" w:date="2005-04-17T16:33:00Z" w:original="(%1:1:0:)"/>
              </w:numPr>
              <w:bidi/>
              <w:ind w:right="735"/>
              <w:jc w:val="both"/>
              <w:rPr>
                <w:rFonts w:cs="David"/>
                <w:sz w:val="26"/>
                <w:szCs w:val="26"/>
                <w:rtl/>
              </w:rPr>
            </w:pPr>
            <w:r>
              <w:rPr>
                <w:rFonts w:cs="David"/>
                <w:sz w:val="26"/>
                <w:szCs w:val="26"/>
                <w:rtl/>
              </w:rPr>
              <w:t>תיאור מפורט של המעשה, לרבות הפגיעה שנגרמה בעקבותיו, המועד שבו אירע, זהות העדים ככל שישנם, וכל פרט אחר הנוגע לענין ושיש בו כדי לסייע לבירור יעיל של הקבילה;</w:t>
            </w:r>
          </w:p>
          <w:p w:rsidR="00000000" w:rsidRDefault="00AF1222">
            <w:pPr>
              <w:numPr>
                <w:ilvl w:val="0"/>
                <w:numId w:val="25"/>
                <w:numberingChange w:id="83" w:author="User" w:date="2005-04-17T16:33:00Z" w:original="(%1:1:0:)"/>
              </w:numPr>
              <w:bidi/>
              <w:ind w:right="735"/>
              <w:jc w:val="both"/>
              <w:rPr>
                <w:rFonts w:cs="David"/>
                <w:sz w:val="26"/>
                <w:szCs w:val="26"/>
                <w:rtl/>
              </w:rPr>
            </w:pPr>
            <w:r>
              <w:rPr>
                <w:rFonts w:cs="David"/>
                <w:sz w:val="26"/>
                <w:szCs w:val="26"/>
                <w:rtl/>
              </w:rPr>
              <w:t>הוגשה לגורם רשמי, משטרתי או אחר, פניה בנושא הקבילה – זהות הגורם, והתייחסותו א</w:t>
            </w:r>
            <w:r>
              <w:rPr>
                <w:rFonts w:cs="David"/>
                <w:sz w:val="26"/>
                <w:szCs w:val="26"/>
                <w:rtl/>
              </w:rPr>
              <w:t>ם התקבלה.</w:t>
            </w:r>
          </w:p>
          <w:p w:rsidR="00000000" w:rsidRDefault="00AF1222">
            <w:pPr>
              <w:bidi/>
              <w:jc w:val="both"/>
              <w:rPr>
                <w:rFonts w:cs="David"/>
                <w:sz w:val="26"/>
                <w:szCs w:val="26"/>
                <w:rtl/>
              </w:rPr>
            </w:pP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נושא לקבילה</w:t>
            </w:r>
          </w:p>
        </w:tc>
        <w:tc>
          <w:tcPr>
            <w:tcW w:w="900" w:type="dxa"/>
            <w:tcBorders>
              <w:top w:val="nil"/>
              <w:left w:val="nil"/>
              <w:bottom w:val="nil"/>
              <w:right w:val="nil"/>
            </w:tcBorders>
          </w:tcPr>
          <w:p w:rsidR="00000000" w:rsidRDefault="00AF1222">
            <w:pPr>
              <w:numPr>
                <w:ilvl w:val="0"/>
                <w:numId w:val="5"/>
                <w:numberingChange w:id="84" w:author="User" w:date="2005-04-17T16:33:00Z" w:original="%1:9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נושא לקבילה הוא מעשה שמתקיימים בו כל אלה:</w:t>
            </w:r>
          </w:p>
          <w:p w:rsidR="00000000" w:rsidRDefault="00AF1222">
            <w:pPr>
              <w:bidi/>
              <w:jc w:val="both"/>
              <w:rPr>
                <w:rFonts w:cs="David"/>
                <w:sz w:val="26"/>
                <w:szCs w:val="26"/>
                <w:rtl/>
              </w:rPr>
            </w:pPr>
          </w:p>
          <w:p w:rsidR="00000000" w:rsidRDefault="00AF1222">
            <w:pPr>
              <w:numPr>
                <w:ilvl w:val="0"/>
                <w:numId w:val="26"/>
              </w:numPr>
              <w:bidi/>
              <w:ind w:right="720"/>
              <w:jc w:val="both"/>
              <w:rPr>
                <w:rFonts w:cs="David"/>
                <w:sz w:val="26"/>
                <w:szCs w:val="26"/>
                <w:rtl/>
              </w:rPr>
            </w:pPr>
            <w:r>
              <w:rPr>
                <w:rFonts w:cs="David"/>
                <w:sz w:val="26"/>
                <w:szCs w:val="26"/>
                <w:rtl/>
              </w:rPr>
              <w:t>הוא נוגע לשירותו במשטרה של שוטר או סוהר;</w:t>
            </w:r>
          </w:p>
          <w:p w:rsidR="00000000" w:rsidRDefault="00AF1222">
            <w:pPr>
              <w:numPr>
                <w:ilvl w:val="0"/>
                <w:numId w:val="26"/>
                <w:numberingChange w:id="85" w:author="User" w:date="2005-04-17T16:33:00Z" w:original="(%1:1:0:)"/>
              </w:numPr>
              <w:bidi/>
              <w:ind w:right="720"/>
              <w:jc w:val="both"/>
              <w:rPr>
                <w:rFonts w:cs="David"/>
                <w:sz w:val="26"/>
                <w:szCs w:val="26"/>
                <w:rtl/>
              </w:rPr>
            </w:pPr>
            <w:r>
              <w:rPr>
                <w:rFonts w:cs="David"/>
                <w:sz w:val="26"/>
                <w:szCs w:val="26"/>
                <w:rtl/>
              </w:rPr>
              <w:t>הוא פוגע, במישרין, בשוטר או בסוהר או מונע ממנו במישרין טובת הנאה;</w:t>
            </w:r>
          </w:p>
          <w:p w:rsidR="00000000" w:rsidRDefault="00AF1222">
            <w:pPr>
              <w:numPr>
                <w:ilvl w:val="0"/>
                <w:numId w:val="26"/>
                <w:numberingChange w:id="86" w:author="User" w:date="2005-04-17T16:33:00Z" w:original="(%1:1:0:)"/>
              </w:numPr>
              <w:bidi/>
              <w:ind w:right="720"/>
              <w:jc w:val="both"/>
              <w:rPr>
                <w:rFonts w:cs="David"/>
                <w:sz w:val="26"/>
                <w:szCs w:val="26"/>
                <w:rtl/>
              </w:rPr>
            </w:pPr>
            <w:r>
              <w:rPr>
                <w:rFonts w:cs="David"/>
                <w:sz w:val="26"/>
                <w:szCs w:val="26"/>
                <w:rtl/>
              </w:rPr>
              <w:t>הוא נעשה ללא סמכות חוקית, או שהוא בניגוד לחיקוק, לפקודות, להוראו</w:t>
            </w:r>
            <w:r>
              <w:rPr>
                <w:rFonts w:cs="David"/>
                <w:sz w:val="26"/>
                <w:szCs w:val="26"/>
                <w:rtl/>
              </w:rPr>
              <w:t>ת המחייבות במשטרה, או למינהל תקין, או שיש בו פסול אחר על פי דין, או שיש בו משום שרירות, נוקשות יתירה או אי צדק בולט.</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קבילות שאין לבררן</w:t>
            </w:r>
          </w:p>
        </w:tc>
        <w:tc>
          <w:tcPr>
            <w:tcW w:w="900" w:type="dxa"/>
            <w:tcBorders>
              <w:top w:val="nil"/>
              <w:left w:val="nil"/>
              <w:bottom w:val="nil"/>
              <w:right w:val="nil"/>
            </w:tcBorders>
          </w:tcPr>
          <w:p w:rsidR="00000000" w:rsidRDefault="00AF1222">
            <w:pPr>
              <w:numPr>
                <w:ilvl w:val="0"/>
                <w:numId w:val="5"/>
                <w:numberingChange w:id="87" w:author="User" w:date="2005-04-17T16:33:00Z" w:original="%1:9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96, בקבילות אלה לא יהיה בירור:</w:t>
            </w:r>
          </w:p>
          <w:p w:rsidR="00000000" w:rsidRDefault="00AF1222">
            <w:pPr>
              <w:bidi/>
              <w:jc w:val="both"/>
              <w:rPr>
                <w:rFonts w:cs="David"/>
                <w:sz w:val="26"/>
                <w:szCs w:val="26"/>
                <w:rtl/>
              </w:rPr>
            </w:pPr>
          </w:p>
          <w:p w:rsidR="00000000" w:rsidRDefault="00AF1222">
            <w:pPr>
              <w:numPr>
                <w:ilvl w:val="0"/>
                <w:numId w:val="27"/>
              </w:numPr>
              <w:bidi/>
              <w:ind w:right="720"/>
              <w:jc w:val="both"/>
              <w:rPr>
                <w:rFonts w:cs="David"/>
                <w:sz w:val="26"/>
                <w:szCs w:val="26"/>
                <w:rtl/>
              </w:rPr>
            </w:pPr>
            <w:r>
              <w:rPr>
                <w:rFonts w:cs="David"/>
                <w:sz w:val="26"/>
                <w:szCs w:val="26"/>
                <w:rtl/>
              </w:rPr>
              <w:t>קבילה הנוגעת לענין שהליך לגביו תלוי ועומד בבית משפט, בבית די</w:t>
            </w:r>
            <w:r>
              <w:rPr>
                <w:rFonts w:cs="David"/>
                <w:sz w:val="26"/>
                <w:szCs w:val="26"/>
                <w:rtl/>
              </w:rPr>
              <w:t>ן או בפני דן יחיד, או שניתן לגביו פסק דין בבית משפט, בבית דין או בידי דן יחיד;</w:t>
            </w:r>
          </w:p>
          <w:p w:rsidR="00000000" w:rsidRDefault="00AF1222">
            <w:pPr>
              <w:numPr>
                <w:ilvl w:val="0"/>
                <w:numId w:val="27"/>
                <w:numberingChange w:id="88" w:author="User" w:date="2005-04-17T16:33:00Z" w:original="(%1:1:0:)"/>
              </w:numPr>
              <w:bidi/>
              <w:ind w:right="720"/>
              <w:jc w:val="both"/>
              <w:rPr>
                <w:rFonts w:cs="David"/>
                <w:sz w:val="26"/>
                <w:szCs w:val="26"/>
                <w:rtl/>
              </w:rPr>
            </w:pPr>
            <w:r>
              <w:rPr>
                <w:rFonts w:cs="David"/>
                <w:sz w:val="26"/>
                <w:szCs w:val="26"/>
                <w:rtl/>
              </w:rPr>
              <w:t>קבילה על פעולה שיפוטית של בית דין או של דן יחיד;</w:t>
            </w:r>
          </w:p>
          <w:p w:rsidR="00000000" w:rsidRDefault="00AF1222">
            <w:pPr>
              <w:numPr>
                <w:ilvl w:val="0"/>
                <w:numId w:val="27"/>
                <w:numberingChange w:id="89" w:author="User" w:date="2005-04-17T16:33:00Z" w:original="(%1:1:0:)"/>
              </w:numPr>
              <w:bidi/>
              <w:ind w:right="720"/>
              <w:jc w:val="both"/>
              <w:rPr>
                <w:rFonts w:cs="David"/>
                <w:sz w:val="26"/>
                <w:szCs w:val="26"/>
                <w:rtl/>
              </w:rPr>
            </w:pPr>
            <w:r>
              <w:rPr>
                <w:rFonts w:cs="David"/>
                <w:sz w:val="26"/>
                <w:szCs w:val="26"/>
                <w:rtl/>
              </w:rPr>
              <w:t>קבילה על מעשה שהוא עבירה שבקשר עמה התנהלה או מתנהלת חקירה על פי דין.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קבילות שבירורן מצריך סיבה מיוחדת</w:t>
            </w:r>
          </w:p>
        </w:tc>
        <w:tc>
          <w:tcPr>
            <w:tcW w:w="900" w:type="dxa"/>
            <w:tcBorders>
              <w:top w:val="nil"/>
              <w:left w:val="nil"/>
              <w:bottom w:val="nil"/>
              <w:right w:val="nil"/>
            </w:tcBorders>
          </w:tcPr>
          <w:p w:rsidR="00000000" w:rsidRDefault="00AF1222">
            <w:pPr>
              <w:numPr>
                <w:ilvl w:val="0"/>
                <w:numId w:val="5"/>
                <w:numberingChange w:id="90" w:author="User" w:date="2005-04-17T16:33:00Z" w:original="%1:9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w:t>
            </w:r>
            <w:r>
              <w:rPr>
                <w:rFonts w:cs="David"/>
                <w:sz w:val="26"/>
                <w:szCs w:val="26"/>
                <w:rtl/>
              </w:rPr>
              <w:t>ת סעיף 96, בקבילות אלה לא יהיה בירור אלא אם כן מצא נציב הקבילות, מנימוקים שיירשמו, כי קיימת סיבה מיוחדת המצדיקה את בירורן:</w:t>
            </w:r>
          </w:p>
          <w:p w:rsidR="00000000" w:rsidRDefault="00AF1222">
            <w:pPr>
              <w:bidi/>
              <w:jc w:val="both"/>
              <w:rPr>
                <w:rFonts w:cs="David"/>
                <w:sz w:val="26"/>
                <w:szCs w:val="26"/>
                <w:rtl/>
              </w:rPr>
            </w:pPr>
          </w:p>
          <w:p w:rsidR="00000000" w:rsidRDefault="00AF1222">
            <w:pPr>
              <w:numPr>
                <w:ilvl w:val="0"/>
                <w:numId w:val="28"/>
              </w:numPr>
              <w:bidi/>
              <w:ind w:right="735"/>
              <w:jc w:val="both"/>
              <w:rPr>
                <w:rFonts w:cs="David"/>
                <w:sz w:val="26"/>
                <w:szCs w:val="26"/>
                <w:rtl/>
              </w:rPr>
            </w:pPr>
            <w:r>
              <w:rPr>
                <w:rFonts w:cs="David"/>
                <w:sz w:val="26"/>
                <w:szCs w:val="26"/>
                <w:rtl/>
              </w:rPr>
              <w:t>קבילה, שאינה מנויה בסעיף 97, בענין שניתנה לגביו החלטה שעליה ניתן או היה ניתן להגיש השגה, ערר או ערעור;</w:t>
            </w:r>
          </w:p>
          <w:p w:rsidR="00000000" w:rsidRDefault="00AF1222">
            <w:pPr>
              <w:numPr>
                <w:ilvl w:val="0"/>
                <w:numId w:val="28"/>
                <w:numberingChange w:id="91" w:author="User" w:date="2005-04-17T16:33:00Z" w:original="(%1:1:0:)"/>
              </w:numPr>
              <w:bidi/>
              <w:ind w:right="735"/>
              <w:jc w:val="both"/>
              <w:rPr>
                <w:rFonts w:cs="David"/>
                <w:sz w:val="26"/>
                <w:szCs w:val="26"/>
                <w:rtl/>
              </w:rPr>
            </w:pPr>
            <w:r>
              <w:rPr>
                <w:rFonts w:cs="David"/>
                <w:sz w:val="26"/>
                <w:szCs w:val="26"/>
                <w:rtl/>
              </w:rPr>
              <w:t>קבילה שהוגשה לאחר שעב</w:t>
            </w:r>
            <w:r>
              <w:rPr>
                <w:rFonts w:cs="David"/>
                <w:sz w:val="26"/>
                <w:szCs w:val="26"/>
                <w:rtl/>
              </w:rPr>
              <w:t>רה שנה מיום עשיית המעשה נושא הקבילה, או מהיום שבו נודע לקובל על המעשה כאמור;</w:t>
            </w:r>
          </w:p>
          <w:p w:rsidR="00000000" w:rsidRDefault="00AF1222">
            <w:pPr>
              <w:numPr>
                <w:ilvl w:val="0"/>
                <w:numId w:val="28"/>
                <w:numberingChange w:id="92" w:author="User" w:date="2005-04-17T16:33:00Z" w:original="(%1:1:0:)"/>
              </w:numPr>
              <w:bidi/>
              <w:ind w:right="735"/>
              <w:jc w:val="both"/>
              <w:rPr>
                <w:rFonts w:cs="David"/>
                <w:sz w:val="26"/>
                <w:szCs w:val="26"/>
                <w:rtl/>
              </w:rPr>
            </w:pPr>
            <w:r>
              <w:rPr>
                <w:rFonts w:cs="David"/>
                <w:sz w:val="26"/>
                <w:szCs w:val="26"/>
                <w:rtl/>
              </w:rPr>
              <w:t>קבילה על מעשה שעל פי טיבו ראוי שיבורר בידי מפקדו של השוטר הנפגע או הסוהר הנפגע, או בידי גורם אחר במשטרה;</w:t>
            </w:r>
          </w:p>
          <w:p w:rsidR="00000000" w:rsidRDefault="00AF1222">
            <w:pPr>
              <w:numPr>
                <w:ilvl w:val="0"/>
                <w:numId w:val="28"/>
                <w:numberingChange w:id="93" w:author="User" w:date="2005-04-17T16:33:00Z" w:original="(%1:1:0:)"/>
              </w:numPr>
              <w:bidi/>
              <w:ind w:right="735"/>
              <w:jc w:val="both"/>
              <w:rPr>
                <w:rFonts w:cs="David"/>
                <w:sz w:val="26"/>
                <w:szCs w:val="26"/>
                <w:rtl/>
              </w:rPr>
            </w:pPr>
            <w:r>
              <w:rPr>
                <w:rFonts w:cs="David"/>
                <w:sz w:val="26"/>
                <w:szCs w:val="26"/>
                <w:rtl/>
              </w:rPr>
              <w:t>קבילה על מעשה שפגיעתו בשוטר הנפגע או בסוהר הנפגע היא מזערית;</w:t>
            </w:r>
          </w:p>
          <w:p w:rsidR="00000000" w:rsidRDefault="00AF1222">
            <w:pPr>
              <w:numPr>
                <w:ilvl w:val="0"/>
                <w:numId w:val="28"/>
                <w:numberingChange w:id="94" w:author="User" w:date="2005-04-17T16:33:00Z" w:original="(%1:1:0:)"/>
              </w:numPr>
              <w:bidi/>
              <w:ind w:right="735"/>
              <w:jc w:val="both"/>
              <w:rPr>
                <w:rFonts w:cs="David"/>
                <w:sz w:val="26"/>
                <w:szCs w:val="26"/>
                <w:rtl/>
              </w:rPr>
            </w:pPr>
            <w:r>
              <w:rPr>
                <w:rFonts w:cs="David"/>
                <w:sz w:val="26"/>
                <w:szCs w:val="26"/>
                <w:rtl/>
              </w:rPr>
              <w:t>ק</w:t>
            </w:r>
            <w:r>
              <w:rPr>
                <w:rFonts w:cs="David"/>
                <w:sz w:val="26"/>
                <w:szCs w:val="26"/>
                <w:rtl/>
              </w:rPr>
              <w:t>בילה בענין שהתברר או שמתברר כתלונה בידי גורם אחר המוסמך לכך כדין במשטרה, לרבות בידי קצין בודק או ועדה בודקת שמונו לפי פקודות משטרת ישראל, או במשרד לביטחון הפנים;</w:t>
            </w:r>
          </w:p>
          <w:p w:rsidR="00000000" w:rsidRDefault="00AF1222">
            <w:pPr>
              <w:numPr>
                <w:ilvl w:val="0"/>
                <w:numId w:val="28"/>
                <w:numberingChange w:id="95" w:author="User" w:date="2005-04-17T16:33:00Z" w:original="(%1:1:0:)"/>
              </w:numPr>
              <w:bidi/>
              <w:ind w:right="735"/>
              <w:jc w:val="both"/>
              <w:rPr>
                <w:rFonts w:cs="David"/>
                <w:sz w:val="26"/>
                <w:szCs w:val="26"/>
                <w:rtl/>
              </w:rPr>
            </w:pPr>
            <w:r>
              <w:rPr>
                <w:rFonts w:cs="David"/>
                <w:sz w:val="26"/>
                <w:szCs w:val="26"/>
                <w:rtl/>
              </w:rPr>
              <w:t>קבילה נגד מי שחדל להיות שוטר לפני בירורה, והיא מתייחסת להתנהגות בעלת אופי אישי.</w:t>
            </w:r>
          </w:p>
          <w:p w:rsidR="00000000" w:rsidRDefault="00AF1222">
            <w:pPr>
              <w:bidi/>
              <w:jc w:val="both"/>
              <w:rPr>
                <w:rFonts w:cs="David"/>
                <w:b/>
                <w:bCs/>
                <w:sz w:val="26"/>
                <w:szCs w:val="26"/>
                <w:u w:val="single"/>
              </w:rPr>
            </w:pPr>
          </w:p>
        </w:tc>
      </w:tr>
      <w:tr w:rsidR="00000000">
        <w:trPr>
          <w:cantSplit/>
          <w:trHeight w:val="13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פתיחת הב</w:t>
            </w:r>
            <w:r>
              <w:rPr>
                <w:rFonts w:cs="David"/>
                <w:b/>
                <w:bCs/>
                <w:sz w:val="26"/>
                <w:szCs w:val="26"/>
                <w:rtl/>
              </w:rPr>
              <w:t>ירור</w:t>
            </w:r>
          </w:p>
        </w:tc>
        <w:tc>
          <w:tcPr>
            <w:tcW w:w="900" w:type="dxa"/>
            <w:vMerge w:val="restart"/>
            <w:tcBorders>
              <w:top w:val="nil"/>
              <w:left w:val="nil"/>
              <w:bottom w:val="nil"/>
              <w:right w:val="nil"/>
            </w:tcBorders>
          </w:tcPr>
          <w:p w:rsidR="00000000" w:rsidRDefault="00AF1222">
            <w:pPr>
              <w:numPr>
                <w:ilvl w:val="0"/>
                <w:numId w:val="5"/>
                <w:numberingChange w:id="96" w:author="User" w:date="2005-04-17T16:33:00Z" w:original="%1:99: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משהוגשה קבילה יפתח נציב הקבילות בבירורה, אלא אם כן מצא כי מתקיים אחד מאלה:</w:t>
            </w:r>
          </w:p>
          <w:p w:rsidR="00000000" w:rsidRDefault="00AF1222">
            <w:pPr>
              <w:bidi/>
              <w:jc w:val="both"/>
              <w:rPr>
                <w:rFonts w:cs="David"/>
                <w:sz w:val="26"/>
                <w:szCs w:val="26"/>
                <w:rtl/>
              </w:rPr>
            </w:pPr>
          </w:p>
          <w:p w:rsidR="00000000" w:rsidRDefault="00AF1222">
            <w:pPr>
              <w:numPr>
                <w:ilvl w:val="0"/>
                <w:numId w:val="29"/>
              </w:numPr>
              <w:bidi/>
              <w:ind w:right="720"/>
              <w:jc w:val="both"/>
              <w:rPr>
                <w:rFonts w:cs="David"/>
                <w:sz w:val="26"/>
                <w:szCs w:val="26"/>
                <w:rtl/>
              </w:rPr>
            </w:pPr>
            <w:r>
              <w:rPr>
                <w:rFonts w:cs="David"/>
                <w:sz w:val="26"/>
                <w:szCs w:val="26"/>
                <w:rtl/>
              </w:rPr>
              <w:t>הקבילה אינה ממלאת אחר הוראה מהוראות סעיפים 93, 94, או 96;</w:t>
            </w:r>
          </w:p>
          <w:p w:rsidR="00000000" w:rsidRDefault="00AF1222">
            <w:pPr>
              <w:numPr>
                <w:ilvl w:val="0"/>
                <w:numId w:val="29"/>
                <w:numberingChange w:id="97" w:author="User" w:date="2005-04-17T16:33:00Z" w:original="(%1:1:0:)"/>
              </w:numPr>
              <w:bidi/>
              <w:ind w:right="720"/>
              <w:jc w:val="both"/>
              <w:rPr>
                <w:rFonts w:cs="David"/>
                <w:sz w:val="26"/>
                <w:szCs w:val="26"/>
                <w:rtl/>
              </w:rPr>
            </w:pPr>
            <w:r>
              <w:rPr>
                <w:rFonts w:cs="David"/>
                <w:sz w:val="26"/>
                <w:szCs w:val="26"/>
                <w:rtl/>
              </w:rPr>
              <w:t>הקבילה אינה ממלאת, בפרט מהותי, אחר הוראה מהוראות סעיף 95;</w:t>
            </w:r>
          </w:p>
          <w:p w:rsidR="00000000" w:rsidRDefault="00AF1222">
            <w:pPr>
              <w:numPr>
                <w:ilvl w:val="0"/>
                <w:numId w:val="29"/>
                <w:numberingChange w:id="98" w:author="User" w:date="2005-04-17T16:33:00Z" w:original="(%1:1:0:)"/>
              </w:numPr>
              <w:bidi/>
              <w:ind w:right="720"/>
              <w:jc w:val="both"/>
              <w:rPr>
                <w:rFonts w:cs="David"/>
                <w:sz w:val="26"/>
                <w:szCs w:val="26"/>
                <w:rtl/>
              </w:rPr>
            </w:pPr>
            <w:r>
              <w:rPr>
                <w:rFonts w:cs="David"/>
                <w:sz w:val="26"/>
                <w:szCs w:val="26"/>
                <w:rtl/>
              </w:rPr>
              <w:t>אין לברר את הקבילה מאחת הסיבות המנויות</w:t>
            </w:r>
            <w:r>
              <w:rPr>
                <w:rFonts w:cs="David"/>
                <w:sz w:val="26"/>
                <w:szCs w:val="26"/>
                <w:rtl/>
              </w:rPr>
              <w:t xml:space="preserve"> בסעיפים 97 או 98;</w:t>
            </w:r>
          </w:p>
          <w:p w:rsidR="00000000" w:rsidRDefault="00AF1222">
            <w:pPr>
              <w:numPr>
                <w:ilvl w:val="0"/>
                <w:numId w:val="29"/>
                <w:numberingChange w:id="99" w:author="User" w:date="2005-04-17T16:33:00Z" w:original="(%1:1:0:)"/>
              </w:numPr>
              <w:bidi/>
              <w:ind w:right="720"/>
              <w:jc w:val="both"/>
              <w:rPr>
                <w:rFonts w:cs="David"/>
                <w:sz w:val="26"/>
                <w:szCs w:val="26"/>
                <w:rtl/>
              </w:rPr>
            </w:pPr>
            <w:r>
              <w:rPr>
                <w:rFonts w:cs="David"/>
                <w:sz w:val="26"/>
                <w:szCs w:val="26"/>
                <w:rtl/>
              </w:rPr>
              <w:t>הקבילה קנטרנית או טרדנית;</w:t>
            </w:r>
          </w:p>
          <w:p w:rsidR="00000000" w:rsidRDefault="00AF1222">
            <w:pPr>
              <w:numPr>
                <w:ilvl w:val="0"/>
                <w:numId w:val="29"/>
                <w:numberingChange w:id="100" w:author="User" w:date="2005-04-17T16:33:00Z" w:original="(%1:1:0:)"/>
              </w:numPr>
              <w:bidi/>
              <w:ind w:right="720"/>
              <w:jc w:val="both"/>
              <w:rPr>
                <w:rFonts w:cs="David"/>
                <w:sz w:val="26"/>
                <w:szCs w:val="26"/>
                <w:rtl/>
              </w:rPr>
            </w:pPr>
            <w:r>
              <w:rPr>
                <w:rFonts w:cs="David"/>
                <w:sz w:val="26"/>
                <w:szCs w:val="26"/>
                <w:rtl/>
              </w:rPr>
              <w:t>הקבילה אינה ראויה לבירור מטעם שאינו מנוי בפסקאות (1) עד (4), שיירשם.</w:t>
            </w:r>
          </w:p>
          <w:p w:rsidR="00000000" w:rsidRDefault="00AF1222">
            <w:pPr>
              <w:bidi/>
              <w:jc w:val="both"/>
              <w:rPr>
                <w:rFonts w:cs="David"/>
                <w:b/>
                <w:bCs/>
                <w:sz w:val="26"/>
                <w:szCs w:val="26"/>
                <w:u w:val="single"/>
              </w:rPr>
            </w:pPr>
          </w:p>
        </w:tc>
      </w:tr>
      <w:tr w:rsidR="00000000">
        <w:trPr>
          <w:cantSplit/>
          <w:trHeight w:val="13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על אף הוראות סעיף קטן (א), העלתה הקבילה, על פניה, חשד לביצוע עבירה פלילית, יודיע על כך נציב הקבילות  למחלקה לחקירות שוטרים שבמ</w:t>
            </w:r>
            <w:r>
              <w:rPr>
                <w:rFonts w:cs="David"/>
                <w:sz w:val="26"/>
                <w:szCs w:val="26"/>
                <w:rtl/>
              </w:rPr>
              <w:t>שרד המשפטים, או ליחידת החקירות המוסמכת לחקור את העבירה, לפי הענין, וימשיך בבירור הקבילה בתאום עמה.</w:t>
            </w:r>
          </w:p>
          <w:p w:rsidR="00000000" w:rsidRDefault="00AF1222">
            <w:pPr>
              <w:bidi/>
              <w:jc w:val="both"/>
              <w:rPr>
                <w:rFonts w:cs="David"/>
                <w:b/>
                <w:bCs/>
                <w:sz w:val="26"/>
                <w:szCs w:val="26"/>
                <w:u w:val="single"/>
              </w:rPr>
            </w:pPr>
          </w:p>
        </w:tc>
      </w:tr>
      <w:tr w:rsidR="00000000">
        <w:trPr>
          <w:cantSplit/>
          <w:trHeight w:val="13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החליט נציב הקבילות שלא לפתוח בבירור הקבילה, כאמור בסעיף קטן (א), יודיע לקובל, בכתב, שלא יברר את הקבילה, ויציין את העילה  לכך.</w:t>
            </w:r>
          </w:p>
          <w:p w:rsidR="00000000" w:rsidRDefault="00AF1222">
            <w:pPr>
              <w:bidi/>
              <w:jc w:val="both"/>
              <w:rPr>
                <w:rFonts w:cs="David"/>
                <w:b/>
                <w:bCs/>
                <w:sz w:val="26"/>
                <w:szCs w:val="26"/>
                <w:u w:val="single"/>
              </w:rPr>
            </w:pPr>
          </w:p>
        </w:tc>
      </w:tr>
      <w:tr w:rsidR="00000000">
        <w:trPr>
          <w:cantSplit/>
          <w:trHeight w:val="13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החליט נציב הקבי</w:t>
            </w:r>
            <w:r>
              <w:rPr>
                <w:rFonts w:cs="David"/>
                <w:sz w:val="26"/>
                <w:szCs w:val="26"/>
                <w:rtl/>
              </w:rPr>
              <w:t>לות שלא לפתוח בבירור הקבילה כאמור בסעיף קטן (א), ומצא כי קיים טעם מיוחד המצדיק העברת הקבילה לבירור על ידי גורם אחר במשטרה, רשאי הוא להעביר את הקבילה לאותו גורם, ובלבד שהסכים לכך השוטר הנפגע או הסוהר הנפגע.</w:t>
            </w:r>
          </w:p>
          <w:p w:rsidR="00000000" w:rsidRDefault="00AF1222">
            <w:pPr>
              <w:bidi/>
              <w:jc w:val="both"/>
              <w:rPr>
                <w:rFonts w:cs="David"/>
                <w:b/>
                <w:bCs/>
                <w:sz w:val="26"/>
                <w:szCs w:val="26"/>
                <w:u w:val="single"/>
              </w:rPr>
            </w:pPr>
          </w:p>
        </w:tc>
      </w:tr>
      <w:tr w:rsidR="00000000">
        <w:trPr>
          <w:cantSplit/>
          <w:trHeight w:val="10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דרכי הבירור</w:t>
            </w:r>
          </w:p>
        </w:tc>
        <w:tc>
          <w:tcPr>
            <w:tcW w:w="900" w:type="dxa"/>
            <w:vMerge w:val="restart"/>
            <w:tcBorders>
              <w:top w:val="nil"/>
              <w:left w:val="nil"/>
              <w:bottom w:val="nil"/>
              <w:right w:val="nil"/>
            </w:tcBorders>
          </w:tcPr>
          <w:p w:rsidR="00000000" w:rsidRDefault="00AF1222">
            <w:pPr>
              <w:numPr>
                <w:ilvl w:val="0"/>
                <w:numId w:val="5"/>
                <w:numberingChange w:id="101" w:author="User" w:date="2005-04-17T16:33:00Z" w:original="%1:100: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נציב הקבילות רשאי לברר את ה</w:t>
            </w:r>
            <w:r>
              <w:rPr>
                <w:rFonts w:cs="David"/>
                <w:sz w:val="26"/>
                <w:szCs w:val="26"/>
                <w:rtl/>
              </w:rPr>
              <w:t>קבילה בכל דרך שיראה, והוא אינו קשור להוראה שבסדר דין או בדיני ראיות.</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נציב הקבילות יביא את הקבילה לידיעת הנקבל ולידיעת מפקדו של הנקבל, וייתן להם הזדמנות להשיב עליה, ורשאי הוא לדרוש מהם כי ישיבו על הקבילה בתוך תקופה הנקובה בדרישתו.</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ראה נציב ה</w:t>
            </w:r>
            <w:r>
              <w:rPr>
                <w:rFonts w:cs="David"/>
                <w:sz w:val="26"/>
                <w:szCs w:val="26"/>
                <w:rtl/>
              </w:rPr>
              <w:t>קבילות שאדם אחר עלול להיפגע מעצם הבירור או מתוצאותיו, יודיע לו נציב הקבילות על כך וייתן לו הזדמנות לטעון טענותיו בתוך תקופה שיקבע.</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על הבירור לפני נציב הקבילות או לפני מי שהוא הסמיך לכך יחולו הוראות סעיפים 9 עד 11 לחוק ועדות חקירה, התשכ"ט- 1968</w:t>
            </w:r>
            <w:r>
              <w:rPr>
                <w:rStyle w:val="a5"/>
                <w:rFonts w:cs="David"/>
                <w:sz w:val="26"/>
                <w:szCs w:val="26"/>
                <w:rtl/>
              </w:rPr>
              <w:footnoteReference w:id="11"/>
            </w:r>
            <w:r>
              <w:rPr>
                <w:rFonts w:cs="David"/>
                <w:sz w:val="26"/>
                <w:szCs w:val="26"/>
                <w:rtl/>
              </w:rPr>
              <w:t>, בשינויים המחויבים לפי הענין, וכן יחולו הוראות סעיף 27(ב) לחוק האמור על אדם שאינו שוטר שהוזמן להתייצב לפניהם.</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הוראות סעיפים קטנים (ג) ו-(ד) אינן באות לגרוע מהוראות פרק ג' לפקודת הראיות [נוסח חדש], התשל"א-1971</w:t>
            </w:r>
            <w:r>
              <w:rPr>
                <w:rStyle w:val="a5"/>
                <w:rFonts w:cs="David"/>
                <w:sz w:val="26"/>
                <w:szCs w:val="26"/>
                <w:rtl/>
              </w:rPr>
              <w:footnoteReference w:id="12"/>
            </w:r>
            <w:r>
              <w:rPr>
                <w:rFonts w:cs="David"/>
                <w:sz w:val="26"/>
                <w:szCs w:val="26"/>
                <w:rtl/>
              </w:rPr>
              <w:t xml:space="preserve"> (בפרק זה - פקודת הראיות).</w:t>
            </w:r>
          </w:p>
          <w:p w:rsidR="00000000" w:rsidRDefault="00AF1222">
            <w:pPr>
              <w:bidi/>
              <w:jc w:val="both"/>
              <w:rPr>
                <w:rFonts w:cs="David"/>
                <w:b/>
                <w:bCs/>
                <w:sz w:val="26"/>
                <w:szCs w:val="26"/>
                <w:u w:val="single"/>
              </w:rPr>
            </w:pPr>
          </w:p>
        </w:tc>
      </w:tr>
      <w:tr w:rsidR="00000000">
        <w:trPr>
          <w:cantSplit/>
          <w:trHeight w:val="150"/>
          <w:jc w:val="right"/>
        </w:trPr>
        <w:tc>
          <w:tcPr>
            <w:tcW w:w="1337" w:type="dxa"/>
            <w:vMerge w:val="restart"/>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הגשת סיוע</w:t>
            </w:r>
          </w:p>
        </w:tc>
        <w:tc>
          <w:tcPr>
            <w:tcW w:w="900" w:type="dxa"/>
            <w:vMerge w:val="restart"/>
            <w:tcBorders>
              <w:top w:val="nil"/>
              <w:left w:val="nil"/>
              <w:bottom w:val="nil"/>
              <w:right w:val="nil"/>
            </w:tcBorders>
          </w:tcPr>
          <w:p w:rsidR="00000000" w:rsidRDefault="00AF1222">
            <w:pPr>
              <w:numPr>
                <w:ilvl w:val="0"/>
                <w:numId w:val="5"/>
                <w:numberingChange w:id="102" w:author="User" w:date="2005-04-17T16:33:00Z" w:original="%1:101: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לא יעשה דבר שיש בו כדי למנוע, לעכב, להפריע או לשבש הגשת קבילה לנציב הקבילות, העברתה או בירורה.</w:t>
            </w:r>
          </w:p>
          <w:p w:rsidR="00000000" w:rsidRDefault="00AF1222">
            <w:pPr>
              <w:bidi/>
              <w:jc w:val="both"/>
              <w:rPr>
                <w:rFonts w:cs="David"/>
                <w:b/>
                <w:bCs/>
                <w:sz w:val="26"/>
                <w:szCs w:val="26"/>
                <w:u w:val="single"/>
              </w:rPr>
            </w:pPr>
          </w:p>
        </w:tc>
      </w:tr>
      <w:tr w:rsidR="00000000">
        <w:trPr>
          <w:cantSplit/>
          <w:trHeight w:val="1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שוטר ייענה לדרישת נציב הקבילות או מי שהוא הסמיך לכך, להגיש חוות דעת מקצועית</w:t>
            </w:r>
            <w:r>
              <w:rPr>
                <w:rFonts w:cs="David"/>
                <w:sz w:val="26"/>
                <w:szCs w:val="26"/>
                <w:rtl/>
              </w:rPr>
              <w:t>, וכל מידע או סיוע אחר הדרושים לקידום בירורה של קבילה.</w:t>
            </w:r>
          </w:p>
          <w:p w:rsidR="00000000" w:rsidRDefault="00AF1222">
            <w:pPr>
              <w:bidi/>
              <w:jc w:val="both"/>
              <w:rPr>
                <w:rFonts w:cs="David"/>
                <w:b/>
                <w:bCs/>
                <w:sz w:val="26"/>
                <w:szCs w:val="26"/>
                <w:u w:val="single"/>
              </w:rPr>
            </w:pPr>
          </w:p>
        </w:tc>
      </w:tr>
      <w:tr w:rsidR="00000000">
        <w:trPr>
          <w:cantSplit/>
          <w:trHeight w:val="150"/>
          <w:jc w:val="right"/>
        </w:trPr>
        <w:tc>
          <w:tcPr>
            <w:tcW w:w="1337" w:type="dxa"/>
            <w:vMerge w:val="restart"/>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הפסקת הבירור</w:t>
            </w:r>
          </w:p>
          <w:p w:rsidR="00000000" w:rsidRDefault="00AF1222">
            <w:pPr>
              <w:bidi/>
              <w:jc w:val="both"/>
              <w:rPr>
                <w:rFonts w:cs="David"/>
                <w:b/>
                <w:bCs/>
                <w:sz w:val="26"/>
                <w:szCs w:val="26"/>
                <w:u w:val="single"/>
              </w:rPr>
            </w:pPr>
          </w:p>
        </w:tc>
        <w:tc>
          <w:tcPr>
            <w:tcW w:w="900" w:type="dxa"/>
            <w:vMerge w:val="restart"/>
            <w:tcBorders>
              <w:top w:val="nil"/>
              <w:left w:val="nil"/>
              <w:bottom w:val="nil"/>
              <w:right w:val="nil"/>
            </w:tcBorders>
          </w:tcPr>
          <w:p w:rsidR="00000000" w:rsidRDefault="00AF1222">
            <w:pPr>
              <w:numPr>
                <w:ilvl w:val="0"/>
                <w:numId w:val="5"/>
                <w:numberingChange w:id="103" w:author="User" w:date="2005-04-17T16:33:00Z" w:original="%1:102: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נציב הקבילות יפסיק את בירור הקבילה אם נוכח שהתקיימה אחת העילות המצדיקות שלא לפתוח בבירורה לפי פרק זה, ויהיה רשאי להפסיקו בכל אחת מאלה: </w:t>
            </w:r>
          </w:p>
          <w:p w:rsidR="00000000" w:rsidRDefault="00AF1222">
            <w:pPr>
              <w:numPr>
                <w:ilvl w:val="0"/>
                <w:numId w:val="30"/>
              </w:numPr>
              <w:bidi/>
              <w:ind w:right="720"/>
              <w:jc w:val="both"/>
              <w:rPr>
                <w:rFonts w:cs="David"/>
                <w:sz w:val="26"/>
                <w:szCs w:val="26"/>
                <w:rtl/>
              </w:rPr>
            </w:pPr>
            <w:r>
              <w:rPr>
                <w:rFonts w:cs="David"/>
                <w:sz w:val="26"/>
                <w:szCs w:val="26"/>
                <w:rtl/>
              </w:rPr>
              <w:t>הקובל ביטל את קבילתו;</w:t>
            </w:r>
          </w:p>
          <w:p w:rsidR="00000000" w:rsidRDefault="00AF1222">
            <w:pPr>
              <w:numPr>
                <w:ilvl w:val="0"/>
                <w:numId w:val="30"/>
                <w:numberingChange w:id="104" w:author="User" w:date="2005-04-17T16:33:00Z" w:original="(%1:1:0:)"/>
              </w:numPr>
              <w:bidi/>
              <w:ind w:right="720"/>
              <w:jc w:val="both"/>
              <w:rPr>
                <w:rFonts w:cs="David"/>
                <w:sz w:val="26"/>
                <w:szCs w:val="26"/>
                <w:rtl/>
              </w:rPr>
            </w:pPr>
            <w:r>
              <w:rPr>
                <w:rFonts w:cs="David"/>
                <w:sz w:val="26"/>
                <w:szCs w:val="26"/>
                <w:rtl/>
              </w:rPr>
              <w:t>נציב הקבי</w:t>
            </w:r>
            <w:r>
              <w:rPr>
                <w:rFonts w:cs="David"/>
                <w:sz w:val="26"/>
                <w:szCs w:val="26"/>
                <w:rtl/>
              </w:rPr>
              <w:t>לות נוכח שענין הקבילה בא על תיקונו או שלא ניתן להגיע בו להכרעה;</w:t>
            </w:r>
          </w:p>
          <w:p w:rsidR="00000000" w:rsidRDefault="00AF1222">
            <w:pPr>
              <w:numPr>
                <w:ilvl w:val="0"/>
                <w:numId w:val="30"/>
                <w:numberingChange w:id="105" w:author="User" w:date="2005-04-17T16:33:00Z" w:original="(%1:1:0:)"/>
              </w:numPr>
              <w:bidi/>
              <w:ind w:right="720"/>
              <w:jc w:val="both"/>
              <w:rPr>
                <w:rFonts w:cs="David"/>
                <w:sz w:val="26"/>
                <w:szCs w:val="26"/>
                <w:rtl/>
              </w:rPr>
            </w:pPr>
            <w:r>
              <w:rPr>
                <w:rFonts w:cs="David"/>
                <w:sz w:val="26"/>
                <w:szCs w:val="26"/>
                <w:rtl/>
              </w:rPr>
              <w:t>הנקבל חדל להיות שוטר והקבילה מתייחסת להתנהגות בעלת אופי אישי.</w:t>
            </w:r>
          </w:p>
          <w:p w:rsidR="00000000" w:rsidRDefault="00AF1222">
            <w:pPr>
              <w:bidi/>
              <w:jc w:val="both"/>
              <w:rPr>
                <w:rFonts w:cs="David"/>
                <w:b/>
                <w:bCs/>
                <w:sz w:val="26"/>
                <w:szCs w:val="26"/>
                <w:u w:val="single"/>
              </w:rPr>
            </w:pPr>
          </w:p>
        </w:tc>
      </w:tr>
      <w:tr w:rsidR="00000000">
        <w:trPr>
          <w:cantSplit/>
          <w:trHeight w:val="15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הפסיק נציב הקבילות את בירור הקבילה, יודיע על כך, בכתב, לקובל, לנקבל ולמפקדו של הנקבל, ויציין את הנימוקים לכך.</w:t>
            </w:r>
          </w:p>
          <w:p w:rsidR="00000000" w:rsidRDefault="00AF1222">
            <w:pPr>
              <w:bidi/>
              <w:jc w:val="both"/>
              <w:rPr>
                <w:rFonts w:cs="David"/>
                <w:b/>
                <w:bCs/>
                <w:sz w:val="26"/>
                <w:szCs w:val="26"/>
                <w:u w:val="single"/>
              </w:rPr>
            </w:pPr>
          </w:p>
        </w:tc>
      </w:tr>
      <w:tr w:rsidR="00000000">
        <w:trPr>
          <w:cantSplit/>
          <w:trHeight w:val="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תוצאות</w:t>
            </w:r>
            <w:r>
              <w:rPr>
                <w:rFonts w:cs="David"/>
                <w:b/>
                <w:bCs/>
                <w:sz w:val="26"/>
                <w:szCs w:val="26"/>
                <w:rtl/>
              </w:rPr>
              <w:t xml:space="preserve"> הבירור</w:t>
            </w:r>
          </w:p>
        </w:tc>
        <w:tc>
          <w:tcPr>
            <w:tcW w:w="900" w:type="dxa"/>
            <w:vMerge w:val="restart"/>
            <w:tcBorders>
              <w:top w:val="nil"/>
              <w:left w:val="nil"/>
              <w:bottom w:val="nil"/>
              <w:right w:val="nil"/>
            </w:tcBorders>
          </w:tcPr>
          <w:p w:rsidR="00000000" w:rsidRDefault="00AF1222">
            <w:pPr>
              <w:numPr>
                <w:ilvl w:val="0"/>
                <w:numId w:val="5"/>
                <w:numberingChange w:id="106" w:author="User" w:date="2005-04-17T16:33:00Z" w:original="%1:103: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מצא נציב הקבילות שהקבילה היתה צודקת, כולה או חלקה, ימסור על כך הודעה מנומקת, בכתב, לקובל, לנקבל, למפקדו של הנקבל, לכל גורם אחר במשטרה שיראה לנכון ולקצין משטרה בכיר שהמפקח הכללי הסמיכו לכך; נציב הקבילות רשאי לפרט בהודעתו את תמצית ממצאיו ור</w:t>
            </w:r>
            <w:r>
              <w:rPr>
                <w:rFonts w:cs="David"/>
                <w:sz w:val="26"/>
                <w:szCs w:val="26"/>
                <w:rtl/>
              </w:rPr>
              <w:t>שאי הוא להצביע בפני כל גורם במשטרה על הצורך בתיקון ליקוי או עוול שהעלה הבירור ולהמליץ על הדרך לתיקונם או למניעת הישנותם.</w:t>
            </w:r>
          </w:p>
          <w:p w:rsidR="00000000" w:rsidRDefault="00AF1222">
            <w:pPr>
              <w:bidi/>
              <w:jc w:val="both"/>
              <w:rPr>
                <w:rFonts w:cs="David"/>
                <w:b/>
                <w:bCs/>
                <w:sz w:val="26"/>
                <w:szCs w:val="26"/>
                <w:u w:val="single"/>
              </w:rPr>
            </w:pPr>
          </w:p>
        </w:tc>
      </w:tr>
      <w:tr w:rsidR="00000000">
        <w:trPr>
          <w:cantSplit/>
          <w:trHeight w:val="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המליץ נציב הקבילות כאמור בסעיף קטן (א), יודיע קצין המשטרה שהוסמך כאמור באותו סעיף קטן, בכתב, לנציב הקבילות בהקדם האפשרי, אך לא </w:t>
            </w:r>
            <w:r>
              <w:rPr>
                <w:rFonts w:cs="David"/>
                <w:sz w:val="26"/>
                <w:szCs w:val="26"/>
                <w:rtl/>
              </w:rPr>
              <w:t>יאוחר מחודשיים מיום קבלת ההמלצה על הצעדים שננקטו לביצועה; לא ננקטו צעדים כאמור, יציין זאת קצין המשטרה, בצירוף הנימוקים לכך.</w:t>
            </w:r>
          </w:p>
          <w:p w:rsidR="00000000" w:rsidRDefault="00AF1222">
            <w:pPr>
              <w:bidi/>
              <w:jc w:val="both"/>
              <w:rPr>
                <w:rFonts w:cs="David"/>
                <w:b/>
                <w:bCs/>
                <w:sz w:val="26"/>
                <w:szCs w:val="26"/>
                <w:u w:val="single"/>
              </w:rPr>
            </w:pPr>
          </w:p>
        </w:tc>
      </w:tr>
      <w:tr w:rsidR="00000000">
        <w:trPr>
          <w:cantSplit/>
          <w:trHeight w:val="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מצא נציב הקבילות שהקבילה לא היתה צודקת, ימסור על כך הודעה מנומקת, בכתב, לקובל, לנקבל, למפקדו של הנקבל ולכל גורם אחר במשטרה ש</w:t>
            </w:r>
            <w:r>
              <w:rPr>
                <w:rFonts w:cs="David"/>
                <w:sz w:val="26"/>
                <w:szCs w:val="26"/>
                <w:rtl/>
              </w:rPr>
              <w:t>יראה לנכון, ורשאי הוא לפרט בה את תמצית ממצאיו.</w:t>
            </w:r>
          </w:p>
          <w:p w:rsidR="00000000" w:rsidRDefault="00AF1222">
            <w:pPr>
              <w:bidi/>
              <w:jc w:val="both"/>
              <w:rPr>
                <w:rFonts w:cs="David"/>
                <w:b/>
                <w:bCs/>
                <w:sz w:val="26"/>
                <w:szCs w:val="26"/>
                <w:u w:val="single"/>
              </w:rPr>
            </w:pPr>
          </w:p>
        </w:tc>
      </w:tr>
      <w:tr w:rsidR="00000000">
        <w:trPr>
          <w:cantSplit/>
          <w:trHeight w:val="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(ד)</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העלה בירור הקבילה חשד שנעברה עבירה פלילית, ישלח נציב הקבילות הודעה על כך למנהל המחלקה לחקירות שוטרים שבמשרד המשפטים או ליחידת החקירות הנוגעת בדבר; העלה בירור הקבילה חשד שנעברה עבירת משמעת, יודיע נציב ה</w:t>
            </w:r>
            <w:r>
              <w:rPr>
                <w:rFonts w:cs="David"/>
                <w:sz w:val="26"/>
                <w:szCs w:val="26"/>
                <w:rtl/>
              </w:rPr>
              <w:t xml:space="preserve">קבילות על כך לראש אגף משאבי אנוש במשטרה. </w:t>
            </w:r>
          </w:p>
          <w:p w:rsidR="00000000" w:rsidRDefault="00AF1222">
            <w:pPr>
              <w:bidi/>
              <w:jc w:val="both"/>
              <w:rPr>
                <w:rFonts w:cs="David"/>
                <w:b/>
                <w:bCs/>
                <w:sz w:val="26"/>
                <w:szCs w:val="26"/>
                <w:u w:val="single"/>
              </w:rPr>
            </w:pPr>
          </w:p>
        </w:tc>
      </w:tr>
      <w:tr w:rsidR="00000000">
        <w:trPr>
          <w:cantSplit/>
          <w:trHeight w:val="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לא יינקטו הליכים משמעתיים נגד שוטר או סוהר שקבילתו נמצאה בלתי צודקת, אלא אם כן נציב  הקבילות קבע כי הקבילה היתה כוזבת, והמליץ בפני ראש אגף משאבי אנוש במשטרה או בפני ראש המטה בשירות בתי הסוהר, לנקוט נגדו הלי</w:t>
            </w:r>
            <w:r>
              <w:rPr>
                <w:rFonts w:cs="David"/>
                <w:sz w:val="26"/>
                <w:szCs w:val="26"/>
                <w:rtl/>
              </w:rPr>
              <w:t>כים משמעתיים.</w:t>
            </w:r>
          </w:p>
          <w:p w:rsidR="00000000" w:rsidRDefault="00AF1222">
            <w:pPr>
              <w:bidi/>
              <w:jc w:val="both"/>
              <w:rPr>
                <w:rFonts w:cs="David"/>
                <w:b/>
                <w:bCs/>
                <w:sz w:val="26"/>
                <w:szCs w:val="26"/>
                <w:u w:val="single"/>
              </w:rPr>
            </w:pPr>
          </w:p>
        </w:tc>
      </w:tr>
      <w:tr w:rsidR="00000000">
        <w:trPr>
          <w:cantSplit/>
          <w:trHeight w:val="104"/>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סייגים להודעה</w:t>
            </w:r>
          </w:p>
        </w:tc>
        <w:tc>
          <w:tcPr>
            <w:tcW w:w="900" w:type="dxa"/>
            <w:vMerge w:val="restart"/>
            <w:tcBorders>
              <w:top w:val="nil"/>
              <w:left w:val="nil"/>
              <w:bottom w:val="nil"/>
              <w:right w:val="nil"/>
            </w:tcBorders>
          </w:tcPr>
          <w:p w:rsidR="00000000" w:rsidRDefault="00AF1222">
            <w:pPr>
              <w:numPr>
                <w:ilvl w:val="0"/>
                <w:numId w:val="5"/>
                <w:numberingChange w:id="107" w:author="User" w:date="2005-04-17T16:33:00Z" w:original="%1:104: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הודעה של נציב הקבילות לפי סעיף 103 לא תכלול ולא תגלה חומר או ידיעה, אשר גילויים נאסר על פי הוראות סעיפים 44 או 45 לפקודת הראיות.</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ראה נציב הקבילות כי הודעתו עלולה לכלול או לגלות חומר או ידיעה כאמור בסעיף קטן (</w:t>
            </w:r>
            <w:r>
              <w:rPr>
                <w:rFonts w:cs="David"/>
                <w:sz w:val="26"/>
                <w:szCs w:val="26"/>
                <w:rtl/>
              </w:rPr>
              <w:t>א) ולא הביע שר את דעתו לפי סעיפים 44 או 45 האמורים באותו סעיף קטן, יבקש נציב הקבילות את חוות דעת השר הנוגע לענין לפני שייתן את הודעתו.</w:t>
            </w:r>
          </w:p>
          <w:p w:rsidR="00000000" w:rsidRDefault="00AF1222">
            <w:pPr>
              <w:bidi/>
              <w:jc w:val="both"/>
              <w:rPr>
                <w:rFonts w:cs="David"/>
                <w:b/>
                <w:bCs/>
                <w:sz w:val="26"/>
                <w:szCs w:val="26"/>
                <w:u w:val="single"/>
              </w:rPr>
            </w:pPr>
          </w:p>
        </w:tc>
      </w:tr>
      <w:tr w:rsidR="00000000">
        <w:trPr>
          <w:cantSplit/>
          <w:trHeight w:val="104"/>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(ג)</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בהודעה על תוצאות הבירור יהיה נציב הקבילות פטור מלהודיע את ממצאיו ונימוקיו בכל אחת מאלה:</w:t>
            </w:r>
          </w:p>
          <w:p w:rsidR="00000000" w:rsidRDefault="00AF1222">
            <w:pPr>
              <w:numPr>
                <w:ilvl w:val="0"/>
                <w:numId w:val="31"/>
              </w:numPr>
              <w:bidi/>
              <w:ind w:right="1080"/>
              <w:jc w:val="both"/>
              <w:rPr>
                <w:rFonts w:cs="David"/>
                <w:sz w:val="26"/>
                <w:szCs w:val="26"/>
                <w:rtl/>
              </w:rPr>
            </w:pPr>
            <w:r>
              <w:rPr>
                <w:rFonts w:cs="David"/>
                <w:sz w:val="26"/>
                <w:szCs w:val="26"/>
                <w:rtl/>
              </w:rPr>
              <w:t>כשהקבילה היתה בענין מ</w:t>
            </w:r>
            <w:r>
              <w:rPr>
                <w:rFonts w:cs="David"/>
                <w:sz w:val="26"/>
                <w:szCs w:val="26"/>
                <w:rtl/>
              </w:rPr>
              <w:t>ינוי לתפקיד מסוים או העלאה בדרגה, או בענין תוכנה של חוות דעת לגבי השוטר הנפגע או הסוהר הנפגע לגבי פיטוריו מהמשטרה;</w:t>
            </w:r>
          </w:p>
          <w:p w:rsidR="00000000" w:rsidRDefault="00AF1222">
            <w:pPr>
              <w:numPr>
                <w:ilvl w:val="0"/>
                <w:numId w:val="31"/>
                <w:numberingChange w:id="108" w:author="User" w:date="2005-04-17T16:33:00Z" w:original="(%1:1:0:)"/>
              </w:numPr>
              <w:bidi/>
              <w:ind w:right="1080"/>
              <w:jc w:val="both"/>
              <w:rPr>
                <w:rFonts w:cs="David"/>
                <w:sz w:val="26"/>
                <w:szCs w:val="26"/>
                <w:rtl/>
              </w:rPr>
            </w:pPr>
            <w:r>
              <w:rPr>
                <w:rFonts w:cs="David"/>
                <w:sz w:val="26"/>
                <w:szCs w:val="26"/>
                <w:rtl/>
              </w:rPr>
              <w:t>כשגילויים עלול, לדעתו, לפגוע שלא כדין בזכותו של אדם זולת הקובל;</w:t>
            </w:r>
          </w:p>
          <w:p w:rsidR="00000000" w:rsidRDefault="00AF1222">
            <w:pPr>
              <w:numPr>
                <w:ilvl w:val="0"/>
                <w:numId w:val="31"/>
                <w:numberingChange w:id="109" w:author="User" w:date="2005-04-17T16:33:00Z" w:original="(%1:1:0:)"/>
              </w:numPr>
              <w:bidi/>
              <w:ind w:right="1080"/>
              <w:jc w:val="both"/>
              <w:rPr>
                <w:rFonts w:cs="David"/>
                <w:sz w:val="26"/>
                <w:szCs w:val="26"/>
                <w:rtl/>
              </w:rPr>
            </w:pPr>
            <w:r>
              <w:rPr>
                <w:rFonts w:cs="David"/>
                <w:sz w:val="26"/>
                <w:szCs w:val="26"/>
                <w:rtl/>
              </w:rPr>
              <w:t>כשיש לדעתו בגילויים משום גילוי סוד מקצועי או ידיעה סודית כמשמעותם לפי</w:t>
            </w:r>
            <w:r>
              <w:rPr>
                <w:rFonts w:cs="David"/>
                <w:sz w:val="26"/>
                <w:szCs w:val="26"/>
                <w:rtl/>
              </w:rPr>
              <w:t xml:space="preserve"> כל דין;</w:t>
            </w:r>
          </w:p>
          <w:p w:rsidR="00000000" w:rsidRDefault="00AF1222">
            <w:pPr>
              <w:numPr>
                <w:ilvl w:val="0"/>
                <w:numId w:val="31"/>
                <w:numberingChange w:id="110" w:author="User" w:date="2005-04-17T16:33:00Z" w:original="(%1:1:0:)"/>
              </w:numPr>
              <w:bidi/>
              <w:ind w:right="1080"/>
              <w:jc w:val="both"/>
              <w:rPr>
                <w:rFonts w:cs="David"/>
                <w:sz w:val="26"/>
                <w:szCs w:val="26"/>
                <w:rtl/>
              </w:rPr>
            </w:pPr>
            <w:r>
              <w:rPr>
                <w:rFonts w:cs="David"/>
                <w:sz w:val="26"/>
                <w:szCs w:val="26"/>
                <w:rtl/>
              </w:rPr>
              <w:t>כשיש לדעתו בגילויים כדי לפגוע בסדר הטוב או במשמעת במשטרה.</w:t>
            </w:r>
          </w:p>
          <w:p w:rsidR="00000000" w:rsidRDefault="00AF1222">
            <w:pPr>
              <w:bidi/>
              <w:jc w:val="both"/>
              <w:rPr>
                <w:rFonts w:cs="David"/>
                <w:b/>
                <w:bCs/>
                <w:sz w:val="26"/>
                <w:szCs w:val="26"/>
                <w:u w:val="single"/>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זכויות וסעדים</w:t>
            </w:r>
          </w:p>
        </w:tc>
        <w:tc>
          <w:tcPr>
            <w:tcW w:w="900" w:type="dxa"/>
            <w:vMerge w:val="restart"/>
            <w:tcBorders>
              <w:top w:val="nil"/>
              <w:left w:val="nil"/>
              <w:bottom w:val="nil"/>
              <w:right w:val="nil"/>
            </w:tcBorders>
          </w:tcPr>
          <w:p w:rsidR="00000000" w:rsidRDefault="00AF1222">
            <w:pPr>
              <w:numPr>
                <w:ilvl w:val="0"/>
                <w:numId w:val="5"/>
                <w:numberingChange w:id="111" w:author="User" w:date="2005-04-17T16:33:00Z" w:original="%1:105: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החלטותיו וממצאיו של נציב הקבילות בענין קבילה אין בהם כדי –</w:t>
            </w:r>
          </w:p>
          <w:p w:rsidR="00000000" w:rsidRDefault="00AF1222">
            <w:pPr>
              <w:numPr>
                <w:ilvl w:val="0"/>
                <w:numId w:val="32"/>
              </w:numPr>
              <w:bidi/>
              <w:ind w:right="1080"/>
              <w:jc w:val="both"/>
              <w:rPr>
                <w:rFonts w:cs="David"/>
                <w:sz w:val="26"/>
                <w:szCs w:val="26"/>
                <w:rtl/>
              </w:rPr>
            </w:pPr>
            <w:r>
              <w:rPr>
                <w:rFonts w:cs="David"/>
                <w:sz w:val="26"/>
                <w:szCs w:val="26"/>
                <w:rtl/>
              </w:rPr>
              <w:t>להעניק לקובל או לאדם אחר זכות או סעד בדיון משמעתי, בבית דין או בבית משפט, שלא היו לו לפני כן;</w:t>
            </w:r>
          </w:p>
          <w:p w:rsidR="00000000" w:rsidRDefault="00AF1222">
            <w:pPr>
              <w:numPr>
                <w:ilvl w:val="0"/>
                <w:numId w:val="32"/>
                <w:numberingChange w:id="112" w:author="User" w:date="2005-04-17T16:33:00Z" w:original="(%1:1:0:)"/>
              </w:numPr>
              <w:bidi/>
              <w:ind w:right="1080"/>
              <w:jc w:val="both"/>
              <w:rPr>
                <w:rFonts w:cs="David"/>
                <w:sz w:val="26"/>
                <w:szCs w:val="26"/>
                <w:u w:val="single"/>
                <w:rtl/>
              </w:rPr>
            </w:pPr>
            <w:r>
              <w:rPr>
                <w:rFonts w:cs="David"/>
                <w:sz w:val="26"/>
                <w:szCs w:val="26"/>
                <w:rtl/>
              </w:rPr>
              <w:t>למנוע מהקובל או מכל אדם אחר להשתמש בזכות או לבקש סעד שהוא זכאי להם; אולם אם נקבע לכך מועד בחיקוק, בפקודות או בהוראות אחרות המחייבות במשטרה, לא יוארך המועד על ידי הגשת הקבילה או בירורה.</w:t>
            </w:r>
          </w:p>
          <w:p w:rsidR="00000000" w:rsidRDefault="00AF1222">
            <w:pPr>
              <w:bidi/>
              <w:ind w:left="1080"/>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החלטות נציב הקבילות לפי פרק זה הן סופיות, ואין לערער עליהן </w:t>
            </w:r>
            <w:r>
              <w:rPr>
                <w:rFonts w:cs="David"/>
                <w:sz w:val="26"/>
                <w:szCs w:val="26"/>
                <w:rtl/>
              </w:rPr>
              <w:t>לפני בית משפט.</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חובת סודיות</w:t>
            </w:r>
          </w:p>
        </w:tc>
        <w:tc>
          <w:tcPr>
            <w:tcW w:w="900" w:type="dxa"/>
            <w:tcBorders>
              <w:top w:val="nil"/>
              <w:left w:val="nil"/>
              <w:bottom w:val="nil"/>
              <w:right w:val="nil"/>
            </w:tcBorders>
          </w:tcPr>
          <w:p w:rsidR="00000000" w:rsidRDefault="00AF1222">
            <w:pPr>
              <w:numPr>
                <w:ilvl w:val="0"/>
                <w:numId w:val="5"/>
                <w:numberingChange w:id="113" w:author="User" w:date="2005-04-17T16:33:00Z" w:original="%1:10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נציב הקבילות וכל אדם אחר שבעזרתו מבצע נציב הקבילות את תפקידיו, חייבים לשמור בסוד כל ידיעה שהגיעה אליהם במסגרת תפקידם, ולא לגלותה, אלא לשם ביצוע המוטל עליהם לפי פרק זה.</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דין וחשבון</w:t>
            </w:r>
          </w:p>
        </w:tc>
        <w:tc>
          <w:tcPr>
            <w:tcW w:w="900" w:type="dxa"/>
            <w:tcBorders>
              <w:top w:val="nil"/>
              <w:left w:val="nil"/>
              <w:bottom w:val="nil"/>
              <w:right w:val="nil"/>
            </w:tcBorders>
          </w:tcPr>
          <w:p w:rsidR="00000000" w:rsidRDefault="00AF1222">
            <w:pPr>
              <w:numPr>
                <w:ilvl w:val="0"/>
                <w:numId w:val="5"/>
                <w:numberingChange w:id="114" w:author="User" w:date="2005-04-17T16:33:00Z" w:original="%1:10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נציב הקבילות יגיש לשר ולועדת הפנים</w:t>
            </w:r>
            <w:r>
              <w:rPr>
                <w:rFonts w:cs="David"/>
                <w:sz w:val="26"/>
                <w:szCs w:val="26"/>
                <w:rtl/>
              </w:rPr>
              <w:t xml:space="preserve"> ואיכות הסביבה של הכנסת, מדי שנה, דין וחשבון בכתב על פעולותיו, שיכיל סקירה כללית ותיאור הטיפול במבחר קבילות, ורשאי הוא להגיש להם דין וחשבון כל אימת שיראה לנכון לעשות כן.</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אי תלותו של נציב הקבילות</w:t>
            </w:r>
          </w:p>
        </w:tc>
        <w:tc>
          <w:tcPr>
            <w:tcW w:w="900" w:type="dxa"/>
            <w:tcBorders>
              <w:top w:val="nil"/>
              <w:left w:val="nil"/>
              <w:bottom w:val="nil"/>
              <w:right w:val="nil"/>
            </w:tcBorders>
          </w:tcPr>
          <w:p w:rsidR="00000000" w:rsidRDefault="00AF1222">
            <w:pPr>
              <w:numPr>
                <w:ilvl w:val="0"/>
                <w:numId w:val="5"/>
                <w:numberingChange w:id="115" w:author="User" w:date="2005-04-17T16:33:00Z" w:original="%1:10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u w:val="single"/>
              </w:rPr>
            </w:pPr>
            <w:r>
              <w:rPr>
                <w:rFonts w:cs="David"/>
                <w:sz w:val="26"/>
                <w:szCs w:val="26"/>
                <w:rtl/>
              </w:rPr>
              <w:t>אין על נציב הקבילות מרות בעניני מילוי תפקידו על פי פר</w:t>
            </w:r>
            <w:r>
              <w:rPr>
                <w:rFonts w:cs="David"/>
                <w:sz w:val="26"/>
                <w:szCs w:val="26"/>
                <w:rtl/>
              </w:rPr>
              <w:t>ק זה זולת מרותו של הדין.</w:t>
            </w: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540"/>
        <w:gridCol w:w="576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פרק ד': עובדים שאינם שוטרים</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תחומי העסקת עובדים שאינם שוטרים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16" w:author="User" w:date="2005-04-17T16:33:00Z" w:original="%1:10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tabs>
                <w:tab w:val="left" w:pos="72"/>
              </w:tabs>
              <w:bidi/>
              <w:jc w:val="both"/>
              <w:rPr>
                <w:rFonts w:cs="David"/>
                <w:szCs w:val="26"/>
              </w:rPr>
            </w:pPr>
            <w:r>
              <w:rPr>
                <w:rFonts w:cs="David"/>
                <w:sz w:val="26"/>
                <w:szCs w:val="26"/>
                <w:rtl/>
              </w:rPr>
              <w:t>המפקח הכללי רשאי להעסיק עובדים במשרות פנויות בתקן שאושר לענין זה במשטרת ישראל, למילוי תפקידים שלצורך מילויים לא נדרשת הפעלת סמכויות שוטר, המפורטים בתוספת השנ</w:t>
            </w:r>
            <w:r>
              <w:rPr>
                <w:rFonts w:cs="David"/>
                <w:sz w:val="26"/>
                <w:szCs w:val="26"/>
                <w:rtl/>
              </w:rPr>
              <w:t>יה.</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תחולת הוראות והתאמתן</w:t>
            </w:r>
          </w:p>
        </w:tc>
        <w:tc>
          <w:tcPr>
            <w:tcW w:w="900" w:type="dxa"/>
            <w:tcBorders>
              <w:top w:val="nil"/>
              <w:left w:val="nil"/>
              <w:bottom w:val="nil"/>
              <w:right w:val="nil"/>
            </w:tcBorders>
          </w:tcPr>
          <w:p w:rsidR="00000000" w:rsidRDefault="00AF1222">
            <w:pPr>
              <w:numPr>
                <w:ilvl w:val="0"/>
                <w:numId w:val="5"/>
                <w:numberingChange w:id="117" w:author="User" w:date="2005-04-17T16:33:00Z" w:original="%1:110: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Cs w:val="26"/>
              </w:rPr>
            </w:pPr>
            <w:r>
              <w:rPr>
                <w:rFonts w:cs="David"/>
                <w:sz w:val="26"/>
                <w:szCs w:val="26"/>
                <w:rtl/>
              </w:rPr>
              <w:t>הוראות פרק ב' והתוספת הראשונה, וכן הוראות סעיפים 10 (2), 13, 16, 20 עד 22, 49ט, – 77י ו-77יא לפקודה, יחולו לגבי עובד שאינו שוטר, בשינויים המחויבים ובשינויים אלה:</w:t>
            </w:r>
          </w:p>
          <w:p w:rsidR="00000000" w:rsidRDefault="00AF1222">
            <w:pPr>
              <w:bidi/>
              <w:jc w:val="both"/>
              <w:rPr>
                <w:rFonts w:cs="David"/>
                <w:sz w:val="26"/>
                <w:szCs w:val="26"/>
                <w:rtl/>
              </w:rPr>
            </w:pPr>
          </w:p>
          <w:p w:rsidR="00000000" w:rsidRDefault="00AF1222">
            <w:pPr>
              <w:numPr>
                <w:ilvl w:val="0"/>
                <w:numId w:val="33"/>
              </w:numPr>
              <w:tabs>
                <w:tab w:val="left" w:pos="459"/>
              </w:tabs>
              <w:bidi/>
              <w:ind w:right="720"/>
              <w:jc w:val="both"/>
              <w:rPr>
                <w:rFonts w:cs="David"/>
                <w:sz w:val="26"/>
                <w:szCs w:val="26"/>
                <w:rtl/>
              </w:rPr>
            </w:pPr>
            <w:r>
              <w:rPr>
                <w:rFonts w:cs="David"/>
                <w:sz w:val="26"/>
                <w:szCs w:val="26"/>
                <w:rtl/>
              </w:rPr>
              <w:t>לענין סעיף 28 – דן יחיד יהיה קצין שיפוט או קצין שיפוט בכ</w:t>
            </w:r>
            <w:r>
              <w:rPr>
                <w:rFonts w:cs="David"/>
                <w:sz w:val="26"/>
                <w:szCs w:val="26"/>
                <w:rtl/>
              </w:rPr>
              <w:t>יר;</w:t>
            </w:r>
          </w:p>
          <w:p w:rsidR="00000000" w:rsidRDefault="00AF1222">
            <w:pPr>
              <w:numPr>
                <w:ilvl w:val="0"/>
                <w:numId w:val="33"/>
                <w:numberingChange w:id="118" w:author="User" w:date="2005-04-17T16:33:00Z" w:original="(%1:1:0:)"/>
              </w:numPr>
              <w:tabs>
                <w:tab w:val="left" w:pos="459"/>
              </w:tabs>
              <w:bidi/>
              <w:ind w:right="720"/>
              <w:jc w:val="both"/>
              <w:rPr>
                <w:rFonts w:cs="David"/>
                <w:rtl/>
              </w:rPr>
            </w:pPr>
            <w:r>
              <w:rPr>
                <w:rFonts w:cs="David"/>
                <w:sz w:val="26"/>
                <w:szCs w:val="26"/>
                <w:rtl/>
              </w:rPr>
              <w:t>לענין סעיף 34 - פסקאות (1)(ד) ו- (2)(ד)  לא יחולו;</w:t>
            </w:r>
          </w:p>
          <w:p w:rsidR="00000000" w:rsidRDefault="00AF1222">
            <w:pPr>
              <w:numPr>
                <w:ilvl w:val="0"/>
                <w:numId w:val="33"/>
                <w:numberingChange w:id="119" w:author="User" w:date="2005-04-17T16:33:00Z" w:original="(%1:1:0:)"/>
              </w:numPr>
              <w:tabs>
                <w:tab w:val="left" w:pos="459"/>
              </w:tabs>
              <w:bidi/>
              <w:ind w:right="720"/>
              <w:jc w:val="both"/>
              <w:rPr>
                <w:rFonts w:cs="David"/>
                <w:rtl/>
              </w:rPr>
            </w:pPr>
            <w:r>
              <w:rPr>
                <w:rFonts w:cs="David"/>
                <w:sz w:val="26"/>
                <w:szCs w:val="26"/>
                <w:rtl/>
              </w:rPr>
              <w:t>לענין סעיף 52 (א) - פסקאות (4) ו- (5) לא יחולו,  ואת פסקה (6) יקראו כך: "(6) הורדה בדרגת שכר;";</w:t>
            </w:r>
          </w:p>
          <w:p w:rsidR="00000000" w:rsidRDefault="00AF1222">
            <w:pPr>
              <w:numPr>
                <w:ilvl w:val="0"/>
                <w:numId w:val="33"/>
                <w:numberingChange w:id="120" w:author="User" w:date="2005-04-17T16:33:00Z" w:original="(%1:1:0:)"/>
              </w:numPr>
              <w:tabs>
                <w:tab w:val="left" w:pos="459"/>
              </w:tabs>
              <w:bidi/>
              <w:ind w:right="720"/>
              <w:jc w:val="both"/>
              <w:rPr>
                <w:rFonts w:cs="David"/>
                <w:rtl/>
              </w:rPr>
            </w:pPr>
            <w:r>
              <w:rPr>
                <w:rFonts w:cs="David"/>
                <w:sz w:val="26"/>
                <w:szCs w:val="26"/>
                <w:rtl/>
              </w:rPr>
              <w:t>לענין התוספת הראשונה – פרטים (4), (6) עד (9), (17) עד (19) ו – (28) לא יחולו;</w:t>
            </w:r>
          </w:p>
          <w:p w:rsidR="00000000" w:rsidRDefault="00AF1222">
            <w:pPr>
              <w:numPr>
                <w:ilvl w:val="0"/>
                <w:numId w:val="33"/>
                <w:numberingChange w:id="121" w:author="User" w:date="2005-04-17T16:33:00Z" w:original="(%1:1:0:)"/>
              </w:numPr>
              <w:tabs>
                <w:tab w:val="left" w:pos="459"/>
              </w:tabs>
              <w:bidi/>
              <w:ind w:right="720"/>
              <w:jc w:val="both"/>
              <w:rPr>
                <w:rFonts w:cs="David"/>
                <w:szCs w:val="26"/>
              </w:rPr>
            </w:pPr>
            <w:r>
              <w:rPr>
                <w:rFonts w:cs="David"/>
                <w:sz w:val="26"/>
                <w:szCs w:val="26"/>
                <w:rtl/>
              </w:rPr>
              <w:t xml:space="preserve">לענין סעיף </w:t>
            </w:r>
            <w:r>
              <w:rPr>
                <w:rFonts w:cs="David"/>
                <w:sz w:val="26"/>
                <w:szCs w:val="26"/>
                <w:rtl/>
              </w:rPr>
              <w:t>10 (2) לפקודה - החלטת המפקח הכללי לשחרר מן השירות עובד שאינו שוטר או לפטרו אינה טעונה אישור השר;</w:t>
            </w:r>
          </w:p>
          <w:p w:rsidR="00000000" w:rsidRDefault="00AF1222">
            <w:pPr>
              <w:numPr>
                <w:ilvl w:val="0"/>
                <w:numId w:val="33"/>
                <w:numberingChange w:id="122" w:author="User" w:date="2005-04-17T16:33:00Z" w:original="(%1:1:0:)"/>
              </w:numPr>
              <w:tabs>
                <w:tab w:val="left" w:pos="459"/>
              </w:tabs>
              <w:bidi/>
              <w:ind w:right="720"/>
              <w:jc w:val="both"/>
              <w:rPr>
                <w:rFonts w:cs="David"/>
                <w:sz w:val="26"/>
                <w:szCs w:val="26"/>
                <w:rtl/>
              </w:rPr>
            </w:pPr>
            <w:r>
              <w:rPr>
                <w:rFonts w:cs="David"/>
                <w:sz w:val="26"/>
                <w:szCs w:val="26"/>
                <w:rtl/>
              </w:rPr>
              <w:t xml:space="preserve">לענין סעיף 77י לפקודה – החלטת המפקח הכללי להשעות עובד שאינו שוטר אינה טעונה אישור השר. </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ארגון עובדים</w:t>
            </w:r>
          </w:p>
        </w:tc>
        <w:tc>
          <w:tcPr>
            <w:tcW w:w="900" w:type="dxa"/>
            <w:tcBorders>
              <w:top w:val="nil"/>
              <w:left w:val="nil"/>
              <w:bottom w:val="nil"/>
              <w:right w:val="nil"/>
            </w:tcBorders>
          </w:tcPr>
          <w:p w:rsidR="00000000" w:rsidRDefault="00AF1222">
            <w:pPr>
              <w:numPr>
                <w:ilvl w:val="0"/>
                <w:numId w:val="5"/>
                <w:numberingChange w:id="123" w:author="User" w:date="2005-04-17T16:33:00Z" w:original="%1:111: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rPr>
            </w:pPr>
            <w:r>
              <w:rPr>
                <w:rFonts w:cs="David"/>
                <w:sz w:val="26"/>
                <w:szCs w:val="26"/>
                <w:rtl/>
              </w:rPr>
              <w:t>איסור ההתארגנות הקבוע בסעיף 93א לפקודה, לא יחו</w:t>
            </w:r>
            <w:r>
              <w:rPr>
                <w:rFonts w:cs="David"/>
                <w:sz w:val="26"/>
                <w:szCs w:val="26"/>
                <w:rtl/>
              </w:rPr>
              <w:t xml:space="preserve">ל לגבי עובד שאינו שוטר. </w:t>
            </w:r>
          </w:p>
          <w:p w:rsidR="00000000" w:rsidRDefault="00AF1222">
            <w:pPr>
              <w:bidi/>
              <w:jc w:val="both"/>
              <w:rPr>
                <w:rFonts w:cs="David"/>
                <w:b/>
                <w:bCs/>
                <w:sz w:val="26"/>
                <w:szCs w:val="26"/>
                <w:u w:val="single"/>
              </w:rPr>
            </w:pPr>
          </w:p>
        </w:tc>
      </w:tr>
      <w:tr w:rsidR="00000000">
        <w:trPr>
          <w:cantSplit/>
          <w:trHeight w:val="26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שכר ותנאי עבודה</w:t>
            </w:r>
          </w:p>
        </w:tc>
        <w:tc>
          <w:tcPr>
            <w:tcW w:w="900" w:type="dxa"/>
            <w:vMerge w:val="restart"/>
            <w:tcBorders>
              <w:top w:val="nil"/>
              <w:left w:val="nil"/>
              <w:bottom w:val="nil"/>
              <w:right w:val="nil"/>
            </w:tcBorders>
          </w:tcPr>
          <w:p w:rsidR="00000000" w:rsidRDefault="00AF1222">
            <w:pPr>
              <w:numPr>
                <w:ilvl w:val="0"/>
                <w:numId w:val="5"/>
                <w:numberingChange w:id="124" w:author="User" w:date="2005-04-17T16:33:00Z" w:original="%1:112: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שכר ותנאי שירות נלווים של עובד שאינו שוטר, יהיו כשל עובד המדינה בתיאומים שייקבעו על ידי שר האוצר</w:t>
            </w:r>
            <w:r>
              <w:rPr>
                <w:rFonts w:cs="David"/>
                <w:sz w:val="26"/>
                <w:szCs w:val="26"/>
              </w:rPr>
              <w:t xml:space="preserve"> </w:t>
            </w:r>
            <w:r>
              <w:rPr>
                <w:rFonts w:cs="David"/>
                <w:sz w:val="26"/>
                <w:szCs w:val="26"/>
                <w:rtl/>
              </w:rPr>
              <w:t>או מי שייקבע על ידו לענין זה ובהתייעצות עם השר, אלא אם כן נקבע אחרת בהסכם קיבוצי לענין עובדים שאינם שוטרים</w:t>
            </w:r>
            <w:r>
              <w:rPr>
                <w:rFonts w:cs="David"/>
                <w:sz w:val="26"/>
                <w:szCs w:val="26"/>
                <w:rtl/>
              </w:rPr>
              <w:t>.</w:t>
            </w:r>
          </w:p>
          <w:p w:rsidR="00000000" w:rsidRDefault="00AF1222">
            <w:pPr>
              <w:bidi/>
              <w:jc w:val="both"/>
              <w:rPr>
                <w:rFonts w:cs="David"/>
                <w:b/>
                <w:bCs/>
                <w:sz w:val="26"/>
                <w:szCs w:val="26"/>
                <w:u w:val="single"/>
              </w:rPr>
            </w:pPr>
          </w:p>
        </w:tc>
      </w:tr>
      <w:tr w:rsidR="00000000">
        <w:trPr>
          <w:cantSplit/>
          <w:trHeight w:val="26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bidi/>
              <w:jc w:val="both"/>
              <w:rPr>
                <w:rFonts w:cs="David"/>
                <w:szCs w:val="26"/>
              </w:rPr>
            </w:pPr>
            <w:r>
              <w:rPr>
                <w:rFonts w:cs="David"/>
                <w:sz w:val="26"/>
                <w:szCs w:val="26"/>
                <w:rtl/>
              </w:rPr>
              <w:t xml:space="preserve">דינו של עובד שאינו שוטר, לענין גימלאות, כדין עובד חדש כמשמעותו בסעיף 107א לחוק שירות המדינה (גימלאות) [נוסח משולב], התש"ל –1970 </w:t>
            </w:r>
            <w:r>
              <w:rPr>
                <w:rStyle w:val="a5"/>
                <w:rFonts w:cs="David"/>
                <w:sz w:val="26"/>
                <w:szCs w:val="26"/>
                <w:rtl/>
                <w:lang w:val="he-IL"/>
              </w:rPr>
              <w:footnoteReference w:id="13"/>
            </w:r>
            <w:r>
              <w:rPr>
                <w:rFonts w:cs="David"/>
                <w:sz w:val="26"/>
                <w:szCs w:val="26"/>
                <w:rtl/>
              </w:rPr>
              <w:t>.</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אי תחולה</w:t>
            </w:r>
          </w:p>
        </w:tc>
        <w:tc>
          <w:tcPr>
            <w:tcW w:w="900" w:type="dxa"/>
            <w:tcBorders>
              <w:top w:val="nil"/>
              <w:left w:val="nil"/>
              <w:bottom w:val="nil"/>
              <w:right w:val="nil"/>
            </w:tcBorders>
          </w:tcPr>
          <w:p w:rsidR="00000000" w:rsidRDefault="00AF1222">
            <w:pPr>
              <w:numPr>
                <w:ilvl w:val="0"/>
                <w:numId w:val="5"/>
                <w:numberingChange w:id="125" w:author="User" w:date="2005-04-17T16:33:00Z" w:original="%1:11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Cs w:val="26"/>
              </w:rPr>
            </w:pPr>
            <w:r>
              <w:rPr>
                <w:rFonts w:cs="David"/>
                <w:sz w:val="26"/>
                <w:szCs w:val="26"/>
                <w:rtl/>
              </w:rPr>
              <w:t>הוראות חוק שירות המדינה (מינויים), התשי"ט - 1959</w:t>
            </w:r>
            <w:r>
              <w:rPr>
                <w:rStyle w:val="a5"/>
                <w:rFonts w:cs="David"/>
                <w:sz w:val="26"/>
                <w:szCs w:val="26"/>
                <w:rtl/>
              </w:rPr>
              <w:footnoteReference w:id="14"/>
            </w:r>
            <w:r>
              <w:rPr>
                <w:rFonts w:cs="David"/>
                <w:sz w:val="26"/>
                <w:szCs w:val="26"/>
                <w:rtl/>
              </w:rPr>
              <w:t xml:space="preserve"> לא יח</w:t>
            </w:r>
            <w:r>
              <w:rPr>
                <w:rFonts w:cs="David"/>
                <w:sz w:val="26"/>
                <w:szCs w:val="26"/>
                <w:rtl/>
              </w:rPr>
              <w:t>ולו על עובד שאינו שוטר.</w:t>
            </w:r>
          </w:p>
          <w:p w:rsidR="00000000" w:rsidRDefault="00AF1222">
            <w:pPr>
              <w:bidi/>
              <w:jc w:val="both"/>
              <w:rPr>
                <w:rFonts w:cs="David"/>
                <w:b/>
                <w:bCs/>
                <w:sz w:val="26"/>
                <w:szCs w:val="26"/>
                <w:u w:val="single"/>
              </w:rPr>
            </w:pP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540"/>
        <w:gridCol w:w="576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פרק ה': הוראות שונות</w:t>
            </w:r>
          </w:p>
          <w:p w:rsidR="00000000" w:rsidRDefault="00AF1222">
            <w:pPr>
              <w:bidi/>
              <w:jc w:val="both"/>
              <w:rPr>
                <w:rFonts w:cs="David"/>
                <w:b/>
                <w:bCs/>
                <w:sz w:val="26"/>
                <w:szCs w:val="26"/>
                <w:u w:val="single"/>
              </w:rPr>
            </w:pPr>
          </w:p>
        </w:tc>
      </w:tr>
      <w:tr w:rsidR="00000000">
        <w:trPr>
          <w:cantSplit/>
          <w:trHeight w:val="520"/>
          <w:jc w:val="right"/>
        </w:trPr>
        <w:tc>
          <w:tcPr>
            <w:tcW w:w="1337" w:type="dxa"/>
            <w:vMerge w:val="restart"/>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העסקת שוטרים לרגל אירוע או פעולה</w:t>
            </w:r>
          </w:p>
        </w:tc>
        <w:tc>
          <w:tcPr>
            <w:tcW w:w="900" w:type="dxa"/>
            <w:vMerge w:val="restart"/>
            <w:tcBorders>
              <w:top w:val="nil"/>
              <w:left w:val="nil"/>
              <w:bottom w:val="nil"/>
              <w:right w:val="nil"/>
            </w:tcBorders>
          </w:tcPr>
          <w:p w:rsidR="00000000" w:rsidRDefault="00AF1222">
            <w:pPr>
              <w:numPr>
                <w:ilvl w:val="0"/>
                <w:numId w:val="5"/>
                <w:numberingChange w:id="126" w:author="User" w:date="2005-04-17T16:33:00Z" w:original="%1:114:0:."/>
              </w:numPr>
              <w:bidi/>
              <w:ind w:right="720"/>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(א)</w:t>
            </w:r>
          </w:p>
        </w:tc>
        <w:tc>
          <w:tcPr>
            <w:tcW w:w="576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ביקש אדם להעסיק שוטרים בשכר לרגל אירוע או פעולה מטעמו, ויש גם לציבור ענין בכך שהסדר ושלום הציבור יישמרו באירוע או בפעולה כאמור, או ביקשה רשות ציבורית</w:t>
            </w:r>
            <w:r>
              <w:rPr>
                <w:rFonts w:cs="David"/>
                <w:b/>
                <w:bCs/>
                <w:sz w:val="26"/>
                <w:szCs w:val="26"/>
                <w:rtl/>
              </w:rPr>
              <w:t xml:space="preserve"> </w:t>
            </w:r>
            <w:r>
              <w:rPr>
                <w:rFonts w:cs="David"/>
                <w:sz w:val="26"/>
                <w:szCs w:val="26"/>
                <w:rtl/>
              </w:rPr>
              <w:t>להעסיק שוט</w:t>
            </w:r>
            <w:r>
              <w:rPr>
                <w:rFonts w:cs="David"/>
                <w:sz w:val="26"/>
                <w:szCs w:val="26"/>
                <w:rtl/>
              </w:rPr>
              <w:t>רים בשכר כדי לסייע בהפעלת סמכותה על פי דין, רשאי המפקח הכללי להעמיד לרשותם שוטרים בתשלום שיקבע, ובלבד שהתקיימו לגבי האירוע, הפעולה או הפעלת הסמכות האמורים, הוראות כל דין.</w:t>
            </w:r>
          </w:p>
          <w:p w:rsidR="00000000" w:rsidRDefault="00AF1222">
            <w:pPr>
              <w:bidi/>
              <w:jc w:val="both"/>
              <w:rPr>
                <w:rFonts w:cs="David"/>
                <w:b/>
                <w:bCs/>
                <w:sz w:val="26"/>
                <w:szCs w:val="26"/>
                <w:u w:val="single"/>
              </w:rPr>
            </w:pPr>
          </w:p>
        </w:tc>
      </w:tr>
      <w:tr w:rsidR="00000000">
        <w:trPr>
          <w:cantSplit/>
          <w:trHeight w:val="520"/>
          <w:jc w:val="right"/>
        </w:trPr>
        <w:tc>
          <w:tcPr>
            <w:tcW w:w="0" w:type="auto"/>
            <w:vMerge/>
            <w:tcBorders>
              <w:top w:val="nil"/>
              <w:left w:val="nil"/>
              <w:bottom w:val="nil"/>
              <w:right w:val="nil"/>
            </w:tcBorders>
            <w:vAlign w:val="center"/>
          </w:tcPr>
          <w:p w:rsidR="00000000" w:rsidRDefault="00AF1222">
            <w:pPr>
              <w:bidi/>
              <w:jc w:val="both"/>
              <w:rPr>
                <w:rFonts w:cs="David"/>
                <w:b/>
                <w:bCs/>
                <w:sz w:val="26"/>
                <w:szCs w:val="26"/>
                <w:u w:val="single"/>
              </w:rPr>
            </w:pPr>
          </w:p>
        </w:tc>
        <w:tc>
          <w:tcPr>
            <w:tcW w:w="0" w:type="auto"/>
            <w:vMerge/>
            <w:tcBorders>
              <w:top w:val="nil"/>
              <w:left w:val="nil"/>
              <w:bottom w:val="nil"/>
              <w:right w:val="nil"/>
            </w:tcBorders>
            <w:vAlign w:val="center"/>
          </w:tcPr>
          <w:p w:rsidR="00000000" w:rsidRDefault="00AF1222">
            <w:pPr>
              <w:bidi/>
              <w:jc w:val="both"/>
              <w:rPr>
                <w:rFonts w:cs="David"/>
                <w:sz w:val="26"/>
                <w:szCs w:val="26"/>
              </w:rPr>
            </w:pPr>
          </w:p>
        </w:tc>
        <w:tc>
          <w:tcPr>
            <w:tcW w:w="54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w:t>
            </w:r>
          </w:p>
        </w:tc>
        <w:tc>
          <w:tcPr>
            <w:tcW w:w="5760" w:type="dxa"/>
            <w:tcBorders>
              <w:top w:val="nil"/>
              <w:left w:val="nil"/>
              <w:bottom w:val="nil"/>
              <w:right w:val="nil"/>
            </w:tcBorders>
          </w:tcPr>
          <w:p w:rsidR="00000000" w:rsidRDefault="00AF1222">
            <w:pPr>
              <w:pStyle w:val="21"/>
              <w:numPr>
                <w:ilvl w:val="0"/>
                <w:numId w:val="34"/>
              </w:numPr>
              <w:ind w:right="720"/>
              <w:rPr>
                <w:rFonts w:cs="David"/>
              </w:rPr>
            </w:pPr>
            <w:r>
              <w:rPr>
                <w:rFonts w:cs="David" w:hint="eastAsia"/>
                <w:rtl/>
              </w:rPr>
              <w:t>התשלומים</w:t>
            </w:r>
            <w:r>
              <w:rPr>
                <w:rFonts w:cs="David"/>
                <w:rtl/>
              </w:rPr>
              <w:t xml:space="preserve"> </w:t>
            </w:r>
            <w:r>
              <w:rPr>
                <w:rFonts w:cs="David" w:hint="eastAsia"/>
                <w:rtl/>
              </w:rPr>
              <w:t>שיתקבלו</w:t>
            </w:r>
            <w:r>
              <w:rPr>
                <w:rFonts w:cs="David"/>
                <w:rtl/>
              </w:rPr>
              <w:t xml:space="preserve"> </w:t>
            </w:r>
            <w:r>
              <w:rPr>
                <w:rFonts w:cs="David" w:hint="eastAsia"/>
                <w:rtl/>
              </w:rPr>
              <w:t>לפי</w:t>
            </w:r>
            <w:r>
              <w:rPr>
                <w:rFonts w:cs="David"/>
                <w:rtl/>
              </w:rPr>
              <w:t xml:space="preserve"> </w:t>
            </w:r>
            <w:r>
              <w:rPr>
                <w:rFonts w:cs="David" w:hint="eastAsia"/>
                <w:rtl/>
              </w:rPr>
              <w:t>סעיף</w:t>
            </w:r>
            <w:r>
              <w:rPr>
                <w:rFonts w:cs="David"/>
                <w:rtl/>
              </w:rPr>
              <w:t xml:space="preserve"> </w:t>
            </w:r>
            <w:r>
              <w:rPr>
                <w:rFonts w:cs="David" w:hint="eastAsia"/>
                <w:rtl/>
              </w:rPr>
              <w:t>קטן</w:t>
            </w:r>
            <w:r>
              <w:rPr>
                <w:rFonts w:cs="David"/>
                <w:rtl/>
              </w:rPr>
              <w:t xml:space="preserve"> (</w:t>
            </w:r>
            <w:r>
              <w:rPr>
                <w:rFonts w:cs="David" w:hint="eastAsia"/>
                <w:rtl/>
              </w:rPr>
              <w:t>א</w:t>
            </w:r>
            <w:r>
              <w:rPr>
                <w:rFonts w:cs="David"/>
                <w:rtl/>
              </w:rPr>
              <w:t xml:space="preserve">) </w:t>
            </w:r>
            <w:r>
              <w:rPr>
                <w:rFonts w:cs="David" w:hint="eastAsia"/>
                <w:rtl/>
              </w:rPr>
              <w:t>יווספו</w:t>
            </w:r>
            <w:r>
              <w:rPr>
                <w:rFonts w:cs="David"/>
                <w:rtl/>
              </w:rPr>
              <w:t xml:space="preserve"> </w:t>
            </w:r>
            <w:r>
              <w:rPr>
                <w:rFonts w:cs="David" w:hint="eastAsia"/>
                <w:rtl/>
              </w:rPr>
              <w:t>לתקציב</w:t>
            </w:r>
            <w:r>
              <w:rPr>
                <w:rFonts w:cs="David"/>
                <w:rtl/>
              </w:rPr>
              <w:t xml:space="preserve"> </w:t>
            </w:r>
            <w:r>
              <w:rPr>
                <w:rFonts w:cs="David" w:hint="eastAsia"/>
                <w:rtl/>
              </w:rPr>
              <w:t>משטרת</w:t>
            </w:r>
            <w:r>
              <w:rPr>
                <w:rFonts w:cs="David"/>
                <w:rtl/>
              </w:rPr>
              <w:t xml:space="preserve"> </w:t>
            </w:r>
            <w:r>
              <w:rPr>
                <w:rFonts w:cs="David" w:hint="eastAsia"/>
                <w:rtl/>
              </w:rPr>
              <w:t>ישראל</w:t>
            </w:r>
            <w:r>
              <w:rPr>
                <w:rFonts w:cs="David"/>
                <w:rtl/>
              </w:rPr>
              <w:t xml:space="preserve"> </w:t>
            </w:r>
            <w:r>
              <w:rPr>
                <w:rFonts w:cs="David" w:hint="eastAsia"/>
                <w:rtl/>
              </w:rPr>
              <w:t>וישמשו</w:t>
            </w:r>
            <w:r>
              <w:rPr>
                <w:rFonts w:cs="David"/>
                <w:rtl/>
              </w:rPr>
              <w:t xml:space="preserve"> </w:t>
            </w:r>
            <w:r>
              <w:rPr>
                <w:rFonts w:cs="David" w:hint="eastAsia"/>
                <w:rtl/>
              </w:rPr>
              <w:t>לשם</w:t>
            </w:r>
            <w:r>
              <w:rPr>
                <w:rFonts w:cs="David"/>
                <w:rtl/>
              </w:rPr>
              <w:t xml:space="preserve"> </w:t>
            </w:r>
            <w:r>
              <w:rPr>
                <w:rFonts w:cs="David" w:hint="eastAsia"/>
                <w:rtl/>
              </w:rPr>
              <w:t>תש</w:t>
            </w:r>
            <w:r>
              <w:rPr>
                <w:rFonts w:cs="David" w:hint="eastAsia"/>
                <w:rtl/>
              </w:rPr>
              <w:t>לום</w:t>
            </w:r>
            <w:r>
              <w:rPr>
                <w:rFonts w:cs="David"/>
                <w:rtl/>
              </w:rPr>
              <w:t xml:space="preserve"> </w:t>
            </w:r>
            <w:r>
              <w:rPr>
                <w:rFonts w:cs="David" w:hint="eastAsia"/>
                <w:rtl/>
              </w:rPr>
              <w:t>לשוטרים</w:t>
            </w:r>
            <w:r>
              <w:rPr>
                <w:rFonts w:cs="David"/>
                <w:rtl/>
              </w:rPr>
              <w:t xml:space="preserve"> </w:t>
            </w:r>
            <w:r>
              <w:rPr>
                <w:rFonts w:cs="David" w:hint="eastAsia"/>
                <w:rtl/>
              </w:rPr>
              <w:t>שהועסקו</w:t>
            </w:r>
            <w:r>
              <w:rPr>
                <w:rFonts w:cs="David"/>
                <w:rtl/>
              </w:rPr>
              <w:t xml:space="preserve"> </w:t>
            </w:r>
            <w:r>
              <w:rPr>
                <w:rFonts w:cs="David" w:hint="eastAsia"/>
                <w:rtl/>
              </w:rPr>
              <w:t>באירוע</w:t>
            </w:r>
            <w:r>
              <w:rPr>
                <w:rFonts w:cs="David"/>
                <w:rtl/>
              </w:rPr>
              <w:t xml:space="preserve"> </w:t>
            </w:r>
            <w:r>
              <w:rPr>
                <w:rFonts w:cs="David" w:hint="eastAsia"/>
                <w:rtl/>
              </w:rPr>
              <w:t>או</w:t>
            </w:r>
            <w:r>
              <w:rPr>
                <w:rFonts w:cs="David"/>
                <w:rtl/>
              </w:rPr>
              <w:t xml:space="preserve"> </w:t>
            </w:r>
            <w:r>
              <w:rPr>
                <w:rFonts w:cs="David" w:hint="eastAsia"/>
                <w:rtl/>
              </w:rPr>
              <w:t>בפעולה</w:t>
            </w:r>
            <w:r>
              <w:rPr>
                <w:rFonts w:cs="David"/>
                <w:rtl/>
              </w:rPr>
              <w:t xml:space="preserve"> </w:t>
            </w:r>
            <w:r>
              <w:rPr>
                <w:rFonts w:cs="David" w:hint="eastAsia"/>
                <w:rtl/>
              </w:rPr>
              <w:t>כאמור</w:t>
            </w:r>
            <w:r>
              <w:rPr>
                <w:rFonts w:cs="David"/>
                <w:rtl/>
              </w:rPr>
              <w:t xml:space="preserve">, </w:t>
            </w:r>
            <w:r>
              <w:rPr>
                <w:rFonts w:cs="David" w:hint="eastAsia"/>
                <w:rtl/>
              </w:rPr>
              <w:t>לכיסוי</w:t>
            </w:r>
            <w:r>
              <w:rPr>
                <w:rFonts w:cs="David"/>
                <w:rtl/>
              </w:rPr>
              <w:t xml:space="preserve"> </w:t>
            </w:r>
            <w:r>
              <w:rPr>
                <w:rFonts w:cs="David" w:hint="eastAsia"/>
                <w:rtl/>
              </w:rPr>
              <w:t>הוצאות</w:t>
            </w:r>
            <w:r>
              <w:rPr>
                <w:rFonts w:cs="David"/>
                <w:rtl/>
              </w:rPr>
              <w:t xml:space="preserve"> </w:t>
            </w:r>
            <w:r>
              <w:rPr>
                <w:rFonts w:cs="David" w:hint="eastAsia"/>
                <w:rtl/>
              </w:rPr>
              <w:t>המשטרה</w:t>
            </w:r>
            <w:r>
              <w:rPr>
                <w:rFonts w:cs="David"/>
                <w:rtl/>
              </w:rPr>
              <w:t xml:space="preserve"> </w:t>
            </w:r>
            <w:r>
              <w:rPr>
                <w:rFonts w:cs="David" w:hint="eastAsia"/>
                <w:rtl/>
              </w:rPr>
              <w:t>בהעסקת</w:t>
            </w:r>
            <w:r>
              <w:rPr>
                <w:rFonts w:cs="David"/>
                <w:rtl/>
              </w:rPr>
              <w:t xml:space="preserve"> </w:t>
            </w:r>
            <w:r>
              <w:rPr>
                <w:rFonts w:cs="David" w:hint="eastAsia"/>
                <w:rtl/>
              </w:rPr>
              <w:t>השוטרים</w:t>
            </w:r>
            <w:r>
              <w:rPr>
                <w:rFonts w:cs="David"/>
                <w:rtl/>
              </w:rPr>
              <w:t xml:space="preserve"> </w:t>
            </w:r>
            <w:r>
              <w:rPr>
                <w:rFonts w:cs="David" w:hint="eastAsia"/>
                <w:rtl/>
              </w:rPr>
              <w:t>ולרווחת</w:t>
            </w:r>
            <w:r>
              <w:rPr>
                <w:rFonts w:cs="David"/>
                <w:rtl/>
              </w:rPr>
              <w:t xml:space="preserve"> </w:t>
            </w:r>
            <w:r>
              <w:rPr>
                <w:rFonts w:cs="David" w:hint="eastAsia"/>
                <w:rtl/>
              </w:rPr>
              <w:t>כלל</w:t>
            </w:r>
            <w:r>
              <w:rPr>
                <w:rFonts w:cs="David"/>
                <w:rtl/>
              </w:rPr>
              <w:t xml:space="preserve"> </w:t>
            </w:r>
            <w:r>
              <w:rPr>
                <w:rFonts w:cs="David" w:hint="eastAsia"/>
                <w:rtl/>
              </w:rPr>
              <w:t>השוטרים</w:t>
            </w:r>
            <w:r>
              <w:rPr>
                <w:rFonts w:cs="David"/>
                <w:rtl/>
              </w:rPr>
              <w:t xml:space="preserve"> </w:t>
            </w:r>
            <w:r>
              <w:rPr>
                <w:rFonts w:cs="David" w:hint="eastAsia"/>
                <w:rtl/>
              </w:rPr>
              <w:t>ובני</w:t>
            </w:r>
            <w:r>
              <w:rPr>
                <w:rFonts w:cs="David"/>
                <w:rtl/>
              </w:rPr>
              <w:t xml:space="preserve"> </w:t>
            </w:r>
            <w:r>
              <w:rPr>
                <w:rFonts w:cs="David" w:hint="eastAsia"/>
                <w:rtl/>
              </w:rPr>
              <w:t>משפחותיהם</w:t>
            </w:r>
            <w:r>
              <w:rPr>
                <w:rFonts w:cs="David"/>
                <w:rtl/>
              </w:rPr>
              <w:t>.</w:t>
            </w:r>
          </w:p>
          <w:p w:rsidR="00000000" w:rsidRDefault="00AF1222">
            <w:pPr>
              <w:pStyle w:val="21"/>
              <w:ind w:left="0" w:firstLine="0"/>
              <w:rPr>
                <w:rFonts w:cs="David"/>
                <w:rtl/>
              </w:rPr>
            </w:pPr>
          </w:p>
          <w:p w:rsidR="00000000" w:rsidRDefault="00AF1222">
            <w:pPr>
              <w:pStyle w:val="21"/>
              <w:numPr>
                <w:ilvl w:val="0"/>
                <w:numId w:val="34"/>
              </w:numPr>
              <w:ind w:right="720"/>
              <w:rPr>
                <w:rFonts w:cs="David"/>
                <w:rtl/>
              </w:rPr>
            </w:pPr>
            <w:r>
              <w:rPr>
                <w:rFonts w:cs="David" w:hint="eastAsia"/>
                <w:rtl/>
              </w:rPr>
              <w:t>השר</w:t>
            </w:r>
            <w:r>
              <w:rPr>
                <w:rFonts w:cs="David"/>
                <w:rtl/>
              </w:rPr>
              <w:t xml:space="preserve">, </w:t>
            </w:r>
            <w:r>
              <w:rPr>
                <w:rFonts w:cs="David" w:hint="eastAsia"/>
                <w:rtl/>
              </w:rPr>
              <w:t>באישור</w:t>
            </w:r>
            <w:r>
              <w:rPr>
                <w:rFonts w:cs="David"/>
                <w:rtl/>
              </w:rPr>
              <w:t xml:space="preserve"> </w:t>
            </w:r>
            <w:r>
              <w:rPr>
                <w:rFonts w:cs="David" w:hint="eastAsia"/>
                <w:rtl/>
              </w:rPr>
              <w:t>ועדת</w:t>
            </w:r>
            <w:r>
              <w:rPr>
                <w:rFonts w:cs="David"/>
                <w:rtl/>
              </w:rPr>
              <w:t xml:space="preserve"> </w:t>
            </w:r>
            <w:r>
              <w:rPr>
                <w:rFonts w:cs="David" w:hint="eastAsia"/>
                <w:rtl/>
              </w:rPr>
              <w:t>הפנים</w:t>
            </w:r>
            <w:r>
              <w:rPr>
                <w:rFonts w:cs="David"/>
                <w:rtl/>
              </w:rPr>
              <w:t xml:space="preserve"> </w:t>
            </w:r>
            <w:r>
              <w:rPr>
                <w:rFonts w:cs="David" w:hint="eastAsia"/>
                <w:rtl/>
              </w:rPr>
              <w:t>ואיכות</w:t>
            </w:r>
            <w:r>
              <w:rPr>
                <w:rFonts w:cs="David"/>
                <w:rtl/>
              </w:rPr>
              <w:t xml:space="preserve"> </w:t>
            </w:r>
            <w:r>
              <w:rPr>
                <w:rFonts w:cs="David" w:hint="eastAsia"/>
                <w:rtl/>
              </w:rPr>
              <w:t>הסביבה</w:t>
            </w:r>
            <w:r>
              <w:rPr>
                <w:rFonts w:cs="David"/>
                <w:rtl/>
              </w:rPr>
              <w:t xml:space="preserve"> </w:t>
            </w:r>
            <w:r>
              <w:rPr>
                <w:rFonts w:cs="David" w:hint="eastAsia"/>
                <w:rtl/>
              </w:rPr>
              <w:t>של</w:t>
            </w:r>
            <w:r>
              <w:rPr>
                <w:rFonts w:cs="David"/>
                <w:rtl/>
              </w:rPr>
              <w:t xml:space="preserve"> </w:t>
            </w:r>
            <w:r>
              <w:rPr>
                <w:rFonts w:cs="David" w:hint="eastAsia"/>
                <w:rtl/>
              </w:rPr>
              <w:t>הכנסת</w:t>
            </w:r>
            <w:r>
              <w:rPr>
                <w:rFonts w:cs="David"/>
                <w:rtl/>
              </w:rPr>
              <w:t xml:space="preserve">, </w:t>
            </w:r>
            <w:r>
              <w:rPr>
                <w:rFonts w:cs="David" w:hint="eastAsia"/>
                <w:rtl/>
              </w:rPr>
              <w:t>יקבע</w:t>
            </w:r>
            <w:r>
              <w:rPr>
                <w:rFonts w:cs="David"/>
                <w:rtl/>
              </w:rPr>
              <w:t xml:space="preserve">  </w:t>
            </w:r>
            <w:r>
              <w:rPr>
                <w:rFonts w:cs="David" w:hint="eastAsia"/>
                <w:rtl/>
              </w:rPr>
              <w:t>הוראות</w:t>
            </w:r>
            <w:r>
              <w:rPr>
                <w:rFonts w:cs="David"/>
                <w:rtl/>
              </w:rPr>
              <w:t xml:space="preserve"> </w:t>
            </w:r>
            <w:r>
              <w:rPr>
                <w:rFonts w:cs="David" w:hint="eastAsia"/>
                <w:rtl/>
              </w:rPr>
              <w:t>לענין</w:t>
            </w:r>
            <w:r>
              <w:rPr>
                <w:rFonts w:cs="David"/>
                <w:rtl/>
              </w:rPr>
              <w:t xml:space="preserve"> </w:t>
            </w:r>
            <w:r>
              <w:rPr>
                <w:rFonts w:cs="David" w:hint="eastAsia"/>
                <w:rtl/>
              </w:rPr>
              <w:t>חלוקת</w:t>
            </w:r>
            <w:r>
              <w:rPr>
                <w:rFonts w:cs="David"/>
                <w:rtl/>
              </w:rPr>
              <w:t xml:space="preserve"> </w:t>
            </w:r>
            <w:r>
              <w:rPr>
                <w:rFonts w:cs="David" w:hint="eastAsia"/>
                <w:rtl/>
              </w:rPr>
              <w:t>התקציב</w:t>
            </w:r>
            <w:r>
              <w:rPr>
                <w:rFonts w:cs="David"/>
                <w:rtl/>
              </w:rPr>
              <w:t xml:space="preserve"> </w:t>
            </w:r>
            <w:r>
              <w:rPr>
                <w:rFonts w:cs="David" w:hint="eastAsia"/>
                <w:rtl/>
              </w:rPr>
              <w:t>לפי</w:t>
            </w:r>
            <w:r>
              <w:rPr>
                <w:rFonts w:cs="David"/>
                <w:rtl/>
              </w:rPr>
              <w:t xml:space="preserve"> </w:t>
            </w:r>
            <w:r>
              <w:rPr>
                <w:rFonts w:cs="David" w:hint="eastAsia"/>
                <w:rtl/>
              </w:rPr>
              <w:t>פסקה</w:t>
            </w:r>
            <w:r>
              <w:rPr>
                <w:rFonts w:cs="David"/>
                <w:rtl/>
              </w:rPr>
              <w:t xml:space="preserve"> (1).</w:t>
            </w:r>
          </w:p>
          <w:p w:rsidR="00000000" w:rsidRDefault="00AF1222">
            <w:pPr>
              <w:bidi/>
              <w:jc w:val="both"/>
              <w:rPr>
                <w:rFonts w:cs="David"/>
                <w:sz w:val="26"/>
                <w:szCs w:val="26"/>
              </w:rPr>
            </w:pPr>
          </w:p>
        </w:tc>
      </w:tr>
      <w:tr w:rsidR="00000000">
        <w:trPr>
          <w:trHeight w:val="241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חסיון חומר תחקיר</w:t>
            </w:r>
          </w:p>
        </w:tc>
        <w:tc>
          <w:tcPr>
            <w:tcW w:w="900" w:type="dxa"/>
            <w:tcBorders>
              <w:top w:val="nil"/>
              <w:left w:val="nil"/>
              <w:bottom w:val="nil"/>
              <w:right w:val="nil"/>
            </w:tcBorders>
          </w:tcPr>
          <w:p w:rsidR="00000000" w:rsidRDefault="00AF1222">
            <w:pPr>
              <w:numPr>
                <w:ilvl w:val="0"/>
                <w:numId w:val="5"/>
                <w:numberingChange w:id="127" w:author="User" w:date="2005-04-17T16:33:00Z" w:original="%1:115:0:."/>
              </w:numPr>
              <w:bidi/>
              <w:ind w:right="720"/>
              <w:jc w:val="both"/>
              <w:rPr>
                <w:rFonts w:cs="David"/>
                <w:sz w:val="26"/>
                <w:szCs w:val="26"/>
              </w:rPr>
            </w:pPr>
            <w:r>
              <w:rPr>
                <w:rFonts w:cs="David"/>
                <w:sz w:val="18"/>
                <w:szCs w:val="18"/>
                <w:rtl/>
              </w:rPr>
              <w:t>ף</w:t>
            </w:r>
          </w:p>
        </w:tc>
        <w:tc>
          <w:tcPr>
            <w:tcW w:w="6300" w:type="dxa"/>
            <w:gridSpan w:val="2"/>
            <w:tcBorders>
              <w:top w:val="nil"/>
              <w:left w:val="nil"/>
              <w:bottom w:val="nil"/>
              <w:right w:val="nil"/>
            </w:tcBorders>
          </w:tcPr>
          <w:p w:rsidR="00000000" w:rsidRDefault="00AF1222">
            <w:pPr>
              <w:bidi/>
              <w:jc w:val="both"/>
              <w:rPr>
                <w:rFonts w:ascii="Arial" w:hAnsi="Arial" w:cs="David"/>
                <w:vanish/>
                <w:sz w:val="26"/>
                <w:szCs w:val="26"/>
              </w:rPr>
            </w:pPr>
            <w:r>
              <w:rPr>
                <w:rFonts w:ascii="Arial" w:hAnsi="Arial" w:cs="David"/>
                <w:sz w:val="26"/>
                <w:szCs w:val="26"/>
                <w:rtl/>
              </w:rPr>
              <w:t>(א)  בסעיף זה -</w:t>
            </w:r>
          </w:p>
          <w:p w:rsidR="00000000" w:rsidRDefault="00AF1222">
            <w:pPr>
              <w:bidi/>
              <w:jc w:val="both"/>
              <w:rPr>
                <w:rFonts w:ascii="Arial" w:hAnsi="Arial" w:cs="David"/>
                <w:sz w:val="26"/>
                <w:szCs w:val="26"/>
                <w:rtl/>
              </w:rPr>
            </w:pPr>
            <w:r>
              <w:rPr>
                <w:rFonts w:ascii="Arial" w:hAnsi="Arial" w:cs="David"/>
                <w:sz w:val="26"/>
                <w:szCs w:val="26"/>
                <w:rtl/>
              </w:rPr>
              <w:t xml:space="preserve">               </w:t>
            </w:r>
          </w:p>
          <w:p w:rsidR="00000000" w:rsidRDefault="00AF1222">
            <w:pPr>
              <w:bidi/>
              <w:ind w:left="720"/>
              <w:jc w:val="both"/>
              <w:rPr>
                <w:rFonts w:ascii="Arial" w:hAnsi="Arial" w:cs="David"/>
                <w:sz w:val="26"/>
                <w:szCs w:val="26"/>
                <w:rtl/>
              </w:rPr>
            </w:pPr>
            <w:r>
              <w:rPr>
                <w:rFonts w:ascii="Arial" w:hAnsi="Arial" w:cs="David"/>
                <w:sz w:val="26"/>
                <w:szCs w:val="26"/>
                <w:rtl/>
              </w:rPr>
              <w:t>"אזור" – כל אחד מאלה: יהודה והשומרון וחבל עזה;</w:t>
            </w:r>
          </w:p>
          <w:p w:rsidR="00000000" w:rsidRDefault="00AF1222">
            <w:pPr>
              <w:bidi/>
              <w:ind w:left="720"/>
              <w:jc w:val="both"/>
              <w:rPr>
                <w:rFonts w:ascii="Arial" w:hAnsi="Arial" w:cs="David"/>
                <w:sz w:val="26"/>
                <w:szCs w:val="26"/>
                <w:rtl/>
              </w:rPr>
            </w:pPr>
            <w:r>
              <w:rPr>
                <w:rFonts w:ascii="Arial" w:hAnsi="Arial" w:cs="David"/>
                <w:sz w:val="26"/>
                <w:szCs w:val="26"/>
                <w:rtl/>
              </w:rPr>
              <w:t>"גוף חוקר"  - גוף העורך חקירה פלילית על פי דין;</w:t>
            </w:r>
          </w:p>
          <w:p w:rsidR="00000000" w:rsidRDefault="00AF1222">
            <w:pPr>
              <w:bidi/>
              <w:ind w:left="720"/>
              <w:jc w:val="both"/>
              <w:rPr>
                <w:rFonts w:ascii="Arial" w:hAnsi="Arial" w:cs="David"/>
                <w:vanish/>
                <w:sz w:val="26"/>
                <w:szCs w:val="26"/>
                <w:rtl/>
              </w:rPr>
            </w:pPr>
          </w:p>
          <w:p w:rsidR="00000000" w:rsidRDefault="00AF1222">
            <w:pPr>
              <w:pStyle w:val="31"/>
              <w:ind w:left="0" w:right="720"/>
              <w:rPr>
                <w:rFonts w:ascii="Arial" w:hAnsi="Arial" w:cs="David"/>
                <w:rtl/>
              </w:rPr>
            </w:pPr>
            <w:r>
              <w:rPr>
                <w:rFonts w:ascii="Arial" w:hAnsi="Arial" w:cs="David"/>
                <w:rtl/>
              </w:rPr>
              <w:t xml:space="preserve">"גוף ציבורי" - משרדי הממשלה, או גוף אחר שהשר קבעו בצו; </w:t>
            </w:r>
          </w:p>
          <w:p w:rsidR="00000000" w:rsidRDefault="00AF1222">
            <w:pPr>
              <w:bidi/>
              <w:ind w:left="720"/>
              <w:jc w:val="both"/>
              <w:rPr>
                <w:rFonts w:ascii="Arial" w:eastAsia="Arial Unicode MS" w:hAnsi="Arial" w:cs="David"/>
                <w:sz w:val="26"/>
                <w:szCs w:val="26"/>
                <w:rtl/>
              </w:rPr>
            </w:pPr>
            <w:r>
              <w:rPr>
                <w:rFonts w:ascii="Arial" w:hAnsi="Arial" w:cs="David"/>
                <w:sz w:val="26"/>
                <w:szCs w:val="26"/>
                <w:rtl/>
              </w:rPr>
              <w:t>"פעילות מבצעית"- לרבות אימון.</w:t>
            </w:r>
          </w:p>
          <w:p w:rsidR="00000000" w:rsidRDefault="00AF1222">
            <w:pPr>
              <w:bidi/>
              <w:ind w:left="780" w:hanging="60"/>
              <w:jc w:val="both"/>
              <w:rPr>
                <w:rFonts w:ascii="Arial" w:hAnsi="Arial" w:cs="David"/>
                <w:sz w:val="26"/>
                <w:szCs w:val="26"/>
                <w:rtl/>
              </w:rPr>
            </w:pPr>
            <w:r>
              <w:rPr>
                <w:rFonts w:ascii="Arial" w:hAnsi="Arial" w:cs="David"/>
                <w:sz w:val="26"/>
                <w:szCs w:val="26"/>
                <w:rtl/>
              </w:rPr>
              <w:t>"תחקיר" - בירור שנערך במשטרת ישראל, בהתאם לנהלים שהוציא המ</w:t>
            </w:r>
            <w:r>
              <w:rPr>
                <w:rFonts w:ascii="Arial" w:hAnsi="Arial" w:cs="David"/>
                <w:sz w:val="26"/>
                <w:szCs w:val="26"/>
                <w:rtl/>
              </w:rPr>
              <w:t>פקח הכללי או מי מטעמו, בנוגע לאירוע שהתרחש במהלך פעילות מבצעית שהיא אחת מהמפורטות להלן, או בקשר אליה:</w:t>
            </w:r>
          </w:p>
          <w:p w:rsidR="00000000" w:rsidRDefault="00AF1222">
            <w:pPr>
              <w:bidi/>
              <w:ind w:left="780" w:hanging="60"/>
              <w:jc w:val="both"/>
              <w:rPr>
                <w:rFonts w:ascii="Arial" w:hAnsi="Arial" w:cs="David"/>
                <w:sz w:val="26"/>
                <w:szCs w:val="26"/>
                <w:rtl/>
              </w:rPr>
            </w:pPr>
          </w:p>
          <w:p w:rsidR="00000000" w:rsidRDefault="00AF1222">
            <w:pPr>
              <w:numPr>
                <w:ilvl w:val="1"/>
                <w:numId w:val="34"/>
              </w:numPr>
              <w:bidi/>
              <w:ind w:left="1500" w:right="720"/>
              <w:jc w:val="both"/>
              <w:rPr>
                <w:rFonts w:ascii="Arial" w:hAnsi="Arial" w:cs="David"/>
                <w:sz w:val="26"/>
                <w:szCs w:val="26"/>
                <w:rtl/>
              </w:rPr>
            </w:pPr>
            <w:r>
              <w:rPr>
                <w:rFonts w:ascii="Arial" w:hAnsi="Arial" w:cs="David"/>
                <w:sz w:val="26"/>
                <w:szCs w:val="26"/>
                <w:rtl/>
              </w:rPr>
              <w:t>פעילות המשטרה למען שמירת ביטחון הנפש והרכוש מפני פגיעת איבה;</w:t>
            </w:r>
          </w:p>
          <w:p w:rsidR="00000000" w:rsidRDefault="00AF1222">
            <w:pPr>
              <w:numPr>
                <w:ilvl w:val="1"/>
                <w:numId w:val="34"/>
                <w:numberingChange w:id="128" w:author="User" w:date="2005-04-17T16:33:00Z" w:original="(%2:1:0:)"/>
              </w:numPr>
              <w:bidi/>
              <w:ind w:left="1500" w:right="720"/>
              <w:jc w:val="both"/>
              <w:rPr>
                <w:rFonts w:ascii="Arial" w:hAnsi="Arial" w:cs="David"/>
                <w:sz w:val="26"/>
                <w:szCs w:val="26"/>
                <w:rtl/>
              </w:rPr>
            </w:pPr>
            <w:r>
              <w:rPr>
                <w:rFonts w:ascii="Arial" w:hAnsi="Arial" w:cs="David"/>
                <w:sz w:val="26"/>
                <w:szCs w:val="26"/>
                <w:rtl/>
              </w:rPr>
              <w:t>פעילות המשטרה בתחום  ביטחון המדינה;</w:t>
            </w:r>
          </w:p>
          <w:p w:rsidR="00000000" w:rsidRDefault="00AF1222">
            <w:pPr>
              <w:numPr>
                <w:ilvl w:val="1"/>
                <w:numId w:val="34"/>
                <w:numberingChange w:id="129" w:author="User" w:date="2005-04-17T16:33:00Z" w:original="(%2:1:0:)"/>
              </w:numPr>
              <w:bidi/>
              <w:ind w:left="1500" w:right="720"/>
              <w:jc w:val="both"/>
              <w:rPr>
                <w:rFonts w:ascii="Arial" w:hAnsi="Arial" w:cs="David"/>
                <w:sz w:val="26"/>
                <w:szCs w:val="26"/>
                <w:rtl/>
              </w:rPr>
            </w:pPr>
            <w:r>
              <w:rPr>
                <w:rFonts w:ascii="Arial" w:hAnsi="Arial" w:cs="David"/>
                <w:sz w:val="26"/>
                <w:szCs w:val="26"/>
                <w:rtl/>
              </w:rPr>
              <w:t>פעילות המשטרה הנערכת באזור, תחת פיקודו של חי</w:t>
            </w:r>
            <w:r>
              <w:rPr>
                <w:rFonts w:ascii="Arial" w:hAnsi="Arial" w:cs="David"/>
                <w:sz w:val="26"/>
                <w:szCs w:val="26"/>
                <w:rtl/>
              </w:rPr>
              <w:t>יל המשרת בצבא-הגנה לישראל;</w:t>
            </w:r>
          </w:p>
          <w:p w:rsidR="00000000" w:rsidRDefault="00AF1222">
            <w:pPr>
              <w:numPr>
                <w:ilvl w:val="1"/>
                <w:numId w:val="34"/>
                <w:numberingChange w:id="130" w:author="User" w:date="2005-04-17T16:33:00Z" w:original="(%2:1:0:)"/>
              </w:numPr>
              <w:bidi/>
              <w:ind w:left="1500" w:right="720"/>
              <w:jc w:val="both"/>
              <w:rPr>
                <w:rFonts w:ascii="Arial" w:hAnsi="Arial" w:cs="David"/>
                <w:sz w:val="26"/>
                <w:szCs w:val="26"/>
                <w:rtl/>
              </w:rPr>
            </w:pPr>
            <w:r>
              <w:rPr>
                <w:rFonts w:ascii="Arial" w:hAnsi="Arial" w:cs="David"/>
                <w:sz w:val="26"/>
                <w:szCs w:val="26"/>
                <w:rtl/>
              </w:rPr>
              <w:t>פעילות המשטרה לשמירת הסדר הציבורי, ובלבד שהתקיימו כל אלה:</w:t>
            </w:r>
          </w:p>
          <w:p w:rsidR="00000000" w:rsidRDefault="00AF1222">
            <w:pPr>
              <w:bidi/>
              <w:jc w:val="both"/>
              <w:rPr>
                <w:rFonts w:ascii="Arial" w:hAnsi="Arial" w:cs="David"/>
                <w:vanish/>
                <w:sz w:val="26"/>
                <w:szCs w:val="26"/>
                <w:rtl/>
              </w:rPr>
            </w:pPr>
          </w:p>
          <w:p w:rsidR="00000000" w:rsidRDefault="00AF1222">
            <w:pPr>
              <w:bidi/>
              <w:jc w:val="both"/>
              <w:rPr>
                <w:rFonts w:ascii="Arial" w:hAnsi="Arial" w:cs="David"/>
                <w:vanish/>
                <w:sz w:val="26"/>
                <w:szCs w:val="26"/>
                <w:rtl/>
              </w:rPr>
            </w:pPr>
          </w:p>
          <w:p w:rsidR="00000000" w:rsidRDefault="00AF1222">
            <w:pPr>
              <w:bidi/>
              <w:jc w:val="both"/>
              <w:rPr>
                <w:rFonts w:ascii="Arial" w:hAnsi="Arial" w:cs="David"/>
                <w:sz w:val="26"/>
                <w:szCs w:val="26"/>
                <w:rtl/>
              </w:rPr>
            </w:pPr>
          </w:p>
          <w:p w:rsidR="00000000" w:rsidRDefault="00AF1222">
            <w:pPr>
              <w:numPr>
                <w:ilvl w:val="2"/>
                <w:numId w:val="11"/>
              </w:numPr>
              <w:bidi/>
              <w:ind w:right="2340"/>
              <w:jc w:val="both"/>
              <w:rPr>
                <w:rFonts w:ascii="Arial" w:hAnsi="Arial" w:cs="David"/>
                <w:sz w:val="26"/>
                <w:szCs w:val="26"/>
                <w:rtl/>
              </w:rPr>
            </w:pPr>
            <w:r>
              <w:rPr>
                <w:rFonts w:ascii="Arial" w:hAnsi="Arial" w:cs="David"/>
                <w:sz w:val="26"/>
                <w:szCs w:val="26"/>
                <w:rtl/>
              </w:rPr>
              <w:t>הפעילות נעשית במהלך הפרת-סדר רחבת היקף ומתמשכת;</w:t>
            </w:r>
          </w:p>
          <w:p w:rsidR="00000000" w:rsidRDefault="00AF1222">
            <w:pPr>
              <w:numPr>
                <w:ilvl w:val="2"/>
                <w:numId w:val="11"/>
                <w:numberingChange w:id="131" w:author="User" w:date="2005-04-17T16:33:00Z" w:original="(%3:1:45:)"/>
              </w:numPr>
              <w:bidi/>
              <w:ind w:right="2340"/>
              <w:jc w:val="both"/>
              <w:rPr>
                <w:rFonts w:ascii="Arial" w:hAnsi="Arial" w:cs="David"/>
                <w:sz w:val="26"/>
                <w:szCs w:val="26"/>
                <w:rtl/>
              </w:rPr>
            </w:pPr>
            <w:r>
              <w:rPr>
                <w:rFonts w:ascii="Arial" w:hAnsi="Arial" w:cs="David"/>
                <w:sz w:val="26"/>
                <w:szCs w:val="26"/>
                <w:rtl/>
              </w:rPr>
              <w:t>בשל הפרת הסדר קיים חשש ממשי לפגיעה בביטחון הציבור;</w:t>
            </w:r>
          </w:p>
          <w:p w:rsidR="00000000" w:rsidRDefault="00AF1222">
            <w:pPr>
              <w:numPr>
                <w:ilvl w:val="2"/>
                <w:numId w:val="11"/>
                <w:numberingChange w:id="132" w:author="User" w:date="2005-04-17T16:33:00Z" w:original="(%3:1:45:)"/>
              </w:numPr>
              <w:bidi/>
              <w:ind w:right="2340"/>
              <w:jc w:val="both"/>
              <w:rPr>
                <w:rFonts w:ascii="Arial" w:hAnsi="Arial" w:cs="David"/>
                <w:sz w:val="26"/>
                <w:szCs w:val="26"/>
                <w:rtl/>
              </w:rPr>
            </w:pPr>
            <w:r>
              <w:rPr>
                <w:rFonts w:ascii="Arial" w:hAnsi="Arial" w:cs="David"/>
                <w:sz w:val="26"/>
                <w:szCs w:val="26"/>
                <w:rtl/>
              </w:rPr>
              <w:t>המפקח הכללי סבור כי יש צורך לערוך תחקיר מיידי לשם שמי</w:t>
            </w:r>
            <w:r>
              <w:rPr>
                <w:rFonts w:ascii="Arial" w:hAnsi="Arial" w:cs="David"/>
                <w:sz w:val="26"/>
                <w:szCs w:val="26"/>
                <w:rtl/>
              </w:rPr>
              <w:t>רה על חייו של אדם, גופו או שלומו, והיועץ המשפטי לממשלה, או מי שהוא הסמיך לענין זה, אישר עריכת תחקיר כאמור.</w:t>
            </w:r>
          </w:p>
          <w:p w:rsidR="00000000" w:rsidRDefault="00AF1222">
            <w:pPr>
              <w:numPr>
                <w:ilvl w:val="2"/>
                <w:numId w:val="11"/>
                <w:numberingChange w:id="133" w:author="User" w:date="2005-04-17T16:33:00Z" w:original="(%3:1:45:)"/>
              </w:numPr>
              <w:bidi/>
              <w:ind w:right="2340"/>
              <w:jc w:val="both"/>
              <w:rPr>
                <w:rFonts w:ascii="Arial" w:hAnsi="Arial" w:cs="David"/>
                <w:vanish/>
                <w:sz w:val="26"/>
                <w:szCs w:val="26"/>
                <w:rtl/>
              </w:rPr>
            </w:pPr>
          </w:p>
          <w:p w:rsidR="00000000" w:rsidRDefault="00AF1222">
            <w:pPr>
              <w:bidi/>
              <w:jc w:val="both"/>
              <w:rPr>
                <w:rFonts w:ascii="Arial Unicode MS" w:eastAsia="Arial Unicode MS" w:cs="David"/>
                <w:vanish/>
                <w:sz w:val="26"/>
                <w:szCs w:val="26"/>
                <w:rtl/>
              </w:rPr>
            </w:pPr>
          </w:p>
          <w:p w:rsidR="00000000" w:rsidRDefault="00AF1222">
            <w:pPr>
              <w:bidi/>
              <w:jc w:val="both"/>
              <w:rPr>
                <w:rFonts w:cs="David"/>
                <w:b/>
                <w:bCs/>
                <w:sz w:val="26"/>
                <w:szCs w:val="26"/>
                <w:u w:val="single"/>
              </w:rPr>
            </w:pPr>
          </w:p>
        </w:tc>
      </w:tr>
      <w:tr w:rsidR="00000000">
        <w:trPr>
          <w:trHeight w:val="260"/>
          <w:jc w:val="right"/>
        </w:trPr>
        <w:tc>
          <w:tcPr>
            <w:tcW w:w="1337" w:type="dxa"/>
            <w:tcBorders>
              <w:top w:val="nil"/>
              <w:left w:val="nil"/>
              <w:bottom w:val="nil"/>
              <w:right w:val="nil"/>
            </w:tcBorders>
          </w:tcPr>
          <w:p w:rsidR="00000000" w:rsidRDefault="00AF1222">
            <w:pPr>
              <w:bidi/>
              <w:jc w:val="both"/>
              <w:rPr>
                <w:rFonts w:cs="David"/>
                <w:b/>
                <w:bCs/>
                <w:sz w:val="26"/>
                <w:szCs w:val="26"/>
              </w:rPr>
            </w:pPr>
          </w:p>
        </w:tc>
        <w:tc>
          <w:tcPr>
            <w:tcW w:w="900" w:type="dxa"/>
            <w:tcBorders>
              <w:top w:val="nil"/>
              <w:left w:val="nil"/>
              <w:bottom w:val="nil"/>
              <w:right w:val="nil"/>
            </w:tcBorders>
          </w:tcPr>
          <w:p w:rsidR="00000000" w:rsidRDefault="00AF1222">
            <w:pPr>
              <w:bidi/>
              <w:ind w:left="36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ascii="Arial" w:hAnsi="Arial" w:cs="David"/>
                <w:sz w:val="26"/>
                <w:szCs w:val="26"/>
              </w:rPr>
            </w:pPr>
            <w:r>
              <w:rPr>
                <w:rFonts w:ascii="Arial" w:hAnsi="Arial" w:cs="David"/>
                <w:sz w:val="26"/>
                <w:szCs w:val="26"/>
                <w:rtl/>
              </w:rPr>
              <w:t>(ב)  על אף האמור בכל דין, יחולו לענין תחקיר הוראות אלה:</w:t>
            </w:r>
          </w:p>
          <w:p w:rsidR="00000000" w:rsidRDefault="00AF1222">
            <w:pPr>
              <w:bidi/>
              <w:jc w:val="both"/>
              <w:rPr>
                <w:rFonts w:ascii="Arial" w:hAnsi="Arial" w:cs="David"/>
                <w:sz w:val="26"/>
                <w:szCs w:val="26"/>
                <w:rtl/>
              </w:rPr>
            </w:pPr>
          </w:p>
          <w:p w:rsidR="00000000" w:rsidRDefault="00AF1222">
            <w:pPr>
              <w:numPr>
                <w:ilvl w:val="0"/>
                <w:numId w:val="35"/>
              </w:numPr>
              <w:bidi/>
              <w:ind w:right="1080"/>
              <w:jc w:val="both"/>
              <w:rPr>
                <w:rFonts w:ascii="Arial" w:hAnsi="Arial" w:cs="David"/>
                <w:sz w:val="26"/>
                <w:szCs w:val="26"/>
                <w:rtl/>
              </w:rPr>
            </w:pPr>
            <w:r>
              <w:rPr>
                <w:rFonts w:ascii="Arial" w:hAnsi="Arial" w:cs="David"/>
                <w:sz w:val="26"/>
                <w:szCs w:val="26"/>
                <w:rtl/>
              </w:rPr>
              <w:t>דברים שהושמעו בתחקיר, פרוטוקול התחקיר, כל חומר אחר שהוכן במהלכו, וכן הסיכומים</w:t>
            </w:r>
            <w:r>
              <w:rPr>
                <w:rFonts w:ascii="Arial" w:hAnsi="Arial" w:cs="David"/>
                <w:sz w:val="26"/>
                <w:szCs w:val="26"/>
                <w:rtl/>
              </w:rPr>
              <w:t>, הממצאים, המסקנות וההמלצות (בסעיף זה – חומר התחקיר), לא יתקבלו כראיה במשפט, למעט במשפט פלילי בשל מסירת ידיעה כוזבת או העלמת פרט חשוב בתחקיר או בהליך משמעתי;</w:t>
            </w:r>
          </w:p>
          <w:p w:rsidR="00000000" w:rsidRDefault="00AF1222">
            <w:pPr>
              <w:bidi/>
              <w:ind w:left="360"/>
              <w:jc w:val="both"/>
              <w:rPr>
                <w:rFonts w:ascii="Arial" w:hAnsi="Arial" w:cs="David"/>
                <w:sz w:val="26"/>
                <w:szCs w:val="26"/>
                <w:rtl/>
              </w:rPr>
            </w:pPr>
          </w:p>
          <w:p w:rsidR="00000000" w:rsidRDefault="00AF1222">
            <w:pPr>
              <w:numPr>
                <w:ilvl w:val="0"/>
                <w:numId w:val="35"/>
              </w:numPr>
              <w:bidi/>
              <w:ind w:right="1080"/>
              <w:jc w:val="both"/>
              <w:rPr>
                <w:rFonts w:ascii="Arial" w:hAnsi="Arial" w:cs="David"/>
                <w:sz w:val="26"/>
                <w:szCs w:val="26"/>
                <w:rtl/>
              </w:rPr>
            </w:pPr>
            <w:r>
              <w:rPr>
                <w:rFonts w:ascii="Arial" w:hAnsi="Arial" w:cs="David"/>
                <w:sz w:val="26"/>
                <w:szCs w:val="26"/>
                <w:rtl/>
              </w:rPr>
              <w:t xml:space="preserve">חומר התחקיר יהיה חסוי בפני כל אדם ואולם הוא יימסר, כולו או חלקו, רק לאותם גופים במשטרת ישראל </w:t>
            </w:r>
            <w:r>
              <w:rPr>
                <w:rFonts w:ascii="Arial" w:hAnsi="Arial" w:cs="David"/>
                <w:sz w:val="26"/>
                <w:szCs w:val="26"/>
                <w:rtl/>
              </w:rPr>
              <w:t>שהתחקיר דרוש להם לצורך מילוי תפקידם;</w:t>
            </w:r>
          </w:p>
          <w:p w:rsidR="00000000" w:rsidRDefault="00AF1222">
            <w:pPr>
              <w:bidi/>
              <w:jc w:val="both"/>
              <w:rPr>
                <w:rFonts w:ascii="Arial" w:hAnsi="Arial" w:cs="David"/>
                <w:sz w:val="26"/>
                <w:szCs w:val="26"/>
                <w:rtl/>
              </w:rPr>
            </w:pPr>
          </w:p>
          <w:p w:rsidR="00000000" w:rsidRDefault="00AF1222">
            <w:pPr>
              <w:numPr>
                <w:ilvl w:val="0"/>
                <w:numId w:val="35"/>
              </w:numPr>
              <w:bidi/>
              <w:ind w:right="1080"/>
              <w:jc w:val="both"/>
              <w:rPr>
                <w:rFonts w:ascii="Arial" w:hAnsi="Arial" w:cs="David"/>
                <w:sz w:val="26"/>
                <w:szCs w:val="26"/>
                <w:rtl/>
              </w:rPr>
            </w:pPr>
            <w:r>
              <w:rPr>
                <w:rFonts w:ascii="Arial" w:hAnsi="Arial" w:cs="David"/>
                <w:sz w:val="26"/>
                <w:szCs w:val="26"/>
                <w:rtl/>
              </w:rPr>
              <w:t>חומר התחקיר לא יימסר לגוף חוקר;</w:t>
            </w:r>
          </w:p>
          <w:p w:rsidR="00000000" w:rsidRDefault="00AF1222">
            <w:pPr>
              <w:bidi/>
              <w:jc w:val="both"/>
              <w:rPr>
                <w:rFonts w:ascii="Arial" w:hAnsi="Arial" w:cs="David"/>
                <w:sz w:val="26"/>
                <w:szCs w:val="26"/>
                <w:rtl/>
              </w:rPr>
            </w:pPr>
          </w:p>
          <w:p w:rsidR="00000000" w:rsidRDefault="00AF1222">
            <w:pPr>
              <w:pStyle w:val="31"/>
              <w:ind w:left="0" w:right="720"/>
              <w:rPr>
                <w:rFonts w:ascii="Arial" w:hAnsi="Arial" w:cs="David"/>
                <w:rtl/>
              </w:rPr>
            </w:pPr>
            <w:r>
              <w:rPr>
                <w:rFonts w:ascii="Arial" w:hAnsi="Arial" w:cs="David"/>
                <w:rtl/>
              </w:rPr>
              <w:t>(4) (א) חומר התחקיר יימסר ליועץ המשפטי לממשלה או למי שהוא הסמיך לכך, לפי בקשתו, בנוגע לאירוע מסוים או בנוגע לסוגי אירועים.</w:t>
            </w:r>
          </w:p>
          <w:p w:rsidR="00000000" w:rsidRDefault="00AF1222">
            <w:pPr>
              <w:bidi/>
              <w:jc w:val="both"/>
              <w:rPr>
                <w:rFonts w:ascii="Arial" w:hAnsi="Arial" w:cs="David"/>
                <w:sz w:val="26"/>
                <w:szCs w:val="26"/>
                <w:rtl/>
              </w:rPr>
            </w:pPr>
          </w:p>
          <w:p w:rsidR="00000000" w:rsidRDefault="00AF1222">
            <w:pPr>
              <w:pStyle w:val="23"/>
              <w:ind w:left="720" w:right="720"/>
              <w:rPr>
                <w:rFonts w:ascii="Arial" w:hAnsi="Arial" w:cs="David"/>
                <w:rtl/>
              </w:rPr>
            </w:pPr>
            <w:r>
              <w:rPr>
                <w:rFonts w:ascii="Arial" w:hAnsi="Arial" w:cs="David"/>
                <w:rtl/>
              </w:rPr>
              <w:t xml:space="preserve">(ב) מצא היועץ המשפטי לממשלה או מי שהוא הסמיך לכך כי חומר </w:t>
            </w:r>
            <w:r>
              <w:rPr>
                <w:rFonts w:ascii="Arial" w:hAnsi="Arial" w:cs="David"/>
                <w:rtl/>
              </w:rPr>
              <w:t>התחקיר מגלה חשד לביצוע עבירה, המצדיק בדיקה או חקירה על ידי גוף חוקר, רשאי הוא, לאחר שנועץ במפקח הכללי, להורות, בכתב, לגוף חוקר לפתוח בבדיקה או בחקירה.</w:t>
            </w:r>
          </w:p>
          <w:p w:rsidR="00000000" w:rsidRDefault="00AF1222">
            <w:pPr>
              <w:pStyle w:val="23"/>
              <w:ind w:left="720" w:right="720"/>
              <w:rPr>
                <w:rFonts w:ascii="Arial" w:hAnsi="Arial" w:cs="David"/>
                <w:rtl/>
              </w:rPr>
            </w:pPr>
          </w:p>
          <w:p w:rsidR="00000000" w:rsidRDefault="00AF1222">
            <w:pPr>
              <w:pStyle w:val="23"/>
              <w:ind w:left="720" w:right="720"/>
              <w:rPr>
                <w:rFonts w:cs="David"/>
                <w:rtl/>
              </w:rPr>
            </w:pPr>
            <w:r>
              <w:rPr>
                <w:rFonts w:cs="David"/>
                <w:rtl/>
              </w:rPr>
              <w:t>(</w:t>
            </w:r>
            <w:r>
              <w:rPr>
                <w:rFonts w:cs="David" w:hint="eastAsia"/>
                <w:rtl/>
              </w:rPr>
              <w:t>ג</w:t>
            </w:r>
            <w:r>
              <w:rPr>
                <w:rFonts w:cs="David"/>
                <w:rtl/>
              </w:rPr>
              <w:t xml:space="preserve">) </w:t>
            </w:r>
            <w:r>
              <w:rPr>
                <w:rFonts w:cs="David" w:hint="eastAsia"/>
                <w:rtl/>
              </w:rPr>
              <w:t>הורה</w:t>
            </w:r>
            <w:r>
              <w:rPr>
                <w:rFonts w:cs="David"/>
                <w:rtl/>
              </w:rPr>
              <w:t xml:space="preserve"> </w:t>
            </w:r>
            <w:r>
              <w:rPr>
                <w:rFonts w:cs="David" w:hint="eastAsia"/>
                <w:rtl/>
              </w:rPr>
              <w:t>היועץ</w:t>
            </w:r>
            <w:r>
              <w:rPr>
                <w:rFonts w:cs="David"/>
                <w:rtl/>
              </w:rPr>
              <w:t xml:space="preserve"> </w:t>
            </w:r>
            <w:r>
              <w:rPr>
                <w:rFonts w:cs="David" w:hint="eastAsia"/>
                <w:rtl/>
              </w:rPr>
              <w:t>המשפטי</w:t>
            </w:r>
            <w:r>
              <w:rPr>
                <w:rFonts w:cs="David"/>
                <w:rtl/>
              </w:rPr>
              <w:t xml:space="preserve"> </w:t>
            </w:r>
            <w:r>
              <w:rPr>
                <w:rFonts w:cs="David" w:hint="eastAsia"/>
                <w:rtl/>
              </w:rPr>
              <w:t>לממשלה</w:t>
            </w:r>
            <w:r>
              <w:rPr>
                <w:rFonts w:cs="David"/>
                <w:rtl/>
              </w:rPr>
              <w:t xml:space="preserve"> </w:t>
            </w:r>
            <w:r>
              <w:rPr>
                <w:rFonts w:cs="David" w:hint="eastAsia"/>
                <w:rtl/>
              </w:rPr>
              <w:t>או</w:t>
            </w:r>
            <w:r>
              <w:rPr>
                <w:rFonts w:cs="David"/>
                <w:rtl/>
              </w:rPr>
              <w:t xml:space="preserve"> </w:t>
            </w:r>
            <w:r>
              <w:rPr>
                <w:rFonts w:cs="David" w:hint="eastAsia"/>
                <w:rtl/>
              </w:rPr>
              <w:t>מי</w:t>
            </w:r>
            <w:r>
              <w:rPr>
                <w:rFonts w:cs="David"/>
                <w:rtl/>
              </w:rPr>
              <w:t xml:space="preserve"> </w:t>
            </w:r>
            <w:r>
              <w:rPr>
                <w:rFonts w:cs="David" w:hint="eastAsia"/>
                <w:rtl/>
              </w:rPr>
              <w:t>שהוא</w:t>
            </w:r>
            <w:r>
              <w:rPr>
                <w:rFonts w:cs="David"/>
                <w:rtl/>
              </w:rPr>
              <w:t xml:space="preserve"> </w:t>
            </w:r>
            <w:r>
              <w:rPr>
                <w:rFonts w:cs="David" w:hint="eastAsia"/>
                <w:rtl/>
              </w:rPr>
              <w:t>הסמיך</w:t>
            </w:r>
            <w:r>
              <w:rPr>
                <w:rFonts w:cs="David"/>
                <w:rtl/>
              </w:rPr>
              <w:t xml:space="preserve"> </w:t>
            </w:r>
            <w:r>
              <w:rPr>
                <w:rFonts w:cs="David" w:hint="eastAsia"/>
                <w:rtl/>
              </w:rPr>
              <w:t>לכך</w:t>
            </w:r>
            <w:r>
              <w:rPr>
                <w:rFonts w:cs="David"/>
                <w:rtl/>
              </w:rPr>
              <w:t xml:space="preserve"> </w:t>
            </w:r>
            <w:r>
              <w:rPr>
                <w:rFonts w:cs="David" w:hint="eastAsia"/>
                <w:rtl/>
              </w:rPr>
              <w:t>לפתוח</w:t>
            </w:r>
            <w:r>
              <w:rPr>
                <w:rFonts w:cs="David"/>
                <w:rtl/>
              </w:rPr>
              <w:t xml:space="preserve"> </w:t>
            </w:r>
            <w:r>
              <w:rPr>
                <w:rFonts w:cs="David" w:hint="eastAsia"/>
                <w:rtl/>
              </w:rPr>
              <w:t>בבדיקה</w:t>
            </w:r>
            <w:r>
              <w:rPr>
                <w:rFonts w:cs="David"/>
                <w:rtl/>
              </w:rPr>
              <w:t xml:space="preserve"> </w:t>
            </w:r>
            <w:r>
              <w:rPr>
                <w:rFonts w:cs="David" w:hint="eastAsia"/>
                <w:rtl/>
              </w:rPr>
              <w:t>או</w:t>
            </w:r>
            <w:r>
              <w:rPr>
                <w:rFonts w:cs="David"/>
                <w:rtl/>
              </w:rPr>
              <w:t xml:space="preserve"> </w:t>
            </w:r>
            <w:r>
              <w:rPr>
                <w:rFonts w:cs="David" w:hint="eastAsia"/>
                <w:rtl/>
              </w:rPr>
              <w:t>בחקירה</w:t>
            </w:r>
            <w:r>
              <w:rPr>
                <w:rFonts w:cs="David"/>
                <w:rtl/>
              </w:rPr>
              <w:t xml:space="preserve">, </w:t>
            </w:r>
            <w:r>
              <w:rPr>
                <w:rFonts w:cs="David" w:hint="eastAsia"/>
                <w:rtl/>
              </w:rPr>
              <w:t>יתאר</w:t>
            </w:r>
            <w:r>
              <w:rPr>
                <w:rFonts w:cs="David"/>
                <w:rtl/>
              </w:rPr>
              <w:t xml:space="preserve"> </w:t>
            </w:r>
            <w:r>
              <w:rPr>
                <w:rFonts w:cs="David" w:hint="eastAsia"/>
                <w:rtl/>
              </w:rPr>
              <w:t>בהוראתו</w:t>
            </w:r>
            <w:r>
              <w:rPr>
                <w:rFonts w:cs="David"/>
                <w:rtl/>
              </w:rPr>
              <w:t xml:space="preserve"> </w:t>
            </w:r>
            <w:r>
              <w:rPr>
                <w:rFonts w:cs="David" w:hint="eastAsia"/>
                <w:rtl/>
              </w:rPr>
              <w:t>את</w:t>
            </w:r>
            <w:r>
              <w:rPr>
                <w:rFonts w:cs="David"/>
                <w:rtl/>
              </w:rPr>
              <w:t xml:space="preserve"> </w:t>
            </w:r>
            <w:r>
              <w:rPr>
                <w:rFonts w:cs="David" w:hint="eastAsia"/>
                <w:rtl/>
              </w:rPr>
              <w:t>נסיבות</w:t>
            </w:r>
            <w:r>
              <w:rPr>
                <w:rFonts w:cs="David"/>
                <w:rtl/>
              </w:rPr>
              <w:t xml:space="preserve"> </w:t>
            </w:r>
            <w:r>
              <w:rPr>
                <w:rFonts w:cs="David" w:hint="eastAsia"/>
                <w:rtl/>
              </w:rPr>
              <w:t>האירוע</w:t>
            </w:r>
            <w:r>
              <w:rPr>
                <w:rFonts w:cs="David"/>
                <w:rtl/>
              </w:rPr>
              <w:t xml:space="preserve"> </w:t>
            </w:r>
            <w:r>
              <w:rPr>
                <w:rFonts w:cs="David" w:hint="eastAsia"/>
                <w:rtl/>
              </w:rPr>
              <w:t>שבעקבותיו</w:t>
            </w:r>
            <w:r>
              <w:rPr>
                <w:rFonts w:cs="David"/>
                <w:rtl/>
              </w:rPr>
              <w:t xml:space="preserve"> </w:t>
            </w:r>
            <w:r>
              <w:rPr>
                <w:rFonts w:cs="David" w:hint="eastAsia"/>
                <w:rtl/>
              </w:rPr>
              <w:t>נערך</w:t>
            </w:r>
            <w:r>
              <w:rPr>
                <w:rFonts w:cs="David"/>
                <w:rtl/>
              </w:rPr>
              <w:t xml:space="preserve"> </w:t>
            </w:r>
            <w:r>
              <w:rPr>
                <w:rFonts w:cs="David" w:hint="eastAsia"/>
                <w:rtl/>
              </w:rPr>
              <w:t>התחקיר</w:t>
            </w:r>
            <w:r>
              <w:rPr>
                <w:rFonts w:cs="David"/>
                <w:rtl/>
              </w:rPr>
              <w:t xml:space="preserve">, </w:t>
            </w:r>
            <w:r>
              <w:rPr>
                <w:rFonts w:cs="David" w:hint="eastAsia"/>
                <w:rtl/>
              </w:rPr>
              <w:t>ואת</w:t>
            </w:r>
            <w:r>
              <w:rPr>
                <w:rFonts w:cs="David"/>
                <w:rtl/>
              </w:rPr>
              <w:t xml:space="preserve"> </w:t>
            </w:r>
            <w:r>
              <w:rPr>
                <w:rFonts w:cs="David" w:hint="eastAsia"/>
                <w:rtl/>
              </w:rPr>
              <w:t>הסיבות</w:t>
            </w:r>
            <w:r>
              <w:rPr>
                <w:rFonts w:cs="David"/>
                <w:rtl/>
              </w:rPr>
              <w:t xml:space="preserve"> </w:t>
            </w:r>
            <w:r>
              <w:rPr>
                <w:rFonts w:cs="David" w:hint="eastAsia"/>
                <w:rtl/>
              </w:rPr>
              <w:t>אשר</w:t>
            </w:r>
            <w:r>
              <w:rPr>
                <w:rFonts w:cs="David"/>
                <w:rtl/>
              </w:rPr>
              <w:t xml:space="preserve"> </w:t>
            </w:r>
            <w:r>
              <w:rPr>
                <w:rFonts w:cs="David" w:hint="eastAsia"/>
                <w:rtl/>
              </w:rPr>
              <w:t>בשלן</w:t>
            </w:r>
            <w:r>
              <w:rPr>
                <w:rFonts w:cs="David"/>
                <w:rtl/>
              </w:rPr>
              <w:t xml:space="preserve"> </w:t>
            </w:r>
            <w:r>
              <w:rPr>
                <w:rFonts w:cs="David" w:hint="eastAsia"/>
                <w:rtl/>
              </w:rPr>
              <w:t>עלה</w:t>
            </w:r>
            <w:r>
              <w:rPr>
                <w:rFonts w:cs="David"/>
                <w:rtl/>
              </w:rPr>
              <w:t xml:space="preserve"> </w:t>
            </w:r>
            <w:r>
              <w:rPr>
                <w:rFonts w:cs="David" w:hint="eastAsia"/>
                <w:rtl/>
              </w:rPr>
              <w:t>החשד</w:t>
            </w:r>
            <w:r>
              <w:rPr>
                <w:rFonts w:cs="David"/>
                <w:rtl/>
              </w:rPr>
              <w:t xml:space="preserve"> </w:t>
            </w:r>
            <w:r>
              <w:rPr>
                <w:rFonts w:cs="David" w:hint="eastAsia"/>
                <w:rtl/>
              </w:rPr>
              <w:t>לביצוע</w:t>
            </w:r>
            <w:r>
              <w:rPr>
                <w:rFonts w:cs="David"/>
                <w:rtl/>
              </w:rPr>
              <w:t xml:space="preserve"> </w:t>
            </w:r>
            <w:r>
              <w:rPr>
                <w:rFonts w:cs="David" w:hint="eastAsia"/>
                <w:rtl/>
              </w:rPr>
              <w:t>העבירה</w:t>
            </w:r>
            <w:r>
              <w:rPr>
                <w:rFonts w:cs="David"/>
                <w:rtl/>
              </w:rPr>
              <w:t xml:space="preserve">; </w:t>
            </w:r>
            <w:r>
              <w:rPr>
                <w:rFonts w:cs="David" w:hint="eastAsia"/>
                <w:rtl/>
              </w:rPr>
              <w:t>ואולם</w:t>
            </w:r>
            <w:r>
              <w:rPr>
                <w:rFonts w:cs="David"/>
                <w:rtl/>
              </w:rPr>
              <w:t xml:space="preserve"> </w:t>
            </w:r>
            <w:r>
              <w:rPr>
                <w:rFonts w:cs="David" w:hint="eastAsia"/>
                <w:rtl/>
              </w:rPr>
              <w:t>לא</w:t>
            </w:r>
            <w:r>
              <w:rPr>
                <w:rFonts w:cs="David"/>
                <w:rtl/>
              </w:rPr>
              <w:t xml:space="preserve"> </w:t>
            </w:r>
            <w:r>
              <w:rPr>
                <w:rFonts w:cs="David" w:hint="eastAsia"/>
                <w:rtl/>
              </w:rPr>
              <w:t>יצורף</w:t>
            </w:r>
            <w:r>
              <w:rPr>
                <w:rFonts w:cs="David"/>
                <w:rtl/>
              </w:rPr>
              <w:t xml:space="preserve"> </w:t>
            </w:r>
            <w:r>
              <w:rPr>
                <w:rFonts w:cs="David" w:hint="eastAsia"/>
                <w:rtl/>
              </w:rPr>
              <w:t>להוראה</w:t>
            </w:r>
            <w:r>
              <w:rPr>
                <w:rFonts w:cs="David"/>
                <w:rtl/>
              </w:rPr>
              <w:t xml:space="preserve"> </w:t>
            </w:r>
            <w:r>
              <w:rPr>
                <w:rFonts w:cs="David" w:hint="eastAsia"/>
                <w:rtl/>
              </w:rPr>
              <w:t>דבר</w:t>
            </w:r>
            <w:r>
              <w:rPr>
                <w:rFonts w:cs="David"/>
                <w:rtl/>
              </w:rPr>
              <w:t xml:space="preserve"> </w:t>
            </w:r>
            <w:r>
              <w:rPr>
                <w:rFonts w:cs="David" w:hint="eastAsia"/>
                <w:rtl/>
              </w:rPr>
              <w:t>מחומר</w:t>
            </w:r>
            <w:r>
              <w:rPr>
                <w:rFonts w:cs="David"/>
                <w:rtl/>
              </w:rPr>
              <w:t xml:space="preserve"> </w:t>
            </w:r>
            <w:r>
              <w:rPr>
                <w:rFonts w:cs="David" w:hint="eastAsia"/>
                <w:rtl/>
              </w:rPr>
              <w:t>התחקיר</w:t>
            </w:r>
            <w:r>
              <w:rPr>
                <w:rFonts w:cs="David"/>
                <w:rtl/>
              </w:rPr>
              <w:t xml:space="preserve">, </w:t>
            </w:r>
            <w:r>
              <w:rPr>
                <w:rFonts w:cs="David" w:hint="eastAsia"/>
                <w:rtl/>
              </w:rPr>
              <w:t>והיא</w:t>
            </w:r>
            <w:r>
              <w:rPr>
                <w:rFonts w:cs="David"/>
                <w:rtl/>
              </w:rPr>
              <w:t xml:space="preserve"> </w:t>
            </w:r>
            <w:r>
              <w:rPr>
                <w:rFonts w:cs="David" w:hint="eastAsia"/>
                <w:rtl/>
              </w:rPr>
              <w:t>לא</w:t>
            </w:r>
            <w:r>
              <w:rPr>
                <w:rFonts w:cs="David"/>
                <w:rtl/>
              </w:rPr>
              <w:t xml:space="preserve"> </w:t>
            </w:r>
            <w:r>
              <w:rPr>
                <w:rFonts w:cs="David" w:hint="eastAsia"/>
                <w:rtl/>
              </w:rPr>
              <w:t>תצביע</w:t>
            </w:r>
            <w:r>
              <w:rPr>
                <w:rFonts w:cs="David"/>
                <w:rtl/>
              </w:rPr>
              <w:t xml:space="preserve"> </w:t>
            </w:r>
            <w:r>
              <w:rPr>
                <w:rFonts w:cs="David" w:hint="eastAsia"/>
                <w:rtl/>
              </w:rPr>
              <w:t>על</w:t>
            </w:r>
            <w:r>
              <w:rPr>
                <w:rFonts w:cs="David"/>
                <w:rtl/>
              </w:rPr>
              <w:t xml:space="preserve"> </w:t>
            </w:r>
            <w:r>
              <w:rPr>
                <w:rFonts w:cs="David" w:hint="eastAsia"/>
                <w:rtl/>
              </w:rPr>
              <w:t>חשד</w:t>
            </w:r>
            <w:r>
              <w:rPr>
                <w:rFonts w:cs="David"/>
                <w:rtl/>
              </w:rPr>
              <w:t xml:space="preserve"> </w:t>
            </w:r>
            <w:r>
              <w:rPr>
                <w:rFonts w:cs="David" w:hint="eastAsia"/>
                <w:rtl/>
              </w:rPr>
              <w:t>כלפי</w:t>
            </w:r>
            <w:r>
              <w:rPr>
                <w:rFonts w:cs="David"/>
                <w:rtl/>
              </w:rPr>
              <w:t xml:space="preserve"> </w:t>
            </w:r>
            <w:r>
              <w:rPr>
                <w:rFonts w:cs="David" w:hint="eastAsia"/>
                <w:rtl/>
              </w:rPr>
              <w:t>אדם</w:t>
            </w:r>
            <w:r>
              <w:rPr>
                <w:rFonts w:cs="David"/>
                <w:rtl/>
              </w:rPr>
              <w:t xml:space="preserve"> </w:t>
            </w:r>
            <w:r>
              <w:rPr>
                <w:rFonts w:cs="David" w:hint="eastAsia"/>
                <w:rtl/>
              </w:rPr>
              <w:t>שהיה</w:t>
            </w:r>
            <w:r>
              <w:rPr>
                <w:rFonts w:cs="David"/>
                <w:rtl/>
              </w:rPr>
              <w:t xml:space="preserve"> </w:t>
            </w:r>
            <w:r>
              <w:rPr>
                <w:rFonts w:cs="David" w:hint="eastAsia"/>
                <w:rtl/>
              </w:rPr>
              <w:t>מעורב</w:t>
            </w:r>
            <w:r>
              <w:rPr>
                <w:rFonts w:cs="David"/>
                <w:rtl/>
              </w:rPr>
              <w:t xml:space="preserve"> </w:t>
            </w:r>
            <w:r>
              <w:rPr>
                <w:rFonts w:cs="David" w:hint="eastAsia"/>
                <w:rtl/>
              </w:rPr>
              <w:t>באירוע</w:t>
            </w:r>
            <w:r>
              <w:rPr>
                <w:rFonts w:cs="David"/>
                <w:rtl/>
              </w:rPr>
              <w:t>;</w:t>
            </w:r>
          </w:p>
          <w:p w:rsidR="00000000" w:rsidRDefault="00AF1222">
            <w:pPr>
              <w:bidi/>
              <w:ind w:left="720"/>
              <w:jc w:val="both"/>
              <w:rPr>
                <w:rFonts w:ascii="Arial" w:hAnsi="Arial" w:cs="David"/>
                <w:sz w:val="26"/>
                <w:szCs w:val="26"/>
                <w:rtl/>
              </w:rPr>
            </w:pPr>
          </w:p>
          <w:p w:rsidR="00000000" w:rsidRDefault="00AF1222">
            <w:pPr>
              <w:numPr>
                <w:ilvl w:val="1"/>
                <w:numId w:val="34"/>
              </w:numPr>
              <w:bidi/>
              <w:ind w:right="720"/>
              <w:jc w:val="both"/>
              <w:rPr>
                <w:rFonts w:ascii="Arial" w:hAnsi="Arial" w:cs="David"/>
                <w:sz w:val="26"/>
                <w:szCs w:val="26"/>
                <w:rtl/>
              </w:rPr>
            </w:pPr>
            <w:r>
              <w:rPr>
                <w:rFonts w:ascii="Arial" w:hAnsi="Arial" w:cs="David"/>
                <w:sz w:val="26"/>
                <w:szCs w:val="26"/>
                <w:rtl/>
              </w:rPr>
              <w:t>(א) המפקח הכללי או מי שהוא הסמיך לכך רשאי לאשר העברת סיכום ממצאי התחקיר או חומר התחקיר, כולו או</w:t>
            </w:r>
            <w:r>
              <w:rPr>
                <w:rFonts w:ascii="Arial" w:hAnsi="Arial" w:cs="David"/>
                <w:sz w:val="26"/>
                <w:szCs w:val="26"/>
                <w:rtl/>
              </w:rPr>
              <w:t xml:space="preserve"> חלקו, לגוף ציבורי שהמידע דרוש לו לצורך מילוי תפקידו בלבד, וכן רשאי הוא לאשר העברת סיכום ממצאי התחקיר לאדם הנוגע בדבר; ואולם לא יועבר חומר או סיכום כאמור אם קיים חשש כי העברתו תפגע בבטחון המדינה.</w:t>
            </w:r>
          </w:p>
          <w:p w:rsidR="00000000" w:rsidRDefault="00AF1222">
            <w:pPr>
              <w:bidi/>
              <w:jc w:val="both"/>
              <w:rPr>
                <w:rFonts w:ascii="Arial" w:hAnsi="Arial" w:cs="David"/>
                <w:sz w:val="26"/>
                <w:szCs w:val="26"/>
                <w:rtl/>
              </w:rPr>
            </w:pPr>
          </w:p>
          <w:p w:rsidR="00000000" w:rsidRDefault="00AF1222">
            <w:pPr>
              <w:bidi/>
              <w:ind w:left="720"/>
              <w:jc w:val="both"/>
              <w:rPr>
                <w:rFonts w:cs="David"/>
                <w:sz w:val="28"/>
                <w:szCs w:val="28"/>
                <w:rtl/>
              </w:rPr>
            </w:pPr>
            <w:r>
              <w:rPr>
                <w:rFonts w:cs="David"/>
                <w:sz w:val="26"/>
                <w:szCs w:val="26"/>
                <w:rtl/>
              </w:rPr>
              <w:t>(ב) על אף האמור בפסקת משנה (א), חומר התחקיר או סיכום ממצאיו</w:t>
            </w:r>
            <w:r>
              <w:rPr>
                <w:rFonts w:cs="David"/>
                <w:sz w:val="26"/>
                <w:szCs w:val="26"/>
                <w:rtl/>
              </w:rPr>
              <w:t xml:space="preserve">, לא יועבר </w:t>
            </w:r>
            <w:r>
              <w:rPr>
                <w:rFonts w:cs="David"/>
                <w:sz w:val="28"/>
                <w:szCs w:val="28"/>
                <w:rtl/>
              </w:rPr>
              <w:t>לגוף חוקר;</w:t>
            </w:r>
          </w:p>
          <w:p w:rsidR="00000000" w:rsidRDefault="00AF1222">
            <w:pPr>
              <w:bidi/>
              <w:jc w:val="both"/>
              <w:rPr>
                <w:rFonts w:ascii="Arial" w:hAnsi="Arial" w:cs="David"/>
                <w:rtl/>
              </w:rPr>
            </w:pPr>
          </w:p>
          <w:p w:rsidR="00000000" w:rsidRDefault="00AF1222">
            <w:pPr>
              <w:numPr>
                <w:ilvl w:val="1"/>
                <w:numId w:val="34"/>
              </w:numPr>
              <w:bidi/>
              <w:ind w:right="720"/>
              <w:jc w:val="both"/>
              <w:rPr>
                <w:rFonts w:ascii="Arial" w:eastAsia="Arial Unicode MS" w:hAnsi="Arial" w:cs="David"/>
                <w:vanish/>
                <w:sz w:val="26"/>
                <w:szCs w:val="26"/>
                <w:rtl/>
              </w:rPr>
            </w:pPr>
            <w:r>
              <w:rPr>
                <w:rFonts w:ascii="Arial" w:hAnsi="Arial" w:cs="David"/>
                <w:sz w:val="26"/>
                <w:szCs w:val="26"/>
                <w:rtl/>
              </w:rPr>
              <w:t>ועדת משנה של ועדת החוץ והביטחון של הכנסת, שישיבותיה חסויות, תקבל, לפי בקשתה, את חומר התחקיר.</w:t>
            </w:r>
          </w:p>
          <w:p w:rsidR="00000000" w:rsidRDefault="00AF1222">
            <w:pPr>
              <w:bidi/>
              <w:jc w:val="both"/>
              <w:rPr>
                <w:rFonts w:ascii="Arial" w:hAnsi="Arial" w:cs="David"/>
                <w:sz w:val="26"/>
                <w:szCs w:val="26"/>
                <w:rtl/>
              </w:rPr>
            </w:pPr>
          </w:p>
          <w:p w:rsidR="00000000" w:rsidRDefault="00AF1222">
            <w:pPr>
              <w:bidi/>
              <w:jc w:val="both"/>
              <w:rPr>
                <w:rFonts w:ascii="Arial" w:eastAsia="Arial Unicode MS" w:hAnsi="Arial" w:cs="David"/>
                <w:vanish/>
                <w:sz w:val="26"/>
                <w:szCs w:val="26"/>
                <w:rtl/>
              </w:rPr>
            </w:pPr>
          </w:p>
          <w:p w:rsidR="00000000" w:rsidRDefault="00AF1222">
            <w:pPr>
              <w:bidi/>
              <w:jc w:val="both"/>
              <w:rPr>
                <w:rFonts w:ascii="Arial" w:hAnsi="Arial" w:cs="David"/>
                <w:vanish/>
                <w:sz w:val="26"/>
                <w:szCs w:val="26"/>
                <w:rtl/>
              </w:rPr>
            </w:pPr>
          </w:p>
          <w:p w:rsidR="00000000" w:rsidRDefault="00AF1222">
            <w:pPr>
              <w:bidi/>
              <w:jc w:val="both"/>
              <w:rPr>
                <w:rFonts w:cs="David"/>
                <w:b/>
                <w:bCs/>
                <w:sz w:val="26"/>
                <w:szCs w:val="26"/>
                <w:u w:val="single"/>
              </w:rPr>
            </w:pPr>
          </w:p>
        </w:tc>
      </w:tr>
      <w:tr w:rsidR="00000000">
        <w:trPr>
          <w:trHeight w:val="260"/>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ביצוע ותקנות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34" w:author="User" w:date="2005-04-17T16:33:00Z" w:original="%1:11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u w:val="single"/>
              </w:rPr>
            </w:pPr>
            <w:r>
              <w:rPr>
                <w:rFonts w:cs="David"/>
                <w:sz w:val="26"/>
                <w:szCs w:val="26"/>
                <w:rtl/>
              </w:rPr>
              <w:t>השר ממונה על ביצוע חוק זה והוא רשאי להתקין תקנות לביצועו; ואולם תקנות לענין סעיף 70 ייקבעו בהתייעצות עם שר המשפ</w:t>
            </w:r>
            <w:r>
              <w:rPr>
                <w:rFonts w:cs="David"/>
                <w:sz w:val="26"/>
                <w:szCs w:val="26"/>
                <w:rtl/>
              </w:rPr>
              <w:t>טים.</w:t>
            </w:r>
          </w:p>
          <w:p w:rsidR="00000000" w:rsidRDefault="00AF1222">
            <w:pPr>
              <w:bidi/>
              <w:jc w:val="both"/>
              <w:rPr>
                <w:rFonts w:cs="David"/>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שינוי התוספת הראשונה והתוספת השניה</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35" w:author="User" w:date="2005-04-17T16:33:00Z" w:original="%1:11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numPr>
                <w:ilvl w:val="0"/>
                <w:numId w:val="36"/>
              </w:numPr>
              <w:bidi/>
              <w:ind w:right="720"/>
              <w:jc w:val="both"/>
              <w:rPr>
                <w:rFonts w:cs="David"/>
                <w:sz w:val="26"/>
                <w:szCs w:val="26"/>
              </w:rPr>
            </w:pPr>
            <w:r>
              <w:rPr>
                <w:rFonts w:cs="David"/>
                <w:sz w:val="26"/>
                <w:szCs w:val="26"/>
                <w:rtl/>
              </w:rPr>
              <w:t>השר, באישור ועדת הפנים ואיכות הסביבה של הכנסת, רשאי, בצו, לשנות את התוספת הראשונה.</w:t>
            </w:r>
          </w:p>
          <w:p w:rsidR="00000000" w:rsidRDefault="00AF1222">
            <w:pPr>
              <w:numPr>
                <w:ilvl w:val="0"/>
                <w:numId w:val="36"/>
                <w:numberingChange w:id="136" w:author="User" w:date="2005-04-17T16:33:00Z" w:original="(%1:1:45:)"/>
              </w:numPr>
              <w:bidi/>
              <w:ind w:right="720"/>
              <w:jc w:val="both"/>
              <w:rPr>
                <w:rFonts w:cs="David"/>
                <w:sz w:val="26"/>
                <w:szCs w:val="26"/>
                <w:rtl/>
              </w:rPr>
            </w:pPr>
            <w:r>
              <w:rPr>
                <w:rFonts w:cs="David"/>
                <w:sz w:val="26"/>
                <w:szCs w:val="26"/>
                <w:rtl/>
              </w:rPr>
              <w:t xml:space="preserve"> השר, בהתייעצות עם שר האוצר ובאישור ועדת הפנים ואיכות הסביבה של הכנסת, רשאי, בצו, לשנות את התוספת השניה, ובלבד שיוסי</w:t>
            </w:r>
            <w:r>
              <w:rPr>
                <w:rFonts w:cs="David"/>
                <w:sz w:val="26"/>
                <w:szCs w:val="26"/>
                <w:rtl/>
              </w:rPr>
              <w:t>ף לה רק תפקידים שלצורך מילויים לא נדרשת הפעלת סמכויות שוטר.</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פקודת המשטרה</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37" w:author="User" w:date="2005-04-17T16:33:00Z" w:original="%1:11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 xml:space="preserve"> בפקודת המשטרה – </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 xml:space="preserve">בסעיף 1 – </w:t>
            </w:r>
          </w:p>
          <w:p w:rsidR="00000000" w:rsidRDefault="00AF1222">
            <w:pPr>
              <w:numPr>
                <w:ilvl w:val="1"/>
                <w:numId w:val="37"/>
              </w:numPr>
              <w:bidi/>
              <w:ind w:right="1440"/>
              <w:jc w:val="both"/>
              <w:rPr>
                <w:rFonts w:cs="David"/>
                <w:sz w:val="26"/>
                <w:szCs w:val="26"/>
                <w:rtl/>
              </w:rPr>
            </w:pPr>
            <w:r>
              <w:rPr>
                <w:rFonts w:cs="David"/>
                <w:sz w:val="26"/>
                <w:szCs w:val="26"/>
                <w:rtl/>
              </w:rPr>
              <w:t>בהגדרה "שוטר", בסופה יבוא "למעט עובד שאינו שוטר, כהגדרתו בחוק המשטרה;"</w:t>
            </w:r>
          </w:p>
          <w:p w:rsidR="00000000" w:rsidRDefault="00AF1222">
            <w:pPr>
              <w:bidi/>
              <w:ind w:left="1080"/>
              <w:jc w:val="both"/>
              <w:rPr>
                <w:rFonts w:cs="David"/>
                <w:sz w:val="26"/>
                <w:szCs w:val="26"/>
                <w:rtl/>
              </w:rPr>
            </w:pPr>
          </w:p>
          <w:p w:rsidR="00000000" w:rsidRDefault="00AF1222">
            <w:pPr>
              <w:numPr>
                <w:ilvl w:val="1"/>
                <w:numId w:val="37"/>
              </w:numPr>
              <w:bidi/>
              <w:ind w:right="1440"/>
              <w:jc w:val="both"/>
              <w:rPr>
                <w:rFonts w:cs="David"/>
                <w:sz w:val="26"/>
                <w:szCs w:val="26"/>
                <w:rtl/>
              </w:rPr>
            </w:pPr>
            <w:r>
              <w:rPr>
                <w:rFonts w:cs="David"/>
                <w:sz w:val="26"/>
                <w:szCs w:val="26"/>
                <w:rtl/>
              </w:rPr>
              <w:t>אחרי ההגדרה "שופט" יבוא:</w:t>
            </w:r>
          </w:p>
          <w:p w:rsidR="00000000" w:rsidRDefault="00AF1222">
            <w:pPr>
              <w:bidi/>
              <w:ind w:left="1080"/>
              <w:jc w:val="both"/>
              <w:rPr>
                <w:rFonts w:cs="David"/>
                <w:sz w:val="26"/>
                <w:szCs w:val="26"/>
                <w:rtl/>
              </w:rPr>
            </w:pPr>
            <w:r>
              <w:rPr>
                <w:rFonts w:cs="David"/>
                <w:sz w:val="26"/>
                <w:szCs w:val="26"/>
                <w:rtl/>
              </w:rPr>
              <w:t>""חוק המשטרה" – חוק המשטרה (ד</w:t>
            </w:r>
            <w:r>
              <w:rPr>
                <w:rFonts w:cs="David"/>
                <w:sz w:val="26"/>
                <w:szCs w:val="26"/>
                <w:rtl/>
              </w:rPr>
              <w:t>ין משמעתי, בירור קבילות שוטרים, עובדים שאינם שוטרים והוראות שונות), התשס"ה – 2005;".</w:t>
            </w:r>
          </w:p>
          <w:p w:rsidR="00000000" w:rsidRDefault="00AF1222">
            <w:pPr>
              <w:bidi/>
              <w:ind w:left="1080"/>
              <w:jc w:val="both"/>
              <w:rPr>
                <w:rFonts w:cs="David"/>
                <w:sz w:val="26"/>
                <w:szCs w:val="26"/>
                <w:rtl/>
              </w:rPr>
            </w:pPr>
          </w:p>
          <w:p w:rsidR="00000000" w:rsidRDefault="00AF1222">
            <w:pPr>
              <w:numPr>
                <w:ilvl w:val="1"/>
                <w:numId w:val="37"/>
              </w:numPr>
              <w:bidi/>
              <w:ind w:right="1440"/>
              <w:jc w:val="both"/>
              <w:rPr>
                <w:rFonts w:cs="David"/>
                <w:sz w:val="26"/>
                <w:szCs w:val="26"/>
                <w:rtl/>
              </w:rPr>
            </w:pPr>
            <w:r>
              <w:rPr>
                <w:rFonts w:cs="David"/>
                <w:sz w:val="26"/>
                <w:szCs w:val="26"/>
                <w:rtl/>
              </w:rPr>
              <w:t xml:space="preserve">הגדרות "קצין שיפוט", "קצין שיפוט בכיר", "דן יחיד", ו - "עבירת משמעת"  - יימחקו; </w:t>
            </w:r>
          </w:p>
          <w:p w:rsidR="00000000" w:rsidRDefault="00AF1222">
            <w:pPr>
              <w:bidi/>
              <w:ind w:left="972" w:hanging="252"/>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 xml:space="preserve">בסעיף 2, במקום הסיפא החל במילה "סמלים" יבוא "סמלים, שוטרים אחרים, ועובדים שאינם </w:t>
            </w:r>
            <w:r>
              <w:rPr>
                <w:rFonts w:cs="David"/>
                <w:sz w:val="26"/>
                <w:szCs w:val="26"/>
                <w:rtl/>
              </w:rPr>
              <w:t>שוטרים כהגדרתם בחוק המשטרה, הכל כפי שיורה השר";</w:t>
            </w:r>
          </w:p>
          <w:p w:rsidR="00000000" w:rsidRDefault="00AF1222">
            <w:pPr>
              <w:bidi/>
              <w:ind w:left="360"/>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בסעיף 21, אחרי "בפקודה זו" יבוא "או בחוק המשטרה";</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בסעיף 25(ב), אחרי "פקודה זו" יבוא "וכן להוראות חוק המשטרה", ובמקום "לפיה" יבוא "לפיהם";</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בסעיף 32, המילה "משמעת" - תימחק, ואחרי "שוטרים" יבוא "ו</w:t>
            </w:r>
            <w:r>
              <w:rPr>
                <w:rFonts w:cs="David"/>
                <w:sz w:val="26"/>
                <w:szCs w:val="26"/>
                <w:rtl/>
              </w:rPr>
              <w:t>כן להוראות פרק ב' לחוק המשטרה";</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סעיפים 36, 50 עד 77ח, 77ט, 77יב, ו –91א עד 91יח - בטלים;</w:t>
            </w:r>
          </w:p>
          <w:p w:rsidR="00000000" w:rsidRDefault="00AF1222">
            <w:pPr>
              <w:bidi/>
              <w:jc w:val="both"/>
              <w:rPr>
                <w:rFonts w:cs="David"/>
                <w:rtl/>
              </w:rPr>
            </w:pPr>
          </w:p>
          <w:p w:rsidR="00000000" w:rsidRDefault="00AF1222">
            <w:pPr>
              <w:numPr>
                <w:ilvl w:val="0"/>
                <w:numId w:val="37"/>
              </w:numPr>
              <w:bidi/>
              <w:ind w:right="720"/>
              <w:jc w:val="both"/>
              <w:rPr>
                <w:rFonts w:cs="David"/>
                <w:sz w:val="26"/>
                <w:szCs w:val="26"/>
                <w:rtl/>
              </w:rPr>
            </w:pPr>
            <w:r>
              <w:rPr>
                <w:rFonts w:cs="David"/>
                <w:sz w:val="26"/>
                <w:szCs w:val="26"/>
                <w:rtl/>
              </w:rPr>
              <w:t xml:space="preserve">בסעיף 45, המילה "משמעת" - תימחק, ואחרי "שוטרים" יבוא "וכן להוראות פרק ב' לחוק המשטרה,"; </w:t>
            </w:r>
          </w:p>
          <w:p w:rsidR="00000000" w:rsidRDefault="00AF1222">
            <w:pPr>
              <w:bidi/>
              <w:jc w:val="both"/>
              <w:rPr>
                <w:rFonts w:cs="David"/>
                <w:sz w:val="26"/>
                <w:szCs w:val="26"/>
                <w:rtl/>
              </w:rPr>
            </w:pPr>
            <w:r>
              <w:rPr>
                <w:rFonts w:cs="David"/>
                <w:b/>
                <w:bCs/>
                <w:color w:val="0000FF"/>
                <w:sz w:val="26"/>
                <w:szCs w:val="26"/>
                <w:rtl/>
              </w:rPr>
              <w:t xml:space="preserve">            </w:t>
            </w:r>
          </w:p>
          <w:p w:rsidR="00000000" w:rsidRDefault="00AF1222">
            <w:pPr>
              <w:numPr>
                <w:ilvl w:val="0"/>
                <w:numId w:val="37"/>
              </w:numPr>
              <w:bidi/>
              <w:ind w:right="720"/>
              <w:jc w:val="both"/>
              <w:rPr>
                <w:rFonts w:cs="David"/>
                <w:sz w:val="26"/>
                <w:szCs w:val="26"/>
                <w:rtl/>
              </w:rPr>
            </w:pPr>
            <w:r>
              <w:rPr>
                <w:rFonts w:cs="David"/>
                <w:sz w:val="26"/>
                <w:szCs w:val="26"/>
                <w:rtl/>
              </w:rPr>
              <w:t>בסעיף 77ח1, אחרי ההגדרה "שוטר חובה" יבוא:</w:t>
            </w:r>
          </w:p>
          <w:p w:rsidR="00000000" w:rsidRDefault="00AF1222">
            <w:pPr>
              <w:bidi/>
              <w:jc w:val="both"/>
              <w:rPr>
                <w:rFonts w:cs="David"/>
                <w:sz w:val="26"/>
                <w:szCs w:val="26"/>
                <w:rtl/>
              </w:rPr>
            </w:pPr>
          </w:p>
          <w:p w:rsidR="00000000" w:rsidRDefault="00AF1222">
            <w:pPr>
              <w:bidi/>
              <w:ind w:left="360"/>
              <w:jc w:val="both"/>
              <w:rPr>
                <w:rFonts w:cs="David"/>
                <w:sz w:val="26"/>
                <w:szCs w:val="26"/>
                <w:rtl/>
              </w:rPr>
            </w:pPr>
            <w:r>
              <w:rPr>
                <w:rFonts w:cs="David"/>
                <w:sz w:val="26"/>
                <w:szCs w:val="26"/>
                <w:rtl/>
              </w:rPr>
              <w:t xml:space="preserve"> ""קצין </w:t>
            </w:r>
            <w:r>
              <w:rPr>
                <w:rFonts w:cs="David"/>
                <w:sz w:val="26"/>
                <w:szCs w:val="26"/>
                <w:rtl/>
              </w:rPr>
              <w:t>שיפוט בכיר" – כהגדרתו בחוק המשטרה.";</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בסעיף 77ח3(2) במקום "לתוספת השניה" יבוא "לתוספת הראשונה לחוק המשטרה.";</w:t>
            </w:r>
          </w:p>
          <w:p w:rsidR="00000000" w:rsidRDefault="00AF1222">
            <w:pPr>
              <w:bidi/>
              <w:jc w:val="both"/>
              <w:rPr>
                <w:rFonts w:cs="David"/>
                <w:sz w:val="26"/>
                <w:szCs w:val="26"/>
                <w:rtl/>
              </w:rPr>
            </w:pPr>
          </w:p>
          <w:p w:rsidR="00000000" w:rsidRDefault="00AF1222">
            <w:pPr>
              <w:numPr>
                <w:ilvl w:val="0"/>
                <w:numId w:val="37"/>
              </w:numPr>
              <w:bidi/>
              <w:ind w:right="720"/>
              <w:jc w:val="both"/>
              <w:rPr>
                <w:rFonts w:cs="David"/>
                <w:sz w:val="26"/>
                <w:szCs w:val="26"/>
                <w:rtl/>
              </w:rPr>
            </w:pPr>
            <w:r>
              <w:rPr>
                <w:rFonts w:cs="David"/>
                <w:sz w:val="26"/>
                <w:szCs w:val="26"/>
                <w:rtl/>
              </w:rPr>
              <w:t>התוספת השניה - בטלה.</w:t>
            </w:r>
          </w:p>
          <w:p w:rsidR="00000000" w:rsidRDefault="00AF1222">
            <w:pPr>
              <w:bidi/>
              <w:ind w:left="360"/>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שיפוט המשמעת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38" w:author="User" w:date="2005-04-17T16:33:00Z" w:original="%1:11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Cs w:val="26"/>
              </w:rPr>
            </w:pPr>
            <w:r>
              <w:rPr>
                <w:rFonts w:cs="David"/>
                <w:sz w:val="26"/>
                <w:szCs w:val="26"/>
                <w:rtl/>
              </w:rPr>
              <w:t>בחוק שיפוט המשמעת (משפט חוזר), התשכ"א – 1961</w:t>
            </w:r>
            <w:r>
              <w:rPr>
                <w:rStyle w:val="a5"/>
                <w:rFonts w:cs="David"/>
                <w:sz w:val="26"/>
                <w:szCs w:val="26"/>
                <w:rtl/>
              </w:rPr>
              <w:footnoteReference w:id="15"/>
            </w:r>
            <w:r>
              <w:rPr>
                <w:rFonts w:cs="David"/>
                <w:sz w:val="26"/>
                <w:szCs w:val="26"/>
                <w:rtl/>
              </w:rPr>
              <w:t xml:space="preserve"> בתוספת, פרט</w:t>
            </w:r>
            <w:r>
              <w:rPr>
                <w:rFonts w:cs="David"/>
                <w:sz w:val="26"/>
                <w:szCs w:val="26"/>
                <w:rtl/>
              </w:rPr>
              <w:t xml:space="preserve"> (4) - בטל.</w:t>
            </w: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פקודת התעבורה</w:t>
            </w:r>
          </w:p>
        </w:tc>
        <w:tc>
          <w:tcPr>
            <w:tcW w:w="900" w:type="dxa"/>
            <w:tcBorders>
              <w:top w:val="nil"/>
              <w:left w:val="nil"/>
              <w:bottom w:val="nil"/>
              <w:right w:val="nil"/>
            </w:tcBorders>
          </w:tcPr>
          <w:p w:rsidR="00000000" w:rsidRDefault="00AF1222">
            <w:pPr>
              <w:numPr>
                <w:ilvl w:val="0"/>
                <w:numId w:val="5"/>
                <w:numberingChange w:id="139" w:author="User" w:date="2005-04-17T16:33:00Z" w:original="%1:120: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בפקודת התעבורה</w:t>
            </w:r>
            <w:r>
              <w:rPr>
                <w:rStyle w:val="a5"/>
                <w:rFonts w:cs="David"/>
                <w:sz w:val="26"/>
                <w:szCs w:val="26"/>
                <w:rtl/>
              </w:rPr>
              <w:footnoteReference w:id="16"/>
            </w:r>
            <w:r>
              <w:rPr>
                <w:rFonts w:cs="David"/>
                <w:sz w:val="26"/>
                <w:szCs w:val="26"/>
                <w:rtl/>
              </w:rPr>
              <w:t xml:space="preserve"> בסעיף 20, אחרי סעיף קטן (ג) יבוא:</w:t>
            </w:r>
          </w:p>
          <w:p w:rsidR="00000000" w:rsidRDefault="00AF1222">
            <w:pPr>
              <w:bidi/>
              <w:jc w:val="both"/>
              <w:rPr>
                <w:rFonts w:cs="David"/>
                <w:sz w:val="26"/>
                <w:szCs w:val="26"/>
                <w:rtl/>
              </w:rPr>
            </w:pPr>
            <w:r>
              <w:rPr>
                <w:rFonts w:cs="David"/>
                <w:sz w:val="26"/>
                <w:szCs w:val="26"/>
                <w:rtl/>
              </w:rPr>
              <w:t xml:space="preserve"> "(ד) בסעיף זה, "שוטר" – לרבות עובד שאינו שוטר, כהגדרתו בחוק המשטרה (דין משמעתי, בירור קבילות שוטרים, עובדים שאינם שוטרים והוראו</w:t>
            </w:r>
            <w:r>
              <w:rPr>
                <w:rFonts w:cs="David"/>
                <w:sz w:val="26"/>
                <w:szCs w:val="26"/>
                <w:rtl/>
              </w:rPr>
              <w:t>ת שונות), התשס"ה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פקודת העיריות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40" w:author="User" w:date="2005-04-17T16:33:00Z" w:original="%1:121: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בפקודת העיריות</w:t>
            </w:r>
            <w:r>
              <w:rPr>
                <w:rStyle w:val="a5"/>
                <w:rFonts w:cs="David"/>
                <w:sz w:val="26"/>
                <w:szCs w:val="26"/>
                <w:rtl/>
              </w:rPr>
              <w:footnoteReference w:id="17"/>
            </w:r>
            <w:r>
              <w:rPr>
                <w:rFonts w:cs="David"/>
                <w:sz w:val="26"/>
                <w:szCs w:val="26"/>
                <w:rtl/>
              </w:rPr>
              <w:t>, בסעיף 120, בפסקה (3) בסופה יבוא "וכן עובד שאינו שוטר כהגדרתו בחוק המשטרה (דין משמעתי, בירור קבילות שוטרים, עובדים שאינם שוטרים והוראות שונות), הת</w:t>
            </w:r>
            <w:r>
              <w:rPr>
                <w:rFonts w:cs="David"/>
                <w:sz w:val="26"/>
                <w:szCs w:val="26"/>
                <w:rtl/>
              </w:rPr>
              <w:t>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חוק הרשויות המקומיות</w:t>
            </w:r>
          </w:p>
        </w:tc>
        <w:tc>
          <w:tcPr>
            <w:tcW w:w="900" w:type="dxa"/>
            <w:tcBorders>
              <w:top w:val="nil"/>
              <w:left w:val="nil"/>
              <w:bottom w:val="nil"/>
              <w:right w:val="nil"/>
            </w:tcBorders>
          </w:tcPr>
          <w:p w:rsidR="00000000" w:rsidRDefault="00AF1222">
            <w:pPr>
              <w:numPr>
                <w:ilvl w:val="0"/>
                <w:numId w:val="5"/>
                <w:numberingChange w:id="141" w:author="User" w:date="2005-04-17T16:33:00Z" w:original="%1:122: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tabs>
                <w:tab w:val="left" w:pos="317"/>
                <w:tab w:val="left" w:pos="459"/>
              </w:tabs>
              <w:bidi/>
              <w:jc w:val="both"/>
              <w:rPr>
                <w:rFonts w:cs="David"/>
                <w:sz w:val="26"/>
                <w:szCs w:val="26"/>
              </w:rPr>
            </w:pPr>
            <w:r>
              <w:rPr>
                <w:rFonts w:cs="David"/>
                <w:sz w:val="26"/>
                <w:szCs w:val="26"/>
                <w:rtl/>
              </w:rPr>
              <w:t>בחוק הרשויות המקומיות (בחירות), התשכ"ה – 1965</w:t>
            </w:r>
            <w:r>
              <w:rPr>
                <w:rStyle w:val="a5"/>
                <w:rFonts w:cs="David"/>
                <w:sz w:val="26"/>
                <w:szCs w:val="26"/>
                <w:rtl/>
              </w:rPr>
              <w:footnoteReference w:id="18"/>
            </w:r>
            <w:r>
              <w:rPr>
                <w:rFonts w:cs="David"/>
                <w:sz w:val="26"/>
                <w:szCs w:val="26"/>
                <w:rtl/>
              </w:rPr>
              <w:t xml:space="preserve">, בסעיף 84ב, אחרי סעיף קטן (ה) יבוא:  </w:t>
            </w:r>
          </w:p>
          <w:p w:rsidR="00000000" w:rsidRDefault="00AF1222">
            <w:pPr>
              <w:tabs>
                <w:tab w:val="left" w:pos="317"/>
                <w:tab w:val="left" w:pos="459"/>
              </w:tabs>
              <w:bidi/>
              <w:jc w:val="both"/>
              <w:rPr>
                <w:rFonts w:cs="David"/>
                <w:sz w:val="26"/>
                <w:szCs w:val="26"/>
                <w:rtl/>
              </w:rPr>
            </w:pPr>
            <w:r>
              <w:rPr>
                <w:rFonts w:cs="David"/>
                <w:sz w:val="26"/>
                <w:szCs w:val="26"/>
                <w:rtl/>
              </w:rPr>
              <w:t>"(ו) הוראות סעיף זה יחולו גם לגבי עובד שאינו שוטר כהגדרתו בחוק המשטרה (דין משמעתי, בירור קבילות שוט</w:t>
            </w:r>
            <w:r>
              <w:rPr>
                <w:rFonts w:cs="David"/>
                <w:sz w:val="26"/>
                <w:szCs w:val="26"/>
                <w:rtl/>
              </w:rPr>
              <w:t>רים, עובדים שאינם שוטרים והוראות שונות), התשס"ה – 2005, בשינויים המחויבים ובשינויים אלה:</w:t>
            </w:r>
          </w:p>
          <w:p w:rsidR="00000000" w:rsidRDefault="00AF1222">
            <w:pPr>
              <w:numPr>
                <w:ilvl w:val="0"/>
                <w:numId w:val="38"/>
              </w:numPr>
              <w:tabs>
                <w:tab w:val="left" w:pos="317"/>
                <w:tab w:val="left" w:pos="459"/>
              </w:tabs>
              <w:bidi/>
              <w:ind w:right="780"/>
              <w:jc w:val="both"/>
              <w:rPr>
                <w:rFonts w:cs="David"/>
                <w:sz w:val="26"/>
                <w:szCs w:val="26"/>
                <w:rtl/>
              </w:rPr>
            </w:pPr>
            <w:r>
              <w:rPr>
                <w:rFonts w:cs="David"/>
                <w:sz w:val="26"/>
                <w:szCs w:val="26"/>
                <w:rtl/>
              </w:rPr>
              <w:t>בסעיף קטן (ב), במקום הסיפא החל במילים "הפרטים המתייחסים אליו" יבוא "והפרטים המתייחסים אליו כפי שהם רשומים באותה רשימת בוחרים";</w:t>
            </w:r>
          </w:p>
          <w:p w:rsidR="00000000" w:rsidRDefault="00AF1222">
            <w:pPr>
              <w:numPr>
                <w:ilvl w:val="0"/>
                <w:numId w:val="38"/>
                <w:numberingChange w:id="142" w:author="User" w:date="2005-04-17T16:33:00Z" w:original="(%1:1:0:)"/>
              </w:numPr>
              <w:tabs>
                <w:tab w:val="left" w:pos="317"/>
                <w:tab w:val="left" w:pos="459"/>
              </w:tabs>
              <w:bidi/>
              <w:ind w:right="780"/>
              <w:jc w:val="both"/>
              <w:rPr>
                <w:rFonts w:cs="David"/>
                <w:sz w:val="26"/>
                <w:szCs w:val="26"/>
                <w:rtl/>
              </w:rPr>
            </w:pPr>
            <w:r>
              <w:rPr>
                <w:rFonts w:cs="David"/>
                <w:sz w:val="26"/>
                <w:szCs w:val="26"/>
                <w:rtl/>
              </w:rPr>
              <w:t xml:space="preserve">בסעיף קטן (ד), המילים "את מספרו </w:t>
            </w:r>
            <w:r>
              <w:rPr>
                <w:rFonts w:cs="David"/>
                <w:sz w:val="26"/>
                <w:szCs w:val="26"/>
                <w:rtl/>
              </w:rPr>
              <w:t>האישי במשטרה" – יימחקו;</w:t>
            </w:r>
          </w:p>
          <w:p w:rsidR="00000000" w:rsidRDefault="00AF1222">
            <w:pPr>
              <w:numPr>
                <w:ilvl w:val="0"/>
                <w:numId w:val="38"/>
                <w:numberingChange w:id="143" w:author="User" w:date="2005-04-17T16:33:00Z" w:original="(%1:1:0:)"/>
              </w:numPr>
              <w:tabs>
                <w:tab w:val="left" w:pos="317"/>
                <w:tab w:val="left" w:pos="459"/>
              </w:tabs>
              <w:bidi/>
              <w:ind w:right="780"/>
              <w:jc w:val="both"/>
              <w:rPr>
                <w:rFonts w:cs="David"/>
                <w:sz w:val="26"/>
                <w:szCs w:val="26"/>
                <w:rtl/>
              </w:rPr>
            </w:pPr>
            <w:r>
              <w:rPr>
                <w:rFonts w:cs="David"/>
                <w:sz w:val="26"/>
                <w:szCs w:val="26"/>
                <w:rtl/>
              </w:rPr>
              <w:t>בסעיף קטן (ה), במקום "ובלבד שהופיע במדי שוטר והזדהה בתעודת זהות ובתעודת שוטר" יבוא "ובלבד שהזדהה בתעודת זהות ובתעודת עובד"."</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הפטנטים</w:t>
            </w:r>
          </w:p>
        </w:tc>
        <w:tc>
          <w:tcPr>
            <w:tcW w:w="900" w:type="dxa"/>
            <w:tcBorders>
              <w:top w:val="nil"/>
              <w:left w:val="nil"/>
              <w:bottom w:val="nil"/>
              <w:right w:val="nil"/>
            </w:tcBorders>
          </w:tcPr>
          <w:p w:rsidR="00000000" w:rsidRDefault="00AF1222">
            <w:pPr>
              <w:numPr>
                <w:ilvl w:val="0"/>
                <w:numId w:val="5"/>
                <w:numberingChange w:id="144" w:author="User" w:date="2005-04-17T16:33:00Z" w:original="%1:123: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בחוק הפטנטים, התשכ"ז – 1967</w:t>
            </w:r>
            <w:r>
              <w:rPr>
                <w:rStyle w:val="a5"/>
                <w:rFonts w:cs="David"/>
                <w:sz w:val="26"/>
                <w:szCs w:val="26"/>
                <w:rtl/>
              </w:rPr>
              <w:footnoteReference w:id="19"/>
            </w:r>
            <w:r>
              <w:rPr>
                <w:rFonts w:cs="David"/>
                <w:sz w:val="26"/>
                <w:szCs w:val="26"/>
                <w:rtl/>
              </w:rPr>
              <w:t xml:space="preserve">, בסעיף 137, במקום "שוטר" </w:t>
            </w:r>
            <w:r>
              <w:rPr>
                <w:rFonts w:cs="David"/>
                <w:sz w:val="26"/>
                <w:szCs w:val="26"/>
                <w:rtl/>
              </w:rPr>
              <w:t>יבוא "שוטר, עובד שאינו שוטר כהגדרתו בחוק המשטרה (דין משמעתי, בירור קבילות שוטרים, עובדים שאינם שוטרים והוראות שונות), התשס"ה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משכן הכנסת ורחבתו</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45" w:author="User" w:date="2005-04-17T16:33:00Z" w:original="%1:124: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ind w:left="360"/>
              <w:jc w:val="both"/>
              <w:rPr>
                <w:rFonts w:cs="David"/>
                <w:sz w:val="26"/>
                <w:szCs w:val="26"/>
              </w:rPr>
            </w:pPr>
            <w:r>
              <w:rPr>
                <w:rFonts w:cs="David"/>
                <w:sz w:val="26"/>
                <w:szCs w:val="26"/>
                <w:rtl/>
              </w:rPr>
              <w:t>בחוק משכן הכנסת ורחבתו, התשכ"ח –1968</w:t>
            </w:r>
            <w:r>
              <w:rPr>
                <w:rStyle w:val="a5"/>
                <w:rFonts w:cs="David"/>
                <w:sz w:val="26"/>
                <w:szCs w:val="26"/>
                <w:rtl/>
              </w:rPr>
              <w:footnoteReference w:id="20"/>
            </w:r>
            <w:r>
              <w:rPr>
                <w:rFonts w:cs="David"/>
                <w:sz w:val="26"/>
                <w:szCs w:val="26"/>
                <w:rtl/>
              </w:rPr>
              <w:t xml:space="preserve">, בסעיף 19, במקום "פקודת </w:t>
            </w:r>
            <w:r>
              <w:rPr>
                <w:rFonts w:cs="David"/>
                <w:sz w:val="26"/>
                <w:szCs w:val="26"/>
                <w:rtl/>
              </w:rPr>
              <w:t>המשטרה" יבוא "חוק המשטרה (דין משמעתי, בירור קבילות שוטרים, עובדים שאינם שוטרים והוראות שונות), התשס"ה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חוק הבחירות לכנסת</w:t>
            </w:r>
          </w:p>
        </w:tc>
        <w:tc>
          <w:tcPr>
            <w:tcW w:w="900" w:type="dxa"/>
            <w:tcBorders>
              <w:top w:val="nil"/>
              <w:left w:val="nil"/>
              <w:bottom w:val="nil"/>
              <w:right w:val="nil"/>
            </w:tcBorders>
          </w:tcPr>
          <w:p w:rsidR="00000000" w:rsidRDefault="00AF1222">
            <w:pPr>
              <w:numPr>
                <w:ilvl w:val="0"/>
                <w:numId w:val="5"/>
                <w:numberingChange w:id="146" w:author="User" w:date="2005-04-17T16:33:00Z" w:original="%1:125: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rPr>
            </w:pPr>
            <w:r>
              <w:rPr>
                <w:rFonts w:cs="David"/>
                <w:sz w:val="26"/>
                <w:szCs w:val="26"/>
                <w:rtl/>
              </w:rPr>
              <w:t xml:space="preserve">בחוק הבחירות לכנסת [נוסח משולב], התשכ"ט-1969 </w:t>
            </w:r>
            <w:r>
              <w:rPr>
                <w:rStyle w:val="a5"/>
                <w:rFonts w:cs="David"/>
                <w:sz w:val="26"/>
                <w:szCs w:val="26"/>
                <w:rtl/>
              </w:rPr>
              <w:footnoteReference w:id="21"/>
            </w:r>
            <w:r>
              <w:rPr>
                <w:rFonts w:cs="David"/>
                <w:sz w:val="26"/>
                <w:szCs w:val="26"/>
                <w:rtl/>
              </w:rPr>
              <w:t xml:space="preserve">- </w:t>
            </w:r>
          </w:p>
          <w:p w:rsidR="00000000" w:rsidRDefault="00AF1222">
            <w:pPr>
              <w:bidi/>
              <w:jc w:val="both"/>
              <w:rPr>
                <w:rFonts w:cs="David"/>
                <w:sz w:val="26"/>
                <w:szCs w:val="26"/>
                <w:rtl/>
              </w:rPr>
            </w:pPr>
          </w:p>
          <w:p w:rsidR="00000000" w:rsidRDefault="00AF1222">
            <w:pPr>
              <w:numPr>
                <w:ilvl w:val="0"/>
                <w:numId w:val="39"/>
              </w:numPr>
              <w:bidi/>
              <w:ind w:right="720"/>
              <w:jc w:val="both"/>
              <w:rPr>
                <w:rFonts w:cs="David"/>
                <w:rtl/>
              </w:rPr>
            </w:pPr>
            <w:r>
              <w:rPr>
                <w:rFonts w:cs="David"/>
                <w:sz w:val="26"/>
                <w:szCs w:val="26"/>
                <w:rtl/>
              </w:rPr>
              <w:t>בסעיף  56(א), בהגדרה "עובד המדינה</w:t>
            </w:r>
            <w:r>
              <w:rPr>
                <w:rFonts w:cs="David"/>
                <w:sz w:val="26"/>
                <w:szCs w:val="26"/>
                <w:rtl/>
              </w:rPr>
              <w:t>", בסופה יבוא "ועובד שאינו שוטר כהגדרתו בחוק המשטרה (דין משמעתי, בירור קבילות שוטרים, עובדים שאינם שוטרים והוראות שונות), התשס"ה – 2005";</w:t>
            </w:r>
          </w:p>
          <w:p w:rsidR="00000000" w:rsidRDefault="00AF1222">
            <w:pPr>
              <w:bidi/>
              <w:ind w:left="360"/>
              <w:jc w:val="both"/>
              <w:rPr>
                <w:rFonts w:cs="David"/>
                <w:sz w:val="26"/>
                <w:szCs w:val="26"/>
                <w:rtl/>
              </w:rPr>
            </w:pPr>
          </w:p>
          <w:p w:rsidR="00000000" w:rsidRDefault="00AF1222">
            <w:pPr>
              <w:numPr>
                <w:ilvl w:val="0"/>
                <w:numId w:val="39"/>
              </w:numPr>
              <w:bidi/>
              <w:ind w:right="720"/>
              <w:jc w:val="both"/>
              <w:rPr>
                <w:rFonts w:cs="David"/>
                <w:sz w:val="26"/>
                <w:szCs w:val="26"/>
                <w:rtl/>
              </w:rPr>
            </w:pPr>
            <w:r>
              <w:rPr>
                <w:rFonts w:cs="David"/>
                <w:sz w:val="26"/>
                <w:szCs w:val="26"/>
                <w:rtl/>
              </w:rPr>
              <w:t>בסעיף 95, אחרי סעיף קטן (ו) יבוא:</w:t>
            </w:r>
          </w:p>
          <w:p w:rsidR="00000000" w:rsidRDefault="00AF1222">
            <w:pPr>
              <w:bidi/>
              <w:ind w:left="360"/>
              <w:jc w:val="both"/>
              <w:rPr>
                <w:rFonts w:cs="David"/>
                <w:sz w:val="26"/>
                <w:szCs w:val="26"/>
                <w:rtl/>
              </w:rPr>
            </w:pPr>
            <w:r>
              <w:rPr>
                <w:rFonts w:cs="David"/>
                <w:sz w:val="26"/>
                <w:szCs w:val="26"/>
                <w:rtl/>
              </w:rPr>
              <w:t>"(ז)  הוראות סעיף זה יחולו גם לגבי עובד שאינו שוטר כהגדרתו בחוק המשטרה (דין משמ</w:t>
            </w:r>
            <w:r>
              <w:rPr>
                <w:rFonts w:cs="David"/>
                <w:sz w:val="26"/>
                <w:szCs w:val="26"/>
                <w:rtl/>
              </w:rPr>
              <w:t>עתי, בירור קבילות שוטרים, עובדים שאינם שוטרים והוראות שונות), התשס"ה – 2005, בשינויים המחויבים ובשינויים אלה:</w:t>
            </w:r>
          </w:p>
          <w:p w:rsidR="00000000" w:rsidRDefault="00AF1222">
            <w:pPr>
              <w:pStyle w:val="23"/>
              <w:numPr>
                <w:ilvl w:val="1"/>
                <w:numId w:val="32"/>
              </w:numPr>
              <w:tabs>
                <w:tab w:val="left" w:pos="317"/>
                <w:tab w:val="left" w:pos="459"/>
              </w:tabs>
              <w:ind w:right="1095"/>
              <w:rPr>
                <w:rFonts w:cs="David"/>
                <w:rtl/>
              </w:rPr>
            </w:pPr>
            <w:r>
              <w:rPr>
                <w:rFonts w:cs="David" w:hint="eastAsia"/>
                <w:rtl/>
              </w:rPr>
              <w:t>בסעיף</w:t>
            </w:r>
            <w:r>
              <w:rPr>
                <w:rFonts w:cs="David"/>
                <w:rtl/>
              </w:rPr>
              <w:t xml:space="preserve"> </w:t>
            </w:r>
            <w:r>
              <w:rPr>
                <w:rFonts w:cs="David" w:hint="eastAsia"/>
                <w:rtl/>
              </w:rPr>
              <w:t>קטן</w:t>
            </w:r>
            <w:r>
              <w:rPr>
                <w:rFonts w:cs="David"/>
                <w:rtl/>
              </w:rPr>
              <w:t xml:space="preserve"> (</w:t>
            </w:r>
            <w:r>
              <w:rPr>
                <w:rFonts w:cs="David" w:hint="eastAsia"/>
                <w:rtl/>
              </w:rPr>
              <w:t>ב</w:t>
            </w:r>
            <w:r>
              <w:rPr>
                <w:rFonts w:cs="David"/>
                <w:rtl/>
              </w:rPr>
              <w:t xml:space="preserve">), </w:t>
            </w:r>
            <w:r>
              <w:rPr>
                <w:rFonts w:cs="David" w:hint="eastAsia"/>
                <w:rtl/>
              </w:rPr>
              <w:t>במקום</w:t>
            </w:r>
            <w:r>
              <w:rPr>
                <w:rFonts w:cs="David"/>
                <w:rtl/>
              </w:rPr>
              <w:t xml:space="preserve"> </w:t>
            </w:r>
            <w:r>
              <w:rPr>
                <w:rFonts w:cs="David" w:hint="eastAsia"/>
                <w:rtl/>
              </w:rPr>
              <w:t>הסיפא</w:t>
            </w:r>
            <w:r>
              <w:rPr>
                <w:rFonts w:cs="David"/>
                <w:rtl/>
              </w:rPr>
              <w:t xml:space="preserve"> </w:t>
            </w:r>
            <w:r>
              <w:rPr>
                <w:rFonts w:cs="David" w:hint="eastAsia"/>
                <w:rtl/>
              </w:rPr>
              <w:t>החל</w:t>
            </w:r>
            <w:r>
              <w:rPr>
                <w:rFonts w:cs="David"/>
                <w:rtl/>
              </w:rPr>
              <w:t xml:space="preserve"> </w:t>
            </w:r>
            <w:r>
              <w:rPr>
                <w:rFonts w:cs="David" w:hint="eastAsia"/>
                <w:rtl/>
              </w:rPr>
              <w:t>במילים</w:t>
            </w:r>
            <w:r>
              <w:rPr>
                <w:rFonts w:cs="David"/>
                <w:rtl/>
              </w:rPr>
              <w:t xml:space="preserve"> "</w:t>
            </w:r>
            <w:r>
              <w:rPr>
                <w:rFonts w:cs="David" w:hint="eastAsia"/>
                <w:rtl/>
              </w:rPr>
              <w:t>הפרטים</w:t>
            </w:r>
            <w:r>
              <w:rPr>
                <w:rFonts w:cs="David"/>
                <w:rtl/>
              </w:rPr>
              <w:t xml:space="preserve"> </w:t>
            </w:r>
            <w:r>
              <w:rPr>
                <w:rFonts w:cs="David" w:hint="eastAsia"/>
                <w:rtl/>
              </w:rPr>
              <w:t>המתייחסים</w:t>
            </w:r>
            <w:r>
              <w:rPr>
                <w:rFonts w:cs="David"/>
                <w:rtl/>
              </w:rPr>
              <w:t xml:space="preserve"> </w:t>
            </w:r>
            <w:r>
              <w:rPr>
                <w:rFonts w:cs="David" w:hint="eastAsia"/>
                <w:rtl/>
              </w:rPr>
              <w:t>אליו</w:t>
            </w:r>
            <w:r>
              <w:rPr>
                <w:rFonts w:cs="David"/>
                <w:rtl/>
              </w:rPr>
              <w:t xml:space="preserve">" </w:t>
            </w:r>
            <w:r>
              <w:rPr>
                <w:rFonts w:cs="David" w:hint="eastAsia"/>
                <w:rtl/>
              </w:rPr>
              <w:t>יבוא</w:t>
            </w:r>
            <w:r>
              <w:rPr>
                <w:rFonts w:cs="David"/>
                <w:rtl/>
              </w:rPr>
              <w:t xml:space="preserve"> "</w:t>
            </w:r>
            <w:r>
              <w:rPr>
                <w:rFonts w:cs="David" w:hint="eastAsia"/>
                <w:rtl/>
              </w:rPr>
              <w:t>והפרטים</w:t>
            </w:r>
            <w:r>
              <w:rPr>
                <w:rFonts w:cs="David"/>
                <w:rtl/>
              </w:rPr>
              <w:t xml:space="preserve"> </w:t>
            </w:r>
            <w:r>
              <w:rPr>
                <w:rFonts w:cs="David" w:hint="eastAsia"/>
                <w:rtl/>
              </w:rPr>
              <w:t>המתייחסים</w:t>
            </w:r>
            <w:r>
              <w:rPr>
                <w:rFonts w:cs="David"/>
                <w:rtl/>
              </w:rPr>
              <w:t xml:space="preserve"> </w:t>
            </w:r>
            <w:r>
              <w:rPr>
                <w:rFonts w:cs="David" w:hint="eastAsia"/>
                <w:rtl/>
              </w:rPr>
              <w:t>אליו</w:t>
            </w:r>
            <w:r>
              <w:rPr>
                <w:rFonts w:cs="David"/>
                <w:rtl/>
              </w:rPr>
              <w:t xml:space="preserve"> </w:t>
            </w:r>
            <w:r>
              <w:rPr>
                <w:rFonts w:cs="David" w:hint="eastAsia"/>
                <w:rtl/>
              </w:rPr>
              <w:t>כפי</w:t>
            </w:r>
            <w:r>
              <w:rPr>
                <w:rFonts w:cs="David"/>
                <w:rtl/>
              </w:rPr>
              <w:t xml:space="preserve"> </w:t>
            </w:r>
            <w:r>
              <w:rPr>
                <w:rFonts w:cs="David" w:hint="eastAsia"/>
                <w:rtl/>
              </w:rPr>
              <w:t>שהם</w:t>
            </w:r>
            <w:r>
              <w:rPr>
                <w:rFonts w:cs="David"/>
                <w:rtl/>
              </w:rPr>
              <w:t xml:space="preserve"> </w:t>
            </w:r>
            <w:r>
              <w:rPr>
                <w:rFonts w:cs="David" w:hint="eastAsia"/>
                <w:rtl/>
              </w:rPr>
              <w:t>רשומים</w:t>
            </w:r>
            <w:r>
              <w:rPr>
                <w:rFonts w:cs="David"/>
                <w:rtl/>
              </w:rPr>
              <w:t xml:space="preserve"> </w:t>
            </w:r>
            <w:r>
              <w:rPr>
                <w:rFonts w:cs="David" w:hint="eastAsia"/>
                <w:rtl/>
              </w:rPr>
              <w:t>באותה</w:t>
            </w:r>
            <w:r>
              <w:rPr>
                <w:rFonts w:cs="David"/>
                <w:rtl/>
              </w:rPr>
              <w:t xml:space="preserve"> </w:t>
            </w:r>
            <w:r>
              <w:rPr>
                <w:rFonts w:cs="David" w:hint="eastAsia"/>
                <w:rtl/>
              </w:rPr>
              <w:t>רשימת</w:t>
            </w:r>
            <w:r>
              <w:rPr>
                <w:rFonts w:cs="David"/>
                <w:rtl/>
              </w:rPr>
              <w:t xml:space="preserve"> </w:t>
            </w:r>
            <w:r>
              <w:rPr>
                <w:rFonts w:cs="David" w:hint="eastAsia"/>
                <w:rtl/>
              </w:rPr>
              <w:t>בוחרים</w:t>
            </w:r>
            <w:r>
              <w:rPr>
                <w:rFonts w:cs="David"/>
                <w:rtl/>
              </w:rPr>
              <w:t>";</w:t>
            </w:r>
          </w:p>
          <w:p w:rsidR="00000000" w:rsidRDefault="00AF1222">
            <w:pPr>
              <w:numPr>
                <w:ilvl w:val="1"/>
                <w:numId w:val="32"/>
              </w:numPr>
              <w:tabs>
                <w:tab w:val="left" w:pos="317"/>
                <w:tab w:val="left" w:pos="459"/>
              </w:tabs>
              <w:bidi/>
              <w:ind w:right="1095"/>
              <w:jc w:val="both"/>
              <w:rPr>
                <w:rFonts w:cs="David"/>
                <w:sz w:val="26"/>
                <w:szCs w:val="26"/>
                <w:rtl/>
              </w:rPr>
            </w:pPr>
            <w:r>
              <w:rPr>
                <w:rFonts w:cs="David"/>
                <w:sz w:val="26"/>
                <w:szCs w:val="26"/>
                <w:rtl/>
              </w:rPr>
              <w:t>בסעיף קטן (</w:t>
            </w:r>
            <w:r>
              <w:rPr>
                <w:rFonts w:cs="David"/>
                <w:sz w:val="26"/>
                <w:szCs w:val="26"/>
                <w:rtl/>
              </w:rPr>
              <w:t>ד), המילים "ואת מספרו האישי של השוטר במשטרה" – יימחקו;</w:t>
            </w:r>
          </w:p>
          <w:p w:rsidR="00000000" w:rsidRDefault="00AF1222">
            <w:pPr>
              <w:numPr>
                <w:ilvl w:val="1"/>
                <w:numId w:val="32"/>
                <w:numberingChange w:id="147" w:author="User" w:date="2005-04-17T16:33:00Z" w:original="(%2:2:0:)"/>
              </w:numPr>
              <w:tabs>
                <w:tab w:val="left" w:pos="317"/>
                <w:tab w:val="left" w:pos="459"/>
              </w:tabs>
              <w:bidi/>
              <w:ind w:right="1095"/>
              <w:jc w:val="both"/>
              <w:rPr>
                <w:rFonts w:cs="David"/>
                <w:sz w:val="26"/>
                <w:szCs w:val="26"/>
                <w:rtl/>
              </w:rPr>
            </w:pPr>
            <w:r>
              <w:rPr>
                <w:rFonts w:cs="David"/>
                <w:sz w:val="26"/>
                <w:szCs w:val="26"/>
                <w:rtl/>
              </w:rPr>
              <w:t xml:space="preserve">בסעיף קטן (ה) – </w:t>
            </w:r>
          </w:p>
          <w:p w:rsidR="00000000" w:rsidRDefault="00AF1222">
            <w:pPr>
              <w:numPr>
                <w:ilvl w:val="2"/>
                <w:numId w:val="32"/>
              </w:numPr>
              <w:tabs>
                <w:tab w:val="left" w:pos="317"/>
                <w:tab w:val="left" w:pos="459"/>
              </w:tabs>
              <w:bidi/>
              <w:ind w:right="1980"/>
              <w:jc w:val="both"/>
              <w:rPr>
                <w:rFonts w:cs="David"/>
                <w:sz w:val="26"/>
                <w:szCs w:val="26"/>
                <w:rtl/>
              </w:rPr>
            </w:pPr>
            <w:r>
              <w:rPr>
                <w:rFonts w:cs="David"/>
                <w:sz w:val="26"/>
                <w:szCs w:val="26"/>
                <w:rtl/>
              </w:rPr>
              <w:t>בפסקה (1), במקום "בתעודת שוטר" יבוא "בתעודת עובד";</w:t>
            </w:r>
          </w:p>
          <w:p w:rsidR="00000000" w:rsidRDefault="00AF1222">
            <w:pPr>
              <w:numPr>
                <w:ilvl w:val="2"/>
                <w:numId w:val="32"/>
                <w:numberingChange w:id="148" w:author="User" w:date="2005-04-17T16:33:00Z" w:original="(%3:1:0:)"/>
              </w:numPr>
              <w:tabs>
                <w:tab w:val="left" w:pos="317"/>
                <w:tab w:val="left" w:pos="459"/>
              </w:tabs>
              <w:bidi/>
              <w:ind w:right="1980"/>
              <w:jc w:val="both"/>
              <w:rPr>
                <w:rFonts w:cs="David"/>
                <w:sz w:val="26"/>
                <w:szCs w:val="26"/>
                <w:rtl/>
              </w:rPr>
            </w:pPr>
            <w:r>
              <w:rPr>
                <w:rFonts w:cs="David"/>
                <w:sz w:val="26"/>
                <w:szCs w:val="26"/>
                <w:rtl/>
              </w:rPr>
              <w:t>בפסקה (2), במקום הרישא עד המילה "ימסור" יבוא "שמסר", ובמקום "ועל האישור האמור בפסקה (2), אם היה כזה, ויצרף אותם" יבוא "וי</w:t>
            </w:r>
            <w:r>
              <w:rPr>
                <w:rFonts w:cs="David"/>
                <w:sz w:val="26"/>
                <w:szCs w:val="26"/>
                <w:rtl/>
              </w:rPr>
              <w:t>צרף אותה".</w:t>
            </w:r>
          </w:p>
          <w:p w:rsidR="00000000" w:rsidRDefault="00AF1222">
            <w:pPr>
              <w:tabs>
                <w:tab w:val="left" w:pos="317"/>
                <w:tab w:val="left" w:pos="459"/>
              </w:tabs>
              <w:bidi/>
              <w:jc w:val="both"/>
              <w:rPr>
                <w:rFonts w:cs="David"/>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שירות הציבור (הגבלות לאחר פרישה)</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49" w:author="User" w:date="2005-04-17T16:33:00Z" w:original="%1:126: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b/>
                <w:bCs/>
                <w:sz w:val="26"/>
                <w:szCs w:val="26"/>
                <w:u w:val="single"/>
              </w:rPr>
            </w:pPr>
            <w:r>
              <w:rPr>
                <w:rFonts w:cs="David"/>
                <w:sz w:val="26"/>
                <w:szCs w:val="26"/>
                <w:rtl/>
              </w:rPr>
              <w:t xml:space="preserve">בחוק שירות הציבור (הגבלות לאחר פרישה), התשכ"ט-1969 </w:t>
            </w:r>
            <w:r>
              <w:rPr>
                <w:rStyle w:val="a5"/>
                <w:rFonts w:cs="David"/>
                <w:sz w:val="26"/>
                <w:szCs w:val="26"/>
                <w:rtl/>
              </w:rPr>
              <w:footnoteReference w:id="22"/>
            </w:r>
            <w:r>
              <w:rPr>
                <w:rFonts w:cs="David"/>
                <w:sz w:val="26"/>
                <w:szCs w:val="26"/>
                <w:rtl/>
              </w:rPr>
              <w:t>,</w:t>
            </w:r>
            <w:r>
              <w:rPr>
                <w:rFonts w:cs="David"/>
                <w:sz w:val="26"/>
                <w:szCs w:val="26"/>
                <w:vertAlign w:val="superscript"/>
                <w:rtl/>
              </w:rPr>
              <w:t xml:space="preserve">  </w:t>
            </w:r>
            <w:r>
              <w:rPr>
                <w:rFonts w:cs="David"/>
                <w:sz w:val="26"/>
                <w:szCs w:val="26"/>
                <w:rtl/>
              </w:rPr>
              <w:t>בסעיף 5, אחרי "כשוטר" יבוא "או כעובד שאינו שוטר" ובסופו יבוא "לענין זה, "עובד שאינו שוטר" – כהגדרתו בחוק המשטרה (ד</w:t>
            </w:r>
            <w:r>
              <w:rPr>
                <w:rFonts w:cs="David"/>
                <w:sz w:val="26"/>
                <w:szCs w:val="26"/>
                <w:rtl/>
              </w:rPr>
              <w:t>ין משמעתי, בירור קבילות שוטרים, עובדים שאינם שוטרים והוראות שונות), התשס"ה – 2005".</w:t>
            </w: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שירות המדינה (גימלאות)</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50" w:author="User" w:date="2005-04-17T16:33:00Z" w:original="%1:127: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בחוק שירות המדינה (גימלאות) [נוסח משולב], התש"ל – 1970</w:t>
            </w:r>
            <w:r>
              <w:rPr>
                <w:rStyle w:val="a5"/>
                <w:rFonts w:cs="David"/>
                <w:sz w:val="26"/>
                <w:szCs w:val="26"/>
                <w:rtl/>
              </w:rPr>
              <w:footnoteReference w:id="23"/>
            </w:r>
            <w:r>
              <w:rPr>
                <w:rFonts w:cs="David"/>
                <w:sz w:val="26"/>
                <w:szCs w:val="26"/>
                <w:rtl/>
              </w:rPr>
              <w:t xml:space="preserve">, בסעיף 1, בהגדרה "שוטר", במקום האמור בה יבוא "כהגדרתו </w:t>
            </w:r>
            <w:r>
              <w:rPr>
                <w:rFonts w:cs="David"/>
                <w:sz w:val="26"/>
                <w:szCs w:val="26"/>
                <w:rtl/>
              </w:rPr>
              <w:t>בפקודת המשטרה [נוסח חדש], התשל"א - 1971".</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המשטרה (נכים ונספים)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51" w:author="User" w:date="2005-04-17T16:33:00Z" w:original="%1:128: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jc w:val="both"/>
              <w:rPr>
                <w:rFonts w:cs="David"/>
                <w:sz w:val="26"/>
                <w:szCs w:val="26"/>
              </w:rPr>
            </w:pPr>
            <w:r>
              <w:rPr>
                <w:rFonts w:cs="David"/>
                <w:sz w:val="26"/>
                <w:szCs w:val="26"/>
                <w:rtl/>
              </w:rPr>
              <w:t>בחוק המשטרה (נכים ונספים), התשמ"א – 1981</w:t>
            </w:r>
            <w:r>
              <w:rPr>
                <w:rStyle w:val="a5"/>
                <w:rFonts w:cs="David"/>
                <w:sz w:val="26"/>
                <w:szCs w:val="26"/>
                <w:rtl/>
              </w:rPr>
              <w:footnoteReference w:id="24"/>
            </w:r>
            <w:r>
              <w:rPr>
                <w:rFonts w:cs="David"/>
                <w:sz w:val="26"/>
                <w:szCs w:val="26"/>
                <w:rtl/>
              </w:rPr>
              <w:t>, בסעיף 1, בהגדרה "שוטר" בסופה יבוא "ולמעט עובד שאינו שוטר כהגדרתו בחוק המשטרה (דין משמעתי, בירור קבילות שוטרי</w:t>
            </w:r>
            <w:r>
              <w:rPr>
                <w:rFonts w:cs="David"/>
                <w:sz w:val="26"/>
                <w:szCs w:val="26"/>
                <w:rtl/>
              </w:rPr>
              <w:t>ם, עובדים שאינם שוטרים והוראות שונות), התשס"ה – 2005".</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חוק המרשם הפלילי ותקנת השבים</w:t>
            </w:r>
          </w:p>
        </w:tc>
        <w:tc>
          <w:tcPr>
            <w:tcW w:w="900" w:type="dxa"/>
            <w:tcBorders>
              <w:top w:val="nil"/>
              <w:left w:val="nil"/>
              <w:bottom w:val="nil"/>
              <w:right w:val="nil"/>
            </w:tcBorders>
          </w:tcPr>
          <w:p w:rsidR="00000000" w:rsidRDefault="00AF1222">
            <w:pPr>
              <w:numPr>
                <w:ilvl w:val="0"/>
                <w:numId w:val="5"/>
                <w:numberingChange w:id="152" w:author="User" w:date="2005-04-17T16:33:00Z" w:original="%1:129:0:."/>
              </w:numPr>
              <w:bidi/>
              <w:ind w:right="720"/>
              <w:jc w:val="both"/>
              <w:rPr>
                <w:rFonts w:cs="David"/>
                <w:sz w:val="26"/>
                <w:szCs w:val="26"/>
              </w:rPr>
            </w:pPr>
          </w:p>
        </w:tc>
        <w:tc>
          <w:tcPr>
            <w:tcW w:w="6300" w:type="dxa"/>
            <w:gridSpan w:val="2"/>
            <w:tcBorders>
              <w:top w:val="nil"/>
              <w:left w:val="nil"/>
              <w:bottom w:val="nil"/>
              <w:right w:val="nil"/>
            </w:tcBorders>
          </w:tcPr>
          <w:p w:rsidR="00000000" w:rsidRDefault="00AF1222">
            <w:pPr>
              <w:bidi/>
              <w:ind w:left="360"/>
              <w:jc w:val="both"/>
              <w:rPr>
                <w:rFonts w:cs="David"/>
                <w:sz w:val="26"/>
                <w:szCs w:val="26"/>
              </w:rPr>
            </w:pPr>
            <w:r>
              <w:rPr>
                <w:rFonts w:cs="David"/>
                <w:sz w:val="26"/>
                <w:szCs w:val="26"/>
                <w:rtl/>
              </w:rPr>
              <w:t>בחוק המרשם הפלילי ותקנת השבים, התשמ"א - 1981</w:t>
            </w:r>
            <w:r>
              <w:rPr>
                <w:rStyle w:val="a5"/>
                <w:rFonts w:cs="David"/>
                <w:sz w:val="26"/>
                <w:szCs w:val="26"/>
                <w:rtl/>
              </w:rPr>
              <w:footnoteReference w:id="25"/>
            </w:r>
            <w:r>
              <w:rPr>
                <w:rFonts w:cs="David"/>
                <w:sz w:val="26"/>
                <w:szCs w:val="26"/>
                <w:rtl/>
              </w:rPr>
              <w:t xml:space="preserve"> - </w:t>
            </w:r>
          </w:p>
          <w:p w:rsidR="00000000" w:rsidRDefault="00AF1222">
            <w:pPr>
              <w:bidi/>
              <w:ind w:left="360"/>
              <w:jc w:val="both"/>
              <w:rPr>
                <w:rFonts w:cs="David"/>
                <w:sz w:val="26"/>
                <w:szCs w:val="26"/>
                <w:rtl/>
              </w:rPr>
            </w:pPr>
          </w:p>
          <w:p w:rsidR="00000000" w:rsidRDefault="00AF1222">
            <w:pPr>
              <w:numPr>
                <w:ilvl w:val="0"/>
                <w:numId w:val="40"/>
              </w:numPr>
              <w:bidi/>
              <w:ind w:right="750"/>
              <w:jc w:val="both"/>
              <w:rPr>
                <w:rFonts w:cs="David"/>
                <w:sz w:val="26"/>
                <w:szCs w:val="26"/>
                <w:rtl/>
              </w:rPr>
            </w:pPr>
            <w:r>
              <w:rPr>
                <w:rFonts w:cs="David"/>
                <w:sz w:val="26"/>
                <w:szCs w:val="26"/>
                <w:rtl/>
              </w:rPr>
              <w:t xml:space="preserve">בסעיף 2(5), במקום "פקודת המשטרה [נוסח חדש], התשל"א – 1971" יבוא "חוק המשטרה (דין </w:t>
            </w:r>
            <w:r>
              <w:rPr>
                <w:rFonts w:cs="David"/>
                <w:sz w:val="26"/>
                <w:szCs w:val="26"/>
                <w:rtl/>
              </w:rPr>
              <w:t>משמעתי, בירור קבילות שוטרים, עובדים שאינם שוטרים והוראות שונות), התשס"ה - 2005";</w:t>
            </w:r>
          </w:p>
          <w:p w:rsidR="00000000" w:rsidRDefault="00AF1222">
            <w:pPr>
              <w:bidi/>
              <w:ind w:left="360"/>
              <w:jc w:val="both"/>
              <w:rPr>
                <w:rFonts w:cs="David"/>
                <w:sz w:val="26"/>
                <w:szCs w:val="26"/>
                <w:rtl/>
              </w:rPr>
            </w:pPr>
          </w:p>
          <w:p w:rsidR="00000000" w:rsidRDefault="00AF1222">
            <w:pPr>
              <w:numPr>
                <w:ilvl w:val="0"/>
                <w:numId w:val="40"/>
              </w:numPr>
              <w:bidi/>
              <w:ind w:right="750"/>
              <w:jc w:val="both"/>
              <w:rPr>
                <w:rFonts w:cs="David"/>
                <w:sz w:val="26"/>
                <w:szCs w:val="26"/>
                <w:rtl/>
              </w:rPr>
            </w:pPr>
            <w:r>
              <w:rPr>
                <w:rFonts w:cs="David"/>
                <w:sz w:val="26"/>
                <w:szCs w:val="26"/>
                <w:rtl/>
              </w:rPr>
              <w:t>בתוספת הראשונה בפרט יג, במקום "פקודת המשטרה [נוסח חדש], התשל"א-1971" יבוא "חוק המשטרה (דין משמעתי, בירור קבילות שוטרים, עובדים שאינם שוטרים והוראות שונות), התשס"ה – 2005</w:t>
            </w:r>
            <w:r>
              <w:rPr>
                <w:rFonts w:cs="David"/>
                <w:sz w:val="26"/>
                <w:szCs w:val="26"/>
                <w:rtl/>
              </w:rPr>
              <w:t>".</w:t>
            </w:r>
          </w:p>
          <w:p w:rsidR="00000000" w:rsidRDefault="00AF1222">
            <w:pPr>
              <w:bidi/>
              <w:jc w:val="both"/>
              <w:rPr>
                <w:rFonts w:cs="David"/>
                <w:b/>
                <w:bCs/>
                <w:sz w:val="26"/>
                <w:szCs w:val="26"/>
                <w:u w:val="single"/>
              </w:rPr>
            </w:pPr>
          </w:p>
        </w:tc>
      </w:tr>
    </w:tbl>
    <w:p w:rsidR="00000000" w:rsidRDefault="00AF1222">
      <w:pPr>
        <w:bidi/>
        <w:jc w:val="both"/>
        <w:rPr>
          <w:rFonts w:cs="David"/>
          <w:rtl/>
        </w:rPr>
      </w:pPr>
      <w:r>
        <w:rPr>
          <w:rFonts w:cs="David"/>
        </w:rPr>
        <w:br w:type="page"/>
      </w:r>
    </w:p>
    <w:tbl>
      <w:tblPr>
        <w:tblW w:w="8537" w:type="dxa"/>
        <w:jc w:val="right"/>
        <w:tblLayout w:type="fixed"/>
        <w:tblLook w:val="0000" w:firstRow="0" w:lastRow="0" w:firstColumn="0" w:lastColumn="0" w:noHBand="0" w:noVBand="0"/>
      </w:tblPr>
      <w:tblGrid>
        <w:gridCol w:w="1337"/>
        <w:gridCol w:w="900"/>
        <w:gridCol w:w="6300"/>
      </w:tblGrid>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זכויות מבצעים ומשדרים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53" w:author="User" w:date="2005-04-17T16:33:00Z" w:original="%1:130:0:."/>
              </w:numPr>
              <w:bidi/>
              <w:ind w:right="720"/>
              <w:jc w:val="both"/>
              <w:rPr>
                <w:rFonts w:cs="David"/>
                <w:sz w:val="26"/>
                <w:szCs w:val="26"/>
              </w:rPr>
            </w:pPr>
          </w:p>
        </w:tc>
        <w:tc>
          <w:tcPr>
            <w:tcW w:w="630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בחוק זכויות מבצעים ומשדרים, התשמ"ד - 1984</w:t>
            </w:r>
            <w:r>
              <w:rPr>
                <w:rStyle w:val="a5"/>
                <w:rFonts w:cs="David"/>
                <w:sz w:val="26"/>
                <w:szCs w:val="26"/>
                <w:rtl/>
              </w:rPr>
              <w:footnoteReference w:id="26"/>
            </w:r>
            <w:r>
              <w:rPr>
                <w:rFonts w:cs="David"/>
                <w:sz w:val="26"/>
                <w:szCs w:val="26"/>
                <w:rtl/>
              </w:rPr>
              <w:t>, בסעיף 12(א), בפסקה (1), בסופה יבוא "או עובד שאינו שוטר כהגדרתו בחוק המשטרה (דין משמעתי, בירור קבילות שוטרים, עובדים שאינם שוטרים והוראות שונות</w:t>
            </w:r>
            <w:r>
              <w:rPr>
                <w:rFonts w:cs="David"/>
                <w:sz w:val="26"/>
                <w:szCs w:val="26"/>
                <w:rtl/>
              </w:rPr>
              <w:t>), התשס"ה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חוק חופש המידע</w:t>
            </w:r>
          </w:p>
        </w:tc>
        <w:tc>
          <w:tcPr>
            <w:tcW w:w="900" w:type="dxa"/>
            <w:tcBorders>
              <w:top w:val="nil"/>
              <w:left w:val="nil"/>
              <w:bottom w:val="nil"/>
              <w:right w:val="nil"/>
            </w:tcBorders>
          </w:tcPr>
          <w:p w:rsidR="00000000" w:rsidRDefault="00AF1222">
            <w:pPr>
              <w:numPr>
                <w:ilvl w:val="0"/>
                <w:numId w:val="5"/>
                <w:numberingChange w:id="154" w:author="User" w:date="2005-04-17T16:33:00Z" w:original="%1:131:0:."/>
              </w:numPr>
              <w:bidi/>
              <w:ind w:right="720"/>
              <w:jc w:val="both"/>
              <w:rPr>
                <w:rFonts w:cs="David"/>
                <w:sz w:val="26"/>
                <w:szCs w:val="26"/>
              </w:rPr>
            </w:pPr>
          </w:p>
        </w:tc>
        <w:tc>
          <w:tcPr>
            <w:tcW w:w="630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בחוק חופש המידע, התשנ"ח – 1998</w:t>
            </w:r>
            <w:r>
              <w:rPr>
                <w:rStyle w:val="a5"/>
                <w:rFonts w:cs="David"/>
                <w:sz w:val="26"/>
                <w:szCs w:val="26"/>
                <w:rtl/>
              </w:rPr>
              <w:footnoteReference w:id="27"/>
            </w:r>
            <w:r>
              <w:rPr>
                <w:rFonts w:cs="David"/>
                <w:sz w:val="26"/>
                <w:szCs w:val="26"/>
                <w:rtl/>
              </w:rPr>
              <w:t>, בסעיף 9(ב)(9), בהגדרה "עובד", אחרי "שוטר" יבוא "עובד שאינו שוטר כהגדרתו בחוק המשטרה (דין משמעתי, בירור קבילות שוטרים, עובדים שאינם שוטרים והוראות שונות</w:t>
            </w:r>
            <w:r>
              <w:rPr>
                <w:rFonts w:cs="David"/>
                <w:sz w:val="26"/>
                <w:szCs w:val="26"/>
                <w:rtl/>
              </w:rPr>
              <w:t>), התשס"ה – 2005".</w:t>
            </w:r>
          </w:p>
          <w:p w:rsidR="00000000" w:rsidRDefault="00AF1222">
            <w:pPr>
              <w:bidi/>
              <w:jc w:val="both"/>
              <w:rPr>
                <w:rFonts w:cs="David"/>
                <w:b/>
                <w:bCs/>
                <w:sz w:val="26"/>
                <w:szCs w:val="26"/>
                <w:u w:val="single"/>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תיקון חוק שירות ביטחון</w:t>
            </w:r>
          </w:p>
        </w:tc>
        <w:tc>
          <w:tcPr>
            <w:tcW w:w="900" w:type="dxa"/>
            <w:tcBorders>
              <w:top w:val="nil"/>
              <w:left w:val="nil"/>
              <w:bottom w:val="nil"/>
              <w:right w:val="nil"/>
            </w:tcBorders>
          </w:tcPr>
          <w:p w:rsidR="00000000" w:rsidRDefault="00AF1222">
            <w:pPr>
              <w:numPr>
                <w:ilvl w:val="0"/>
                <w:numId w:val="5"/>
                <w:numberingChange w:id="155" w:author="User" w:date="2005-04-17T16:33:00Z" w:original="%1:132:0:."/>
              </w:numPr>
              <w:bidi/>
              <w:ind w:right="720"/>
              <w:jc w:val="both"/>
              <w:rPr>
                <w:rFonts w:cs="David"/>
                <w:sz w:val="26"/>
                <w:szCs w:val="26"/>
              </w:rPr>
            </w:pPr>
          </w:p>
        </w:tc>
        <w:tc>
          <w:tcPr>
            <w:tcW w:w="6300" w:type="dxa"/>
            <w:tcBorders>
              <w:top w:val="nil"/>
              <w:left w:val="nil"/>
              <w:bottom w:val="nil"/>
              <w:right w:val="nil"/>
            </w:tcBorders>
          </w:tcPr>
          <w:p w:rsidR="00000000" w:rsidRDefault="00AF1222">
            <w:pPr>
              <w:bidi/>
              <w:jc w:val="both"/>
              <w:rPr>
                <w:rFonts w:cs="David"/>
                <w:sz w:val="26"/>
                <w:szCs w:val="26"/>
              </w:rPr>
            </w:pPr>
            <w:r>
              <w:rPr>
                <w:rFonts w:cs="David"/>
                <w:sz w:val="26"/>
                <w:szCs w:val="26"/>
                <w:rtl/>
              </w:rPr>
              <w:t>בחוק שירות ביטחון (שירות מילואים במשמר הגבול- הוראת שעה), התשס"ב - 2001</w:t>
            </w:r>
            <w:r>
              <w:rPr>
                <w:rStyle w:val="a5"/>
                <w:rFonts w:cs="David"/>
                <w:sz w:val="26"/>
                <w:szCs w:val="26"/>
                <w:rtl/>
              </w:rPr>
              <w:footnoteReference w:id="28"/>
            </w:r>
            <w:r>
              <w:rPr>
                <w:rFonts w:cs="David"/>
                <w:sz w:val="26"/>
                <w:szCs w:val="26"/>
                <w:rtl/>
              </w:rPr>
              <w:t>, בסעיף 1 –</w:t>
            </w:r>
          </w:p>
          <w:p w:rsidR="00000000" w:rsidRDefault="00AF1222">
            <w:pPr>
              <w:bidi/>
              <w:jc w:val="both"/>
              <w:rPr>
                <w:rFonts w:cs="David"/>
                <w:sz w:val="26"/>
                <w:szCs w:val="26"/>
                <w:rtl/>
              </w:rPr>
            </w:pPr>
          </w:p>
          <w:p w:rsidR="00000000" w:rsidRDefault="00AF1222">
            <w:pPr>
              <w:numPr>
                <w:ilvl w:val="0"/>
                <w:numId w:val="41"/>
              </w:numPr>
              <w:bidi/>
              <w:ind w:right="1080"/>
              <w:jc w:val="both"/>
              <w:rPr>
                <w:rFonts w:cs="David"/>
                <w:sz w:val="26"/>
                <w:szCs w:val="26"/>
                <w:rtl/>
              </w:rPr>
            </w:pPr>
            <w:r>
              <w:rPr>
                <w:rFonts w:cs="David"/>
                <w:sz w:val="26"/>
                <w:szCs w:val="26"/>
                <w:rtl/>
              </w:rPr>
              <w:t>בסעיף 33ב(ג) לחוק שירות בטחון המובא בו, במקום "פרק חמישי לפקודת המשטרה, התשל"א – 1971 (להלן-פקו</w:t>
            </w:r>
            <w:r>
              <w:rPr>
                <w:rFonts w:cs="David"/>
                <w:sz w:val="26"/>
                <w:szCs w:val="26"/>
                <w:rtl/>
              </w:rPr>
              <w:t>דת המשטרה)" יבוא "פרק ב' לחוק המשטרה (דין משמעתי, בירור קבילות שוטרים, עובדים שאינם שוטרים והוראות שונות), התשס"ה – 2005, וכן לענין סעיפים 77ח1 עד 77ח25 לפקודת המשטרה, התשל"א-1971 (להלן – פקודת המשטרה)";</w:t>
            </w:r>
          </w:p>
          <w:p w:rsidR="00000000" w:rsidRDefault="00AF1222">
            <w:pPr>
              <w:bidi/>
              <w:ind w:left="360"/>
              <w:jc w:val="both"/>
              <w:rPr>
                <w:rFonts w:cs="David"/>
                <w:sz w:val="26"/>
                <w:szCs w:val="26"/>
                <w:rtl/>
              </w:rPr>
            </w:pPr>
          </w:p>
          <w:p w:rsidR="00000000" w:rsidRDefault="00AF1222">
            <w:pPr>
              <w:numPr>
                <w:ilvl w:val="0"/>
                <w:numId w:val="41"/>
              </w:numPr>
              <w:bidi/>
              <w:ind w:right="1080"/>
              <w:jc w:val="both"/>
              <w:rPr>
                <w:rFonts w:cs="David"/>
                <w:sz w:val="26"/>
                <w:szCs w:val="26"/>
                <w:rtl/>
              </w:rPr>
            </w:pPr>
            <w:r>
              <w:rPr>
                <w:rFonts w:cs="David"/>
                <w:sz w:val="26"/>
                <w:szCs w:val="26"/>
                <w:rtl/>
              </w:rPr>
              <w:t>בסעיף 33ג(ב) לחוק שירות בטחון המובא בו, אחרי "ל</w:t>
            </w:r>
            <w:r>
              <w:rPr>
                <w:rFonts w:cs="David"/>
                <w:sz w:val="26"/>
                <w:szCs w:val="26"/>
                <w:rtl/>
              </w:rPr>
              <w:t>רבות כללי המשמעת" יבוא "וכן בכל הנוגע להוראות פרק ג' לחוק המשטרה (דין משמעתי, בירור קבילות שוטרים, עובדים שאינם שוטרים והוראות שונות), התשס"ה –2005(בסעיף זה – חוק המשטרה).</w:t>
            </w:r>
          </w:p>
          <w:p w:rsidR="00000000" w:rsidRDefault="00AF1222">
            <w:pPr>
              <w:bidi/>
              <w:jc w:val="both"/>
              <w:rPr>
                <w:rFonts w:cs="David"/>
                <w:sz w:val="26"/>
                <w:szCs w:val="26"/>
              </w:rPr>
            </w:pPr>
          </w:p>
        </w:tc>
      </w:tr>
      <w:tr w:rsidR="00000000">
        <w:trPr>
          <w:jc w:val="right"/>
        </w:trPr>
        <w:tc>
          <w:tcPr>
            <w:tcW w:w="1337" w:type="dxa"/>
            <w:tcBorders>
              <w:top w:val="nil"/>
              <w:left w:val="nil"/>
              <w:bottom w:val="nil"/>
              <w:right w:val="nil"/>
            </w:tcBorders>
          </w:tcPr>
          <w:p w:rsidR="00000000" w:rsidRDefault="00AF1222">
            <w:pPr>
              <w:bidi/>
              <w:jc w:val="both"/>
              <w:rPr>
                <w:rFonts w:cs="David"/>
                <w:b/>
                <w:bCs/>
                <w:sz w:val="26"/>
                <w:szCs w:val="26"/>
              </w:rPr>
            </w:pPr>
            <w:r>
              <w:rPr>
                <w:rFonts w:cs="David"/>
                <w:b/>
                <w:bCs/>
                <w:sz w:val="26"/>
                <w:szCs w:val="26"/>
                <w:rtl/>
              </w:rPr>
              <w:t>תיקון חוק סדר הדין הפלילי (חקירת חשודים)</w:t>
            </w:r>
          </w:p>
          <w:p w:rsidR="00000000" w:rsidRDefault="00AF1222">
            <w:pPr>
              <w:bidi/>
              <w:jc w:val="both"/>
              <w:rPr>
                <w:rFonts w:cs="David"/>
                <w:b/>
                <w:bCs/>
                <w:sz w:val="26"/>
                <w:szCs w:val="26"/>
                <w:u w:val="single"/>
              </w:rPr>
            </w:pPr>
          </w:p>
        </w:tc>
        <w:tc>
          <w:tcPr>
            <w:tcW w:w="900" w:type="dxa"/>
            <w:tcBorders>
              <w:top w:val="nil"/>
              <w:left w:val="nil"/>
              <w:bottom w:val="nil"/>
              <w:right w:val="nil"/>
            </w:tcBorders>
          </w:tcPr>
          <w:p w:rsidR="00000000" w:rsidRDefault="00AF1222">
            <w:pPr>
              <w:numPr>
                <w:ilvl w:val="0"/>
                <w:numId w:val="5"/>
                <w:numberingChange w:id="156" w:author="User" w:date="2005-04-17T16:33:00Z" w:original="%1:133:0:."/>
              </w:numPr>
              <w:bidi/>
              <w:ind w:right="720"/>
              <w:jc w:val="both"/>
              <w:rPr>
                <w:rFonts w:cs="David"/>
                <w:sz w:val="26"/>
                <w:szCs w:val="26"/>
              </w:rPr>
            </w:pPr>
          </w:p>
        </w:tc>
        <w:tc>
          <w:tcPr>
            <w:tcW w:w="6300" w:type="dxa"/>
            <w:tcBorders>
              <w:top w:val="nil"/>
              <w:left w:val="nil"/>
              <w:bottom w:val="nil"/>
              <w:right w:val="nil"/>
            </w:tcBorders>
          </w:tcPr>
          <w:p w:rsidR="00000000" w:rsidRDefault="00AF1222">
            <w:pPr>
              <w:bidi/>
              <w:ind w:left="360"/>
              <w:jc w:val="both"/>
              <w:rPr>
                <w:rFonts w:cs="David"/>
                <w:sz w:val="26"/>
                <w:szCs w:val="26"/>
              </w:rPr>
            </w:pPr>
            <w:r>
              <w:rPr>
                <w:rFonts w:cs="David"/>
                <w:sz w:val="26"/>
                <w:szCs w:val="26"/>
                <w:rtl/>
              </w:rPr>
              <w:t>בחוק סדר הדין הפלילי (חקירת חשודים</w:t>
            </w:r>
            <w:r>
              <w:rPr>
                <w:rFonts w:cs="David"/>
                <w:sz w:val="26"/>
                <w:szCs w:val="26"/>
                <w:rtl/>
              </w:rPr>
              <w:t>), התשס"ב-2002</w:t>
            </w:r>
            <w:r>
              <w:rPr>
                <w:rStyle w:val="a5"/>
                <w:rFonts w:cs="David"/>
                <w:sz w:val="26"/>
                <w:szCs w:val="26"/>
                <w:rtl/>
              </w:rPr>
              <w:footnoteReference w:id="29"/>
            </w:r>
            <w:r>
              <w:rPr>
                <w:rFonts w:cs="David"/>
                <w:sz w:val="26"/>
                <w:szCs w:val="26"/>
                <w:rtl/>
              </w:rPr>
              <w:t>, בסעיף 5(א) (3), במקום "כמשמעותה בפקודת המשטרה [נוסח חדש], התשל"א – 1971", יבוא "כהגדרתה בחוק המשטרה (דין משמעתי, בירור קבילות שוטרים, עובדים שאינם שוטרים והוראות שונות), התשס"ה – 2005".</w:t>
            </w:r>
          </w:p>
          <w:p w:rsidR="00000000" w:rsidRDefault="00AF1222">
            <w:pPr>
              <w:bidi/>
              <w:jc w:val="both"/>
              <w:rPr>
                <w:rFonts w:cs="David"/>
                <w:szCs w:val="26"/>
              </w:rPr>
            </w:pPr>
          </w:p>
        </w:tc>
      </w:tr>
      <w:tr w:rsidR="00000000">
        <w:trPr>
          <w:trHeight w:val="600"/>
          <w:jc w:val="right"/>
        </w:trPr>
        <w:tc>
          <w:tcPr>
            <w:tcW w:w="1337" w:type="dxa"/>
            <w:tcBorders>
              <w:top w:val="nil"/>
              <w:left w:val="nil"/>
              <w:bottom w:val="nil"/>
              <w:right w:val="nil"/>
            </w:tcBorders>
          </w:tcPr>
          <w:p w:rsidR="00000000" w:rsidRDefault="00AF1222">
            <w:pPr>
              <w:bidi/>
              <w:jc w:val="both"/>
              <w:rPr>
                <w:rFonts w:cs="David"/>
                <w:b/>
                <w:bCs/>
                <w:sz w:val="26"/>
                <w:szCs w:val="26"/>
                <w:u w:val="single"/>
              </w:rPr>
            </w:pPr>
            <w:r>
              <w:rPr>
                <w:rFonts w:cs="David"/>
                <w:b/>
                <w:bCs/>
                <w:sz w:val="26"/>
                <w:szCs w:val="26"/>
                <w:rtl/>
              </w:rPr>
              <w:t>תחילה</w:t>
            </w:r>
          </w:p>
        </w:tc>
        <w:tc>
          <w:tcPr>
            <w:tcW w:w="900" w:type="dxa"/>
            <w:tcBorders>
              <w:top w:val="nil"/>
              <w:left w:val="nil"/>
              <w:bottom w:val="nil"/>
              <w:right w:val="nil"/>
            </w:tcBorders>
          </w:tcPr>
          <w:p w:rsidR="00000000" w:rsidRDefault="00AF1222">
            <w:pPr>
              <w:numPr>
                <w:ilvl w:val="0"/>
                <w:numId w:val="5"/>
                <w:numberingChange w:id="157" w:author="User" w:date="2005-04-17T16:33:00Z" w:original="%1:134:0:."/>
              </w:numPr>
              <w:bidi/>
              <w:ind w:right="720"/>
              <w:jc w:val="both"/>
              <w:rPr>
                <w:rFonts w:cs="David"/>
                <w:sz w:val="26"/>
                <w:szCs w:val="26"/>
              </w:rPr>
            </w:pPr>
          </w:p>
        </w:tc>
        <w:tc>
          <w:tcPr>
            <w:tcW w:w="6300" w:type="dxa"/>
            <w:tcBorders>
              <w:top w:val="nil"/>
              <w:left w:val="nil"/>
              <w:bottom w:val="nil"/>
              <w:right w:val="nil"/>
            </w:tcBorders>
          </w:tcPr>
          <w:p w:rsidR="00000000" w:rsidRDefault="00AF1222">
            <w:pPr>
              <w:bidi/>
              <w:jc w:val="both"/>
              <w:rPr>
                <w:rFonts w:cs="David"/>
                <w:b/>
                <w:bCs/>
                <w:sz w:val="26"/>
                <w:szCs w:val="26"/>
                <w:u w:val="single"/>
              </w:rPr>
            </w:pPr>
            <w:r>
              <w:rPr>
                <w:rFonts w:cs="David"/>
                <w:sz w:val="26"/>
                <w:szCs w:val="26"/>
                <w:rtl/>
              </w:rPr>
              <w:t>תחילתו של חוק זה</w:t>
            </w:r>
            <w:r>
              <w:rPr>
                <w:rFonts w:cs="David"/>
                <w:sz w:val="26"/>
                <w:szCs w:val="26"/>
                <w:rtl/>
              </w:rPr>
              <w:t>, שלושה חודשים מיום פרסומו.</w:t>
            </w:r>
          </w:p>
          <w:p w:rsidR="00000000" w:rsidRDefault="00AF1222">
            <w:pPr>
              <w:bidi/>
              <w:jc w:val="both"/>
              <w:rPr>
                <w:rFonts w:cs="David"/>
              </w:rPr>
            </w:pPr>
          </w:p>
        </w:tc>
      </w:tr>
    </w:tbl>
    <w:p w:rsidR="00000000" w:rsidRDefault="00AF1222">
      <w:pPr>
        <w:bidi/>
        <w:jc w:val="both"/>
        <w:rPr>
          <w:rFonts w:cs="David"/>
          <w:i/>
          <w:iCs/>
          <w:sz w:val="32"/>
          <w:szCs w:val="32"/>
          <w:rtl/>
        </w:rPr>
      </w:pPr>
    </w:p>
    <w:p w:rsidR="00000000" w:rsidRDefault="00AF1222">
      <w:pPr>
        <w:bidi/>
        <w:jc w:val="both"/>
        <w:rPr>
          <w:rFonts w:cs="David"/>
          <w:rtl/>
        </w:rPr>
      </w:pPr>
    </w:p>
    <w:p w:rsidR="00000000" w:rsidRDefault="00AF1222">
      <w:pPr>
        <w:bidi/>
        <w:jc w:val="both"/>
        <w:rPr>
          <w:rFonts w:cs="David"/>
          <w:rtl/>
        </w:rPr>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1222">
      <w:r>
        <w:separator/>
      </w:r>
    </w:p>
  </w:endnote>
  <w:endnote w:type="continuationSeparator" w:id="0">
    <w:p w:rsidR="00000000" w:rsidRDefault="00AF1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Unicode MS">
    <w:altName w:val="Tahoma"/>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1222">
      <w:r>
        <w:separator/>
      </w:r>
    </w:p>
  </w:footnote>
  <w:footnote w:type="continuationSeparator" w:id="0">
    <w:p w:rsidR="00000000" w:rsidRDefault="00AF1222">
      <w:r>
        <w:continuationSeparator/>
      </w:r>
    </w:p>
  </w:footnote>
  <w:footnote w:id="1">
    <w:p w:rsidR="00000000" w:rsidRDefault="00AF1222">
      <w:pPr>
        <w:pStyle w:val="a6"/>
        <w:jc w:val="right"/>
      </w:pPr>
      <w:r>
        <w:rPr>
          <w:rStyle w:val="a5"/>
          <w:sz w:val="22"/>
          <w:szCs w:val="22"/>
        </w:rPr>
        <w:footnoteRef/>
      </w:r>
      <w:r>
        <w:rPr>
          <w:rFonts w:cs="David"/>
          <w:sz w:val="22"/>
          <w:szCs w:val="22"/>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התשמ</w:t>
      </w:r>
      <w:r>
        <w:rPr>
          <w:rFonts w:cs="David"/>
          <w:sz w:val="22"/>
          <w:szCs w:val="22"/>
          <w:rtl/>
        </w:rPr>
        <w:t>"</w:t>
      </w:r>
      <w:r>
        <w:rPr>
          <w:rFonts w:cs="David" w:hint="eastAsia"/>
          <w:sz w:val="22"/>
          <w:szCs w:val="22"/>
          <w:rtl/>
        </w:rPr>
        <w:t>ו</w:t>
      </w:r>
      <w:r>
        <w:rPr>
          <w:rFonts w:cs="David"/>
          <w:sz w:val="22"/>
          <w:szCs w:val="22"/>
          <w:rtl/>
        </w:rPr>
        <w:t xml:space="preserve">, </w:t>
      </w:r>
      <w:r>
        <w:rPr>
          <w:rFonts w:cs="David" w:hint="eastAsia"/>
          <w:sz w:val="22"/>
          <w:szCs w:val="22"/>
          <w:rtl/>
        </w:rPr>
        <w:t>עמ</w:t>
      </w:r>
      <w:r>
        <w:rPr>
          <w:rFonts w:cs="David"/>
          <w:sz w:val="22"/>
          <w:szCs w:val="22"/>
          <w:rtl/>
        </w:rPr>
        <w:t>' 105.</w:t>
      </w:r>
    </w:p>
  </w:footnote>
  <w:footnote w:id="2">
    <w:p w:rsidR="00000000" w:rsidRDefault="00AF1222">
      <w:pPr>
        <w:pStyle w:val="a6"/>
        <w:jc w:val="right"/>
      </w:pPr>
      <w:r>
        <w:rPr>
          <w:rStyle w:val="a5"/>
          <w:sz w:val="22"/>
          <w:szCs w:val="22"/>
        </w:rPr>
        <w:footnoteRef/>
      </w:r>
      <w:r>
        <w:rPr>
          <w:rFonts w:cs="David"/>
          <w:sz w:val="22"/>
          <w:szCs w:val="22"/>
        </w:rPr>
        <w:t xml:space="preserve"> </w:t>
      </w:r>
      <w:r>
        <w:rPr>
          <w:rFonts w:cs="David" w:hint="eastAsia"/>
          <w:sz w:val="22"/>
          <w:szCs w:val="22"/>
          <w:rtl/>
        </w:rPr>
        <w:t>דיני</w:t>
      </w:r>
      <w:r>
        <w:rPr>
          <w:rFonts w:cs="David"/>
          <w:sz w:val="22"/>
          <w:szCs w:val="22"/>
          <w:rtl/>
        </w:rPr>
        <w:t xml:space="preserve"> </w:t>
      </w:r>
      <w:r>
        <w:rPr>
          <w:rFonts w:cs="David" w:hint="eastAsia"/>
          <w:sz w:val="22"/>
          <w:szCs w:val="22"/>
          <w:rtl/>
        </w:rPr>
        <w:t>מדינת</w:t>
      </w:r>
      <w:r>
        <w:rPr>
          <w:rFonts w:cs="David"/>
          <w:sz w:val="22"/>
          <w:szCs w:val="22"/>
          <w:rtl/>
        </w:rPr>
        <w:t xml:space="preserve"> </w:t>
      </w:r>
      <w:r>
        <w:rPr>
          <w:rFonts w:cs="David" w:hint="eastAsia"/>
          <w:sz w:val="22"/>
          <w:szCs w:val="22"/>
          <w:rtl/>
        </w:rPr>
        <w:t>ישראל</w:t>
      </w:r>
      <w:r>
        <w:rPr>
          <w:rFonts w:cs="David"/>
          <w:sz w:val="22"/>
          <w:szCs w:val="22"/>
          <w:rtl/>
        </w:rPr>
        <w:t xml:space="preserve">, </w:t>
      </w:r>
      <w:r>
        <w:rPr>
          <w:rFonts w:cs="David" w:hint="eastAsia"/>
          <w:sz w:val="22"/>
          <w:szCs w:val="22"/>
          <w:rtl/>
        </w:rPr>
        <w:t>נוסח</w:t>
      </w:r>
      <w:r>
        <w:rPr>
          <w:rFonts w:cs="David"/>
          <w:sz w:val="22"/>
          <w:szCs w:val="22"/>
          <w:rtl/>
        </w:rPr>
        <w:t xml:space="preserve"> </w:t>
      </w:r>
      <w:r>
        <w:rPr>
          <w:rFonts w:cs="David" w:hint="eastAsia"/>
          <w:sz w:val="22"/>
          <w:szCs w:val="22"/>
          <w:rtl/>
        </w:rPr>
        <w:t>חדש</w:t>
      </w:r>
      <w:r>
        <w:rPr>
          <w:rFonts w:cs="David"/>
          <w:sz w:val="22"/>
          <w:szCs w:val="22"/>
          <w:rtl/>
        </w:rPr>
        <w:t xml:space="preserve"> 17, </w:t>
      </w:r>
      <w:r>
        <w:rPr>
          <w:rFonts w:cs="David" w:hint="eastAsia"/>
          <w:sz w:val="22"/>
          <w:szCs w:val="22"/>
          <w:rtl/>
        </w:rPr>
        <w:t>עמ</w:t>
      </w:r>
      <w:r>
        <w:rPr>
          <w:rFonts w:cs="David"/>
          <w:sz w:val="22"/>
          <w:szCs w:val="22"/>
          <w:rtl/>
        </w:rPr>
        <w:t xml:space="preserve">' 390. </w:t>
      </w:r>
    </w:p>
  </w:footnote>
  <w:footnote w:id="3">
    <w:p w:rsidR="00000000" w:rsidRDefault="00AF1222">
      <w:pPr>
        <w:pStyle w:val="a6"/>
        <w:jc w:val="right"/>
      </w:pPr>
      <w:r>
        <w:rPr>
          <w:rStyle w:val="a5"/>
          <w:rtl/>
        </w:rPr>
        <w:footnoteRef/>
      </w:r>
      <w:r>
        <w:rPr>
          <w:rFonts w:cs="David"/>
          <w:rtl/>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התשל</w:t>
      </w:r>
      <w:r>
        <w:rPr>
          <w:rFonts w:cs="David"/>
          <w:rtl/>
        </w:rPr>
        <w:t>"</w:t>
      </w:r>
      <w:r>
        <w:rPr>
          <w:rFonts w:cs="David" w:hint="eastAsia"/>
          <w:rtl/>
        </w:rPr>
        <w:t>ז</w:t>
      </w:r>
      <w:r>
        <w:rPr>
          <w:rFonts w:cs="David"/>
          <w:rtl/>
        </w:rPr>
        <w:t xml:space="preserve"> </w:t>
      </w:r>
      <w:r>
        <w:rPr>
          <w:rFonts w:cs="David" w:hint="eastAsia"/>
          <w:rtl/>
        </w:rPr>
        <w:t>עמ</w:t>
      </w:r>
      <w:r>
        <w:rPr>
          <w:rFonts w:cs="David"/>
          <w:rtl/>
        </w:rPr>
        <w:t>' 226.</w:t>
      </w:r>
    </w:p>
  </w:footnote>
  <w:footnote w:id="4">
    <w:p w:rsidR="00000000" w:rsidRDefault="00AF1222">
      <w:pPr>
        <w:pStyle w:val="a6"/>
        <w:jc w:val="right"/>
      </w:pPr>
      <w:r>
        <w:rPr>
          <w:rStyle w:val="a5"/>
        </w:rPr>
        <w:footnoteRef/>
      </w:r>
      <w:r>
        <w:rPr>
          <w:rFonts w:cs="David"/>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תשנ</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עמ</w:t>
      </w:r>
      <w:r>
        <w:rPr>
          <w:rFonts w:cs="David"/>
          <w:sz w:val="22"/>
          <w:szCs w:val="22"/>
          <w:rtl/>
        </w:rPr>
        <w:t>' 166</w:t>
      </w:r>
    </w:p>
  </w:footnote>
  <w:footnote w:id="5">
    <w:p w:rsidR="00000000" w:rsidRDefault="00AF1222">
      <w:pPr>
        <w:pStyle w:val="a6"/>
        <w:jc w:val="right"/>
      </w:pPr>
      <w:r>
        <w:rPr>
          <w:rStyle w:val="a5"/>
        </w:rPr>
        <w:footnoteRef/>
      </w:r>
      <w:r>
        <w:rPr>
          <w:rFonts w:cs="David"/>
        </w:rPr>
        <w:t xml:space="preserve"> </w:t>
      </w:r>
      <w:r>
        <w:rPr>
          <w:rFonts w:cs="David"/>
          <w:rtl/>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התשל</w:t>
      </w:r>
      <w:r>
        <w:rPr>
          <w:rFonts w:cs="David"/>
          <w:rtl/>
        </w:rPr>
        <w:t>"</w:t>
      </w:r>
      <w:r>
        <w:rPr>
          <w:rFonts w:cs="David" w:hint="eastAsia"/>
          <w:rtl/>
        </w:rPr>
        <w:t>ז</w:t>
      </w:r>
      <w:r>
        <w:rPr>
          <w:rFonts w:cs="David"/>
          <w:rtl/>
        </w:rPr>
        <w:t xml:space="preserve">, </w:t>
      </w:r>
      <w:r>
        <w:rPr>
          <w:rFonts w:cs="David" w:hint="eastAsia"/>
          <w:rtl/>
        </w:rPr>
        <w:t>עמ</w:t>
      </w:r>
      <w:r>
        <w:rPr>
          <w:rFonts w:cs="David"/>
          <w:rtl/>
        </w:rPr>
        <w:t>' 226.</w:t>
      </w:r>
    </w:p>
  </w:footnote>
  <w:footnote w:id="6">
    <w:p w:rsidR="00000000" w:rsidRDefault="00AF1222">
      <w:pPr>
        <w:pStyle w:val="a6"/>
        <w:jc w:val="right"/>
      </w:pPr>
      <w:r>
        <w:rPr>
          <w:rStyle w:val="a5"/>
          <w:rtl/>
        </w:rPr>
        <w:footnoteRef/>
      </w:r>
      <w:r>
        <w:rPr>
          <w:rFonts w:cs="David"/>
          <w:rtl/>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התשמ</w:t>
      </w:r>
      <w:r>
        <w:rPr>
          <w:rFonts w:cs="David"/>
          <w:rtl/>
        </w:rPr>
        <w:t>"</w:t>
      </w:r>
      <w:r>
        <w:rPr>
          <w:rFonts w:cs="David" w:hint="eastAsia"/>
          <w:rtl/>
        </w:rPr>
        <w:t>ד</w:t>
      </w:r>
      <w:r>
        <w:rPr>
          <w:rFonts w:cs="David"/>
          <w:rtl/>
        </w:rPr>
        <w:t xml:space="preserve">, </w:t>
      </w:r>
      <w:r>
        <w:rPr>
          <w:rFonts w:cs="David" w:hint="eastAsia"/>
          <w:rtl/>
        </w:rPr>
        <w:t>עמ</w:t>
      </w:r>
      <w:r>
        <w:rPr>
          <w:rFonts w:cs="David"/>
          <w:rtl/>
        </w:rPr>
        <w:t>' 198.</w:t>
      </w:r>
    </w:p>
  </w:footnote>
  <w:footnote w:id="7">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התשנ</w:t>
      </w:r>
      <w:r>
        <w:rPr>
          <w:rFonts w:cs="David"/>
          <w:rtl/>
        </w:rPr>
        <w:t>"</w:t>
      </w:r>
      <w:r>
        <w:rPr>
          <w:rFonts w:cs="David" w:hint="eastAsia"/>
          <w:rtl/>
        </w:rPr>
        <w:t>ה</w:t>
      </w:r>
      <w:r>
        <w:rPr>
          <w:rFonts w:cs="David"/>
          <w:rtl/>
        </w:rPr>
        <w:t xml:space="preserve">, </w:t>
      </w:r>
      <w:r>
        <w:rPr>
          <w:rFonts w:cs="David" w:hint="eastAsia"/>
          <w:rtl/>
        </w:rPr>
        <w:t>עמ</w:t>
      </w:r>
      <w:r>
        <w:rPr>
          <w:rFonts w:cs="David"/>
          <w:rtl/>
        </w:rPr>
        <w:t>' 210.</w:t>
      </w:r>
    </w:p>
  </w:footnote>
  <w:footnote w:id="8">
    <w:p w:rsidR="00000000" w:rsidRDefault="00AF1222">
      <w:pPr>
        <w:pStyle w:val="a6"/>
        <w:jc w:val="right"/>
      </w:pPr>
      <w:r>
        <w:rPr>
          <w:rStyle w:val="a5"/>
          <w:rtl/>
        </w:rPr>
        <w:footnoteRef/>
      </w:r>
      <w:r>
        <w:rPr>
          <w:rFonts w:cs="David"/>
          <w:rtl/>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התשי</w:t>
      </w:r>
      <w:r>
        <w:rPr>
          <w:rFonts w:cs="David"/>
          <w:rtl/>
        </w:rPr>
        <w:t>"</w:t>
      </w:r>
      <w:r>
        <w:rPr>
          <w:rFonts w:cs="David" w:hint="eastAsia"/>
          <w:rtl/>
        </w:rPr>
        <w:t>ח</w:t>
      </w:r>
      <w:r>
        <w:rPr>
          <w:rFonts w:cs="David"/>
          <w:rtl/>
        </w:rPr>
        <w:t xml:space="preserve">, </w:t>
      </w:r>
      <w:r>
        <w:rPr>
          <w:rFonts w:cs="David" w:hint="eastAsia"/>
          <w:rtl/>
        </w:rPr>
        <w:t>עמ</w:t>
      </w:r>
      <w:r>
        <w:rPr>
          <w:rFonts w:cs="David"/>
          <w:rtl/>
        </w:rPr>
        <w:t>' 92.</w:t>
      </w:r>
    </w:p>
  </w:footnote>
  <w:footnote w:id="9">
    <w:p w:rsidR="00000000" w:rsidRDefault="00AF1222">
      <w:pPr>
        <w:pStyle w:val="a6"/>
        <w:jc w:val="right"/>
      </w:pPr>
      <w:r>
        <w:rPr>
          <w:rStyle w:val="a5"/>
          <w:sz w:val="22"/>
          <w:szCs w:val="22"/>
        </w:rPr>
        <w:footnoteRef/>
      </w:r>
      <w:r>
        <w:rPr>
          <w:rFonts w:cs="David"/>
          <w:sz w:val="22"/>
          <w:szCs w:val="22"/>
        </w:rPr>
        <w:t xml:space="preserve"> </w:t>
      </w:r>
      <w:r>
        <w:rPr>
          <w:rFonts w:cs="David" w:hint="eastAsia"/>
          <w:sz w:val="22"/>
          <w:szCs w:val="22"/>
          <w:rtl/>
        </w:rPr>
        <w:t>דיני</w:t>
      </w:r>
      <w:r>
        <w:rPr>
          <w:rFonts w:cs="David"/>
          <w:sz w:val="22"/>
          <w:szCs w:val="22"/>
          <w:rtl/>
        </w:rPr>
        <w:t xml:space="preserve"> </w:t>
      </w:r>
      <w:r>
        <w:rPr>
          <w:rFonts w:cs="David" w:hint="eastAsia"/>
          <w:sz w:val="22"/>
          <w:szCs w:val="22"/>
          <w:rtl/>
        </w:rPr>
        <w:t>מדינת</w:t>
      </w:r>
      <w:r>
        <w:rPr>
          <w:rFonts w:cs="David"/>
          <w:sz w:val="22"/>
          <w:szCs w:val="22"/>
          <w:rtl/>
        </w:rPr>
        <w:t xml:space="preserve"> </w:t>
      </w:r>
      <w:r>
        <w:rPr>
          <w:rFonts w:cs="David" w:hint="eastAsia"/>
          <w:sz w:val="22"/>
          <w:szCs w:val="22"/>
          <w:rtl/>
        </w:rPr>
        <w:t>ישראל</w:t>
      </w:r>
      <w:r>
        <w:rPr>
          <w:rFonts w:cs="David"/>
          <w:sz w:val="22"/>
          <w:szCs w:val="22"/>
          <w:rtl/>
        </w:rPr>
        <w:t xml:space="preserve">, </w:t>
      </w:r>
      <w:r>
        <w:rPr>
          <w:rFonts w:cs="David" w:hint="eastAsia"/>
          <w:sz w:val="22"/>
          <w:szCs w:val="22"/>
          <w:rtl/>
        </w:rPr>
        <w:t>נוסח</w:t>
      </w:r>
      <w:r>
        <w:rPr>
          <w:rFonts w:cs="David"/>
          <w:sz w:val="22"/>
          <w:szCs w:val="22"/>
          <w:rtl/>
        </w:rPr>
        <w:t xml:space="preserve"> </w:t>
      </w:r>
      <w:r>
        <w:rPr>
          <w:rFonts w:cs="David" w:hint="eastAsia"/>
          <w:sz w:val="22"/>
          <w:szCs w:val="22"/>
          <w:rtl/>
        </w:rPr>
        <w:t>חדש</w:t>
      </w:r>
      <w:r>
        <w:rPr>
          <w:rFonts w:cs="David"/>
          <w:sz w:val="22"/>
          <w:szCs w:val="22"/>
          <w:rtl/>
        </w:rPr>
        <w:t xml:space="preserve"> 18, </w:t>
      </w:r>
      <w:r>
        <w:rPr>
          <w:rFonts w:cs="David" w:hint="eastAsia"/>
          <w:sz w:val="22"/>
          <w:szCs w:val="22"/>
          <w:rtl/>
        </w:rPr>
        <w:t>עמ</w:t>
      </w:r>
      <w:r>
        <w:rPr>
          <w:rFonts w:cs="David"/>
          <w:sz w:val="22"/>
          <w:szCs w:val="22"/>
          <w:rtl/>
        </w:rPr>
        <w:t>' 421.</w:t>
      </w:r>
    </w:p>
  </w:footnote>
  <w:footnote w:id="10">
    <w:p w:rsidR="00000000" w:rsidRDefault="00AF1222">
      <w:pPr>
        <w:pStyle w:val="a6"/>
        <w:jc w:val="right"/>
      </w:pPr>
      <w:r>
        <w:rPr>
          <w:rStyle w:val="a5"/>
        </w:rPr>
        <w:footnoteRef/>
      </w:r>
      <w:r>
        <w:rPr>
          <w:rFonts w:cs="David"/>
        </w:rPr>
        <w:t xml:space="preserve"> </w:t>
      </w:r>
      <w:r>
        <w:rPr>
          <w:rFonts w:cs="David"/>
          <w:rtl/>
        </w:rPr>
        <w:t xml:space="preserve"> </w:t>
      </w:r>
      <w:r>
        <w:rPr>
          <w:rFonts w:cs="David" w:hint="eastAsia"/>
          <w:rtl/>
        </w:rPr>
        <w:t>דיני</w:t>
      </w:r>
      <w:r>
        <w:rPr>
          <w:rFonts w:cs="David"/>
          <w:rtl/>
        </w:rPr>
        <w:t xml:space="preserve"> </w:t>
      </w:r>
      <w:r>
        <w:rPr>
          <w:rFonts w:cs="David" w:hint="eastAsia"/>
          <w:rtl/>
        </w:rPr>
        <w:t>מדינת</w:t>
      </w:r>
      <w:r>
        <w:rPr>
          <w:rFonts w:cs="David"/>
          <w:rtl/>
        </w:rPr>
        <w:t xml:space="preserve"> </w:t>
      </w:r>
      <w:r>
        <w:rPr>
          <w:rFonts w:cs="David" w:hint="eastAsia"/>
          <w:rtl/>
        </w:rPr>
        <w:t>ישראל</w:t>
      </w:r>
      <w:r>
        <w:rPr>
          <w:rFonts w:cs="David"/>
          <w:rtl/>
        </w:rPr>
        <w:t xml:space="preserve">, </w:t>
      </w:r>
      <w:r>
        <w:rPr>
          <w:rFonts w:cs="David" w:hint="eastAsia"/>
          <w:rtl/>
        </w:rPr>
        <w:t>נוסח</w:t>
      </w:r>
      <w:r>
        <w:rPr>
          <w:rFonts w:cs="David"/>
          <w:rtl/>
        </w:rPr>
        <w:t xml:space="preserve"> </w:t>
      </w:r>
      <w:r>
        <w:rPr>
          <w:rFonts w:cs="David" w:hint="eastAsia"/>
          <w:rtl/>
        </w:rPr>
        <w:t>חדש</w:t>
      </w:r>
      <w:r>
        <w:rPr>
          <w:rFonts w:cs="David"/>
          <w:rtl/>
        </w:rPr>
        <w:t xml:space="preserve"> 21, </w:t>
      </w:r>
      <w:r>
        <w:rPr>
          <w:rFonts w:cs="David" w:hint="eastAsia"/>
          <w:rtl/>
        </w:rPr>
        <w:t>עמ</w:t>
      </w:r>
      <w:r>
        <w:rPr>
          <w:rFonts w:cs="David"/>
          <w:rtl/>
        </w:rPr>
        <w:t>' 459.</w:t>
      </w:r>
    </w:p>
  </w:footnote>
  <w:footnote w:id="11">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התשכ</w:t>
      </w:r>
      <w:r>
        <w:rPr>
          <w:rFonts w:cs="David"/>
          <w:rtl/>
        </w:rPr>
        <w:t>"</w:t>
      </w:r>
      <w:r>
        <w:rPr>
          <w:rFonts w:cs="David" w:hint="eastAsia"/>
          <w:rtl/>
        </w:rPr>
        <w:t>ט</w:t>
      </w:r>
      <w:r>
        <w:rPr>
          <w:rFonts w:cs="David"/>
          <w:rtl/>
        </w:rPr>
        <w:t xml:space="preserve">, </w:t>
      </w:r>
      <w:r>
        <w:rPr>
          <w:rFonts w:cs="David" w:hint="eastAsia"/>
          <w:rtl/>
        </w:rPr>
        <w:t>עמ</w:t>
      </w:r>
      <w:r>
        <w:rPr>
          <w:rFonts w:cs="David"/>
          <w:rtl/>
        </w:rPr>
        <w:t>' 28.</w:t>
      </w:r>
    </w:p>
  </w:footnote>
  <w:footnote w:id="12">
    <w:p w:rsidR="00000000" w:rsidRDefault="00AF1222">
      <w:pPr>
        <w:pStyle w:val="a6"/>
        <w:jc w:val="right"/>
      </w:pPr>
      <w:r>
        <w:rPr>
          <w:rStyle w:val="a5"/>
        </w:rPr>
        <w:footnoteRef/>
      </w:r>
      <w:r>
        <w:rPr>
          <w:rFonts w:cs="David"/>
        </w:rPr>
        <w:t xml:space="preserve"> </w:t>
      </w:r>
      <w:r>
        <w:rPr>
          <w:rFonts w:cs="David" w:hint="eastAsia"/>
          <w:rtl/>
        </w:rPr>
        <w:t>דיני</w:t>
      </w:r>
      <w:r>
        <w:rPr>
          <w:rFonts w:cs="David"/>
          <w:rtl/>
        </w:rPr>
        <w:t xml:space="preserve"> </w:t>
      </w:r>
      <w:r>
        <w:rPr>
          <w:rFonts w:cs="David" w:hint="eastAsia"/>
          <w:rtl/>
        </w:rPr>
        <w:t>מדינת</w:t>
      </w:r>
      <w:r>
        <w:rPr>
          <w:rFonts w:cs="David"/>
          <w:rtl/>
        </w:rPr>
        <w:t xml:space="preserve"> </w:t>
      </w:r>
      <w:r>
        <w:rPr>
          <w:rFonts w:cs="David" w:hint="eastAsia"/>
          <w:rtl/>
        </w:rPr>
        <w:t>ישראל</w:t>
      </w:r>
      <w:r>
        <w:rPr>
          <w:rFonts w:cs="David"/>
          <w:rtl/>
        </w:rPr>
        <w:t xml:space="preserve">, </w:t>
      </w:r>
      <w:r>
        <w:rPr>
          <w:rFonts w:cs="David" w:hint="eastAsia"/>
          <w:rtl/>
        </w:rPr>
        <w:t>נוסח</w:t>
      </w:r>
      <w:r>
        <w:rPr>
          <w:rFonts w:cs="David"/>
          <w:rtl/>
        </w:rPr>
        <w:t xml:space="preserve"> </w:t>
      </w:r>
      <w:r>
        <w:rPr>
          <w:rFonts w:cs="David" w:hint="eastAsia"/>
          <w:rtl/>
        </w:rPr>
        <w:t>חדש</w:t>
      </w:r>
      <w:r>
        <w:rPr>
          <w:rFonts w:cs="David"/>
          <w:rtl/>
        </w:rPr>
        <w:t xml:space="preserve"> 18 , </w:t>
      </w:r>
      <w:r>
        <w:rPr>
          <w:rFonts w:cs="David" w:hint="eastAsia"/>
          <w:rtl/>
        </w:rPr>
        <w:t>עמ</w:t>
      </w:r>
      <w:r>
        <w:rPr>
          <w:rFonts w:cs="David"/>
          <w:rtl/>
        </w:rPr>
        <w:t>' 421.</w:t>
      </w:r>
    </w:p>
  </w:footnote>
  <w:footnote w:id="13">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w:t>
      </w:r>
      <w:r>
        <w:rPr>
          <w:rFonts w:cs="David"/>
          <w:rtl/>
        </w:rPr>
        <w:t>"</w:t>
      </w:r>
      <w:r>
        <w:rPr>
          <w:rFonts w:cs="David" w:hint="eastAsia"/>
          <w:rtl/>
        </w:rPr>
        <w:t>ל</w:t>
      </w:r>
      <w:r>
        <w:rPr>
          <w:rFonts w:cs="David"/>
          <w:rtl/>
        </w:rPr>
        <w:t xml:space="preserve">, </w:t>
      </w:r>
      <w:r>
        <w:rPr>
          <w:rFonts w:cs="David" w:hint="eastAsia"/>
          <w:rtl/>
        </w:rPr>
        <w:t>עמ</w:t>
      </w:r>
      <w:r>
        <w:rPr>
          <w:rFonts w:cs="David"/>
          <w:rtl/>
        </w:rPr>
        <w:t>' 65.</w:t>
      </w:r>
    </w:p>
  </w:footnote>
  <w:footnote w:id="14">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התשי</w:t>
      </w:r>
      <w:r>
        <w:rPr>
          <w:rFonts w:cs="David"/>
          <w:rtl/>
        </w:rPr>
        <w:t>"</w:t>
      </w:r>
      <w:r>
        <w:rPr>
          <w:rFonts w:cs="David" w:hint="eastAsia"/>
          <w:rtl/>
        </w:rPr>
        <w:t>ט</w:t>
      </w:r>
      <w:r>
        <w:rPr>
          <w:rFonts w:cs="David"/>
          <w:rtl/>
        </w:rPr>
        <w:t xml:space="preserve">, </w:t>
      </w:r>
      <w:r>
        <w:rPr>
          <w:rFonts w:cs="David" w:hint="eastAsia"/>
          <w:rtl/>
        </w:rPr>
        <w:t>עמ</w:t>
      </w:r>
      <w:r>
        <w:rPr>
          <w:rFonts w:cs="David"/>
          <w:rtl/>
        </w:rPr>
        <w:t>' 86.</w:t>
      </w:r>
    </w:p>
  </w:footnote>
  <w:footnote w:id="15">
    <w:p w:rsidR="00000000" w:rsidRDefault="00AF1222">
      <w:pPr>
        <w:pStyle w:val="a6"/>
        <w:jc w:val="right"/>
      </w:pPr>
      <w:r>
        <w:rPr>
          <w:rStyle w:val="a5"/>
        </w:rPr>
        <w:footnoteRef/>
      </w:r>
      <w:r>
        <w:rPr>
          <w:rFonts w:cs="David"/>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התשכ</w:t>
      </w:r>
      <w:r>
        <w:rPr>
          <w:rFonts w:cs="David"/>
          <w:sz w:val="22"/>
          <w:szCs w:val="22"/>
          <w:rtl/>
        </w:rPr>
        <w:t>"</w:t>
      </w:r>
      <w:r>
        <w:rPr>
          <w:rFonts w:cs="David" w:hint="eastAsia"/>
          <w:sz w:val="22"/>
          <w:szCs w:val="22"/>
          <w:rtl/>
        </w:rPr>
        <w:t>א</w:t>
      </w:r>
      <w:r>
        <w:rPr>
          <w:rFonts w:cs="David"/>
          <w:sz w:val="22"/>
          <w:szCs w:val="22"/>
          <w:rtl/>
        </w:rPr>
        <w:t xml:space="preserve">, </w:t>
      </w:r>
      <w:r>
        <w:rPr>
          <w:rFonts w:cs="David" w:hint="eastAsia"/>
          <w:sz w:val="22"/>
          <w:szCs w:val="22"/>
          <w:rtl/>
        </w:rPr>
        <w:t>עמ</w:t>
      </w:r>
      <w:r>
        <w:rPr>
          <w:rFonts w:cs="David"/>
          <w:sz w:val="22"/>
          <w:szCs w:val="22"/>
          <w:rtl/>
        </w:rPr>
        <w:t>' 56.</w:t>
      </w:r>
    </w:p>
  </w:footnote>
  <w:footnote w:id="16">
    <w:p w:rsidR="00000000" w:rsidRDefault="00AF1222">
      <w:pPr>
        <w:pStyle w:val="a6"/>
        <w:jc w:val="right"/>
      </w:pPr>
      <w:r>
        <w:rPr>
          <w:rStyle w:val="a5"/>
        </w:rPr>
        <w:footnoteRef/>
      </w:r>
      <w:r>
        <w:rPr>
          <w:rFonts w:cs="David"/>
        </w:rPr>
        <w:t xml:space="preserve"> </w:t>
      </w:r>
      <w:r>
        <w:rPr>
          <w:rFonts w:cs="David" w:hint="eastAsia"/>
          <w:rtl/>
        </w:rPr>
        <w:t>דיני</w:t>
      </w:r>
      <w:r>
        <w:rPr>
          <w:rFonts w:cs="David"/>
          <w:rtl/>
        </w:rPr>
        <w:t xml:space="preserve"> </w:t>
      </w:r>
      <w:r>
        <w:rPr>
          <w:rFonts w:cs="David" w:hint="eastAsia"/>
          <w:rtl/>
        </w:rPr>
        <w:t>מדינת</w:t>
      </w:r>
      <w:r>
        <w:rPr>
          <w:rFonts w:cs="David"/>
          <w:rtl/>
        </w:rPr>
        <w:t xml:space="preserve"> </w:t>
      </w:r>
      <w:r>
        <w:rPr>
          <w:rFonts w:cs="David" w:hint="eastAsia"/>
          <w:rtl/>
        </w:rPr>
        <w:t>ישראל</w:t>
      </w:r>
      <w:r>
        <w:rPr>
          <w:rFonts w:cs="David"/>
          <w:rtl/>
        </w:rPr>
        <w:t xml:space="preserve"> 7, </w:t>
      </w:r>
      <w:r>
        <w:rPr>
          <w:rFonts w:cs="David" w:hint="eastAsia"/>
          <w:rtl/>
        </w:rPr>
        <w:t>התשכ</w:t>
      </w:r>
      <w:r>
        <w:rPr>
          <w:rFonts w:cs="David"/>
          <w:rtl/>
        </w:rPr>
        <w:t>"</w:t>
      </w:r>
      <w:r>
        <w:rPr>
          <w:rFonts w:cs="David" w:hint="eastAsia"/>
          <w:rtl/>
        </w:rPr>
        <w:t>א</w:t>
      </w:r>
      <w:r>
        <w:rPr>
          <w:rFonts w:cs="David"/>
          <w:rtl/>
        </w:rPr>
        <w:t xml:space="preserve">, </w:t>
      </w:r>
      <w:r>
        <w:rPr>
          <w:rFonts w:cs="David" w:hint="eastAsia"/>
          <w:rtl/>
        </w:rPr>
        <w:t>עמ</w:t>
      </w:r>
      <w:r>
        <w:rPr>
          <w:rFonts w:cs="David"/>
          <w:rtl/>
        </w:rPr>
        <w:t>' 173.</w:t>
      </w:r>
    </w:p>
  </w:footnote>
  <w:footnote w:id="17">
    <w:p w:rsidR="00000000" w:rsidRDefault="00AF1222">
      <w:pPr>
        <w:pStyle w:val="a6"/>
        <w:jc w:val="right"/>
      </w:pPr>
      <w:r>
        <w:rPr>
          <w:rStyle w:val="a5"/>
        </w:rPr>
        <w:footnoteRef/>
      </w:r>
      <w:r>
        <w:rPr>
          <w:rFonts w:cs="David"/>
        </w:rPr>
        <w:t xml:space="preserve"> </w:t>
      </w:r>
      <w:r>
        <w:rPr>
          <w:rFonts w:cs="David" w:hint="eastAsia"/>
          <w:rtl/>
        </w:rPr>
        <w:t>דיני</w:t>
      </w:r>
      <w:r>
        <w:rPr>
          <w:rFonts w:cs="David"/>
          <w:rtl/>
        </w:rPr>
        <w:t xml:space="preserve"> </w:t>
      </w:r>
      <w:r>
        <w:rPr>
          <w:rFonts w:cs="David" w:hint="eastAsia"/>
          <w:rtl/>
        </w:rPr>
        <w:t>מדינת</w:t>
      </w:r>
      <w:r>
        <w:rPr>
          <w:rFonts w:cs="David"/>
          <w:rtl/>
        </w:rPr>
        <w:t xml:space="preserve"> </w:t>
      </w:r>
      <w:r>
        <w:rPr>
          <w:rFonts w:cs="David" w:hint="eastAsia"/>
          <w:rtl/>
        </w:rPr>
        <w:t>ישראל</w:t>
      </w:r>
      <w:r>
        <w:rPr>
          <w:rFonts w:cs="David"/>
          <w:rtl/>
        </w:rPr>
        <w:t xml:space="preserve"> 8, </w:t>
      </w:r>
      <w:r>
        <w:rPr>
          <w:rFonts w:cs="David" w:hint="eastAsia"/>
          <w:rtl/>
        </w:rPr>
        <w:t>התשכ</w:t>
      </w:r>
      <w:r>
        <w:rPr>
          <w:rFonts w:cs="David"/>
          <w:rtl/>
        </w:rPr>
        <w:t>"</w:t>
      </w:r>
      <w:r>
        <w:rPr>
          <w:rFonts w:cs="David" w:hint="eastAsia"/>
          <w:rtl/>
        </w:rPr>
        <w:t>ד</w:t>
      </w:r>
      <w:r>
        <w:rPr>
          <w:rFonts w:cs="David"/>
          <w:rtl/>
        </w:rPr>
        <w:t xml:space="preserve">, </w:t>
      </w:r>
      <w:r>
        <w:rPr>
          <w:rFonts w:cs="David" w:hint="eastAsia"/>
          <w:rtl/>
        </w:rPr>
        <w:t>עמ</w:t>
      </w:r>
      <w:r>
        <w:rPr>
          <w:rFonts w:cs="David"/>
          <w:rtl/>
        </w:rPr>
        <w:t>' 197.</w:t>
      </w:r>
    </w:p>
  </w:footnote>
  <w:footnote w:id="18">
    <w:p w:rsidR="00000000" w:rsidRDefault="00AF1222">
      <w:pPr>
        <w:pStyle w:val="a6"/>
        <w:jc w:val="right"/>
      </w:pPr>
      <w:r>
        <w:rPr>
          <w:rStyle w:val="a5"/>
        </w:rPr>
        <w:footnoteRef/>
      </w:r>
      <w:r>
        <w:rPr>
          <w:rFonts w:cs="David"/>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התשכ</w:t>
      </w:r>
      <w:r>
        <w:rPr>
          <w:rFonts w:cs="David"/>
          <w:sz w:val="22"/>
          <w:szCs w:val="22"/>
          <w:rtl/>
        </w:rPr>
        <w:t>"</w:t>
      </w:r>
      <w:r>
        <w:rPr>
          <w:rFonts w:cs="David" w:hint="eastAsia"/>
          <w:sz w:val="22"/>
          <w:szCs w:val="22"/>
          <w:rtl/>
        </w:rPr>
        <w:t>ה</w:t>
      </w:r>
      <w:r>
        <w:rPr>
          <w:rFonts w:cs="David"/>
          <w:sz w:val="22"/>
          <w:szCs w:val="22"/>
          <w:rtl/>
        </w:rPr>
        <w:t xml:space="preserve">, </w:t>
      </w:r>
      <w:r>
        <w:rPr>
          <w:rFonts w:cs="David" w:hint="eastAsia"/>
          <w:sz w:val="22"/>
          <w:szCs w:val="22"/>
          <w:rtl/>
        </w:rPr>
        <w:t>עמ</w:t>
      </w:r>
      <w:r>
        <w:rPr>
          <w:rFonts w:cs="David"/>
          <w:sz w:val="22"/>
          <w:szCs w:val="22"/>
          <w:rtl/>
        </w:rPr>
        <w:t>' 248.</w:t>
      </w:r>
    </w:p>
  </w:footnote>
  <w:footnote w:id="19">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התשכ</w:t>
      </w:r>
      <w:r>
        <w:rPr>
          <w:rFonts w:cs="David"/>
          <w:rtl/>
        </w:rPr>
        <w:t>"</w:t>
      </w:r>
      <w:r>
        <w:rPr>
          <w:rFonts w:cs="David" w:hint="eastAsia"/>
          <w:rtl/>
        </w:rPr>
        <w:t>ז</w:t>
      </w:r>
      <w:r>
        <w:rPr>
          <w:rFonts w:cs="David"/>
          <w:rtl/>
        </w:rPr>
        <w:t xml:space="preserve">, </w:t>
      </w:r>
      <w:r>
        <w:rPr>
          <w:rFonts w:cs="David" w:hint="eastAsia"/>
          <w:rtl/>
        </w:rPr>
        <w:t>עמ</w:t>
      </w:r>
      <w:r>
        <w:rPr>
          <w:rFonts w:cs="David"/>
          <w:rtl/>
        </w:rPr>
        <w:t>' 148.</w:t>
      </w:r>
    </w:p>
  </w:footnote>
  <w:footnote w:id="20">
    <w:p w:rsidR="00000000" w:rsidRDefault="00AF1222">
      <w:pPr>
        <w:pStyle w:val="25"/>
        <w:numPr>
          <w:ilvl w:val="0"/>
          <w:numId w:val="0"/>
        </w:numPr>
        <w:tabs>
          <w:tab w:val="left" w:pos="0"/>
        </w:tabs>
        <w:ind w:left="624" w:right="0" w:hanging="624"/>
      </w:pPr>
      <w:r>
        <w:rPr>
          <w:rFonts w:cs="David"/>
          <w:sz w:val="22"/>
          <w:szCs w:val="22"/>
          <w:vertAlign w:val="superscript"/>
        </w:rPr>
        <w:footnoteRef/>
      </w:r>
      <w:r>
        <w:rPr>
          <w:rFonts w:cs="David"/>
          <w:sz w:val="22"/>
          <w:szCs w:val="22"/>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התשכ</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עמ</w:t>
      </w:r>
      <w:r>
        <w:rPr>
          <w:rFonts w:cs="David"/>
          <w:sz w:val="22"/>
          <w:szCs w:val="22"/>
          <w:rtl/>
        </w:rPr>
        <w:t>' 197.</w:t>
      </w:r>
    </w:p>
  </w:footnote>
  <w:footnote w:id="21">
    <w:p w:rsidR="00000000" w:rsidRDefault="00AF1222">
      <w:pPr>
        <w:pStyle w:val="a6"/>
        <w:jc w:val="right"/>
        <w:rPr>
          <w:rFonts w:cs="David"/>
          <w:sz w:val="22"/>
          <w:szCs w:val="22"/>
          <w:rtl/>
        </w:rPr>
      </w:pPr>
      <w:r>
        <w:rPr>
          <w:rStyle w:val="a5"/>
        </w:rPr>
        <w:footnoteRef/>
      </w:r>
      <w:r>
        <w:rPr>
          <w:rFonts w:cs="David"/>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התשכ</w:t>
      </w:r>
      <w:r>
        <w:rPr>
          <w:rFonts w:cs="David"/>
          <w:sz w:val="22"/>
          <w:szCs w:val="22"/>
          <w:rtl/>
        </w:rPr>
        <w:t>"</w:t>
      </w:r>
      <w:r>
        <w:rPr>
          <w:rFonts w:cs="David" w:hint="eastAsia"/>
          <w:sz w:val="22"/>
          <w:szCs w:val="22"/>
          <w:rtl/>
        </w:rPr>
        <w:t>ט</w:t>
      </w:r>
      <w:r>
        <w:rPr>
          <w:rFonts w:cs="David"/>
          <w:sz w:val="22"/>
          <w:szCs w:val="22"/>
          <w:rtl/>
        </w:rPr>
        <w:t xml:space="preserve">, </w:t>
      </w:r>
      <w:r>
        <w:rPr>
          <w:rFonts w:cs="David" w:hint="eastAsia"/>
          <w:sz w:val="22"/>
          <w:szCs w:val="22"/>
          <w:rtl/>
        </w:rPr>
        <w:t>עמ</w:t>
      </w:r>
      <w:r>
        <w:rPr>
          <w:rFonts w:cs="David"/>
          <w:sz w:val="22"/>
          <w:szCs w:val="22"/>
          <w:rtl/>
        </w:rPr>
        <w:t>' 103.</w:t>
      </w:r>
    </w:p>
    <w:p w:rsidR="00000000" w:rsidRDefault="00AF1222">
      <w:pPr>
        <w:pStyle w:val="a6"/>
        <w:jc w:val="right"/>
      </w:pPr>
    </w:p>
  </w:footnote>
  <w:footnote w:id="22">
    <w:p w:rsidR="00000000" w:rsidRDefault="00AF1222">
      <w:pPr>
        <w:pStyle w:val="a6"/>
        <w:jc w:val="right"/>
        <w:rPr>
          <w:rFonts w:cs="David"/>
          <w:sz w:val="22"/>
          <w:szCs w:val="22"/>
          <w:rtl/>
        </w:rPr>
      </w:pPr>
      <w:r>
        <w:rPr>
          <w:rStyle w:val="a5"/>
          <w:sz w:val="22"/>
          <w:szCs w:val="22"/>
        </w:rPr>
        <w:footnoteRef/>
      </w:r>
      <w:r>
        <w:rPr>
          <w:rFonts w:cs="David"/>
          <w:sz w:val="22"/>
          <w:szCs w:val="22"/>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התשכ</w:t>
      </w:r>
      <w:r>
        <w:rPr>
          <w:rFonts w:cs="David"/>
          <w:sz w:val="22"/>
          <w:szCs w:val="22"/>
          <w:rtl/>
        </w:rPr>
        <w:t>"</w:t>
      </w:r>
      <w:r>
        <w:rPr>
          <w:rFonts w:cs="David" w:hint="eastAsia"/>
          <w:sz w:val="22"/>
          <w:szCs w:val="22"/>
          <w:rtl/>
        </w:rPr>
        <w:t>ט</w:t>
      </w:r>
      <w:r>
        <w:rPr>
          <w:rFonts w:cs="David"/>
          <w:sz w:val="22"/>
          <w:szCs w:val="22"/>
          <w:rtl/>
        </w:rPr>
        <w:t xml:space="preserve">, </w:t>
      </w:r>
      <w:r>
        <w:rPr>
          <w:rFonts w:cs="David" w:hint="eastAsia"/>
          <w:sz w:val="22"/>
          <w:szCs w:val="22"/>
          <w:rtl/>
        </w:rPr>
        <w:t>עמ</w:t>
      </w:r>
      <w:r>
        <w:rPr>
          <w:rFonts w:cs="David"/>
          <w:sz w:val="22"/>
          <w:szCs w:val="22"/>
          <w:rtl/>
        </w:rPr>
        <w:t>' 144.</w:t>
      </w:r>
    </w:p>
    <w:p w:rsidR="00000000" w:rsidRDefault="00AF1222">
      <w:pPr>
        <w:pStyle w:val="a6"/>
        <w:jc w:val="right"/>
      </w:pPr>
    </w:p>
  </w:footnote>
  <w:footnote w:id="23">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w:t>
      </w:r>
      <w:r>
        <w:rPr>
          <w:rFonts w:cs="David"/>
          <w:rtl/>
        </w:rPr>
        <w:t>"</w:t>
      </w:r>
      <w:r>
        <w:rPr>
          <w:rFonts w:cs="David" w:hint="eastAsia"/>
          <w:rtl/>
        </w:rPr>
        <w:t>ל</w:t>
      </w:r>
      <w:r>
        <w:rPr>
          <w:rFonts w:cs="David"/>
          <w:rtl/>
        </w:rPr>
        <w:t xml:space="preserve">, </w:t>
      </w:r>
      <w:r>
        <w:rPr>
          <w:rFonts w:cs="David" w:hint="eastAsia"/>
          <w:rtl/>
        </w:rPr>
        <w:t>עמ</w:t>
      </w:r>
      <w:r>
        <w:rPr>
          <w:rFonts w:cs="David"/>
          <w:rtl/>
        </w:rPr>
        <w:t>' 65.</w:t>
      </w:r>
    </w:p>
  </w:footnote>
  <w:footnote w:id="24">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התשמ</w:t>
      </w:r>
      <w:r>
        <w:rPr>
          <w:rFonts w:cs="David"/>
          <w:rtl/>
        </w:rPr>
        <w:t>"</w:t>
      </w:r>
      <w:r>
        <w:rPr>
          <w:rFonts w:cs="David" w:hint="eastAsia"/>
          <w:rtl/>
        </w:rPr>
        <w:t>א</w:t>
      </w:r>
      <w:r>
        <w:rPr>
          <w:rFonts w:cs="David"/>
          <w:rtl/>
        </w:rPr>
        <w:t xml:space="preserve">, </w:t>
      </w:r>
      <w:r>
        <w:rPr>
          <w:rFonts w:cs="David" w:hint="eastAsia"/>
          <w:rtl/>
        </w:rPr>
        <w:t>עמ</w:t>
      </w:r>
      <w:r>
        <w:rPr>
          <w:rFonts w:cs="David"/>
          <w:rtl/>
        </w:rPr>
        <w:t>' 163.</w:t>
      </w:r>
    </w:p>
  </w:footnote>
  <w:footnote w:id="25">
    <w:p w:rsidR="00000000" w:rsidRDefault="00AF1222">
      <w:pPr>
        <w:pStyle w:val="25"/>
        <w:numPr>
          <w:ilvl w:val="0"/>
          <w:numId w:val="0"/>
        </w:numPr>
        <w:tabs>
          <w:tab w:val="left" w:pos="0"/>
        </w:tabs>
        <w:ind w:left="624" w:right="0" w:hanging="624"/>
      </w:pPr>
      <w:r>
        <w:rPr>
          <w:rFonts w:cs="David"/>
          <w:sz w:val="22"/>
          <w:szCs w:val="22"/>
          <w:vertAlign w:val="superscript"/>
        </w:rPr>
        <w:footnoteRef/>
      </w:r>
      <w:r>
        <w:rPr>
          <w:rFonts w:cs="David"/>
          <w:sz w:val="22"/>
          <w:szCs w:val="22"/>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התשמ</w:t>
      </w:r>
      <w:r>
        <w:rPr>
          <w:rFonts w:cs="David"/>
          <w:sz w:val="22"/>
          <w:szCs w:val="22"/>
          <w:rtl/>
        </w:rPr>
        <w:t>"</w:t>
      </w:r>
      <w:r>
        <w:rPr>
          <w:rFonts w:cs="David" w:hint="eastAsia"/>
          <w:sz w:val="22"/>
          <w:szCs w:val="22"/>
          <w:rtl/>
        </w:rPr>
        <w:t>א</w:t>
      </w:r>
      <w:r>
        <w:rPr>
          <w:rFonts w:cs="David"/>
          <w:sz w:val="22"/>
          <w:szCs w:val="22"/>
          <w:rtl/>
        </w:rPr>
        <w:t xml:space="preserve">, </w:t>
      </w:r>
      <w:r>
        <w:rPr>
          <w:rFonts w:cs="David" w:hint="eastAsia"/>
          <w:sz w:val="22"/>
          <w:szCs w:val="22"/>
          <w:rtl/>
        </w:rPr>
        <w:t>עמ</w:t>
      </w:r>
      <w:r>
        <w:rPr>
          <w:rFonts w:cs="David"/>
          <w:sz w:val="22"/>
          <w:szCs w:val="22"/>
          <w:rtl/>
        </w:rPr>
        <w:t>' 322.</w:t>
      </w:r>
    </w:p>
  </w:footnote>
  <w:footnote w:id="26">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התשמ</w:t>
      </w:r>
      <w:r>
        <w:rPr>
          <w:rFonts w:cs="David"/>
          <w:rtl/>
        </w:rPr>
        <w:t>"</w:t>
      </w:r>
      <w:r>
        <w:rPr>
          <w:rFonts w:cs="David" w:hint="eastAsia"/>
          <w:rtl/>
        </w:rPr>
        <w:t>ד</w:t>
      </w:r>
      <w:r>
        <w:rPr>
          <w:rFonts w:cs="David"/>
          <w:rtl/>
        </w:rPr>
        <w:t xml:space="preserve">, </w:t>
      </w:r>
      <w:r>
        <w:rPr>
          <w:rFonts w:cs="David" w:hint="eastAsia"/>
          <w:rtl/>
        </w:rPr>
        <w:t>עמ</w:t>
      </w:r>
      <w:r>
        <w:rPr>
          <w:rFonts w:cs="David"/>
          <w:rtl/>
        </w:rPr>
        <w:t>' 157.</w:t>
      </w:r>
    </w:p>
  </w:footnote>
  <w:footnote w:id="27">
    <w:p w:rsidR="00000000" w:rsidRDefault="00AF1222">
      <w:pPr>
        <w:pStyle w:val="a6"/>
        <w:jc w:val="right"/>
      </w:pPr>
      <w:r>
        <w:rPr>
          <w:rStyle w:val="a5"/>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התשנ</w:t>
      </w:r>
      <w:r>
        <w:rPr>
          <w:rFonts w:cs="David"/>
          <w:rtl/>
        </w:rPr>
        <w:t>"</w:t>
      </w:r>
      <w:r>
        <w:rPr>
          <w:rFonts w:cs="David" w:hint="eastAsia"/>
          <w:rtl/>
        </w:rPr>
        <w:t>ח</w:t>
      </w:r>
      <w:r>
        <w:rPr>
          <w:rFonts w:cs="David"/>
          <w:rtl/>
        </w:rPr>
        <w:t xml:space="preserve">, </w:t>
      </w:r>
      <w:r>
        <w:rPr>
          <w:rFonts w:cs="David" w:hint="eastAsia"/>
          <w:rtl/>
        </w:rPr>
        <w:t>עמ</w:t>
      </w:r>
      <w:r>
        <w:rPr>
          <w:rFonts w:cs="David"/>
          <w:rtl/>
        </w:rPr>
        <w:t>' 226.</w:t>
      </w:r>
    </w:p>
  </w:footnote>
  <w:footnote w:id="28">
    <w:p w:rsidR="00000000" w:rsidRDefault="00AF1222">
      <w:pPr>
        <w:pStyle w:val="25"/>
        <w:numPr>
          <w:ilvl w:val="0"/>
          <w:numId w:val="0"/>
        </w:numPr>
        <w:tabs>
          <w:tab w:val="left" w:pos="0"/>
        </w:tabs>
        <w:ind w:left="624" w:right="0" w:hanging="624"/>
      </w:pPr>
      <w:r>
        <w:rPr>
          <w:rFonts w:cs="David"/>
          <w:vertAlign w:val="superscript"/>
        </w:rPr>
        <w:footnoteRef/>
      </w:r>
      <w:r>
        <w:rPr>
          <w:rFonts w:cs="David"/>
        </w:rPr>
        <w:t xml:space="preserve"> </w:t>
      </w:r>
      <w:r>
        <w:rPr>
          <w:rFonts w:cs="David" w:hint="eastAsia"/>
          <w:rtl/>
        </w:rPr>
        <w:t>ס</w:t>
      </w:r>
      <w:r>
        <w:rPr>
          <w:rFonts w:cs="David"/>
          <w:rtl/>
        </w:rPr>
        <w:t>"</w:t>
      </w:r>
      <w:r>
        <w:rPr>
          <w:rFonts w:cs="David" w:hint="eastAsia"/>
          <w:rtl/>
        </w:rPr>
        <w:t>ח</w:t>
      </w:r>
      <w:r>
        <w:rPr>
          <w:rFonts w:cs="David"/>
          <w:rtl/>
        </w:rPr>
        <w:t xml:space="preserve"> </w:t>
      </w:r>
      <w:r>
        <w:rPr>
          <w:rFonts w:cs="David" w:hint="eastAsia"/>
          <w:rtl/>
        </w:rPr>
        <w:t>התשס</w:t>
      </w:r>
      <w:r>
        <w:rPr>
          <w:rFonts w:cs="David"/>
          <w:rtl/>
        </w:rPr>
        <w:t>"</w:t>
      </w:r>
      <w:r>
        <w:rPr>
          <w:rFonts w:cs="David" w:hint="eastAsia"/>
          <w:rtl/>
        </w:rPr>
        <w:t>ב</w:t>
      </w:r>
      <w:r>
        <w:rPr>
          <w:rFonts w:cs="David"/>
          <w:rtl/>
        </w:rPr>
        <w:t xml:space="preserve">, </w:t>
      </w:r>
      <w:r>
        <w:rPr>
          <w:rFonts w:cs="David" w:hint="eastAsia"/>
          <w:rtl/>
        </w:rPr>
        <w:t>עמ</w:t>
      </w:r>
      <w:r>
        <w:rPr>
          <w:rFonts w:cs="David"/>
          <w:rtl/>
        </w:rPr>
        <w:t>' 14.</w:t>
      </w:r>
    </w:p>
  </w:footnote>
  <w:footnote w:id="29">
    <w:p w:rsidR="00000000" w:rsidRDefault="00AF1222">
      <w:pPr>
        <w:pStyle w:val="25"/>
        <w:numPr>
          <w:ilvl w:val="0"/>
          <w:numId w:val="0"/>
        </w:numPr>
        <w:tabs>
          <w:tab w:val="left" w:pos="0"/>
        </w:tabs>
        <w:ind w:left="624" w:right="0" w:hanging="624"/>
      </w:pPr>
      <w:r>
        <w:rPr>
          <w:rFonts w:cs="David"/>
          <w:sz w:val="22"/>
          <w:szCs w:val="22"/>
          <w:vertAlign w:val="superscript"/>
        </w:rPr>
        <w:footnoteRef/>
      </w:r>
      <w:r>
        <w:rPr>
          <w:rFonts w:cs="David"/>
          <w:sz w:val="22"/>
          <w:szCs w:val="22"/>
        </w:rPr>
        <w:t xml:space="preserve"> </w:t>
      </w:r>
      <w:r>
        <w:rPr>
          <w:rFonts w:cs="David" w:hint="eastAsia"/>
          <w:sz w:val="22"/>
          <w:szCs w:val="22"/>
          <w:rtl/>
        </w:rPr>
        <w:t>ס</w:t>
      </w:r>
      <w:r>
        <w:rPr>
          <w:rFonts w:cs="David"/>
          <w:sz w:val="22"/>
          <w:szCs w:val="22"/>
          <w:rtl/>
        </w:rPr>
        <w:t>"</w:t>
      </w:r>
      <w:r>
        <w:rPr>
          <w:rFonts w:cs="David" w:hint="eastAsia"/>
          <w:sz w:val="22"/>
          <w:szCs w:val="22"/>
          <w:rtl/>
        </w:rPr>
        <w:t>ח</w:t>
      </w:r>
      <w:r>
        <w:rPr>
          <w:rFonts w:cs="David"/>
          <w:sz w:val="22"/>
          <w:szCs w:val="22"/>
          <w:rtl/>
        </w:rPr>
        <w:t xml:space="preserve"> </w:t>
      </w:r>
      <w:r>
        <w:rPr>
          <w:rFonts w:cs="David" w:hint="eastAsia"/>
          <w:sz w:val="22"/>
          <w:szCs w:val="22"/>
          <w:rtl/>
        </w:rPr>
        <w:t>התשס</w:t>
      </w:r>
      <w:r>
        <w:rPr>
          <w:rFonts w:cs="David"/>
          <w:sz w:val="22"/>
          <w:szCs w:val="22"/>
          <w:rtl/>
        </w:rPr>
        <w:t>"</w:t>
      </w:r>
      <w:r>
        <w:rPr>
          <w:rFonts w:cs="David" w:hint="eastAsia"/>
          <w:sz w:val="22"/>
          <w:szCs w:val="22"/>
          <w:rtl/>
        </w:rPr>
        <w:t>ב</w:t>
      </w:r>
      <w:r>
        <w:rPr>
          <w:rFonts w:cs="David"/>
          <w:sz w:val="22"/>
          <w:szCs w:val="22"/>
          <w:rtl/>
        </w:rPr>
        <w:t xml:space="preserve">, </w:t>
      </w:r>
      <w:r>
        <w:rPr>
          <w:rFonts w:cs="David" w:hint="eastAsia"/>
          <w:sz w:val="22"/>
          <w:szCs w:val="22"/>
          <w:rtl/>
        </w:rPr>
        <w:t>עמ</w:t>
      </w:r>
      <w:r>
        <w:rPr>
          <w:rFonts w:cs="David"/>
          <w:sz w:val="22"/>
          <w:szCs w:val="22"/>
          <w:rtl/>
        </w:rPr>
        <w:t>' 468.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1222">
    <w:pPr>
      <w:pStyle w:val="a9"/>
      <w:framePr w:wrap="auto" w:vAnchor="text" w:hAnchor="margin" w:y="1"/>
      <w:rPr>
        <w:rStyle w:val="a8"/>
        <w:rFonts w:cs="David"/>
        <w:sz w:val="24"/>
        <w:rtl/>
      </w:rPr>
    </w:pPr>
    <w:r>
      <w:rPr>
        <w:rStyle w:val="a8"/>
        <w:rFonts w:cs="David"/>
      </w:rPr>
      <w:fldChar w:fldCharType="begin"/>
    </w:r>
    <w:r>
      <w:rPr>
        <w:rStyle w:val="a8"/>
        <w:rFonts w:cs="David"/>
      </w:rPr>
      <w:instrText xml:space="preserve">PAGE  </w:instrText>
    </w:r>
    <w:r>
      <w:rPr>
        <w:rStyle w:val="a8"/>
        <w:rFonts w:cs="David"/>
      </w:rPr>
      <w:fldChar w:fldCharType="separate"/>
    </w:r>
    <w:r>
      <w:rPr>
        <w:rStyle w:val="a8"/>
        <w:rFonts w:cs="David"/>
        <w:noProof/>
        <w:rtl/>
      </w:rPr>
      <w:t>5</w:t>
    </w:r>
    <w:r>
      <w:rPr>
        <w:rStyle w:val="a8"/>
        <w:rFonts w:cs="David"/>
      </w:rPr>
      <w:fldChar w:fldCharType="end"/>
    </w:r>
  </w:p>
  <w:p w:rsidR="00000000" w:rsidRDefault="00AF1222">
    <w:pPr>
      <w:pStyle w:val="a9"/>
      <w:ind w:left="360" w:right="360"/>
      <w:rPr>
        <w:rFonts w:cs="David"/>
        <w:sz w:val="24"/>
        <w:rtl/>
      </w:rPr>
    </w:pPr>
    <w:r>
      <w:rPr>
        <w:rFonts w:cs="David"/>
        <w:sz w:val="24"/>
        <w:rtl/>
      </w:rPr>
      <w:t>ועדת הפנים ואיכות הסביבה</w:t>
    </w:r>
  </w:p>
  <w:p w:rsidR="00000000" w:rsidRDefault="00AF1222">
    <w:pPr>
      <w:pStyle w:val="a9"/>
      <w:ind w:left="360" w:right="360"/>
      <w:rPr>
        <w:rStyle w:val="a8"/>
        <w:rFonts w:cs="David"/>
        <w:sz w:val="24"/>
        <w:rtl/>
      </w:rPr>
    </w:pPr>
    <w:r>
      <w:rPr>
        <w:rFonts w:cs="David"/>
        <w:sz w:val="24"/>
        <w:rtl/>
      </w:rPr>
      <w:t>31.08.05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FB"/>
    <w:multiLevelType w:val="multilevel"/>
    <w:tmpl w:val="FFFFFFFF"/>
    <w:lvl w:ilvl="0">
      <w:start w:val="1"/>
      <w:numFmt w:val="decimal"/>
      <w:lvlText w:val="%1."/>
      <w:legacy w:legacy="1" w:legacySpace="0" w:legacyIndent="624"/>
      <w:lvlJc w:val="right"/>
      <w:pPr>
        <w:ind w:left="624" w:hanging="624"/>
      </w:pPr>
      <w:rPr>
        <w:rFonts w:cs="Times New Roman"/>
      </w:rPr>
    </w:lvl>
    <w:lvl w:ilvl="1">
      <w:start w:val="1"/>
      <w:numFmt w:val="decimal"/>
      <w:lvlText w:val="%1.%2."/>
      <w:legacy w:legacy="1" w:legacySpace="0" w:legacyIndent="794"/>
      <w:lvlJc w:val="right"/>
      <w:pPr>
        <w:ind w:left="1418" w:hanging="794"/>
      </w:pPr>
      <w:rPr>
        <w:rFonts w:cs="Times New Roman"/>
      </w:rPr>
    </w:lvl>
    <w:lvl w:ilvl="2">
      <w:start w:val="1"/>
      <w:numFmt w:val="decimal"/>
      <w:lvlText w:val="%1.%2.%3."/>
      <w:legacy w:legacy="1" w:legacySpace="0" w:legacyIndent="964"/>
      <w:lvlJc w:val="right"/>
      <w:pPr>
        <w:ind w:left="2382" w:hanging="964"/>
      </w:pPr>
      <w:rPr>
        <w:rFonts w:cs="Times New Roman"/>
      </w:rPr>
    </w:lvl>
    <w:lvl w:ilvl="3">
      <w:start w:val="1"/>
      <w:numFmt w:val="decimal"/>
      <w:lvlText w:val="%1.%2.%3.%4."/>
      <w:legacy w:legacy="1" w:legacySpace="0" w:legacyIndent="1134"/>
      <w:lvlJc w:val="right"/>
      <w:pPr>
        <w:ind w:left="3516" w:hanging="1134"/>
      </w:pPr>
      <w:rPr>
        <w:rFonts w:cs="Times New Roman"/>
      </w:rPr>
    </w:lvl>
    <w:lvl w:ilvl="4">
      <w:start w:val="1"/>
      <w:numFmt w:val="decimal"/>
      <w:lvlText w:val="%1.%2.%3.%4.%5."/>
      <w:legacy w:legacy="1" w:legacySpace="0" w:legacyIndent="1304"/>
      <w:lvlJc w:val="right"/>
      <w:pPr>
        <w:ind w:left="4819" w:hanging="1304"/>
      </w:pPr>
      <w:rPr>
        <w:rFonts w:cs="Times New Roman"/>
      </w:rPr>
    </w:lvl>
    <w:lvl w:ilvl="5">
      <w:start w:val="1"/>
      <w:numFmt w:val="decimal"/>
      <w:lvlText w:val="%1.%2.%3.%4.%5.%6."/>
      <w:legacy w:legacy="1" w:legacySpace="0" w:legacyIndent="709"/>
      <w:lvlJc w:val="center"/>
      <w:pPr>
        <w:ind w:left="5529" w:hanging="709"/>
      </w:pPr>
      <w:rPr>
        <w:rFonts w:cs="Times New Roman"/>
      </w:rPr>
    </w:lvl>
    <w:lvl w:ilvl="6">
      <w:start w:val="1"/>
      <w:numFmt w:val="decimal"/>
      <w:lvlText w:val="%1.%2.%3.%4.%5.%6.%7."/>
      <w:legacy w:legacy="1" w:legacySpace="0" w:legacyIndent="709"/>
      <w:lvlJc w:val="center"/>
      <w:pPr>
        <w:ind w:left="6238" w:hanging="709"/>
      </w:pPr>
      <w:rPr>
        <w:rFonts w:cs="Times New Roman"/>
      </w:rPr>
    </w:lvl>
    <w:lvl w:ilvl="7">
      <w:start w:val="1"/>
      <w:numFmt w:val="decimal"/>
      <w:lvlText w:val="%1.%2.%3.%4.%5.%6.%7.%8."/>
      <w:legacy w:legacy="1" w:legacySpace="0" w:legacyIndent="709"/>
      <w:lvlJc w:val="center"/>
      <w:pPr>
        <w:ind w:left="6947" w:hanging="709"/>
      </w:pPr>
      <w:rPr>
        <w:rFonts w:cs="Times New Roman"/>
      </w:rPr>
    </w:lvl>
    <w:lvl w:ilvl="8">
      <w:start w:val="1"/>
      <w:numFmt w:val="decimal"/>
      <w:lvlText w:val="%1.%2.%3.%4.%5.%6.%7.%8.%9."/>
      <w:legacy w:legacy="1" w:legacySpace="0" w:legacyIndent="709"/>
      <w:lvlJc w:val="center"/>
      <w:pPr>
        <w:ind w:left="7656" w:hanging="709"/>
      </w:pPr>
      <w:rPr>
        <w:rFonts w:cs="Times New Roman"/>
      </w:rPr>
    </w:lvl>
  </w:abstractNum>
  <w:abstractNum w:abstractNumId="1" w15:restartNumberingAfterBreak="0">
    <w:nsid w:val="00283F2B"/>
    <w:multiLevelType w:val="hybridMultilevel"/>
    <w:tmpl w:val="E21C0AFE"/>
    <w:lvl w:ilvl="0" w:tplc="9A9CF68C">
      <w:start w:val="1"/>
      <w:numFmt w:val="decimal"/>
      <w:lvlText w:val="(%1)"/>
      <w:lvlJc w:val="left"/>
      <w:pPr>
        <w:tabs>
          <w:tab w:val="num" w:pos="735"/>
        </w:tabs>
        <w:ind w:left="735" w:hanging="375"/>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 w15:restartNumberingAfterBreak="0">
    <w:nsid w:val="02082A05"/>
    <w:multiLevelType w:val="hybridMultilevel"/>
    <w:tmpl w:val="9BE045D4"/>
    <w:lvl w:ilvl="0" w:tplc="C24EA342">
      <w:start w:val="1"/>
      <w:numFmt w:val="decimal"/>
      <w:lvlText w:val="(%1)"/>
      <w:lvlJc w:val="left"/>
      <w:pPr>
        <w:tabs>
          <w:tab w:val="num" w:pos="750"/>
        </w:tabs>
        <w:ind w:left="750" w:hanging="39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 w15:restartNumberingAfterBreak="0">
    <w:nsid w:val="03545C47"/>
    <w:multiLevelType w:val="hybridMultilevel"/>
    <w:tmpl w:val="17D0E4CA"/>
    <w:lvl w:ilvl="0" w:tplc="CD108A1E">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4" w15:restartNumberingAfterBreak="0">
    <w:nsid w:val="0413014F"/>
    <w:multiLevelType w:val="hybridMultilevel"/>
    <w:tmpl w:val="8026D30C"/>
    <w:lvl w:ilvl="0" w:tplc="A5309D50">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5" w15:restartNumberingAfterBreak="0">
    <w:nsid w:val="09A95C96"/>
    <w:multiLevelType w:val="hybridMultilevel"/>
    <w:tmpl w:val="5BE4C10C"/>
    <w:lvl w:ilvl="0" w:tplc="B40CAE60">
      <w:start w:val="1"/>
      <w:numFmt w:val="decimal"/>
      <w:lvlText w:val="(%1)"/>
      <w:lvlJc w:val="left"/>
      <w:pPr>
        <w:tabs>
          <w:tab w:val="num" w:pos="1080"/>
        </w:tabs>
        <w:ind w:left="108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6" w15:restartNumberingAfterBreak="0">
    <w:nsid w:val="0A9653B3"/>
    <w:multiLevelType w:val="hybridMultilevel"/>
    <w:tmpl w:val="5D96A820"/>
    <w:lvl w:ilvl="0" w:tplc="394A5360">
      <w:start w:val="1"/>
      <w:numFmt w:val="decimal"/>
      <w:lvlText w:val="(%1)"/>
      <w:lvlJc w:val="left"/>
      <w:pPr>
        <w:tabs>
          <w:tab w:val="num" w:pos="1080"/>
        </w:tabs>
        <w:ind w:left="108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7" w15:restartNumberingAfterBreak="0">
    <w:nsid w:val="0C7932FF"/>
    <w:multiLevelType w:val="hybridMultilevel"/>
    <w:tmpl w:val="22687A1C"/>
    <w:lvl w:ilvl="0" w:tplc="AEFA2972">
      <w:start w:val="1"/>
      <w:numFmt w:val="decimal"/>
      <w:lvlText w:val="(%1)"/>
      <w:lvlJc w:val="left"/>
      <w:pPr>
        <w:tabs>
          <w:tab w:val="num" w:pos="1494"/>
        </w:tabs>
        <w:ind w:left="1494" w:hanging="360"/>
      </w:pPr>
      <w:rPr>
        <w:rFonts w:cs="Times New Roman"/>
      </w:rPr>
    </w:lvl>
    <w:lvl w:ilvl="1" w:tplc="394A5360">
      <w:start w:val="1"/>
      <w:numFmt w:val="decimal"/>
      <w:lvlText w:val="(%2)"/>
      <w:lvlJc w:val="left"/>
      <w:pPr>
        <w:tabs>
          <w:tab w:val="num" w:pos="1440"/>
        </w:tabs>
        <w:ind w:left="1440" w:hanging="360"/>
      </w:pPr>
      <w:rPr>
        <w:rFonts w:cs="Times New Roman"/>
      </w:rPr>
    </w:lvl>
    <w:lvl w:ilvl="2" w:tplc="648CE106">
      <w:start w:val="1"/>
      <w:numFmt w:val="decimal"/>
      <w:lvlText w:val="(%3)"/>
      <w:lvlJc w:val="left"/>
      <w:pPr>
        <w:tabs>
          <w:tab w:val="num" w:pos="2340"/>
        </w:tabs>
        <w:ind w:left="234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8" w15:restartNumberingAfterBreak="0">
    <w:nsid w:val="11424730"/>
    <w:multiLevelType w:val="hybridMultilevel"/>
    <w:tmpl w:val="7D42E558"/>
    <w:lvl w:ilvl="0" w:tplc="51D6DD62">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9" w15:restartNumberingAfterBreak="0">
    <w:nsid w:val="1BAF51DA"/>
    <w:multiLevelType w:val="hybridMultilevel"/>
    <w:tmpl w:val="A68E38D0"/>
    <w:lvl w:ilvl="0" w:tplc="5E461A2E">
      <w:start w:val="1"/>
      <w:numFmt w:val="decimal"/>
      <w:lvlText w:val="(%1)"/>
      <w:lvlJc w:val="left"/>
      <w:pPr>
        <w:tabs>
          <w:tab w:val="num" w:pos="420"/>
        </w:tabs>
        <w:ind w:left="4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0" w15:restartNumberingAfterBreak="0">
    <w:nsid w:val="1DA15499"/>
    <w:multiLevelType w:val="hybridMultilevel"/>
    <w:tmpl w:val="20802578"/>
    <w:lvl w:ilvl="0" w:tplc="4A8665C2">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1" w15:restartNumberingAfterBreak="0">
    <w:nsid w:val="1ED468EA"/>
    <w:multiLevelType w:val="hybridMultilevel"/>
    <w:tmpl w:val="72941C08"/>
    <w:lvl w:ilvl="0" w:tplc="1A06C9F2">
      <w:start w:val="1"/>
      <w:numFmt w:val="decimal"/>
      <w:lvlText w:val="(%1)"/>
      <w:lvlJc w:val="left"/>
      <w:pPr>
        <w:tabs>
          <w:tab w:val="num" w:pos="1500"/>
        </w:tabs>
        <w:ind w:left="150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2" w15:restartNumberingAfterBreak="0">
    <w:nsid w:val="23FD6419"/>
    <w:multiLevelType w:val="hybridMultilevel"/>
    <w:tmpl w:val="F38AA672"/>
    <w:lvl w:ilvl="0" w:tplc="2474F22A">
      <w:start w:val="1"/>
      <w:numFmt w:val="decimal"/>
      <w:lvlText w:val="(%1)"/>
      <w:lvlJc w:val="left"/>
      <w:pPr>
        <w:tabs>
          <w:tab w:val="num" w:pos="480"/>
        </w:tabs>
        <w:ind w:left="48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3" w15:restartNumberingAfterBreak="0">
    <w:nsid w:val="24602EBB"/>
    <w:multiLevelType w:val="hybridMultilevel"/>
    <w:tmpl w:val="15F0F0A0"/>
    <w:lvl w:ilvl="0" w:tplc="C9D0E92E">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4" w15:restartNumberingAfterBreak="0">
    <w:nsid w:val="247673A7"/>
    <w:multiLevelType w:val="hybridMultilevel"/>
    <w:tmpl w:val="7D94FE62"/>
    <w:lvl w:ilvl="0" w:tplc="7FD81BCA">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5" w15:restartNumberingAfterBreak="0">
    <w:nsid w:val="286034DF"/>
    <w:multiLevelType w:val="hybridMultilevel"/>
    <w:tmpl w:val="FC4804EA"/>
    <w:lvl w:ilvl="0" w:tplc="27F4478C">
      <w:start w:val="1"/>
      <w:numFmt w:val="hebrew1"/>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6" w15:restartNumberingAfterBreak="0">
    <w:nsid w:val="2CD233EB"/>
    <w:multiLevelType w:val="hybridMultilevel"/>
    <w:tmpl w:val="FA2E4F9E"/>
    <w:lvl w:ilvl="0" w:tplc="394A5360">
      <w:start w:val="1"/>
      <w:numFmt w:val="decimal"/>
      <w:lvlText w:val="(%1)"/>
      <w:lvlJc w:val="left"/>
      <w:pPr>
        <w:tabs>
          <w:tab w:val="num" w:pos="720"/>
        </w:tabs>
        <w:ind w:left="720" w:hanging="360"/>
      </w:pPr>
      <w:rPr>
        <w:rFonts w:cs="Times New Roman"/>
      </w:rPr>
    </w:lvl>
    <w:lvl w:ilvl="1" w:tplc="826623B4">
      <w:start w:val="1"/>
      <w:numFmt w:val="hebrew1"/>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7" w15:restartNumberingAfterBreak="0">
    <w:nsid w:val="2ED97E1C"/>
    <w:multiLevelType w:val="hybridMultilevel"/>
    <w:tmpl w:val="553E7D1C"/>
    <w:lvl w:ilvl="0" w:tplc="38A46744">
      <w:start w:val="1"/>
      <w:numFmt w:val="decimal"/>
      <w:lvlText w:val="(%1)"/>
      <w:lvlJc w:val="left"/>
      <w:pPr>
        <w:tabs>
          <w:tab w:val="num" w:pos="1500"/>
        </w:tabs>
        <w:ind w:left="1500" w:hanging="360"/>
      </w:pPr>
      <w:rPr>
        <w:rFonts w:cs="Times New Roman"/>
      </w:rPr>
    </w:lvl>
    <w:lvl w:ilvl="1" w:tplc="100C2108">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8" w15:restartNumberingAfterBreak="0">
    <w:nsid w:val="39BA5E58"/>
    <w:multiLevelType w:val="hybridMultilevel"/>
    <w:tmpl w:val="E71EF054"/>
    <w:lvl w:ilvl="0" w:tplc="052A7CAC">
      <w:start w:val="4"/>
      <w:numFmt w:val="hebrew1"/>
      <w:lvlText w:val="(%1)"/>
      <w:lvlJc w:val="left"/>
      <w:pPr>
        <w:tabs>
          <w:tab w:val="num" w:pos="720"/>
        </w:tabs>
        <w:ind w:left="720" w:hanging="360"/>
      </w:pPr>
      <w:rPr>
        <w:rFonts w:cs="Times New Roman"/>
      </w:rPr>
    </w:lvl>
    <w:lvl w:ilvl="1" w:tplc="704EE90A">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19" w15:restartNumberingAfterBreak="0">
    <w:nsid w:val="3ADE1F3B"/>
    <w:multiLevelType w:val="hybridMultilevel"/>
    <w:tmpl w:val="33FC9A9A"/>
    <w:lvl w:ilvl="0" w:tplc="FEB64E5A">
      <w:start w:val="1"/>
      <w:numFmt w:val="decimal"/>
      <w:lvlText w:val="(%1)"/>
      <w:lvlJc w:val="left"/>
      <w:pPr>
        <w:tabs>
          <w:tab w:val="num" w:pos="735"/>
        </w:tabs>
        <w:ind w:left="735" w:hanging="375"/>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0" w15:restartNumberingAfterBreak="0">
    <w:nsid w:val="402B72A0"/>
    <w:multiLevelType w:val="hybridMultilevel"/>
    <w:tmpl w:val="61824BCA"/>
    <w:lvl w:ilvl="0" w:tplc="394A5360">
      <w:start w:val="1"/>
      <w:numFmt w:val="decimal"/>
      <w:lvlText w:val="(%1)"/>
      <w:lvlJc w:val="left"/>
      <w:pPr>
        <w:tabs>
          <w:tab w:val="num" w:pos="720"/>
        </w:tabs>
        <w:ind w:left="720" w:hanging="360"/>
      </w:pPr>
      <w:rPr>
        <w:rFonts w:cs="Times New Roman"/>
      </w:rPr>
    </w:lvl>
    <w:lvl w:ilvl="1" w:tplc="D5CC95DE">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1" w15:restartNumberingAfterBreak="0">
    <w:nsid w:val="417556A4"/>
    <w:multiLevelType w:val="hybridMultilevel"/>
    <w:tmpl w:val="557CF566"/>
    <w:lvl w:ilvl="0" w:tplc="CFF6AF40">
      <w:start w:val="1"/>
      <w:numFmt w:val="decimal"/>
      <w:lvlText w:val="(%1)"/>
      <w:lvlJc w:val="left"/>
      <w:pPr>
        <w:tabs>
          <w:tab w:val="num" w:pos="720"/>
        </w:tabs>
        <w:ind w:left="720" w:hanging="360"/>
      </w:pPr>
      <w:rPr>
        <w:rFonts w:cs="Times New Roman"/>
      </w:rPr>
    </w:lvl>
    <w:lvl w:ilvl="1" w:tplc="FC6658B4">
      <w:start w:val="1"/>
      <w:numFmt w:val="hebrew1"/>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2" w15:restartNumberingAfterBreak="0">
    <w:nsid w:val="47530F98"/>
    <w:multiLevelType w:val="hybridMultilevel"/>
    <w:tmpl w:val="3EDE22EC"/>
    <w:lvl w:ilvl="0" w:tplc="413ADCC0">
      <w:start w:val="1"/>
      <w:numFmt w:val="decimal"/>
      <w:lvlText w:val="(%1)"/>
      <w:lvlJc w:val="left"/>
      <w:pPr>
        <w:tabs>
          <w:tab w:val="num" w:pos="840"/>
        </w:tabs>
        <w:ind w:left="840" w:hanging="48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3" w15:restartNumberingAfterBreak="0">
    <w:nsid w:val="4A31775C"/>
    <w:multiLevelType w:val="hybridMultilevel"/>
    <w:tmpl w:val="C6A07D5C"/>
    <w:lvl w:ilvl="0" w:tplc="1D72EC02">
      <w:start w:val="1"/>
      <w:numFmt w:val="decimal"/>
      <w:lvlText w:val="(%1)"/>
      <w:lvlJc w:val="left"/>
      <w:pPr>
        <w:tabs>
          <w:tab w:val="num" w:pos="780"/>
        </w:tabs>
        <w:ind w:left="780" w:hanging="42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4" w15:restartNumberingAfterBreak="0">
    <w:nsid w:val="51127315"/>
    <w:multiLevelType w:val="hybridMultilevel"/>
    <w:tmpl w:val="D3F629EA"/>
    <w:lvl w:ilvl="0" w:tplc="F04C2C44">
      <w:start w:val="1"/>
      <w:numFmt w:val="decimal"/>
      <w:lvlText w:val="(%1)"/>
      <w:lvlJc w:val="left"/>
      <w:pPr>
        <w:tabs>
          <w:tab w:val="num" w:pos="765"/>
        </w:tabs>
        <w:ind w:left="765" w:hanging="405"/>
      </w:pPr>
      <w:rPr>
        <w:rFonts w:cs="Times New Roman"/>
      </w:rPr>
    </w:lvl>
    <w:lvl w:ilvl="1" w:tplc="04382118">
      <w:start w:val="1"/>
      <w:numFmt w:val="hebrew1"/>
      <w:lvlText w:val="(%2)"/>
      <w:lvlJc w:val="left"/>
      <w:pPr>
        <w:tabs>
          <w:tab w:val="num" w:pos="1440"/>
        </w:tabs>
        <w:ind w:left="1440" w:hanging="360"/>
      </w:pPr>
      <w:rPr>
        <w:rFonts w:cs="Times New Roman"/>
      </w:rPr>
    </w:lvl>
    <w:lvl w:ilvl="2" w:tplc="70749EB6">
      <w:start w:val="1"/>
      <w:numFmt w:val="hebrew1"/>
      <w:lvlText w:val="(%3)"/>
      <w:lvlJc w:val="left"/>
      <w:pPr>
        <w:tabs>
          <w:tab w:val="num" w:pos="2340"/>
        </w:tabs>
        <w:ind w:left="234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5" w15:restartNumberingAfterBreak="0">
    <w:nsid w:val="55DD37AE"/>
    <w:multiLevelType w:val="hybridMultilevel"/>
    <w:tmpl w:val="7EB0912A"/>
    <w:lvl w:ilvl="0" w:tplc="67385730">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6" w15:restartNumberingAfterBreak="0">
    <w:nsid w:val="56D868AE"/>
    <w:multiLevelType w:val="hybridMultilevel"/>
    <w:tmpl w:val="53BA8E60"/>
    <w:lvl w:ilvl="0" w:tplc="FE1AB79C">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7" w15:restartNumberingAfterBreak="0">
    <w:nsid w:val="58894D7D"/>
    <w:multiLevelType w:val="hybridMultilevel"/>
    <w:tmpl w:val="477601A2"/>
    <w:lvl w:ilvl="0" w:tplc="E920391C">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8" w15:restartNumberingAfterBreak="0">
    <w:nsid w:val="63A04778"/>
    <w:multiLevelType w:val="hybridMultilevel"/>
    <w:tmpl w:val="96C0A90E"/>
    <w:lvl w:ilvl="0" w:tplc="394A5360">
      <w:start w:val="1"/>
      <w:numFmt w:val="decimal"/>
      <w:lvlText w:val="(%1)"/>
      <w:lvlJc w:val="left"/>
      <w:pPr>
        <w:tabs>
          <w:tab w:val="num" w:pos="720"/>
        </w:tabs>
        <w:ind w:left="720" w:hanging="360"/>
      </w:pPr>
      <w:rPr>
        <w:rFonts w:cs="Times New Roman"/>
      </w:rPr>
    </w:lvl>
    <w:lvl w:ilvl="1" w:tplc="E834CFE2">
      <w:start w:val="1"/>
      <w:numFmt w:val="decimal"/>
      <w:lvlText w:val="(%2)"/>
      <w:lvlJc w:val="left"/>
      <w:pPr>
        <w:tabs>
          <w:tab w:val="num" w:pos="720"/>
        </w:tabs>
        <w:ind w:left="720" w:hanging="360"/>
      </w:pPr>
      <w:rPr>
        <w:rFonts w:cs="Times New Roman"/>
      </w:rPr>
    </w:lvl>
    <w:lvl w:ilvl="2" w:tplc="718699F2">
      <w:start w:val="1"/>
      <w:numFmt w:val="bullet"/>
      <w:lvlText w:val="-"/>
      <w:lvlJc w:val="left"/>
      <w:pPr>
        <w:tabs>
          <w:tab w:val="num" w:pos="1620"/>
        </w:tabs>
        <w:ind w:left="1620" w:hanging="360"/>
      </w:pPr>
      <w:rPr>
        <w:rFonts w:ascii="Arial" w:eastAsia="Times New Roman" w:hAnsi="Arial" w:hint="default"/>
      </w:rPr>
    </w:lvl>
    <w:lvl w:ilvl="3" w:tplc="E9A863E8">
      <w:start w:val="1"/>
      <w:numFmt w:val="hebrew1"/>
      <w:lvlText w:val="(%4)"/>
      <w:lvlJc w:val="left"/>
      <w:pPr>
        <w:tabs>
          <w:tab w:val="num" w:pos="2160"/>
        </w:tabs>
        <w:ind w:left="216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29" w15:restartNumberingAfterBreak="0">
    <w:nsid w:val="66DB35EB"/>
    <w:multiLevelType w:val="hybridMultilevel"/>
    <w:tmpl w:val="2926F976"/>
    <w:lvl w:ilvl="0" w:tplc="42040316">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0" w15:restartNumberingAfterBreak="0">
    <w:nsid w:val="670B5072"/>
    <w:multiLevelType w:val="hybridMultilevel"/>
    <w:tmpl w:val="1F403032"/>
    <w:lvl w:ilvl="0" w:tplc="8D662BD0">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1" w15:restartNumberingAfterBreak="0">
    <w:nsid w:val="68DB6AD5"/>
    <w:multiLevelType w:val="hybridMultilevel"/>
    <w:tmpl w:val="91B69FFC"/>
    <w:lvl w:ilvl="0" w:tplc="394A5360">
      <w:start w:val="1"/>
      <w:numFmt w:val="decimal"/>
      <w:lvlText w:val="(%1)"/>
      <w:lvlJc w:val="left"/>
      <w:pPr>
        <w:tabs>
          <w:tab w:val="num" w:pos="1080"/>
        </w:tabs>
        <w:ind w:left="108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2" w15:restartNumberingAfterBreak="0">
    <w:nsid w:val="694C4BA1"/>
    <w:multiLevelType w:val="hybridMultilevel"/>
    <w:tmpl w:val="456835D0"/>
    <w:lvl w:ilvl="0" w:tplc="1730D4AC">
      <w:start w:val="1"/>
      <w:numFmt w:val="decimal"/>
      <w:lvlText w:val="(%1)"/>
      <w:lvlJc w:val="left"/>
      <w:pPr>
        <w:tabs>
          <w:tab w:val="num" w:pos="1381"/>
        </w:tabs>
        <w:ind w:left="1381" w:hanging="360"/>
      </w:pPr>
      <w:rPr>
        <w:rFonts w:cs="Times New Roman"/>
      </w:rPr>
    </w:lvl>
    <w:lvl w:ilvl="1" w:tplc="E848B492">
      <w:start w:val="1"/>
      <w:numFmt w:val="decimal"/>
      <w:lvlText w:val="%2."/>
      <w:lvlJc w:val="left"/>
      <w:pPr>
        <w:tabs>
          <w:tab w:val="num" w:pos="2348"/>
        </w:tabs>
        <w:ind w:left="2348" w:hanging="360"/>
      </w:pPr>
      <w:rPr>
        <w:rFonts w:cs="Times New Roman"/>
      </w:rPr>
    </w:lvl>
    <w:lvl w:ilvl="2" w:tplc="6F48942C">
      <w:start w:val="1"/>
      <w:numFmt w:val="decimal"/>
      <w:lvlText w:val="(%3)"/>
      <w:lvlJc w:val="left"/>
      <w:pPr>
        <w:tabs>
          <w:tab w:val="num" w:pos="3248"/>
        </w:tabs>
        <w:ind w:left="3248" w:hanging="360"/>
      </w:pPr>
      <w:rPr>
        <w:rFonts w:cs="Times New Roman"/>
      </w:rPr>
    </w:lvl>
    <w:lvl w:ilvl="3" w:tplc="D0AAB88E">
      <w:start w:val="1"/>
      <w:numFmt w:val="hebrew1"/>
      <w:lvlText w:val="%4."/>
      <w:lvlJc w:val="left"/>
      <w:pPr>
        <w:tabs>
          <w:tab w:val="num" w:pos="3788"/>
        </w:tabs>
        <w:ind w:left="3788"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3" w15:restartNumberingAfterBreak="0">
    <w:nsid w:val="6B6018D9"/>
    <w:multiLevelType w:val="hybridMultilevel"/>
    <w:tmpl w:val="8F60DAC2"/>
    <w:lvl w:ilvl="0" w:tplc="57F48344">
      <w:start w:val="1"/>
      <w:numFmt w:val="decimal"/>
      <w:lvlText w:val="(%1)"/>
      <w:lvlJc w:val="left"/>
      <w:pPr>
        <w:tabs>
          <w:tab w:val="num" w:pos="360"/>
        </w:tabs>
        <w:ind w:left="360" w:hanging="360"/>
      </w:pPr>
      <w:rPr>
        <w:rFonts w:cs="Times New Roman"/>
      </w:rPr>
    </w:lvl>
    <w:lvl w:ilvl="1" w:tplc="D83031A4">
      <w:start w:val="1"/>
      <w:numFmt w:val="decimal"/>
      <w:lvlText w:val="(%2)"/>
      <w:lvlJc w:val="left"/>
      <w:pPr>
        <w:tabs>
          <w:tab w:val="num" w:pos="1080"/>
        </w:tabs>
        <w:ind w:left="108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4" w15:restartNumberingAfterBreak="0">
    <w:nsid w:val="6B8479DF"/>
    <w:multiLevelType w:val="hybridMultilevel"/>
    <w:tmpl w:val="88BAD460"/>
    <w:lvl w:ilvl="0" w:tplc="1A06C9F2">
      <w:start w:val="1"/>
      <w:numFmt w:val="decimal"/>
      <w:lvlText w:val="(%1)"/>
      <w:lvlJc w:val="left"/>
      <w:pPr>
        <w:tabs>
          <w:tab w:val="num" w:pos="1140"/>
        </w:tabs>
        <w:ind w:left="114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5" w15:restartNumberingAfterBreak="0">
    <w:nsid w:val="71CC7EB2"/>
    <w:multiLevelType w:val="hybridMultilevel"/>
    <w:tmpl w:val="794E295C"/>
    <w:lvl w:ilvl="0" w:tplc="87AC6014">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6" w15:restartNumberingAfterBreak="0">
    <w:nsid w:val="74EF4C52"/>
    <w:multiLevelType w:val="hybridMultilevel"/>
    <w:tmpl w:val="3CECAA66"/>
    <w:lvl w:ilvl="0" w:tplc="97B46702">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7" w15:restartNumberingAfterBreak="0">
    <w:nsid w:val="76531163"/>
    <w:multiLevelType w:val="hybridMultilevel"/>
    <w:tmpl w:val="A1F0EA90"/>
    <w:lvl w:ilvl="0" w:tplc="E3EC5D96">
      <w:start w:val="1"/>
      <w:numFmt w:val="decimal"/>
      <w:lvlText w:val="(%1)"/>
      <w:lvlJc w:val="left"/>
      <w:pPr>
        <w:tabs>
          <w:tab w:val="num" w:pos="360"/>
        </w:tabs>
        <w:ind w:left="36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8" w15:restartNumberingAfterBreak="0">
    <w:nsid w:val="7775100F"/>
    <w:multiLevelType w:val="hybridMultilevel"/>
    <w:tmpl w:val="58FACA56"/>
    <w:lvl w:ilvl="0" w:tplc="E8A0BEF6">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39" w15:restartNumberingAfterBreak="0">
    <w:nsid w:val="7A7E0256"/>
    <w:multiLevelType w:val="hybridMultilevel"/>
    <w:tmpl w:val="AD9CE5EA"/>
    <w:lvl w:ilvl="0" w:tplc="394A5360">
      <w:start w:val="1"/>
      <w:numFmt w:val="decimal"/>
      <w:lvlText w:val="(%1)"/>
      <w:lvlJc w:val="left"/>
      <w:pPr>
        <w:tabs>
          <w:tab w:val="num" w:pos="1080"/>
        </w:tabs>
        <w:ind w:left="1080" w:hanging="360"/>
      </w:pPr>
      <w:rPr>
        <w:rFonts w:cs="Times New Roman"/>
      </w:rPr>
    </w:lvl>
    <w:lvl w:ilvl="1" w:tplc="040D0019">
      <w:start w:val="1"/>
      <w:numFmt w:val="lowerLetter"/>
      <w:lvlText w:val="%2."/>
      <w:lvlJc w:val="left"/>
      <w:pPr>
        <w:tabs>
          <w:tab w:val="num" w:pos="1080"/>
        </w:tabs>
        <w:ind w:left="108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40" w15:restartNumberingAfterBreak="0">
    <w:nsid w:val="7AF42867"/>
    <w:multiLevelType w:val="hybridMultilevel"/>
    <w:tmpl w:val="584836C0"/>
    <w:lvl w:ilvl="0" w:tplc="A99AF554">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1" w15:restartNumberingAfterBreak="0">
    <w:nsid w:val="7D7B27C8"/>
    <w:multiLevelType w:val="hybridMultilevel"/>
    <w:tmpl w:val="9656C83A"/>
    <w:lvl w:ilvl="0" w:tplc="394A5360">
      <w:start w:val="1"/>
      <w:numFmt w:val="decimal"/>
      <w:lvlText w:val="(%1)"/>
      <w:lvlJc w:val="left"/>
      <w:pPr>
        <w:tabs>
          <w:tab w:val="num" w:pos="1080"/>
        </w:tabs>
        <w:ind w:left="1080" w:hanging="360"/>
      </w:pPr>
      <w:rPr>
        <w:rFonts w:cs="Times New Roman"/>
      </w:rPr>
    </w:lvl>
    <w:lvl w:ilvl="1" w:tplc="FAB0F924">
      <w:start w:val="1"/>
      <w:numFmt w:val="decimal"/>
      <w:lvlText w:val="(%2)"/>
      <w:lvlJc w:val="left"/>
      <w:pPr>
        <w:tabs>
          <w:tab w:val="num" w:pos="1095"/>
        </w:tabs>
        <w:ind w:left="1095" w:hanging="375"/>
      </w:pPr>
      <w:rPr>
        <w:rFonts w:cs="Times New Roman"/>
      </w:rPr>
    </w:lvl>
    <w:lvl w:ilvl="2" w:tplc="B40CAE60">
      <w:start w:val="1"/>
      <w:numFmt w:val="decimal"/>
      <w:lvlText w:val="(%3)"/>
      <w:lvlJc w:val="left"/>
      <w:pPr>
        <w:tabs>
          <w:tab w:val="num" w:pos="1980"/>
        </w:tabs>
        <w:ind w:left="198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42" w15:restartNumberingAfterBreak="0">
    <w:nsid w:val="7FB04C8C"/>
    <w:multiLevelType w:val="hybridMultilevel"/>
    <w:tmpl w:val="BA10A8F6"/>
    <w:lvl w:ilvl="0" w:tplc="1388858C">
      <w:start w:val="1"/>
      <w:numFmt w:val="hebrew1"/>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num w:numId="1">
    <w:abstractNumId w:val="40"/>
  </w:num>
  <w:num w:numId="2">
    <w:abstractNumId w:val="0"/>
  </w:num>
  <w:num w:numId="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8273ôøåèå÷åì_éùéáú_åòãä.doc"/>
    <w:docVar w:name="StartMode" w:val="3"/>
  </w:docVars>
  <w:rsids>
    <w:rsidRoot w:val="00AF1222"/>
    <w:rsid w:val="00AF1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24613F-697F-430E-8E99-0804456E1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21">
    <w:name w:val="Body Text 2"/>
    <w:basedOn w:val="a"/>
    <w:link w:val="22"/>
    <w:uiPriority w:val="99"/>
    <w:pPr>
      <w:bidi/>
      <w:ind w:left="432" w:hanging="360"/>
      <w:jc w:val="both"/>
    </w:pPr>
    <w:rPr>
      <w:rFonts w:ascii="Times New (W1)" w:eastAsia="Times New Roman" w:hAnsi="Times New (W1)"/>
      <w:sz w:val="26"/>
      <w:szCs w:val="26"/>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footnote reference"/>
    <w:basedOn w:val="a0"/>
    <w:uiPriority w:val="99"/>
    <w:rPr>
      <w:rFonts w:cs="Miriam"/>
      <w:vertAlign w:val="superscript"/>
      <w:lang w:bidi="he-IL"/>
    </w:rPr>
  </w:style>
  <w:style w:type="paragraph" w:styleId="31">
    <w:name w:val="Body Text Indent 3"/>
    <w:basedOn w:val="a"/>
    <w:link w:val="32"/>
    <w:uiPriority w:val="99"/>
    <w:pPr>
      <w:bidi/>
      <w:ind w:left="720"/>
      <w:jc w:val="both"/>
    </w:pPr>
    <w:rPr>
      <w:rFonts w:ascii="Times New (W1)" w:eastAsia="Times New Roman" w:hAnsi="Times New (W1)"/>
      <w:sz w:val="26"/>
      <w:szCs w:val="26"/>
    </w:rPr>
  </w:style>
  <w:style w:type="character" w:customStyle="1" w:styleId="32">
    <w:name w:val="כניסה בגוף טקסט 3 תו"/>
    <w:basedOn w:val="a0"/>
    <w:link w:val="31"/>
    <w:uiPriority w:val="99"/>
    <w:semiHidden/>
    <w:rPr>
      <w:rFonts w:ascii="Times New Roman" w:hAnsi="Times New Roman" w:cs="Times New Roman"/>
      <w:sz w:val="16"/>
      <w:szCs w:val="16"/>
    </w:rPr>
  </w:style>
  <w:style w:type="paragraph" w:styleId="23">
    <w:name w:val="Body Text Indent 2"/>
    <w:basedOn w:val="a"/>
    <w:link w:val="24"/>
    <w:uiPriority w:val="99"/>
    <w:pPr>
      <w:bidi/>
      <w:ind w:left="360"/>
      <w:jc w:val="both"/>
    </w:pPr>
    <w:rPr>
      <w:rFonts w:ascii="Times New (W1)" w:eastAsia="Times New Roman" w:hAnsi="Times New (W1)"/>
      <w:sz w:val="26"/>
      <w:szCs w:val="26"/>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a6">
    <w:name w:val="footnote text"/>
    <w:basedOn w:val="a"/>
    <w:link w:val="a7"/>
    <w:uiPriority w:val="99"/>
    <w:pPr>
      <w:bidi/>
    </w:pPr>
    <w:rPr>
      <w:rFonts w:ascii="Times New (W1)" w:eastAsia="Times New Roman" w:hAnsi="Times New (W1)"/>
    </w:rPr>
  </w:style>
  <w:style w:type="character" w:customStyle="1" w:styleId="a7">
    <w:name w:val="טקסט הערת שוליים תו"/>
    <w:basedOn w:val="a0"/>
    <w:link w:val="a6"/>
    <w:uiPriority w:val="99"/>
    <w:semiHidden/>
    <w:rPr>
      <w:rFonts w:ascii="Times New Roman" w:hAnsi="Times New Roman" w:cs="Times New Roman"/>
      <w:sz w:val="20"/>
      <w:szCs w:val="20"/>
    </w:rPr>
  </w:style>
  <w:style w:type="paragraph" w:customStyle="1" w:styleId="25">
    <w:name w:val="תלויה2"/>
    <w:basedOn w:val="2"/>
    <w:uiPriority w:val="99"/>
    <w:pPr>
      <w:keepNext w:val="0"/>
      <w:spacing w:after="240"/>
      <w:ind w:left="624" w:right="624" w:hanging="624"/>
      <w:jc w:val="both"/>
      <w:outlineLvl w:val="9"/>
    </w:pPr>
    <w:rPr>
      <w:rFonts w:ascii="Times New (W1)" w:eastAsia="Times New Roman" w:hAnsi="Times New (W1)"/>
      <w:b w:val="0"/>
      <w:bCs w:val="0"/>
    </w:rPr>
  </w:style>
  <w:style w:type="character" w:styleId="a8">
    <w:name w:val="page number"/>
    <w:basedOn w:val="a0"/>
    <w:uiPriority w:val="99"/>
    <w:rPr>
      <w:rFonts w:cs="Times New Roman"/>
    </w:rPr>
  </w:style>
  <w:style w:type="paragraph" w:styleId="a9">
    <w:name w:val="header"/>
    <w:basedOn w:val="a"/>
    <w:link w:val="aa"/>
    <w:uiPriority w:val="99"/>
    <w:pPr>
      <w:tabs>
        <w:tab w:val="center" w:pos="4153"/>
        <w:tab w:val="right" w:pos="8306"/>
      </w:tabs>
      <w:overflowPunct w:val="0"/>
      <w:autoSpaceDE w:val="0"/>
      <w:autoSpaceDN w:val="0"/>
      <w:bidi/>
      <w:adjustRightInd w:val="0"/>
      <w:jc w:val="both"/>
      <w:textAlignment w:val="baseline"/>
    </w:pPr>
    <w:rPr>
      <w:rFonts w:eastAsia="Times New Roman"/>
      <w:sz w:val="22"/>
      <w:lang w:eastAsia="he-IL"/>
    </w:rPr>
  </w:style>
  <w:style w:type="character" w:customStyle="1" w:styleId="aa">
    <w:name w:val="כותרת עליונה תו"/>
    <w:basedOn w:val="a0"/>
    <w:link w:val="a9"/>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98D855-A1CB-4A58-8F5F-35789E484CD3}"/>
</file>

<file path=customXml/itemProps2.xml><?xml version="1.0" encoding="utf-8"?>
<ds:datastoreItem xmlns:ds="http://schemas.openxmlformats.org/officeDocument/2006/customXml" ds:itemID="{E3296E7C-5FD0-4BCC-9A25-BA1028CC76B9}"/>
</file>

<file path=customXml/itemProps3.xml><?xml version="1.0" encoding="utf-8"?>
<ds:datastoreItem xmlns:ds="http://schemas.openxmlformats.org/officeDocument/2006/customXml" ds:itemID="{E39EB6A8-518A-45EF-897A-DE7E84B71DB9}"/>
</file>

<file path=docProps/app.xml><?xml version="1.0" encoding="utf-8"?>
<Properties xmlns="http://schemas.openxmlformats.org/officeDocument/2006/extended-properties" xmlns:vt="http://schemas.openxmlformats.org/officeDocument/2006/docPropsVTypes">
  <Template>פרוטוקול_ישיבת_ועדה</Template>
  <TotalTime>0</TotalTime>
  <Pages>6</Pages>
  <Words>14762</Words>
  <Characters>73813</Characters>
  <Application>Microsoft Office Word</Application>
  <DocSecurity>0</DocSecurity>
  <Lines>615</Lines>
  <Paragraphs>176</Paragraphs>
  <ScaleCrop>false</ScaleCrop>
  <Company>Liraz</Company>
  <LinksUpToDate>false</LinksUpToDate>
  <CharactersWithSpaces>88399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103181205</vt:lpwstr>
  </property>
  <property fmtid="{D5CDD505-2E9C-101B-9397-08002B2CF9AE}" pid="4" name="SDDocDate">
    <vt:lpwstr>2005-11-20T13:29:14Z</vt:lpwstr>
  </property>
  <property fmtid="{D5CDD505-2E9C-101B-9397-08002B2CF9AE}" pid="5" name="SDHebDate">
    <vt:lpwstr>י"ח בחשון, התשס"ו</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502.000000000000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2005-08-31T13:30:00Z</vt:lpwstr>
  </property>
  <property fmtid="{D5CDD505-2E9C-101B-9397-08002B2CF9AE}" pid="11" name="שעת ישיבה">
    <vt:lpwstr>09:30</vt:lpwstr>
  </property>
  <property fmtid="{D5CDD505-2E9C-101B-9397-08002B2CF9AE}" pid="12" name="MisVaada">
    <vt:lpwstr>24.0000000000000</vt:lpwstr>
  </property>
  <property fmtid="{D5CDD505-2E9C-101B-9397-08002B2CF9AE}" pid="13" name="GetLastModified">
    <vt:lpwstr>2/1/2007 5:42:26 AM</vt:lpwstr>
  </property>
  <property fmtid="{D5CDD505-2E9C-101B-9397-08002B2CF9AE}" pid="14" name="ContentTypeId">
    <vt:lpwstr>0x010100B126DF0F8D0A5A4EB112ABD857421DAD</vt:lpwstr>
  </property>
  <property fmtid="{D5CDD505-2E9C-101B-9397-08002B2CF9AE}" pid="15" name="SanhedrinItemID">
    <vt:r8>118273</vt:r8>
  </property>
  <property fmtid="{D5CDD505-2E9C-101B-9397-08002B2CF9AE}" pid="16" name="SanhedrinDocumentType">
    <vt:r8>167</vt:r8>
  </property>
</Properties>
</file>