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C0D">
      <w:pPr>
        <w:jc w:val="right"/>
        <w:rPr>
          <w:rFonts w:cs="David"/>
          <w:sz w:val="24"/>
          <w:rtl/>
        </w:rPr>
      </w:pPr>
      <w:bookmarkStart w:id="0" w:name="_GoBack"/>
      <w:bookmarkEnd w:id="0"/>
      <w:r>
        <w:rPr>
          <w:rFonts w:cs="David"/>
          <w:sz w:val="24"/>
          <w:rtl/>
        </w:rPr>
        <w:t>פרוטוקולים/כלכלה/4751</w:t>
      </w:r>
    </w:p>
    <w:p w:rsidR="00000000" w:rsidRDefault="00895C0D">
      <w:pPr>
        <w:jc w:val="right"/>
        <w:rPr>
          <w:rFonts w:cs="David"/>
          <w:sz w:val="24"/>
          <w:rtl/>
        </w:rPr>
      </w:pPr>
      <w:r>
        <w:rPr>
          <w:rFonts w:cs="David"/>
          <w:sz w:val="24"/>
          <w:rtl/>
        </w:rPr>
        <w:tab/>
        <w:t>ירושלים, כ"ג באדר, תשס"ב</w:t>
      </w:r>
    </w:p>
    <w:p w:rsidR="00000000" w:rsidRDefault="00895C0D">
      <w:pPr>
        <w:jc w:val="right"/>
        <w:rPr>
          <w:rFonts w:cs="David"/>
          <w:sz w:val="24"/>
          <w:rtl/>
          <w:lang w:val="es"/>
        </w:rPr>
      </w:pPr>
      <w:r>
        <w:rPr>
          <w:rFonts w:cs="David"/>
          <w:sz w:val="24"/>
          <w:rtl/>
          <w:lang w:val="es"/>
        </w:rPr>
        <w:t>7 במרץ, 2002</w:t>
      </w:r>
    </w:p>
    <w:p w:rsidR="00000000" w:rsidRDefault="00895C0D">
      <w:pPr>
        <w:jc w:val="right"/>
        <w:rPr>
          <w:rFonts w:cs="David"/>
          <w:sz w:val="24"/>
          <w:rtl/>
        </w:rPr>
      </w:pPr>
    </w:p>
    <w:p w:rsidR="00000000" w:rsidRDefault="00895C0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95C0D">
      <w:pPr>
        <w:rPr>
          <w:rFonts w:cs="David"/>
          <w:b/>
          <w:bCs/>
          <w:sz w:val="24"/>
          <w:rtl/>
        </w:rPr>
      </w:pPr>
      <w:r>
        <w:rPr>
          <w:rFonts w:cs="David"/>
          <w:b/>
          <w:bCs/>
          <w:sz w:val="24"/>
          <w:rtl/>
        </w:rPr>
        <w:t>מושב רביעי</w:t>
      </w:r>
    </w:p>
    <w:p w:rsidR="00000000" w:rsidRDefault="00895C0D">
      <w:pPr>
        <w:rPr>
          <w:rFonts w:cs="David"/>
          <w:b/>
          <w:bCs/>
          <w:sz w:val="24"/>
          <w:rtl/>
        </w:rPr>
      </w:pPr>
    </w:p>
    <w:p w:rsidR="00000000" w:rsidRDefault="00895C0D">
      <w:pPr>
        <w:rPr>
          <w:rFonts w:cs="David"/>
          <w:b/>
          <w:bCs/>
          <w:sz w:val="24"/>
          <w:rtl/>
        </w:rPr>
      </w:pPr>
    </w:p>
    <w:p w:rsidR="00000000" w:rsidRDefault="00895C0D">
      <w:pPr>
        <w:pStyle w:val="10"/>
        <w:rPr>
          <w:rFonts w:cs="David"/>
          <w:sz w:val="24"/>
          <w:rtl/>
        </w:rPr>
      </w:pPr>
      <w:r>
        <w:rPr>
          <w:rFonts w:cs="David"/>
          <w:sz w:val="24"/>
          <w:rtl/>
        </w:rPr>
        <w:t>פרוטוקול מס' 23</w:t>
      </w:r>
    </w:p>
    <w:p w:rsidR="00000000" w:rsidRDefault="00895C0D">
      <w:pPr>
        <w:pStyle w:val="10"/>
        <w:rPr>
          <w:rFonts w:cs="David"/>
          <w:sz w:val="24"/>
          <w:rtl/>
        </w:rPr>
      </w:pPr>
    </w:p>
    <w:p w:rsidR="00000000" w:rsidRDefault="00895C0D">
      <w:pPr>
        <w:pStyle w:val="20"/>
        <w:rPr>
          <w:rFonts w:cs="David"/>
          <w:sz w:val="24"/>
          <w:rtl/>
        </w:rPr>
      </w:pPr>
      <w:r>
        <w:rPr>
          <w:rFonts w:cs="David"/>
          <w:sz w:val="24"/>
          <w:rtl/>
        </w:rPr>
        <w:t>מישיבת הוועדה המשותפת לוועדת  הכלכלה ולוועדת החוקה, חוק ומשפט</w:t>
      </w:r>
    </w:p>
    <w:p w:rsidR="00000000" w:rsidRDefault="00895C0D">
      <w:pPr>
        <w:pStyle w:val="40"/>
        <w:rPr>
          <w:rFonts w:cs="David"/>
          <w:sz w:val="24"/>
          <w:rtl/>
        </w:rPr>
      </w:pPr>
      <w:r>
        <w:rPr>
          <w:rFonts w:cs="David"/>
          <w:sz w:val="24"/>
          <w:rtl/>
        </w:rPr>
        <w:t>לעניין חוק שירות נתוני אשראי, התשנ"ח-1997</w:t>
      </w:r>
    </w:p>
    <w:p w:rsidR="00000000" w:rsidRDefault="00895C0D">
      <w:pPr>
        <w:jc w:val="center"/>
        <w:rPr>
          <w:rFonts w:cs="David"/>
          <w:sz w:val="24"/>
          <w:u w:val="single"/>
          <w:rtl/>
        </w:rPr>
      </w:pPr>
      <w:r>
        <w:rPr>
          <w:rFonts w:cs="David"/>
          <w:b/>
          <w:bCs/>
          <w:sz w:val="24"/>
          <w:u w:val="single"/>
          <w:rtl/>
        </w:rPr>
        <w:t>‏יום שלישי, י"ז בטבת ה</w:t>
      </w:r>
      <w:r>
        <w:rPr>
          <w:rFonts w:cs="David"/>
          <w:b/>
          <w:bCs/>
          <w:sz w:val="24"/>
          <w:u w:val="single"/>
          <w:rtl/>
        </w:rPr>
        <w:t>תשס"ב (‏1 בינואר, 2002), שעה 13:30</w:t>
      </w:r>
    </w:p>
    <w:p w:rsidR="00000000" w:rsidRDefault="00895C0D">
      <w:pPr>
        <w:pStyle w:val="30"/>
        <w:rPr>
          <w:rFonts w:cs="David"/>
          <w:sz w:val="24"/>
          <w:rtl/>
        </w:rPr>
      </w:pPr>
    </w:p>
    <w:p w:rsidR="00000000" w:rsidRDefault="00895C0D">
      <w:pPr>
        <w:tabs>
          <w:tab w:val="left" w:pos="1134"/>
          <w:tab w:val="left" w:pos="1418"/>
        </w:tabs>
        <w:ind w:left="1418" w:hanging="1418"/>
        <w:rPr>
          <w:rFonts w:cs="David"/>
          <w:b/>
          <w:bCs/>
          <w:sz w:val="24"/>
          <w:u w:val="single"/>
          <w:rtl/>
        </w:rPr>
      </w:pPr>
    </w:p>
    <w:p w:rsidR="00000000" w:rsidRDefault="00895C0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שירות נתוני אשראי, התשנ"ח-1997 - דיון מחדש בעניין תחילת החוק והמועד להתקנת תקנות.</w:t>
      </w:r>
    </w:p>
    <w:p w:rsidR="00000000" w:rsidRDefault="00895C0D">
      <w:pPr>
        <w:tabs>
          <w:tab w:val="left" w:pos="1134"/>
          <w:tab w:val="left" w:pos="1418"/>
        </w:tabs>
        <w:ind w:left="1418" w:hanging="284"/>
        <w:rPr>
          <w:rFonts w:cs="David"/>
          <w:sz w:val="24"/>
          <w:rtl/>
        </w:rPr>
      </w:pPr>
    </w:p>
    <w:p w:rsidR="00000000" w:rsidRDefault="00895C0D">
      <w:pPr>
        <w:rPr>
          <w:rFonts w:cs="David"/>
          <w:b/>
          <w:bCs/>
          <w:sz w:val="24"/>
          <w:rtl/>
        </w:rPr>
      </w:pPr>
    </w:p>
    <w:p w:rsidR="00000000" w:rsidRDefault="00895C0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95C0D">
      <w:pPr>
        <w:tabs>
          <w:tab w:val="left" w:pos="1276"/>
        </w:tabs>
        <w:rPr>
          <w:rFonts w:cs="David"/>
          <w:b/>
          <w:bCs/>
          <w:sz w:val="24"/>
          <w:u w:val="single"/>
          <w:rtl/>
        </w:rPr>
      </w:pPr>
    </w:p>
    <w:p w:rsidR="00000000" w:rsidRDefault="00895C0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(יו"ר ועדת הכלכלה) - היו"ר</w:t>
      </w:r>
    </w:p>
    <w:p w:rsidR="00000000" w:rsidRDefault="00895C0D">
      <w:pPr>
        <w:tabs>
          <w:tab w:val="left" w:pos="1276"/>
        </w:tabs>
        <w:ind w:left="1276"/>
        <w:rPr>
          <w:rFonts w:cs="David"/>
          <w:sz w:val="24"/>
          <w:rtl/>
        </w:rPr>
      </w:pPr>
      <w:r>
        <w:rPr>
          <w:rFonts w:cs="David"/>
          <w:sz w:val="24"/>
          <w:rtl/>
        </w:rPr>
        <w:t>אופיר פינס-פז (יו"ר ועדת החוקה, חוק ומשפט)</w:t>
      </w:r>
    </w:p>
    <w:p w:rsidR="00000000" w:rsidRDefault="00895C0D">
      <w:pPr>
        <w:tabs>
          <w:tab w:val="left" w:pos="1276"/>
        </w:tabs>
        <w:ind w:left="1276"/>
        <w:rPr>
          <w:rFonts w:cs="David"/>
          <w:sz w:val="24"/>
          <w:rtl/>
        </w:rPr>
      </w:pPr>
      <w:r>
        <w:rPr>
          <w:rFonts w:cs="David"/>
          <w:sz w:val="24"/>
          <w:rtl/>
        </w:rPr>
        <w:t>מרינה סולוד</w:t>
      </w:r>
      <w:r>
        <w:rPr>
          <w:rFonts w:cs="David"/>
          <w:sz w:val="24"/>
          <w:rtl/>
        </w:rPr>
        <w:t>קין</w:t>
      </w:r>
    </w:p>
    <w:p w:rsidR="00000000" w:rsidRDefault="00895C0D">
      <w:pPr>
        <w:tabs>
          <w:tab w:val="left" w:pos="1276"/>
        </w:tabs>
        <w:ind w:left="1276"/>
        <w:rPr>
          <w:rFonts w:cs="David"/>
          <w:sz w:val="24"/>
          <w:rtl/>
        </w:rPr>
      </w:pPr>
    </w:p>
    <w:p w:rsidR="00000000" w:rsidRDefault="00895C0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w:t>
      </w:r>
      <w:r>
        <w:rPr>
          <w:rFonts w:cs="David"/>
          <w:sz w:val="24"/>
          <w:rtl/>
        </w:rPr>
        <w:tab/>
        <w:t xml:space="preserve">משנה ליועץ המשפטי לממשלה, משרד המשפטים </w:t>
      </w:r>
    </w:p>
    <w:p w:rsidR="00000000" w:rsidRDefault="00895C0D">
      <w:pPr>
        <w:tabs>
          <w:tab w:val="left" w:pos="1276"/>
          <w:tab w:val="left" w:pos="3969"/>
          <w:tab w:val="left" w:pos="4253"/>
        </w:tabs>
        <w:ind w:left="4253" w:hanging="4253"/>
        <w:rPr>
          <w:rFonts w:cs="David"/>
          <w:sz w:val="24"/>
          <w:rtl/>
        </w:rPr>
      </w:pPr>
      <w:r>
        <w:rPr>
          <w:rFonts w:cs="David"/>
          <w:sz w:val="24"/>
          <w:rtl/>
        </w:rPr>
        <w:tab/>
        <w:t>עו"ד אלן זיסבלט</w:t>
      </w:r>
      <w:r>
        <w:rPr>
          <w:rFonts w:cs="David"/>
          <w:sz w:val="24"/>
          <w:rtl/>
        </w:rPr>
        <w:tab/>
        <w:t>-</w:t>
      </w:r>
      <w:r>
        <w:rPr>
          <w:rFonts w:cs="David"/>
          <w:sz w:val="24"/>
          <w:rtl/>
        </w:rPr>
        <w:tab/>
        <w:t>משרד המשפטים</w:t>
      </w:r>
    </w:p>
    <w:p w:rsidR="00000000" w:rsidRDefault="00895C0D">
      <w:pPr>
        <w:tabs>
          <w:tab w:val="left" w:pos="1276"/>
          <w:tab w:val="left" w:pos="3969"/>
          <w:tab w:val="left" w:pos="4253"/>
        </w:tabs>
        <w:ind w:left="4253" w:hanging="4253"/>
        <w:rPr>
          <w:rFonts w:cs="David"/>
          <w:sz w:val="24"/>
          <w:rtl/>
        </w:rPr>
      </w:pPr>
      <w:r>
        <w:rPr>
          <w:rFonts w:cs="David"/>
          <w:sz w:val="24"/>
          <w:rtl/>
        </w:rPr>
        <w:tab/>
        <w:t>עו"ד תמר קלהורה</w:t>
      </w:r>
      <w:r>
        <w:rPr>
          <w:rFonts w:cs="David"/>
          <w:sz w:val="24"/>
          <w:rtl/>
        </w:rPr>
        <w:tab/>
        <w:t>-</w:t>
      </w:r>
      <w:r>
        <w:rPr>
          <w:rFonts w:cs="David"/>
          <w:sz w:val="24"/>
          <w:rtl/>
        </w:rPr>
        <w:tab/>
        <w:t>משרד המשפטים</w:t>
      </w:r>
    </w:p>
    <w:p w:rsidR="00000000" w:rsidRDefault="00895C0D">
      <w:pPr>
        <w:tabs>
          <w:tab w:val="left" w:pos="1276"/>
          <w:tab w:val="left" w:pos="3969"/>
          <w:tab w:val="left" w:pos="4253"/>
        </w:tabs>
        <w:ind w:left="4253" w:hanging="4253"/>
        <w:rPr>
          <w:rFonts w:cs="David"/>
          <w:sz w:val="24"/>
          <w:rtl/>
        </w:rPr>
      </w:pPr>
      <w:r>
        <w:rPr>
          <w:rFonts w:cs="David"/>
          <w:sz w:val="24"/>
          <w:rtl/>
        </w:rPr>
        <w:tab/>
        <w:t>עו"ד ורדה לוסטהויז</w:t>
      </w:r>
      <w:r>
        <w:rPr>
          <w:rFonts w:cs="David"/>
          <w:sz w:val="24"/>
          <w:rtl/>
        </w:rPr>
        <w:tab/>
        <w:t>-</w:t>
      </w:r>
      <w:r>
        <w:rPr>
          <w:rFonts w:cs="David"/>
          <w:sz w:val="24"/>
          <w:rtl/>
        </w:rPr>
        <w:tab/>
        <w:t>משנה ליועץ המשפטי, בנק ישראל</w:t>
      </w:r>
    </w:p>
    <w:p w:rsidR="00000000" w:rsidRDefault="00895C0D">
      <w:pPr>
        <w:tabs>
          <w:tab w:val="left" w:pos="1276"/>
          <w:tab w:val="left" w:pos="3969"/>
          <w:tab w:val="left" w:pos="4253"/>
        </w:tabs>
        <w:ind w:left="4253" w:hanging="4253"/>
        <w:rPr>
          <w:rFonts w:cs="David"/>
          <w:sz w:val="24"/>
          <w:rtl/>
        </w:rPr>
      </w:pPr>
      <w:r>
        <w:rPr>
          <w:rFonts w:cs="David"/>
          <w:sz w:val="24"/>
          <w:rtl/>
        </w:rPr>
        <w:tab/>
        <w:t>אריה כהן</w:t>
      </w:r>
      <w:r>
        <w:rPr>
          <w:rFonts w:cs="David"/>
          <w:sz w:val="24"/>
          <w:rtl/>
        </w:rPr>
        <w:tab/>
        <w:t>-</w:t>
      </w:r>
      <w:r>
        <w:rPr>
          <w:rFonts w:cs="David"/>
          <w:sz w:val="24"/>
          <w:rtl/>
        </w:rPr>
        <w:tab/>
        <w:t>מנהל אגף ההוצאה לפועל, הנהלת בתי המשפט</w:t>
      </w:r>
    </w:p>
    <w:p w:rsidR="00000000" w:rsidRDefault="00895C0D">
      <w:pPr>
        <w:tabs>
          <w:tab w:val="left" w:pos="1276"/>
          <w:tab w:val="left" w:pos="3969"/>
          <w:tab w:val="left" w:pos="4253"/>
        </w:tabs>
        <w:ind w:left="4253" w:hanging="2977"/>
        <w:rPr>
          <w:rFonts w:cs="David"/>
          <w:sz w:val="24"/>
          <w:rtl/>
        </w:rPr>
      </w:pPr>
    </w:p>
    <w:p w:rsidR="00000000" w:rsidRDefault="00895C0D">
      <w:pPr>
        <w:rPr>
          <w:rFonts w:cs="David"/>
          <w:sz w:val="24"/>
          <w:rtl/>
        </w:rPr>
      </w:pPr>
    </w:p>
    <w:p w:rsidR="00000000" w:rsidRDefault="00895C0D">
      <w:pPr>
        <w:tabs>
          <w:tab w:val="left" w:pos="1559"/>
        </w:tabs>
        <w:ind w:left="1559" w:hanging="1559"/>
        <w:rPr>
          <w:rFonts w:cs="David"/>
          <w:sz w:val="24"/>
          <w:rtl/>
        </w:rPr>
      </w:pPr>
      <w:r>
        <w:rPr>
          <w:rFonts w:cs="David"/>
          <w:b/>
          <w:bCs/>
          <w:sz w:val="24"/>
          <w:u w:val="single"/>
          <w:rtl/>
        </w:rPr>
        <w:t>יועצת משפטית</w:t>
      </w:r>
      <w:r>
        <w:rPr>
          <w:rFonts w:cs="David"/>
          <w:sz w:val="24"/>
          <w:rtl/>
        </w:rPr>
        <w:t>:  את</w:t>
      </w:r>
      <w:r>
        <w:rPr>
          <w:rFonts w:cs="David"/>
          <w:sz w:val="24"/>
          <w:rtl/>
        </w:rPr>
        <w:t>י בנדלר</w:t>
      </w:r>
    </w:p>
    <w:p w:rsidR="00000000" w:rsidRDefault="00895C0D">
      <w:pPr>
        <w:tabs>
          <w:tab w:val="left" w:pos="1559"/>
        </w:tabs>
        <w:ind w:left="1559" w:hanging="1559"/>
        <w:rPr>
          <w:rFonts w:cs="David"/>
          <w:sz w:val="24"/>
          <w:rtl/>
        </w:rPr>
      </w:pPr>
    </w:p>
    <w:p w:rsidR="00000000" w:rsidRDefault="00895C0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95C0D">
      <w:pPr>
        <w:tabs>
          <w:tab w:val="left" w:pos="1559"/>
        </w:tabs>
        <w:rPr>
          <w:rFonts w:cs="David"/>
          <w:sz w:val="24"/>
          <w:rtl/>
        </w:rPr>
      </w:pPr>
    </w:p>
    <w:p w:rsidR="00000000" w:rsidRDefault="00895C0D">
      <w:pPr>
        <w:rPr>
          <w:rFonts w:cs="David"/>
          <w:sz w:val="24"/>
          <w:rtl/>
        </w:rPr>
      </w:pPr>
      <w:r>
        <w:rPr>
          <w:rFonts w:cs="David"/>
          <w:sz w:val="24"/>
          <w:rtl/>
        </w:rPr>
        <w:br w:type="page"/>
      </w:r>
    </w:p>
    <w:p w:rsidR="00000000" w:rsidRDefault="00895C0D">
      <w:pPr>
        <w:pStyle w:val="5"/>
        <w:rPr>
          <w:rFonts w:cs="David"/>
          <w:sz w:val="24"/>
          <w:rtl/>
        </w:rPr>
      </w:pPr>
      <w:r>
        <w:rPr>
          <w:rFonts w:cs="David"/>
          <w:sz w:val="24"/>
          <w:rtl/>
        </w:rPr>
        <w:t>הצעת חוק שירות נתוני אשראי, התשנ"ח-1997</w:t>
      </w:r>
    </w:p>
    <w:p w:rsidR="00000000" w:rsidRDefault="00895C0D">
      <w:pPr>
        <w:pStyle w:val="6"/>
        <w:rPr>
          <w:rFonts w:cs="David"/>
          <w:sz w:val="24"/>
          <w:rtl/>
        </w:rPr>
      </w:pPr>
      <w:r>
        <w:rPr>
          <w:rFonts w:cs="David"/>
          <w:sz w:val="24"/>
          <w:rtl/>
        </w:rPr>
        <w:t>דיון מחדש בעניין תחילת החוק והמועד להתקנת תקנות</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לאחר שאישרנו את הצעת חוק שירות נתוני אשראי, התשנ"ח-1997, בקריאה שניה ושלישית הסתבר לנו ששגגה יצאה תחת ידינו כששכחנו ל</w:t>
      </w:r>
      <w:r>
        <w:rPr>
          <w:rFonts w:cs="David"/>
          <w:sz w:val="24"/>
          <w:rtl/>
        </w:rPr>
        <w:t>עדכן את המועדים לכניסת החוק לתוקף. חשבנו שהחוק יאושר בחודש יולי והנה עברה חצי שנה ואנחנו בינואר. על כן, בהסכמת הנוכחים, אנחנו קודם כל פותחים את העניין, רק לצורך שינוי המועדים.</w:t>
      </w:r>
    </w:p>
    <w:p w:rsidR="00000000" w:rsidRDefault="00895C0D">
      <w:pPr>
        <w:rPr>
          <w:rFonts w:cs="David"/>
          <w:sz w:val="24"/>
          <w:rtl/>
        </w:rPr>
      </w:pPr>
    </w:p>
    <w:p w:rsidR="00000000" w:rsidRDefault="00895C0D">
      <w:pPr>
        <w:rPr>
          <w:rFonts w:cs="David"/>
          <w:sz w:val="24"/>
          <w:rtl/>
        </w:rPr>
      </w:pPr>
      <w:r>
        <w:rPr>
          <w:rFonts w:cs="David"/>
          <w:sz w:val="24"/>
          <w:rtl/>
        </w:rPr>
        <w:tab/>
        <w:t>נראה מה המועדים שקבענו אז ונזיז אותם באופן יחסי קדימה.</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 xml:space="preserve">זה בדיוק </w:t>
      </w:r>
      <w:r>
        <w:rPr>
          <w:rFonts w:cs="David"/>
          <w:sz w:val="24"/>
          <w:rtl/>
        </w:rPr>
        <w:t>מה שאני הצעתי, רק בלי תאריכים חלוטים. הנוסח הקיים אמר ש"תחילתו של חוק זה ביום 1 באוגוסט 2002". הקריאה השניה והקריאה השלישית היו אמורות להיות ב-25.7.2001, כשתוך מספר ימים החוק היה אמור להתפרסם. דהיינו, היה מתוכנן שתהיה שנה עד לכניסת החוק לתוקפו. לפיכך אני מ</w:t>
      </w:r>
      <w:r>
        <w:rPr>
          <w:rFonts w:cs="David"/>
          <w:sz w:val="24"/>
          <w:rtl/>
        </w:rPr>
        <w:t>ציעה, במקום הנוסח של סעיף 59(א) כפי שהופיע, שייאמר: "תחילתו של חוק זה ב-1 בחודש שלאחר תום שנה מיום פרסומו".</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 xml:space="preserve">האם זה מקובל עליכם? טוב. </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אני מוכרחה להודות באשמה, שעשיתי את זה ללא היוועצות במשרד המשפטים.</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אבל ברו</w:t>
      </w:r>
      <w:r>
        <w:rPr>
          <w:rFonts w:cs="David"/>
          <w:sz w:val="24"/>
          <w:rtl/>
        </w:rPr>
        <w:t>חנו.</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חבר הכנסת פינס-פז, אנחנו דוחים מועדים. יצאנו מתוך הנחה שהחוק יעבור ביולי ולפיכך קבענו מועדי תחילה מסויימים. בינתיים נגררנו מיולי לדצמבר. כדי שהחוק לא ייכנס לתוקפו כבר עתה, כאשר העניין לא ערוך, אנחנו דוחים את התחילה.</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r>
      <w:r>
        <w:rPr>
          <w:rFonts w:cs="David"/>
          <w:sz w:val="24"/>
          <w:rtl/>
        </w:rPr>
        <w:t xml:space="preserve">סעיף 60 - </w:t>
      </w:r>
      <w:r>
        <w:rPr>
          <w:rFonts w:cs="David"/>
          <w:i/>
          <w:iCs/>
          <w:sz w:val="24"/>
          <w:rtl/>
        </w:rPr>
        <w:t>חובת התקנת תקנות</w:t>
      </w:r>
      <w:r>
        <w:rPr>
          <w:rFonts w:cs="David"/>
          <w:sz w:val="24"/>
          <w:rtl/>
        </w:rPr>
        <w:t>: "תקנות ראשונות הדרושות להפעלת החוק והטעונות אישור הוועדה" - בהתאם למוצע בנוסח שהונח לקריאה שניה ושלישית היו אמורות להיות מובאות לאישור הוועדה עד 31.1.2002, קרי, כמחצית השנה לאחר המועד המקורי שהחוק היה אמור להתקבל בו. בסעיף 60 הח</w:t>
      </w:r>
      <w:r>
        <w:rPr>
          <w:rFonts w:cs="David"/>
          <w:sz w:val="24"/>
          <w:rtl/>
        </w:rPr>
        <w:t>דש שאני מציעה היום נאמר: "תקנות ראשונות הדרושות להפעלת החוק והטעונות אישור הוועדה, יובאו לאישורה בתוך שישה חודשים מיום פרסומו של חוק זה."</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האם זה מקובל  על אנשי משרד המשפטים?</w:t>
      </w:r>
    </w:p>
    <w:p w:rsidR="00000000" w:rsidRDefault="00895C0D">
      <w:pPr>
        <w:rPr>
          <w:rFonts w:cs="David"/>
          <w:sz w:val="24"/>
          <w:rtl/>
        </w:rPr>
      </w:pP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כן. זה שינוי טכני.</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גברת ש</w:t>
      </w:r>
      <w:r>
        <w:rPr>
          <w:rFonts w:cs="David"/>
          <w:sz w:val="24"/>
          <w:rtl/>
        </w:rPr>
        <w:t>פניץ, האם את מאמינה שזה לא יחזור לפה?</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תלוי במי שמציג את זה בקריאה שניה ושלישית ...</w:t>
      </w:r>
    </w:p>
    <w:p w:rsidR="00000000" w:rsidRDefault="00895C0D">
      <w:pPr>
        <w:rPr>
          <w:rFonts w:cs="David"/>
          <w:sz w:val="24"/>
          <w:rtl/>
        </w:rPr>
      </w:pPr>
    </w:p>
    <w:p w:rsidR="00000000" w:rsidRDefault="00895C0D">
      <w:pPr>
        <w:rPr>
          <w:rFonts w:cs="David"/>
          <w:sz w:val="24"/>
          <w:u w:val="single"/>
          <w:rtl/>
        </w:rPr>
      </w:pPr>
      <w:r>
        <w:rPr>
          <w:rFonts w:cs="David"/>
          <w:sz w:val="24"/>
          <w:u w:val="single"/>
          <w:rtl/>
        </w:rPr>
        <w:t>אלן זיסבלט:</w:t>
      </w:r>
    </w:p>
    <w:p w:rsidR="00000000" w:rsidRDefault="00895C0D">
      <w:pPr>
        <w:rPr>
          <w:rFonts w:cs="David"/>
          <w:sz w:val="24"/>
          <w:rtl/>
        </w:rPr>
      </w:pPr>
    </w:p>
    <w:p w:rsidR="00000000" w:rsidRDefault="00895C0D">
      <w:pPr>
        <w:rPr>
          <w:rFonts w:cs="David"/>
          <w:sz w:val="24"/>
          <w:rtl/>
        </w:rPr>
      </w:pPr>
      <w:r>
        <w:rPr>
          <w:rFonts w:cs="David"/>
          <w:sz w:val="24"/>
          <w:rtl/>
        </w:rPr>
        <w:tab/>
        <w:t>אני מוכן להמר שזה יבוא לכאן עוד פעם.</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על כל פנים, גם אם זה לא יעבור, תחילתו תהיה לאחר תום שנה מיום פרסומו.</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גברת אתי ב</w:t>
      </w:r>
      <w:r>
        <w:rPr>
          <w:rFonts w:cs="David"/>
          <w:sz w:val="24"/>
          <w:rtl/>
        </w:rPr>
        <w:t>נדלר, האם דיברת עם היושב-ראש על ההסתייגויות של משרד המשפטים? ההסתייגויות שלנו הן: א) בעניין ה"נפרע"; ב) בעניין מידע משני מקורות שונים.</w:t>
      </w:r>
    </w:p>
    <w:p w:rsidR="00000000" w:rsidRDefault="00895C0D">
      <w:pPr>
        <w:rPr>
          <w:rFonts w:cs="David"/>
          <w:sz w:val="24"/>
          <w:rtl/>
        </w:rPr>
      </w:pPr>
    </w:p>
    <w:p w:rsidR="00000000" w:rsidRDefault="00895C0D">
      <w:pPr>
        <w:rPr>
          <w:rFonts w:cs="David"/>
          <w:sz w:val="24"/>
          <w:u w:val="single"/>
          <w:rtl/>
        </w:rPr>
      </w:pPr>
      <w:r>
        <w:rPr>
          <w:rFonts w:cs="David"/>
          <w:sz w:val="24"/>
          <w:u w:val="single"/>
          <w:rtl/>
        </w:rPr>
        <w:t>אתי בנדלר:</w:t>
      </w:r>
    </w:p>
    <w:p w:rsidR="00000000" w:rsidRDefault="00895C0D">
      <w:pPr>
        <w:rPr>
          <w:rFonts w:cs="David"/>
          <w:sz w:val="24"/>
          <w:rtl/>
        </w:rPr>
      </w:pPr>
    </w:p>
    <w:p w:rsidR="00000000" w:rsidRDefault="00895C0D">
      <w:pPr>
        <w:rPr>
          <w:rFonts w:cs="David"/>
          <w:sz w:val="24"/>
          <w:rtl/>
        </w:rPr>
      </w:pPr>
      <w:r>
        <w:rPr>
          <w:rFonts w:cs="David"/>
          <w:sz w:val="24"/>
          <w:rtl/>
        </w:rPr>
        <w:tab/>
        <w:t>זה לא רלוונטי לכאן. זה לא נושא לדיון מחדש.</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על דעת המקום ועל דעת הקהל, בהסכמת כל הנוכחי</w:t>
      </w:r>
      <w:r>
        <w:rPr>
          <w:rFonts w:cs="David"/>
          <w:sz w:val="24"/>
          <w:rtl/>
        </w:rPr>
        <w:t>ם אנחנו מאשרים את הצעת חוק שירות נתוני אשראי, התשנ"ח-1997, עם המועדים המתוקנים. חשבתי בהתחלה שאפשר יהיה לומר שזה נדחה מאליו, אבל ראינו שכתבנו תאריכים חלוטים והיועצת המשפטית של הוועדה, שמאוד מקפידה שכל דבר יהיה מעוגן בהחלטת ועדה ושלא תהיה חריגה מסמכות, אמרה</w:t>
      </w:r>
      <w:r>
        <w:rPr>
          <w:rFonts w:cs="David"/>
          <w:sz w:val="24"/>
          <w:rtl/>
        </w:rPr>
        <w:t xml:space="preserve"> שזה צריך להידון בוועדה.</w:t>
      </w:r>
    </w:p>
    <w:p w:rsidR="00000000" w:rsidRDefault="00895C0D">
      <w:pPr>
        <w:rPr>
          <w:rFonts w:cs="David"/>
          <w:sz w:val="24"/>
          <w:rtl/>
        </w:rPr>
      </w:pPr>
    </w:p>
    <w:p w:rsidR="00000000" w:rsidRDefault="00895C0D">
      <w:pPr>
        <w:rPr>
          <w:rFonts w:cs="David"/>
          <w:sz w:val="24"/>
          <w:u w:val="single"/>
          <w:rtl/>
        </w:rPr>
      </w:pPr>
      <w:r>
        <w:rPr>
          <w:rFonts w:cs="David"/>
          <w:sz w:val="24"/>
          <w:u w:val="single"/>
          <w:rtl/>
        </w:rPr>
        <w:t>טנה שפניץ:</w:t>
      </w:r>
    </w:p>
    <w:p w:rsidR="00000000" w:rsidRDefault="00895C0D">
      <w:pPr>
        <w:rPr>
          <w:rFonts w:cs="David"/>
          <w:sz w:val="24"/>
          <w:rtl/>
        </w:rPr>
      </w:pPr>
    </w:p>
    <w:p w:rsidR="00000000" w:rsidRDefault="00895C0D">
      <w:pPr>
        <w:rPr>
          <w:rFonts w:cs="David"/>
          <w:sz w:val="24"/>
          <w:rtl/>
        </w:rPr>
      </w:pPr>
      <w:r>
        <w:rPr>
          <w:rFonts w:cs="David"/>
          <w:sz w:val="24"/>
          <w:rtl/>
        </w:rPr>
        <w:tab/>
        <w:t>אנחנו שמחים לבוא לכאן.</w:t>
      </w:r>
    </w:p>
    <w:p w:rsidR="00000000" w:rsidRDefault="00895C0D">
      <w:pPr>
        <w:rPr>
          <w:rFonts w:cs="David"/>
          <w:sz w:val="24"/>
          <w:rtl/>
        </w:rPr>
      </w:pPr>
    </w:p>
    <w:p w:rsidR="00000000" w:rsidRDefault="00895C0D">
      <w:pPr>
        <w:rPr>
          <w:rFonts w:cs="David"/>
          <w:sz w:val="24"/>
          <w:u w:val="single"/>
          <w:rtl/>
        </w:rPr>
      </w:pPr>
      <w:r>
        <w:rPr>
          <w:rFonts w:cs="David"/>
          <w:sz w:val="24"/>
          <w:u w:val="single"/>
          <w:rtl/>
        </w:rPr>
        <w:t>היו"ר אברהם פורז:</w:t>
      </w:r>
    </w:p>
    <w:p w:rsidR="00000000" w:rsidRDefault="00895C0D">
      <w:pPr>
        <w:rPr>
          <w:rFonts w:cs="David"/>
          <w:sz w:val="24"/>
          <w:rtl/>
        </w:rPr>
      </w:pPr>
    </w:p>
    <w:p w:rsidR="00000000" w:rsidRDefault="00895C0D">
      <w:pPr>
        <w:rPr>
          <w:rFonts w:cs="David"/>
          <w:sz w:val="24"/>
          <w:rtl/>
        </w:rPr>
      </w:pPr>
      <w:r>
        <w:rPr>
          <w:rFonts w:cs="David"/>
          <w:sz w:val="24"/>
          <w:rtl/>
        </w:rPr>
        <w:tab/>
        <w:t>לא אשאיר אתכם הרבה זמן להתגעגע. כל פעם אני מסדר לכם פגישה נוספת, לטוב ולרע.</w:t>
      </w:r>
    </w:p>
    <w:p w:rsidR="00000000" w:rsidRDefault="00895C0D">
      <w:pPr>
        <w:rPr>
          <w:rFonts w:cs="David"/>
          <w:sz w:val="24"/>
          <w:rtl/>
        </w:rPr>
      </w:pPr>
    </w:p>
    <w:p w:rsidR="00000000" w:rsidRDefault="00895C0D">
      <w:pPr>
        <w:rPr>
          <w:rFonts w:cs="David"/>
          <w:sz w:val="24"/>
          <w:rtl/>
        </w:rPr>
      </w:pPr>
      <w:r>
        <w:rPr>
          <w:rFonts w:cs="David"/>
          <w:sz w:val="24"/>
          <w:rtl/>
        </w:rPr>
        <w:tab/>
        <w:t>תודה רבה.</w:t>
      </w:r>
    </w:p>
    <w:p w:rsidR="00000000" w:rsidRDefault="00895C0D">
      <w:pPr>
        <w:rPr>
          <w:rFonts w:cs="David"/>
          <w:sz w:val="24"/>
          <w:rtl/>
        </w:rPr>
      </w:pPr>
      <w:r>
        <w:rPr>
          <w:rFonts w:cs="David"/>
          <w:sz w:val="24"/>
          <w:rtl/>
        </w:rPr>
        <w:tab/>
      </w:r>
    </w:p>
    <w:p w:rsidR="00000000" w:rsidRDefault="00895C0D">
      <w:pPr>
        <w:pStyle w:val="7"/>
        <w:rPr>
          <w:rFonts w:cs="David"/>
          <w:sz w:val="24"/>
          <w:rtl/>
        </w:rPr>
      </w:pPr>
      <w:r>
        <w:rPr>
          <w:rFonts w:cs="David"/>
          <w:sz w:val="24"/>
          <w:rtl/>
        </w:rPr>
        <w:t>הישיבה ננעלה בשעה 13:40</w:t>
      </w:r>
    </w:p>
    <w:p w:rsidR="00000000" w:rsidRDefault="00895C0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C0D">
      <w:r>
        <w:separator/>
      </w:r>
    </w:p>
  </w:endnote>
  <w:endnote w:type="continuationSeparator" w:id="0">
    <w:p w:rsidR="00000000" w:rsidRDefault="00895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7"/>
      <w:rPr>
        <w:rFonts w:cs="David"/>
        <w:sz w:val="24"/>
        <w:rtl/>
      </w:rPr>
    </w:pPr>
  </w:p>
  <w:p w:rsidR="00000000" w:rsidRDefault="00895C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7"/>
      <w:rPr>
        <w:rFonts w:cs="David"/>
        <w:sz w:val="24"/>
        <w:rtl/>
      </w:rPr>
    </w:pPr>
  </w:p>
  <w:p w:rsidR="00000000" w:rsidRDefault="00895C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C0D">
      <w:r>
        <w:separator/>
      </w:r>
    </w:p>
  </w:footnote>
  <w:footnote w:type="continuationSeparator" w:id="0">
    <w:p w:rsidR="00000000" w:rsidRDefault="00895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5"/>
      <w:rPr>
        <w:rFonts w:cs="David"/>
        <w:sz w:val="24"/>
        <w:rtl/>
      </w:rPr>
    </w:pPr>
    <w:r>
      <w:rPr>
        <w:rFonts w:cs="David"/>
        <w:sz w:val="24"/>
        <w:rtl/>
      </w:rPr>
      <w:t>ועדה משותפת כלכלה-חוקה</w:t>
    </w:r>
  </w:p>
  <w:p w:rsidR="00000000" w:rsidRDefault="00895C0D">
    <w:pPr>
      <w:pStyle w:val="a5"/>
      <w:rPr>
        <w:rFonts w:cs="David"/>
        <w:sz w:val="24"/>
        <w:rtl/>
      </w:rPr>
    </w:pPr>
    <w:r>
      <w:rPr>
        <w:rFonts w:cs="David"/>
        <w:sz w:val="24"/>
        <w:rtl/>
      </w:rPr>
      <w:t>לחוק שירות נתוני אשראי</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895C0D">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95C0D">
    <w:pPr>
      <w:pStyle w:val="a5"/>
      <w:ind w:right="360"/>
      <w:rPr>
        <w:rFonts w:cs="David"/>
        <w:sz w:val="24"/>
        <w:rtl/>
      </w:rPr>
    </w:pPr>
  </w:p>
  <w:p w:rsidR="00000000" w:rsidRDefault="00895C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C0D">
    <w:pPr>
      <w:pStyle w:val="a5"/>
      <w:rPr>
        <w:rFonts w:cs="David"/>
        <w:sz w:val="24"/>
        <w:rtl/>
      </w:rPr>
    </w:pPr>
  </w:p>
  <w:p w:rsidR="00000000" w:rsidRDefault="00895C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95C0D"/>
    <w:rsid w:val="0089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2C2C0B-1CF5-48D5-884C-924F86CD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EFDCA-FDE5-400A-8866-3F20CAC75616}"/>
</file>

<file path=customXml/itemProps2.xml><?xml version="1.0" encoding="utf-8"?>
<ds:datastoreItem xmlns:ds="http://schemas.openxmlformats.org/officeDocument/2006/customXml" ds:itemID="{6A5AB73E-8396-4235-AAE4-35B1D0DDF2B7}"/>
</file>

<file path=customXml/itemProps3.xml><?xml version="1.0" encoding="utf-8"?>
<ds:datastoreItem xmlns:ds="http://schemas.openxmlformats.org/officeDocument/2006/customXml" ds:itemID="{395FADB9-F22B-498B-8D95-889A3282F851}"/>
</file>

<file path=docProps/app.xml><?xml version="1.0" encoding="utf-8"?>
<Properties xmlns="http://schemas.openxmlformats.org/officeDocument/2006/extended-properties" xmlns:vt="http://schemas.openxmlformats.org/officeDocument/2006/docPropsVTypes">
  <Template>Normal</Template>
  <TotalTime>0</TotalTime>
  <Pages>3</Pages>
  <Words>586</Words>
  <Characters>2932</Characters>
  <Application>Microsoft Office Word</Application>
  <DocSecurity>0</DocSecurity>
  <Lines>24</Lines>
  <Paragraphs>7</Paragraphs>
  <ScaleCrop>false</ScaleCrop>
  <Company>knesset</Company>
  <LinksUpToDate>false</LinksUpToDate>
  <CharactersWithSpaces>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פרוטוקולים/כלכלה/4751</dc:title>
  <dc:subject>אשראי 1.1.2002</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2060835</vt:r8>
  </property>
</Properties>
</file>