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53275">
      <w:pPr>
        <w:bidi/>
        <w:spacing w:line="240" w:lineRule="auto"/>
        <w:ind w:firstLine="0"/>
        <w:rPr>
          <w:rFonts w:ascii="Times New Roman" w:hAnsi="Times New Roman" w:cs="David"/>
          <w:noProof w:val="0"/>
          <w:sz w:val="24"/>
          <w:szCs w:val="24"/>
          <w:rtl/>
        </w:rPr>
      </w:pPr>
      <w:bookmarkStart w:id="0" w:name="_GoBack"/>
      <w:bookmarkEnd w:id="0"/>
      <w:r>
        <w:rPr>
          <w:rFonts w:ascii="Times New Roman" w:hAnsi="Times New Roman" w:cs="David"/>
          <w:b/>
          <w:bCs/>
          <w:noProof w:val="0"/>
          <w:sz w:val="24"/>
          <w:szCs w:val="24"/>
          <w:rtl/>
        </w:rPr>
        <w:t>הכנסת השש-עשרה</w:t>
      </w: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t xml:space="preserve">       נוסח לא מתוקן</w:t>
      </w:r>
    </w:p>
    <w:p w:rsidR="00000000" w:rsidRDefault="00053275">
      <w:pPr>
        <w:bidi/>
        <w:spacing w:line="240" w:lineRule="auto"/>
        <w:ind w:firstLine="0"/>
        <w:rPr>
          <w:rFonts w:ascii="Times New Roman" w:hAnsi="Times New Roman" w:cs="David"/>
          <w:b/>
          <w:bCs/>
          <w:noProof w:val="0"/>
          <w:sz w:val="24"/>
          <w:szCs w:val="24"/>
          <w:rtl/>
        </w:rPr>
      </w:pPr>
      <w:r>
        <w:rPr>
          <w:rFonts w:ascii="Times New Roman" w:hAnsi="Times New Roman" w:cs="David"/>
          <w:b/>
          <w:bCs/>
          <w:noProof w:val="0"/>
          <w:sz w:val="24"/>
          <w:szCs w:val="24"/>
          <w:rtl/>
        </w:rPr>
        <w:t xml:space="preserve">   מושב שלישי</w:t>
      </w:r>
    </w:p>
    <w:p w:rsidR="00000000" w:rsidRDefault="00053275">
      <w:pPr>
        <w:bidi/>
        <w:spacing w:line="240" w:lineRule="auto"/>
        <w:ind w:firstLine="0"/>
        <w:rPr>
          <w:rFonts w:ascii="Times New Roman" w:hAnsi="Times New Roman" w:cs="David"/>
          <w:b/>
          <w:bCs/>
          <w:noProof w:val="0"/>
          <w:sz w:val="24"/>
          <w:szCs w:val="24"/>
          <w:rtl/>
        </w:rPr>
      </w:pPr>
    </w:p>
    <w:p w:rsidR="00000000" w:rsidRDefault="00053275">
      <w:pPr>
        <w:bidi/>
        <w:spacing w:line="240" w:lineRule="auto"/>
        <w:ind w:firstLine="0"/>
        <w:rPr>
          <w:rFonts w:ascii="Times New Roman" w:hAnsi="Times New Roman" w:cs="David"/>
          <w:b/>
          <w:bCs/>
          <w:noProof w:val="0"/>
          <w:sz w:val="24"/>
          <w:szCs w:val="24"/>
          <w:rtl/>
        </w:rPr>
      </w:pPr>
    </w:p>
    <w:p w:rsidR="00000000" w:rsidRDefault="00053275">
      <w:pPr>
        <w:bidi/>
        <w:spacing w:line="240" w:lineRule="auto"/>
        <w:ind w:firstLine="0"/>
        <w:jc w:val="center"/>
        <w:rPr>
          <w:rFonts w:ascii="Times New Roman" w:hAnsi="Times New Roman" w:cs="David"/>
          <w:b/>
          <w:bCs/>
          <w:noProof w:val="0"/>
          <w:sz w:val="24"/>
          <w:szCs w:val="24"/>
          <w:rtl/>
        </w:rPr>
      </w:pPr>
      <w:r>
        <w:rPr>
          <w:rFonts w:ascii="Times New Roman" w:hAnsi="Times New Roman" w:cs="David"/>
          <w:b/>
          <w:bCs/>
          <w:noProof w:val="0"/>
          <w:sz w:val="24"/>
          <w:szCs w:val="24"/>
          <w:rtl/>
        </w:rPr>
        <w:t>פרוטוקול מס' 430</w:t>
      </w:r>
    </w:p>
    <w:p w:rsidR="00000000" w:rsidRDefault="00053275">
      <w:pPr>
        <w:bidi/>
        <w:spacing w:line="240" w:lineRule="auto"/>
        <w:ind w:firstLine="0"/>
        <w:jc w:val="center"/>
        <w:rPr>
          <w:rFonts w:ascii="Times New Roman" w:hAnsi="Times New Roman" w:cs="David"/>
          <w:b/>
          <w:bCs/>
          <w:noProof w:val="0"/>
          <w:sz w:val="24"/>
          <w:szCs w:val="24"/>
          <w:rtl/>
        </w:rPr>
      </w:pPr>
      <w:r>
        <w:rPr>
          <w:rFonts w:ascii="Times New Roman" w:hAnsi="Times New Roman" w:cs="David"/>
          <w:b/>
          <w:bCs/>
          <w:noProof w:val="0"/>
          <w:sz w:val="24"/>
          <w:szCs w:val="24"/>
          <w:rtl/>
        </w:rPr>
        <w:t>מישיבת ועדת העבודה, הרווחה והבר</w:t>
      </w:r>
      <w:r>
        <w:rPr>
          <w:rFonts w:ascii="Times New Roman" w:hAnsi="Times New Roman" w:cs="David"/>
          <w:b/>
          <w:bCs/>
          <w:noProof w:val="0"/>
          <w:sz w:val="24"/>
          <w:szCs w:val="24"/>
          <w:rtl/>
        </w:rPr>
        <w:t>יאות</w:t>
      </w:r>
    </w:p>
    <w:p w:rsidR="00000000" w:rsidRDefault="00053275">
      <w:pPr>
        <w:pStyle w:val="1"/>
        <w:jc w:val="center"/>
        <w:rPr>
          <w:rFonts w:cs="David"/>
          <w:u w:val="single"/>
          <w:rtl/>
        </w:rPr>
      </w:pPr>
      <w:r>
        <w:rPr>
          <w:rFonts w:cs="David"/>
          <w:u w:val="single"/>
          <w:rtl/>
        </w:rPr>
        <w:t>יום רביעי, י"ז בטבת התשס"ה (15 ביוני 2005),  שעה  10:30</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u w:val="single"/>
          <w:rtl/>
        </w:rPr>
        <w:t>סדר-היום:</w:t>
      </w:r>
      <w:r>
        <w:rPr>
          <w:rFonts w:ascii="Times New Roman" w:hAnsi="Times New Roman" w:cs="David"/>
          <w:noProof w:val="0"/>
          <w:sz w:val="24"/>
          <w:szCs w:val="24"/>
          <w:rtl/>
        </w:rPr>
        <w:tab/>
      </w:r>
      <w:r>
        <w:rPr>
          <w:rFonts w:ascii="Times New Roman" w:hAnsi="Times New Roman" w:cs="David"/>
          <w:noProof w:val="0"/>
          <w:sz w:val="24"/>
          <w:szCs w:val="24"/>
          <w:rtl/>
        </w:rPr>
        <w:tab/>
        <w:t>צו פעוטות בסיכון (הזכות למעון יום) (החלת הזכאות למעון יום) (מס' 2),</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t>התשס"ה-2005.</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b/>
          <w:bCs/>
          <w:noProof w:val="0"/>
          <w:sz w:val="24"/>
          <w:szCs w:val="24"/>
          <w:u w:val="single"/>
          <w:rtl/>
        </w:rPr>
        <w:t>נכחו:</w:t>
      </w:r>
      <w:r>
        <w:rPr>
          <w:rFonts w:ascii="Times New Roman" w:hAnsi="Times New Roman" w:cs="David"/>
          <w:noProof w:val="0"/>
          <w:sz w:val="24"/>
          <w:szCs w:val="24"/>
          <w:rtl/>
        </w:rPr>
        <w:tab/>
      </w:r>
      <w:r>
        <w:rPr>
          <w:rFonts w:ascii="Times New Roman" w:hAnsi="Times New Roman" w:cs="David"/>
          <w:noProof w:val="0"/>
          <w:sz w:val="24"/>
          <w:szCs w:val="24"/>
          <w:u w:val="single"/>
          <w:rtl/>
        </w:rPr>
        <w:t>חברי הוועדה:</w:t>
      </w:r>
      <w:r>
        <w:rPr>
          <w:rFonts w:ascii="Times New Roman" w:hAnsi="Times New Roman" w:cs="David"/>
          <w:noProof w:val="0"/>
          <w:sz w:val="24"/>
          <w:szCs w:val="24"/>
          <w:rtl/>
        </w:rPr>
        <w:tab/>
        <w:t>שאול יהלום - היו"ר</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t>אראלה גולן</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t>יגאל יאסינוב</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t>אילנה כהן</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t xml:space="preserve">חיים </w:t>
      </w:r>
      <w:r>
        <w:rPr>
          <w:rFonts w:ascii="Times New Roman" w:hAnsi="Times New Roman" w:cs="David"/>
          <w:noProof w:val="0"/>
          <w:sz w:val="24"/>
          <w:szCs w:val="24"/>
          <w:rtl/>
        </w:rPr>
        <w:t>כץ</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t>יאיר פרץ</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u w:val="single"/>
          <w:rtl/>
        </w:rPr>
        <w:t>מוזמנים:</w:t>
      </w:r>
      <w:r>
        <w:rPr>
          <w:rFonts w:ascii="Times New Roman" w:hAnsi="Times New Roman" w:cs="David"/>
          <w:noProof w:val="0"/>
          <w:sz w:val="24"/>
          <w:szCs w:val="24"/>
          <w:rtl/>
        </w:rPr>
        <w:tab/>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עו"ד דלית חביב</w:t>
      </w:r>
      <w:r>
        <w:rPr>
          <w:rFonts w:ascii="Times New Roman" w:hAnsi="Times New Roman" w:cs="David"/>
          <w:noProof w:val="0"/>
          <w:sz w:val="24"/>
          <w:szCs w:val="24"/>
          <w:rtl/>
        </w:rPr>
        <w:tab/>
      </w:r>
      <w:r>
        <w:rPr>
          <w:rFonts w:ascii="Times New Roman" w:hAnsi="Times New Roman" w:cs="David"/>
          <w:noProof w:val="0"/>
          <w:sz w:val="24"/>
          <w:szCs w:val="24"/>
          <w:rtl/>
        </w:rPr>
        <w:tab/>
        <w:t>- הלשכה המשפטית, משרד הרווחה</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ברוך יפה-נוף</w:t>
      </w:r>
      <w:r>
        <w:rPr>
          <w:rFonts w:ascii="Times New Roman" w:hAnsi="Times New Roman" w:cs="David"/>
          <w:noProof w:val="0"/>
          <w:sz w:val="24"/>
          <w:szCs w:val="24"/>
          <w:rtl/>
        </w:rPr>
        <w:tab/>
      </w:r>
      <w:r>
        <w:rPr>
          <w:rFonts w:ascii="Times New Roman" w:hAnsi="Times New Roman" w:cs="David"/>
          <w:noProof w:val="0"/>
          <w:sz w:val="24"/>
          <w:szCs w:val="24"/>
          <w:rtl/>
        </w:rPr>
        <w:tab/>
        <w:t>- משרד הרווחה</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דינה שלום</w:t>
      </w:r>
      <w:r>
        <w:rPr>
          <w:rFonts w:ascii="Times New Roman" w:hAnsi="Times New Roman" w:cs="David"/>
          <w:noProof w:val="0"/>
          <w:sz w:val="24"/>
          <w:szCs w:val="24"/>
          <w:rtl/>
        </w:rPr>
        <w:tab/>
      </w:r>
      <w:r>
        <w:rPr>
          <w:rFonts w:ascii="Times New Roman" w:hAnsi="Times New Roman" w:cs="David"/>
          <w:noProof w:val="0"/>
          <w:sz w:val="24"/>
          <w:szCs w:val="24"/>
          <w:rtl/>
        </w:rPr>
        <w:tab/>
        <w:t>- מפקחת ארצית קהילה, שירות ילד ונוער, משרד הרווחה</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ורד רוטפגל</w:t>
      </w:r>
      <w:r>
        <w:rPr>
          <w:rFonts w:ascii="Times New Roman" w:hAnsi="Times New Roman" w:cs="David"/>
          <w:noProof w:val="0"/>
          <w:sz w:val="24"/>
          <w:szCs w:val="24"/>
          <w:rtl/>
        </w:rPr>
        <w:tab/>
      </w:r>
      <w:r>
        <w:rPr>
          <w:rFonts w:ascii="Times New Roman" w:hAnsi="Times New Roman" w:cs="David"/>
          <w:noProof w:val="0"/>
          <w:sz w:val="24"/>
          <w:szCs w:val="24"/>
          <w:rtl/>
        </w:rPr>
        <w:tab/>
        <w:t>- מפקחת ארצית גיל הרך, משרד הרווחה</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r>
      <w:r>
        <w:rPr>
          <w:rFonts w:ascii="Times New Roman" w:hAnsi="Times New Roman" w:cs="David"/>
          <w:noProof w:val="0"/>
          <w:sz w:val="24"/>
          <w:szCs w:val="24"/>
          <w:rtl/>
        </w:rPr>
        <w:tab/>
      </w:r>
      <w:r>
        <w:rPr>
          <w:rFonts w:ascii="Times New Roman" w:hAnsi="Times New Roman" w:cs="David"/>
          <w:noProof w:val="0"/>
          <w:sz w:val="24"/>
          <w:szCs w:val="24"/>
          <w:rtl/>
        </w:rPr>
        <w:tab/>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u w:val="single"/>
          <w:rtl/>
        </w:rPr>
        <w:t>מנהלת הוועדה:</w:t>
      </w:r>
      <w:r>
        <w:rPr>
          <w:rFonts w:ascii="Times New Roman" w:hAnsi="Times New Roman" w:cs="David"/>
          <w:noProof w:val="0"/>
          <w:sz w:val="24"/>
          <w:szCs w:val="24"/>
          <w:rtl/>
        </w:rPr>
        <w:tab/>
      </w:r>
      <w:r>
        <w:rPr>
          <w:rFonts w:ascii="Times New Roman" w:hAnsi="Times New Roman" w:cs="David"/>
          <w:noProof w:val="0"/>
          <w:sz w:val="24"/>
          <w:szCs w:val="24"/>
          <w:rtl/>
        </w:rPr>
        <w:tab/>
        <w:t>וילמה מאור</w:t>
      </w: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u w:val="single"/>
          <w:rtl/>
        </w:rPr>
        <w:t>קצרניות:</w:t>
      </w:r>
      <w:r>
        <w:rPr>
          <w:rFonts w:ascii="Times New Roman" w:hAnsi="Times New Roman" w:cs="David"/>
          <w:noProof w:val="0"/>
          <w:sz w:val="24"/>
          <w:szCs w:val="24"/>
          <w:rtl/>
        </w:rPr>
        <w:tab/>
      </w:r>
      <w:r>
        <w:rPr>
          <w:rFonts w:ascii="Times New Roman" w:hAnsi="Times New Roman" w:cs="David"/>
          <w:noProof w:val="0"/>
          <w:sz w:val="24"/>
          <w:szCs w:val="24"/>
          <w:rtl/>
        </w:rPr>
        <w:tab/>
        <w:t>א</w:t>
      </w:r>
      <w:r>
        <w:rPr>
          <w:rFonts w:ascii="Times New Roman" w:hAnsi="Times New Roman" w:cs="David"/>
          <w:noProof w:val="0"/>
          <w:sz w:val="24"/>
          <w:szCs w:val="24"/>
          <w:rtl/>
        </w:rPr>
        <w:t>תי בן-שמחון, חפציבה צנעני</w:t>
      </w:r>
    </w:p>
    <w:p w:rsidR="00000000" w:rsidRDefault="00053275">
      <w:pPr>
        <w:bidi/>
        <w:spacing w:line="240" w:lineRule="auto"/>
        <w:ind w:firstLine="0"/>
        <w:jc w:val="center"/>
        <w:rPr>
          <w:rFonts w:ascii="Times New Roman" w:hAnsi="Times New Roman" w:cs="David"/>
          <w:b/>
          <w:bCs/>
          <w:noProof w:val="0"/>
          <w:sz w:val="24"/>
          <w:szCs w:val="24"/>
          <w:u w:val="single"/>
          <w:rtl/>
        </w:rPr>
      </w:pPr>
    </w:p>
    <w:p w:rsidR="00000000" w:rsidRDefault="00053275">
      <w:pPr>
        <w:bidi/>
        <w:spacing w:line="240" w:lineRule="auto"/>
        <w:ind w:firstLine="0"/>
        <w:jc w:val="center"/>
        <w:rPr>
          <w:rFonts w:ascii="Times New Roman" w:hAnsi="Times New Roman" w:cs="David"/>
          <w:b/>
          <w:bCs/>
          <w:noProof w:val="0"/>
          <w:sz w:val="24"/>
          <w:szCs w:val="24"/>
          <w:u w:val="single"/>
          <w:rtl/>
        </w:rPr>
      </w:pPr>
      <w:r>
        <w:rPr>
          <w:rFonts w:ascii="Times New Roman" w:hAnsi="Times New Roman" w:cs="David"/>
          <w:b/>
          <w:bCs/>
          <w:noProof w:val="0"/>
          <w:sz w:val="24"/>
          <w:szCs w:val="24"/>
          <w:u w:val="single"/>
          <w:rtl/>
        </w:rPr>
        <w:br w:type="page"/>
      </w:r>
      <w:r>
        <w:rPr>
          <w:rFonts w:ascii="Times New Roman" w:hAnsi="Times New Roman" w:cs="David"/>
          <w:b/>
          <w:bCs/>
          <w:noProof w:val="0"/>
          <w:sz w:val="24"/>
          <w:szCs w:val="24"/>
          <w:u w:val="single"/>
          <w:rtl/>
        </w:rPr>
        <w:lastRenderedPageBreak/>
        <w:t>צו פעוטות בסיכון (הזכות למעון  יום) (החלת הזכאות למעון יום) (מס' 2), התשס"ה-2005</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u w:val="single"/>
          <w:rtl/>
        </w:rPr>
      </w:pPr>
      <w:r>
        <w:rPr>
          <w:rFonts w:ascii="Times New Roman" w:hAnsi="Times New Roman" w:cs="David"/>
          <w:noProof w:val="0"/>
          <w:sz w:val="24"/>
          <w:szCs w:val="24"/>
          <w:u w:val="single"/>
          <w:rtl/>
        </w:rPr>
        <w:t>היו"ר שאול יהלום:</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t>אני מתכבד לפתוח את ישיבת הוועדה. הנושא הוא: צו פעוטות בסיכון (הזכות למעון  יום) (החלת הזכאות למעון יום) (מס' 2), התשס"ה-2005</w:t>
      </w:r>
      <w:r>
        <w:rPr>
          <w:rFonts w:ascii="Times New Roman" w:hAnsi="Times New Roman" w:cs="David"/>
          <w:noProof w:val="0"/>
          <w:sz w:val="24"/>
          <w:szCs w:val="24"/>
          <w:rtl/>
        </w:rPr>
        <w:t>. הצו מוגש לנו על-ידי ראש הממשלה ושר הרווחה, והוא מונח לפני כולם.</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u w:val="single"/>
          <w:rtl/>
        </w:rPr>
      </w:pPr>
      <w:r>
        <w:rPr>
          <w:rFonts w:ascii="Times New Roman" w:hAnsi="Times New Roman" w:cs="David"/>
          <w:noProof w:val="0"/>
          <w:sz w:val="24"/>
          <w:szCs w:val="24"/>
          <w:u w:val="single"/>
          <w:rtl/>
        </w:rPr>
        <w:t>דלית חביב:</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t>חוק פעוטות בסיכון נחקק ב-2000, ועוכב בחוק ההסדרים עד ספטמבר 2005 מכיוון שלא היה תקציב. המשרד הגיע להסדר עם האוצר, והוא הוצא מחוק ההסדרים, והסיכום היה שאנו מחילים אותו באופן הדר</w:t>
      </w:r>
      <w:r>
        <w:rPr>
          <w:rFonts w:ascii="Times New Roman" w:hAnsi="Times New Roman" w:cs="David"/>
          <w:noProof w:val="0"/>
          <w:sz w:val="24"/>
          <w:szCs w:val="24"/>
          <w:rtl/>
        </w:rPr>
        <w:t>גתי עד 2008 וגם שיחולו בחוק תיקונים שיצמצמו את הסיבות לזכאות על מנת שנוכל באמת להפעילו מבחינה תקציבית.</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t>עד היום הוצאו שני צווים.</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u w:val="single"/>
          <w:rtl/>
        </w:rPr>
      </w:pPr>
      <w:r>
        <w:rPr>
          <w:rFonts w:ascii="Times New Roman" w:hAnsi="Times New Roman" w:cs="David"/>
          <w:noProof w:val="0"/>
          <w:sz w:val="24"/>
          <w:szCs w:val="24"/>
          <w:u w:val="single"/>
          <w:rtl/>
        </w:rPr>
        <w:t>היו"ר שאול יהלום:</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t>מה אומר החוק לפני ההקפאה?</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u w:val="single"/>
          <w:rtl/>
        </w:rPr>
      </w:pPr>
      <w:r>
        <w:rPr>
          <w:rFonts w:ascii="Times New Roman" w:hAnsi="Times New Roman" w:cs="David"/>
          <w:noProof w:val="0"/>
          <w:sz w:val="24"/>
          <w:szCs w:val="24"/>
          <w:u w:val="single"/>
          <w:rtl/>
        </w:rPr>
        <w:t>דלית חביב:</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t>תנאי זכאות לפעוט- - -</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u w:val="single"/>
          <w:rtl/>
        </w:rPr>
      </w:pPr>
      <w:r>
        <w:rPr>
          <w:rFonts w:ascii="Times New Roman" w:hAnsi="Times New Roman" w:cs="David"/>
          <w:noProof w:val="0"/>
          <w:sz w:val="24"/>
          <w:szCs w:val="24"/>
          <w:u w:val="single"/>
          <w:rtl/>
        </w:rPr>
        <w:t>היו"ר שאול יהלום:</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t>מה ההגדרה של "פעוט"?</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דלית חביב:</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"פעוט" - זה עד גיל 3. פעוט עד גיל 3 שנמצא במצבי סיכון שהחוק  קובע אותם- - -</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rPr>
      </w:pPr>
      <w:r>
        <w:rPr>
          <w:rFonts w:ascii="Times New Roman" w:hAnsi="Times New Roman" w:cs="David"/>
          <w:noProof w:val="0"/>
          <w:sz w:val="24"/>
          <w:szCs w:val="24"/>
          <w:u w:val="single"/>
          <w:rtl/>
        </w:rPr>
        <w:t>היו"ר שאול יהלום:</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rPr>
      </w:pPr>
      <w:r>
        <w:rPr>
          <w:rFonts w:ascii="Times New Roman" w:hAnsi="Times New Roman" w:cs="David"/>
          <w:noProof w:val="0"/>
          <w:sz w:val="24"/>
          <w:szCs w:val="24"/>
          <w:rtl/>
        </w:rPr>
        <w:tab/>
        <w:t>האם זה כדי לשהות במעון יום ללא תשלום?</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דלית חביב:</w:t>
      </w:r>
    </w:p>
    <w:p w:rsidR="00000000" w:rsidRDefault="00053275">
      <w:pPr>
        <w:bidi/>
        <w:spacing w:line="240" w:lineRule="auto"/>
        <w:ind w:firstLine="0"/>
        <w:rPr>
          <w:rFonts w:ascii="Times New Roman" w:hAnsi="Times New Roman" w:cs="David"/>
          <w:noProof w:val="0"/>
          <w:sz w:val="24"/>
          <w:szCs w:val="24"/>
          <w:rtl/>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rPr>
        <w:tab/>
        <w:t xml:space="preserve">זה עם השתתפות של ההורים, שהיא </w:t>
      </w:r>
      <w:r>
        <w:rPr>
          <w:rFonts w:ascii="Times New Roman" w:hAnsi="Times New Roman" w:cs="David"/>
          <w:noProof w:val="0"/>
          <w:sz w:val="24"/>
          <w:szCs w:val="24"/>
          <w:rtl/>
          <w:lang w:val="ru-RU"/>
        </w:rPr>
        <w:t>בסביבות 250-300 שקל מינימום.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יגאל יאסינוב:</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 xml:space="preserve">זה תלוי אם זה יום </w:t>
      </w:r>
      <w:r>
        <w:rPr>
          <w:rFonts w:ascii="Times New Roman" w:hAnsi="Times New Roman" w:cs="David"/>
          <w:noProof w:val="0"/>
          <w:sz w:val="24"/>
          <w:szCs w:val="24"/>
          <w:rtl/>
          <w:lang w:val="ru-RU"/>
        </w:rPr>
        <w:t>שלם או חצי יום.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דינה שלום: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יש גם אפשרות עד השעה 16:00.</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 xml:space="preserve">המינימום הוא 250 שקל. לאיזה סכום יכולה להגיע ההשתתפות? </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דינה שלום: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lastRenderedPageBreak/>
        <w:tab/>
        <w:t>זה תלוי בהכנסה, יש דרגות. יש אנשים שיכולים לשלם את מלוא המחיר שהוא 1,200-1,300 שקל.</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כמ</w:t>
      </w:r>
      <w:r>
        <w:rPr>
          <w:rFonts w:ascii="Times New Roman" w:hAnsi="Times New Roman" w:cs="David"/>
          <w:noProof w:val="0"/>
          <w:sz w:val="24"/>
          <w:szCs w:val="24"/>
          <w:rtl/>
          <w:lang w:val="ru-RU"/>
        </w:rPr>
        <w:t>ה עולה מעון רגיל של תנועות הנשים?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ברוך יפה-נוף:</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הבעיה לא היתה המחיר אלא מכסות הרווחה שאנו מקבלים למעונות יום. החוק קובע שכל ילד שהוא בסיכון, לפי הקריטריונים שנקבעו בחוק, שזקוק למעון - הוא יקבל אותו בלי שום דבר, וגם אם אין לנו מכסה אנו חייבים לקלוט אותו.</w:t>
      </w:r>
    </w:p>
    <w:p w:rsidR="00000000" w:rsidRDefault="00053275">
      <w:pPr>
        <w:bidi/>
        <w:spacing w:line="240" w:lineRule="auto"/>
        <w:ind w:firstLine="0"/>
        <w:rPr>
          <w:rFonts w:ascii="Times New Roman" w:hAnsi="Times New Roman" w:cs="David"/>
          <w:noProof w:val="0"/>
          <w:sz w:val="24"/>
          <w:szCs w:val="24"/>
          <w:u w:val="single"/>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כלומר, לגבי התשלום אין הבדל.</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ברוך יפה-נוף:</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לגבי התשלום, זה לפי יכולת ההורים.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זה כמו הקריטריונים שקבע משרד העבודה והרווחה בזמנו. כלומר, לא נותנים שום הנחה, אלא אומרים: "אתה חייב לקלוט". זה מה שאומר החוק.</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ברוך י</w:t>
      </w:r>
      <w:r>
        <w:rPr>
          <w:rFonts w:ascii="Times New Roman" w:hAnsi="Times New Roman" w:cs="David"/>
          <w:noProof w:val="0"/>
          <w:sz w:val="24"/>
          <w:szCs w:val="24"/>
          <w:u w:val="single"/>
          <w:rtl/>
          <w:lang w:val="ru-RU"/>
        </w:rPr>
        <w:t>פה-נוף:</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כלומר, ילד שיש לו בעיות חייבים לקלוט אותו. גם אם אין מכסה ואין תקציב, החוק מחייב לקלוט אותו. ואז רשות מקומית- - -</w:t>
      </w:r>
    </w:p>
    <w:p w:rsidR="00000000" w:rsidRDefault="00053275">
      <w:pPr>
        <w:bidi/>
        <w:spacing w:line="240" w:lineRule="auto"/>
        <w:ind w:firstLine="0"/>
        <w:rPr>
          <w:rFonts w:ascii="Times New Roman" w:hAnsi="Times New Roman"/>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דלית חביב, מה הן העילות?</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דלית חביב:</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העילה הראשונה היא אם יש ראיות לכך שהוא ילד מוכה או שצרכיו ההתפתחותיים לא</w:t>
      </w:r>
      <w:r>
        <w:rPr>
          <w:rFonts w:ascii="Times New Roman" w:hAnsi="Times New Roman" w:cs="David"/>
          <w:noProof w:val="0"/>
          <w:sz w:val="24"/>
          <w:szCs w:val="24"/>
          <w:rtl/>
          <w:lang w:val="ru-RU"/>
        </w:rPr>
        <w:t xml:space="preserve"> מסופקים ולא נענים.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כמו כן, אם אחד מההורים לא מתפקד כראוי מסיבה של חולי, של התמכרות, אלימות במשפחה - -</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קריאה:</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חד-הוריוּת?</w:t>
      </w: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דלית חביב:</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לא, אין הבחנה לגבי חד-הורי. מדובר אם יש בעיית תפקוד של לפחות אחד ההורים.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ג'ודי וסרמן:</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 xml:space="preserve">ואם אחד ההורים לא קיים? </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דלית חביב:</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אז הילד לא נכנס לקטגוריה של מי שהוא בסיכון רב מדי.</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דלית חביב:</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 xml:space="preserve">עילה נוספת היא אם יש בעיה בהתפתחות של הילד על סמך אישור של רופא ילדים או רופא מומחה להתפתחות. </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למה זה עולה כסף? נניח שבמדינת ישראל יש 100 אלף ילדים במעונות,</w:t>
      </w:r>
      <w:r>
        <w:rPr>
          <w:rFonts w:ascii="Times New Roman" w:hAnsi="Times New Roman" w:cs="David"/>
          <w:noProof w:val="0"/>
          <w:sz w:val="24"/>
          <w:szCs w:val="24"/>
          <w:rtl/>
          <w:lang w:val="ru-RU"/>
        </w:rPr>
        <w:t xml:space="preserve"> וזה מתוקצב על-ידי משרד התמ"ת. עכשיו, אתה מכניס עוד 2,000 ילדים בסיכון שאתה חייב לקבלם. קובעים סדר עדיפות ואותם מכניסים ראשונים במקום ילדים אחרים, אז למה זה עולה למדינה כסף?</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דוברת:</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כי צריך להקים עוד מעונות.</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ברוך יפה-נוף:</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צריך להבדיל בין שתי אוכלוסיות</w:t>
      </w:r>
      <w:r>
        <w:rPr>
          <w:rFonts w:ascii="Times New Roman" w:hAnsi="Times New Roman" w:cs="David"/>
          <w:noProof w:val="0"/>
          <w:sz w:val="24"/>
          <w:szCs w:val="24"/>
          <w:rtl/>
          <w:lang w:val="ru-RU"/>
        </w:rPr>
        <w:t xml:space="preserve"> שהולכות למעונות יום. אוכלוסיה אחת היא אוכלוסיית נשים עובדות, והן משלמות ומקבלות הנחה בהתאם להכנסתן. הן משלמות בערך 70%-80% ומשרד התמ"ת מסבסד 25% עד 30%.</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אוכלוסייה שניה היא אוכלוסיה שמופנית על-ידי משרד הרווחה. שם זה לא שהאם עובדת והיא פונה ורושמת את הילד</w:t>
      </w:r>
      <w:r>
        <w:rPr>
          <w:rFonts w:ascii="Times New Roman" w:hAnsi="Times New Roman" w:cs="David"/>
          <w:noProof w:val="0"/>
          <w:sz w:val="24"/>
          <w:szCs w:val="24"/>
          <w:rtl/>
          <w:lang w:val="ru-RU"/>
        </w:rPr>
        <w:t xml:space="preserve"> במעון, אלא המחלקה לשירותים חברתיים ברשות המקומית רואה שיש בעיה והיא באה ורושמת.</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שזה פעוטות בסיכון?</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ברוך יפה-נוף:</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זה גם פעוטות בסיכון. אבל, יש גם ילדים שהם לא נכללים בגדר הזה, אלא מסדרים אותם במסגרת הכללית של המכסות שיש במשרד הרווחה</w:t>
      </w:r>
      <w:r>
        <w:rPr>
          <w:rFonts w:ascii="Times New Roman" w:hAnsi="Times New Roman" w:cs="David"/>
          <w:noProof w:val="0"/>
          <w:sz w:val="24"/>
          <w:szCs w:val="24"/>
          <w:rtl/>
          <w:lang w:val="ru-RU"/>
        </w:rPr>
        <w:t>.</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אמרתי שאמהות עובדות משלמות, בממוצע הכללי, בסביבות 70% ו-30% מקבלות הנחה. לגבי ילדים בסיכון, הסטטיסטיקה היא שמשלמים רק 15%-25%, רוב ההורים לא משלמים. אם לא היתה מכסה, לא יכולנו לסדר את הילדים הללו במעון אלא היינו אומרים לאם: "תסדרי את הילד דרך משרד התמ"</w:t>
      </w:r>
      <w:r>
        <w:rPr>
          <w:rFonts w:ascii="Times New Roman" w:hAnsi="Times New Roman" w:cs="David"/>
          <w:noProof w:val="0"/>
          <w:sz w:val="24"/>
          <w:szCs w:val="24"/>
          <w:rtl/>
          <w:lang w:val="ru-RU"/>
        </w:rPr>
        <w:t>ת".</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השאלה אם יישום החוק מעלה את מספר הילדים במעונות או רק משנה את הרכב המצב הסוציו-אקונומי של ההורים? לפי מה שהסברת עד עכשיו, זה לכאורה שינוי המצב הסוציו-אקונומי של ההורים שדורש את הדֶלתוֹת. השאלה אם האוכלוסייה גם גדלה.</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br w:type="page"/>
      </w:r>
      <w:r>
        <w:rPr>
          <w:rFonts w:ascii="Times New Roman" w:hAnsi="Times New Roman" w:cs="David"/>
          <w:noProof w:val="0"/>
          <w:sz w:val="24"/>
          <w:szCs w:val="24"/>
          <w:u w:val="single"/>
          <w:rtl/>
          <w:lang w:val="ru-RU"/>
        </w:rPr>
        <w:lastRenderedPageBreak/>
        <w:t>ברוך יפה-נוף:</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למעשה, האוכלוסייה גדלה. מספר המכסות שלנו הוא 13 אלף, ואז ברשויות המקומיות אומרים: "מצטערים, נגמרה לנו המכסה. אני לא יכול לסדר יותר גם אם אתם רוצים לשלם כי יש לנו מכסה קבועה". החוק הזה אומר שכל ילד כזה, באותם אזורים שבהם החוק מוחל, חייבים לסדר אותו במעון</w:t>
      </w:r>
      <w:r>
        <w:rPr>
          <w:rFonts w:ascii="Times New Roman" w:hAnsi="Times New Roman" w:cs="David"/>
          <w:noProof w:val="0"/>
          <w:sz w:val="24"/>
          <w:szCs w:val="24"/>
          <w:rtl/>
          <w:lang w:val="ru-RU"/>
        </w:rPr>
        <w:t xml:space="preserve">, וזה מעבר למכסה של ה-13 אלף. </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הבנתי. האם מאז החוק מיושם באיזשהו מקום?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ברוך יפה-נוף:</w:t>
      </w:r>
    </w:p>
    <w:p w:rsidR="00000000" w:rsidRDefault="00053275">
      <w:pPr>
        <w:bidi/>
        <w:spacing w:line="240" w:lineRule="auto"/>
        <w:ind w:firstLine="0"/>
        <w:rPr>
          <w:rFonts w:ascii="Times New Roman" w:hAnsi="Times New Roman" w:cs="David"/>
          <w:noProof w:val="0"/>
          <w:sz w:val="24"/>
          <w:szCs w:val="24"/>
          <w:u w:val="single"/>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 xml:space="preserve">כן. עכשיו הבאנו תוספת של אזורים נוספים. מחילים את החוק בהדרגה. </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ג'ודי וסרמן:</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היו שני צווים: אחד בשנת 2003 עם האזורים הראשונים, והשני פורסם בתחיל</w:t>
      </w:r>
      <w:r>
        <w:rPr>
          <w:rFonts w:ascii="Times New Roman" w:hAnsi="Times New Roman" w:cs="David"/>
          <w:noProof w:val="0"/>
          <w:sz w:val="24"/>
          <w:szCs w:val="24"/>
          <w:rtl/>
          <w:lang w:val="ru-RU"/>
        </w:rPr>
        <w:t xml:space="preserve">ת 2005. עכשיו מביאים את הצו השלישי. מדובר בהחלה מלאה של החוק עד 2008. וההנחה היא שיהיה צו אחד נוסף, ואז החלה בכל הארץ. </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לפי מה אתם קבעתם את המקומות?</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דינה שלום: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בצו הראשון אלה היו מקומות לפי רשימות של אזורי עדיפות לאומית, אזורי קו עי</w:t>
      </w:r>
      <w:r>
        <w:rPr>
          <w:rFonts w:ascii="Times New Roman" w:hAnsi="Times New Roman" w:cs="David"/>
          <w:noProof w:val="0"/>
          <w:sz w:val="24"/>
          <w:szCs w:val="24"/>
          <w:rtl/>
          <w:lang w:val="ru-RU"/>
        </w:rPr>
        <w:t>מות וכו'. הצו השני הוא על-פי פריסה גיאוגרפית ולפי מחוז ירושלים והדרום, כי יישובי המצוקה הם יותר באזור הזה. בצו שלפנינו יש יישובים ממחוז הצפון, שוב מכיוון שבגדול בצפון יש יותר יישובים במצוקה ואוכלוסיה במצוקה מאשר באזור אחר. יש כאן יוצא דופן אחד - אלעד שהכפי</w:t>
      </w:r>
      <w:r>
        <w:rPr>
          <w:rFonts w:ascii="Times New Roman" w:hAnsi="Times New Roman" w:cs="David"/>
          <w:noProof w:val="0"/>
          <w:sz w:val="24"/>
          <w:szCs w:val="24"/>
          <w:rtl/>
          <w:lang w:val="ru-RU"/>
        </w:rPr>
        <w:t>ל תוך שנתיים את הילדים בו.</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האם יש למישהו התנגדות?</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יגאל יאסינוב:</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לא.</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היו"ר שאול יהלום:</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rtl/>
          <w:lang w:val="ru-RU"/>
        </w:rPr>
      </w:pPr>
      <w:r>
        <w:rPr>
          <w:rFonts w:ascii="Times New Roman" w:hAnsi="Times New Roman" w:cs="David"/>
          <w:noProof w:val="0"/>
          <w:sz w:val="24"/>
          <w:szCs w:val="24"/>
          <w:rtl/>
          <w:lang w:val="ru-RU"/>
        </w:rPr>
        <w:tab/>
        <w:t>אנו  מאשרים את הצו. תודה רבה.</w:t>
      </w:r>
    </w:p>
    <w:p w:rsidR="00000000" w:rsidRDefault="00053275">
      <w:pPr>
        <w:bidi/>
        <w:spacing w:line="240" w:lineRule="auto"/>
        <w:ind w:firstLine="0"/>
        <w:rPr>
          <w:rFonts w:ascii="Times New Roman" w:hAnsi="Times New Roman" w:cs="David"/>
          <w:noProof w:val="0"/>
          <w:sz w:val="24"/>
          <w:szCs w:val="24"/>
          <w:rtl/>
          <w:lang w:val="ru-RU"/>
        </w:rPr>
      </w:pPr>
    </w:p>
    <w:p w:rsidR="00000000" w:rsidRDefault="00053275">
      <w:pPr>
        <w:bidi/>
        <w:spacing w:line="240" w:lineRule="auto"/>
        <w:ind w:firstLine="0"/>
        <w:rPr>
          <w:rFonts w:ascii="Times New Roman" w:hAnsi="Times New Roman" w:cs="David"/>
          <w:noProof w:val="0"/>
          <w:sz w:val="24"/>
          <w:szCs w:val="24"/>
          <w:u w:val="single"/>
          <w:rtl/>
          <w:lang w:val="ru-RU"/>
        </w:rPr>
      </w:pPr>
      <w:r>
        <w:rPr>
          <w:rFonts w:ascii="Times New Roman" w:hAnsi="Times New Roman" w:cs="David"/>
          <w:noProof w:val="0"/>
          <w:sz w:val="24"/>
          <w:szCs w:val="24"/>
          <w:u w:val="single"/>
          <w:rtl/>
          <w:lang w:val="ru-RU"/>
        </w:rPr>
        <w:t>הישיבה ננעלה בשעה 10:45.</w:t>
      </w:r>
    </w:p>
    <w:sectPr w:rsidR="00000000">
      <w:headerReference w:type="default" r:id="rId7"/>
      <w:pgSz w:w="11906" w:h="16838"/>
      <w:pgMar w:top="1418" w:right="1701" w:bottom="1418" w:left="170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53275">
      <w:pPr>
        <w:spacing w:line="240" w:lineRule="auto"/>
      </w:pPr>
      <w:r>
        <w:separator/>
      </w:r>
    </w:p>
  </w:endnote>
  <w:endnote w:type="continuationSeparator" w:id="0">
    <w:p w:rsidR="00000000" w:rsidRDefault="000532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53275">
      <w:pPr>
        <w:spacing w:line="240" w:lineRule="auto"/>
      </w:pPr>
      <w:r>
        <w:separator/>
      </w:r>
    </w:p>
  </w:footnote>
  <w:footnote w:type="continuationSeparator" w:id="0">
    <w:p w:rsidR="00000000" w:rsidRDefault="0005327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53275">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053275">
    <w:pPr>
      <w:pStyle w:val="a3"/>
      <w:ind w:right="360"/>
      <w:rPr>
        <w:rFonts w:cs="David"/>
        <w:b/>
        <w:bCs/>
        <w:sz w:val="20"/>
        <w:szCs w:val="20"/>
        <w:rtl/>
      </w:rPr>
    </w:pPr>
    <w:r>
      <w:rPr>
        <w:rFonts w:cs="David"/>
        <w:rtl/>
      </w:rPr>
      <w:t xml:space="preserve">ועדת העבודה, הרווחה והבריאות     </w:t>
    </w:r>
  </w:p>
  <w:p w:rsidR="00000000" w:rsidRDefault="00053275">
    <w:pPr>
      <w:pStyle w:val="a3"/>
      <w:rPr>
        <w:rFonts w:cs="David"/>
        <w:b/>
        <w:bCs/>
        <w:sz w:val="22"/>
        <w:szCs w:val="22"/>
        <w:rtl/>
      </w:rPr>
    </w:pPr>
    <w:r>
      <w:rPr>
        <w:rFonts w:cs="David"/>
        <w:rtl/>
      </w:rPr>
      <w:t xml:space="preserve">15/06/2005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C7D94"/>
    <w:multiLevelType w:val="hybridMultilevel"/>
    <w:tmpl w:val="8E8AD42E"/>
    <w:lvl w:ilvl="0" w:tplc="70ACEBF0">
      <w:start w:val="9"/>
      <w:numFmt w:val="decimal"/>
      <w:lvlText w:val="%1."/>
      <w:lvlJc w:val="left"/>
      <w:pPr>
        <w:tabs>
          <w:tab w:val="num" w:pos="360"/>
        </w:tabs>
        <w:ind w:left="360" w:hanging="360"/>
      </w:pPr>
      <w:rPr>
        <w:rFonts w:ascii="Times New Roman" w:hAnsi="Times New Roman" w:cs="Times New Roman" w:hint="default"/>
      </w:rPr>
    </w:lvl>
    <w:lvl w:ilvl="1" w:tplc="69960920">
      <w:start w:val="1"/>
      <w:numFmt w:val="hebrew1"/>
      <w:lvlText w:val="(%2)"/>
      <w:lvlJc w:val="left"/>
      <w:pPr>
        <w:tabs>
          <w:tab w:val="num" w:pos="1080"/>
        </w:tabs>
        <w:ind w:left="1080" w:hanging="360"/>
      </w:pPr>
      <w:rPr>
        <w:rFonts w:ascii="Times New Roman" w:hAnsi="Times New Roman" w:cs="Times New Roman" w:hint="default"/>
      </w:rPr>
    </w:lvl>
    <w:lvl w:ilvl="2" w:tplc="040D001B">
      <w:start w:val="1"/>
      <w:numFmt w:val="lowerRoman"/>
      <w:lvlText w:val="%3."/>
      <w:lvlJc w:val="right"/>
      <w:pPr>
        <w:tabs>
          <w:tab w:val="num" w:pos="1800"/>
        </w:tabs>
        <w:ind w:left="1800" w:hanging="180"/>
      </w:pPr>
      <w:rPr>
        <w:rFonts w:ascii="Times New Roman" w:hAnsi="Times New Roman" w:cs="Times New Roman"/>
      </w:rPr>
    </w:lvl>
    <w:lvl w:ilvl="3" w:tplc="040D000F">
      <w:start w:val="1"/>
      <w:numFmt w:val="decimal"/>
      <w:lvlText w:val="%4."/>
      <w:lvlJc w:val="left"/>
      <w:pPr>
        <w:tabs>
          <w:tab w:val="num" w:pos="2520"/>
        </w:tabs>
        <w:ind w:left="2520" w:hanging="360"/>
      </w:pPr>
      <w:rPr>
        <w:rFonts w:ascii="Times New Roman" w:hAnsi="Times New Roman" w:cs="Times New Roman"/>
      </w:rPr>
    </w:lvl>
    <w:lvl w:ilvl="4" w:tplc="040D0019">
      <w:start w:val="1"/>
      <w:numFmt w:val="lowerLetter"/>
      <w:lvlText w:val="%5."/>
      <w:lvlJc w:val="left"/>
      <w:pPr>
        <w:tabs>
          <w:tab w:val="num" w:pos="3240"/>
        </w:tabs>
        <w:ind w:left="3240" w:hanging="360"/>
      </w:pPr>
      <w:rPr>
        <w:rFonts w:ascii="Times New Roman" w:hAnsi="Times New Roman" w:cs="Times New Roman"/>
      </w:rPr>
    </w:lvl>
    <w:lvl w:ilvl="5" w:tplc="040D001B">
      <w:start w:val="1"/>
      <w:numFmt w:val="lowerRoman"/>
      <w:lvlText w:val="%6."/>
      <w:lvlJc w:val="right"/>
      <w:pPr>
        <w:tabs>
          <w:tab w:val="num" w:pos="3960"/>
        </w:tabs>
        <w:ind w:left="3960" w:hanging="180"/>
      </w:pPr>
      <w:rPr>
        <w:rFonts w:ascii="Times New Roman" w:hAnsi="Times New Roman" w:cs="Times New Roman"/>
      </w:rPr>
    </w:lvl>
    <w:lvl w:ilvl="6" w:tplc="040D000F">
      <w:start w:val="1"/>
      <w:numFmt w:val="decimal"/>
      <w:lvlText w:val="%7."/>
      <w:lvlJc w:val="left"/>
      <w:pPr>
        <w:tabs>
          <w:tab w:val="num" w:pos="4680"/>
        </w:tabs>
        <w:ind w:left="4680" w:hanging="360"/>
      </w:pPr>
      <w:rPr>
        <w:rFonts w:ascii="Times New Roman" w:hAnsi="Times New Roman" w:cs="Times New Roman"/>
      </w:rPr>
    </w:lvl>
    <w:lvl w:ilvl="7" w:tplc="040D0019">
      <w:start w:val="1"/>
      <w:numFmt w:val="lowerLetter"/>
      <w:lvlText w:val="%8."/>
      <w:lvlJc w:val="left"/>
      <w:pPr>
        <w:tabs>
          <w:tab w:val="num" w:pos="5400"/>
        </w:tabs>
        <w:ind w:left="5400" w:hanging="360"/>
      </w:pPr>
      <w:rPr>
        <w:rFonts w:ascii="Times New Roman" w:hAnsi="Times New Roman" w:cs="Times New Roman"/>
      </w:rPr>
    </w:lvl>
    <w:lvl w:ilvl="8" w:tplc="040D001B">
      <w:start w:val="1"/>
      <w:numFmt w:val="lowerRoman"/>
      <w:lvlText w:val="%9."/>
      <w:lvlJc w:val="right"/>
      <w:pPr>
        <w:tabs>
          <w:tab w:val="num" w:pos="6120"/>
        </w:tabs>
        <w:ind w:left="6120" w:hanging="180"/>
      </w:pPr>
      <w:rPr>
        <w:rFonts w:ascii="Times New Roman" w:hAnsi="Times New Roman" w:cs="Times New Roman"/>
      </w:rPr>
    </w:lvl>
  </w:abstractNum>
  <w:abstractNum w:abstractNumId="1" w15:restartNumberingAfterBreak="0">
    <w:nsid w:val="3C1B25EE"/>
    <w:multiLevelType w:val="hybridMultilevel"/>
    <w:tmpl w:val="AF0AB638"/>
    <w:lvl w:ilvl="0" w:tplc="0409000F">
      <w:start w:val="1"/>
      <w:numFmt w:val="decimal"/>
      <w:lvlText w:val="%1."/>
      <w:lvlJc w:val="left"/>
      <w:pPr>
        <w:tabs>
          <w:tab w:val="num" w:pos="360"/>
        </w:tabs>
        <w:ind w:left="360" w:hanging="360"/>
      </w:pPr>
      <w:rPr>
        <w:rFonts w:ascii="Times New Roman" w:hAnsi="Times New Roman" w:cs="Times New Roman" w:hint="default"/>
      </w:rPr>
    </w:lvl>
    <w:lvl w:ilvl="1" w:tplc="04090019">
      <w:start w:val="1"/>
      <w:numFmt w:val="lowerLetter"/>
      <w:lvlText w:val="%2."/>
      <w:lvlJc w:val="left"/>
      <w:pPr>
        <w:tabs>
          <w:tab w:val="num" w:pos="1080"/>
        </w:tabs>
        <w:ind w:left="1080" w:hanging="360"/>
      </w:pPr>
      <w:rPr>
        <w:rFonts w:ascii="Times New Roman" w:hAnsi="Times New Roman" w:cs="Times New Roman"/>
      </w:rPr>
    </w:lvl>
    <w:lvl w:ilvl="2" w:tplc="0409001B">
      <w:start w:val="1"/>
      <w:numFmt w:val="lowerRoman"/>
      <w:lvlText w:val="%3."/>
      <w:lvlJc w:val="right"/>
      <w:pPr>
        <w:tabs>
          <w:tab w:val="num" w:pos="1800"/>
        </w:tabs>
        <w:ind w:left="1800" w:hanging="180"/>
      </w:pPr>
      <w:rPr>
        <w:rFonts w:ascii="Times New Roman" w:hAnsi="Times New Roman" w:cs="Times New Roman"/>
      </w:rPr>
    </w:lvl>
    <w:lvl w:ilvl="3" w:tplc="0409000F">
      <w:start w:val="1"/>
      <w:numFmt w:val="decimal"/>
      <w:lvlText w:val="%4."/>
      <w:lvlJc w:val="left"/>
      <w:pPr>
        <w:tabs>
          <w:tab w:val="num" w:pos="2520"/>
        </w:tabs>
        <w:ind w:left="2520" w:hanging="360"/>
      </w:pPr>
      <w:rPr>
        <w:rFonts w:ascii="Times New Roman" w:hAnsi="Times New Roman" w:cs="Times New Roman"/>
      </w:rPr>
    </w:lvl>
    <w:lvl w:ilvl="4" w:tplc="04090019">
      <w:start w:val="1"/>
      <w:numFmt w:val="lowerLetter"/>
      <w:lvlText w:val="%5."/>
      <w:lvlJc w:val="left"/>
      <w:pPr>
        <w:tabs>
          <w:tab w:val="num" w:pos="3240"/>
        </w:tabs>
        <w:ind w:left="3240" w:hanging="360"/>
      </w:pPr>
      <w:rPr>
        <w:rFonts w:ascii="Times New Roman" w:hAnsi="Times New Roman" w:cs="Times New Roman"/>
      </w:rPr>
    </w:lvl>
    <w:lvl w:ilvl="5" w:tplc="0409001B">
      <w:start w:val="1"/>
      <w:numFmt w:val="lowerRoman"/>
      <w:lvlText w:val="%6."/>
      <w:lvlJc w:val="right"/>
      <w:pPr>
        <w:tabs>
          <w:tab w:val="num" w:pos="3960"/>
        </w:tabs>
        <w:ind w:left="3960" w:hanging="180"/>
      </w:pPr>
      <w:rPr>
        <w:rFonts w:ascii="Times New Roman" w:hAnsi="Times New Roman" w:cs="Times New Roman"/>
      </w:rPr>
    </w:lvl>
    <w:lvl w:ilvl="6" w:tplc="0409000F">
      <w:start w:val="1"/>
      <w:numFmt w:val="decimal"/>
      <w:lvlText w:val="%7."/>
      <w:lvlJc w:val="left"/>
      <w:pPr>
        <w:tabs>
          <w:tab w:val="num" w:pos="4680"/>
        </w:tabs>
        <w:ind w:left="4680" w:hanging="360"/>
      </w:pPr>
      <w:rPr>
        <w:rFonts w:ascii="Times New Roman" w:hAnsi="Times New Roman" w:cs="Times New Roman"/>
      </w:rPr>
    </w:lvl>
    <w:lvl w:ilvl="7" w:tplc="04090019">
      <w:start w:val="1"/>
      <w:numFmt w:val="lowerLetter"/>
      <w:lvlText w:val="%8."/>
      <w:lvlJc w:val="left"/>
      <w:pPr>
        <w:tabs>
          <w:tab w:val="num" w:pos="5400"/>
        </w:tabs>
        <w:ind w:left="5400" w:hanging="360"/>
      </w:pPr>
      <w:rPr>
        <w:rFonts w:ascii="Times New Roman" w:hAnsi="Times New Roman" w:cs="Times New Roman"/>
      </w:rPr>
    </w:lvl>
    <w:lvl w:ilvl="8" w:tplc="0409001B">
      <w:start w:val="1"/>
      <w:numFmt w:val="lowerRoman"/>
      <w:lvlText w:val="%9."/>
      <w:lvlJc w:val="right"/>
      <w:pPr>
        <w:tabs>
          <w:tab w:val="num" w:pos="6120"/>
        </w:tabs>
        <w:ind w:left="6120" w:hanging="180"/>
      </w:pPr>
      <w:rPr>
        <w:rFonts w:ascii="Times New Roman" w:hAnsi="Times New Roman"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3275"/>
    <w:rsid w:val="000532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BCC07F-CCE2-4808-8EC0-C240BE813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360" w:lineRule="auto"/>
      <w:ind w:firstLine="719"/>
      <w:jc w:val="both"/>
    </w:pPr>
    <w:rPr>
      <w:rFonts w:ascii="Arial" w:eastAsia="Times New Roman" w:hAnsi="Arial" w:cs="Times New Roman"/>
      <w:noProof/>
      <w:lang w:eastAsia="he-IL"/>
    </w:rPr>
  </w:style>
  <w:style w:type="paragraph" w:styleId="1">
    <w:name w:val="heading 1"/>
    <w:basedOn w:val="a"/>
    <w:next w:val="a"/>
    <w:link w:val="10"/>
    <w:uiPriority w:val="99"/>
    <w:qFormat/>
    <w:pPr>
      <w:keepNext/>
      <w:bidi/>
      <w:spacing w:line="240" w:lineRule="auto"/>
      <w:ind w:firstLine="0"/>
      <w:outlineLvl w:val="0"/>
    </w:pPr>
    <w:rPr>
      <w:rFonts w:ascii="Times New Roman" w:eastAsiaTheme="minorEastAsia" w:hAnsi="Times New Roman"/>
      <w:b/>
      <w:bCs/>
      <w:noProof w:val="0"/>
      <w:sz w:val="24"/>
      <w:szCs w:val="24"/>
    </w:rPr>
  </w:style>
  <w:style w:type="paragraph" w:styleId="2">
    <w:name w:val="heading 2"/>
    <w:basedOn w:val="a"/>
    <w:next w:val="a"/>
    <w:link w:val="20"/>
    <w:uiPriority w:val="99"/>
    <w:qFormat/>
    <w:pPr>
      <w:keepNext/>
      <w:bidi/>
      <w:spacing w:line="240" w:lineRule="auto"/>
      <w:ind w:firstLine="0"/>
      <w:jc w:val="center"/>
      <w:outlineLvl w:val="1"/>
    </w:pPr>
    <w:rPr>
      <w:rFonts w:ascii="Times New Roman" w:eastAsiaTheme="minorEastAsia" w:hAnsi="Times New Roman"/>
      <w:b/>
      <w:bCs/>
      <w:noProof w:val="0"/>
      <w:sz w:val="24"/>
      <w:szCs w:val="24"/>
      <w:u w:val="single"/>
    </w:rPr>
  </w:style>
  <w:style w:type="paragraph" w:styleId="4">
    <w:name w:val="heading 4"/>
    <w:basedOn w:val="a"/>
    <w:next w:val="a"/>
    <w:link w:val="40"/>
    <w:uiPriority w:val="99"/>
    <w:qFormat/>
    <w:pPr>
      <w:keepNext/>
      <w:bidi/>
      <w:ind w:firstLine="0"/>
      <w:outlineLvl w:val="3"/>
    </w:pPr>
    <w:rPr>
      <w:rFonts w:ascii="Times New Roman" w:eastAsiaTheme="minorEastAsia" w:hAnsi="Times New Roman"/>
      <w:noProof w:val="0"/>
      <w:spacing w:val="20"/>
      <w:sz w:val="26"/>
      <w:szCs w:val="26"/>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40">
    <w:name w:val="כותרת 4 תו"/>
    <w:basedOn w:val="a0"/>
    <w:link w:val="4"/>
    <w:uiPriority w:val="9"/>
    <w:semiHidden/>
    <w:rPr>
      <w:b/>
      <w:bCs/>
      <w:noProof/>
      <w:sz w:val="28"/>
      <w:szCs w:val="28"/>
      <w:lang w:eastAsia="he-IL"/>
    </w:rPr>
  </w:style>
  <w:style w:type="paragraph" w:styleId="a3">
    <w:name w:val="header"/>
    <w:basedOn w:val="a"/>
    <w:link w:val="a4"/>
    <w:uiPriority w:val="99"/>
    <w:pPr>
      <w:tabs>
        <w:tab w:val="center" w:pos="4153"/>
        <w:tab w:val="right" w:pos="8306"/>
      </w:tabs>
      <w:bidi/>
      <w:spacing w:line="240" w:lineRule="auto"/>
      <w:ind w:firstLine="0"/>
      <w:jc w:val="left"/>
    </w:pPr>
    <w:rPr>
      <w:rFonts w:ascii="Times New Roman" w:eastAsiaTheme="minorEastAsia" w:hAnsi="Times New Roman"/>
      <w:noProof w:val="0"/>
      <w:sz w:val="24"/>
      <w:szCs w:val="24"/>
    </w:rPr>
  </w:style>
  <w:style w:type="character" w:customStyle="1" w:styleId="a4">
    <w:name w:val="כותרת עליונה תו"/>
    <w:basedOn w:val="a0"/>
    <w:link w:val="a3"/>
    <w:uiPriority w:val="99"/>
    <w:semiHidden/>
    <w:rPr>
      <w:rFonts w:ascii="Arial" w:eastAsia="Times New Roman" w:hAnsi="Arial" w:cs="Times New Roman"/>
      <w:noProof/>
      <w:lang w:eastAsia="he-IL"/>
    </w:rPr>
  </w:style>
  <w:style w:type="paragraph" w:styleId="a5">
    <w:name w:val="footer"/>
    <w:basedOn w:val="a"/>
    <w:link w:val="a6"/>
    <w:uiPriority w:val="99"/>
    <w:pPr>
      <w:tabs>
        <w:tab w:val="center" w:pos="4153"/>
        <w:tab w:val="right" w:pos="8306"/>
      </w:tabs>
      <w:bidi/>
      <w:spacing w:line="240" w:lineRule="auto"/>
      <w:ind w:firstLine="0"/>
      <w:jc w:val="left"/>
    </w:pPr>
    <w:rPr>
      <w:rFonts w:ascii="Times New Roman" w:eastAsiaTheme="minorEastAsia" w:hAnsi="Times New Roman"/>
      <w:noProof w:val="0"/>
      <w:sz w:val="24"/>
      <w:szCs w:val="24"/>
    </w:rPr>
  </w:style>
  <w:style w:type="character" w:customStyle="1" w:styleId="a6">
    <w:name w:val="כותרת תחתונה תו"/>
    <w:basedOn w:val="a0"/>
    <w:link w:val="a5"/>
    <w:uiPriority w:val="99"/>
    <w:semiHidden/>
    <w:rPr>
      <w:rFonts w:ascii="Arial" w:eastAsia="Times New Roman" w:hAnsi="Arial" w:cs="Times New Roman"/>
      <w:noProof/>
      <w:lang w:eastAsia="he-IL"/>
    </w:rPr>
  </w:style>
  <w:style w:type="character" w:styleId="a7">
    <w:name w:val="page number"/>
    <w:basedOn w:val="a0"/>
    <w:uiPriority w:val="99"/>
    <w:rPr>
      <w:rFonts w:ascii="Times New Roman" w:hAnsi="Times New Roman" w:cs="Times New Roman"/>
    </w:rPr>
  </w:style>
  <w:style w:type="paragraph" w:customStyle="1" w:styleId="a8">
    <w:name w:val="מספר_ההצבעה"/>
    <w:basedOn w:val="a"/>
    <w:next w:val="a"/>
    <w:uiPriority w:val="99"/>
    <w:pPr>
      <w:ind w:firstLine="0"/>
      <w:jc w:val="center"/>
    </w:pPr>
    <w:rPr>
      <w:b/>
      <w:bCs/>
      <w:noProof w:val="0"/>
      <w:lang w:eastAsia="en-US"/>
    </w:rPr>
  </w:style>
  <w:style w:type="paragraph" w:customStyle="1" w:styleId="a9">
    <w:name w:val="בעד_נגד_נמנעים"/>
    <w:basedOn w:val="a"/>
    <w:next w:val="a"/>
    <w:uiPriority w:val="99"/>
    <w:pPr>
      <w:ind w:firstLine="0"/>
      <w:jc w:val="center"/>
    </w:pPr>
    <w:rPr>
      <w:noProof w:val="0"/>
      <w:lang w:eastAsia="en-US"/>
    </w:rPr>
  </w:style>
  <w:style w:type="paragraph" w:customStyle="1" w:styleId="aa">
    <w:name w:val="תוצאות_ההצבעה"/>
    <w:basedOn w:val="a"/>
    <w:next w:val="a"/>
    <w:uiPriority w:val="99"/>
    <w:pPr>
      <w:ind w:firstLine="0"/>
      <w:jc w:val="center"/>
    </w:pPr>
    <w:rPr>
      <w:noProof w:val="0"/>
      <w:lang w:eastAsia="en-US"/>
    </w:rPr>
  </w:style>
  <w:style w:type="paragraph" w:styleId="ab">
    <w:name w:val="Body Text"/>
    <w:basedOn w:val="a"/>
    <w:link w:val="ac"/>
    <w:uiPriority w:val="99"/>
    <w:pPr>
      <w:bidi/>
      <w:spacing w:line="240" w:lineRule="auto"/>
      <w:ind w:firstLine="0"/>
    </w:pPr>
    <w:rPr>
      <w:rFonts w:ascii="Times New Roman" w:eastAsiaTheme="minorEastAsia" w:hAnsi="Times New Roman"/>
      <w:noProof w:val="0"/>
      <w:sz w:val="24"/>
      <w:szCs w:val="24"/>
    </w:rPr>
  </w:style>
  <w:style w:type="character" w:customStyle="1" w:styleId="ac">
    <w:name w:val="גוף טקסט תו"/>
    <w:basedOn w:val="a0"/>
    <w:link w:val="ab"/>
    <w:uiPriority w:val="99"/>
    <w:semiHidden/>
    <w:rPr>
      <w:rFonts w:ascii="Arial" w:eastAsia="Times New Roman" w:hAnsi="Arial" w:cs="Times New Roman"/>
      <w:noProof/>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775A5F-BF85-462D-A1F8-6B8A045918B3}"/>
</file>

<file path=customXml/itemProps2.xml><?xml version="1.0" encoding="utf-8"?>
<ds:datastoreItem xmlns:ds="http://schemas.openxmlformats.org/officeDocument/2006/customXml" ds:itemID="{68C9CCFD-C28E-4857-AE60-FC472F6B1E16}"/>
</file>

<file path=customXml/itemProps3.xml><?xml version="1.0" encoding="utf-8"?>
<ds:datastoreItem xmlns:ds="http://schemas.openxmlformats.org/officeDocument/2006/customXml" ds:itemID="{45ED576F-6866-4E99-A8DF-94597AE0ADC3}"/>
</file>

<file path=docProps/app.xml><?xml version="1.0" encoding="utf-8"?>
<Properties xmlns="http://schemas.openxmlformats.org/officeDocument/2006/extended-properties" xmlns:vt="http://schemas.openxmlformats.org/officeDocument/2006/docPropsVTypes">
  <Template>Normal.dotm</Template>
  <TotalTime>0</TotalTime>
  <Pages>5</Pages>
  <Words>941</Words>
  <Characters>4710</Characters>
  <Application>Microsoft Office Word</Application>
  <DocSecurity>4</DocSecurity>
  <Lines>39</Lines>
  <Paragraphs>11</Paragraphs>
  <ScaleCrop>false</ScaleCrop>
  <Company>knesset</Company>
  <LinksUpToDate>false</LinksUpToDate>
  <CharactersWithSpaces>5640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פעוטות בסיכון (הזכות למעון יום) (החלת הזכאות למעון יום) (מס' 2)</dc:title>
  <dc:subject/>
  <dc:creator>p_heftsiba</dc:creator>
  <cp:keywords/>
  <dc:description/>
  <cp:lastModifiedBy>שמואל כוכב</cp:lastModifiedBy>
  <cp:revision>2</cp:revision>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-309933230</vt:i4>
  </property>
  <property fmtid="{D5CDD505-2E9C-101B-9397-08002B2CF9AE}" pid="3" name="_EmailSubject">
    <vt:lpwstr>2 ועדות עבודה</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CodeProfile">
    <vt:lpwstr>389.000000000000</vt:lpwstr>
  </property>
  <property fmtid="{D5CDD505-2E9C-101B-9397-08002B2CF9AE}" pid="7" name="AutoNumber">
    <vt:lpwstr>100351505</vt:lpwstr>
  </property>
  <property fmtid="{D5CDD505-2E9C-101B-9397-08002B2CF9AE}" pid="8" name="SDDocDate">
    <vt:lpwstr>2005-06-21T08:00:00Z</vt:lpwstr>
  </property>
  <property fmtid="{D5CDD505-2E9C-101B-9397-08002B2CF9AE}" pid="9" name="SDHebDate">
    <vt:lpwstr>י"ד בסיון, התשס"ה</vt:lpwstr>
  </property>
  <property fmtid="{D5CDD505-2E9C-101B-9397-08002B2CF9AE}" pid="10" name="SDCategories">
    <vt:lpwstr>:דף הבית:נושאים:פרוטוקולי וועדות פרלמטריות:העבודה, הרווחה והבריאות;#</vt:lpwstr>
  </property>
  <property fmtid="{D5CDD505-2E9C-101B-9397-08002B2CF9AE}" pid="11" name="MisYeshiva">
    <vt:lpwstr>430.000000000000</vt:lpwstr>
  </property>
  <property fmtid="{D5CDD505-2E9C-101B-9397-08002B2CF9AE}" pid="12" name="SDAuthor">
    <vt:lpwstr>תמר שפנייר</vt:lpwstr>
  </property>
  <property fmtid="{D5CDD505-2E9C-101B-9397-08002B2CF9AE}" pid="13" name="TaarichYeshiva">
    <vt:lpwstr>2005-06-15T08:00:00Z</vt:lpwstr>
  </property>
  <property fmtid="{D5CDD505-2E9C-101B-9397-08002B2CF9AE}" pid="14" name="שעת ישיבה">
    <vt:lpwstr>10:30</vt:lpwstr>
  </property>
  <property fmtid="{D5CDD505-2E9C-101B-9397-08002B2CF9AE}" pid="15" name="GetLastModified">
    <vt:lpwstr>21/06/2005 10:16:41</vt:lpwstr>
  </property>
  <property fmtid="{D5CDD505-2E9C-101B-9397-08002B2CF9AE}" pid="16" name="_ReviewingToolsShownOnce">
    <vt:lpwstr/>
  </property>
  <property fmtid="{D5CDD505-2E9C-101B-9397-08002B2CF9AE}" pid="17" name="ContentTypeId">
    <vt:lpwstr>0x0101008FCE1D2CB68F9D4CB5270FF169E39A74</vt:lpwstr>
  </property>
  <property fmtid="{D5CDD505-2E9C-101B-9397-08002B2CF9AE}" pid="18" name="SanhedrinItemID">
    <vt:r8>102253</vt:r8>
  </property>
  <property fmtid="{D5CDD505-2E9C-101B-9397-08002B2CF9AE}" pid="19" name="SanhedrinDocumentType">
    <vt:r8>167</vt:r8>
  </property>
</Properties>
</file>