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0340" w:rsidRPr="00BB6388" w:rsidRDefault="002D3AFE" w:rsidP="00BB6388">
      <w:pPr>
        <w:pStyle w:val="ac"/>
        <w:spacing w:line="360" w:lineRule="auto"/>
        <w:jc w:val="center"/>
        <w:rPr>
          <w:color w:val="3366FF"/>
          <w:lang w:eastAsia="en-US"/>
        </w:rPr>
      </w:pPr>
      <w:bookmarkStart w:id="0" w:name="_GoBack"/>
      <w:bookmarkEnd w:id="0"/>
      <w:r>
        <w:rPr>
          <w:noProof/>
          <w:sz w:val="20"/>
          <w:lang w:eastAsia="en-US"/>
        </w:rPr>
        <mc:AlternateContent>
          <mc:Choice Requires="wps">
            <w:drawing>
              <wp:anchor distT="0" distB="0" distL="114300" distR="114300" simplePos="0" relativeHeight="251654144" behindDoc="1" locked="0" layoutInCell="1" allowOverlap="1">
                <wp:simplePos x="0" y="0"/>
                <wp:positionH relativeFrom="column">
                  <wp:posOffset>4519295</wp:posOffset>
                </wp:positionH>
                <wp:positionV relativeFrom="paragraph">
                  <wp:posOffset>228600</wp:posOffset>
                </wp:positionV>
                <wp:extent cx="1600835" cy="8801100"/>
                <wp:effectExtent l="0" t="0" r="0" b="0"/>
                <wp:wrapNone/>
                <wp:docPr id="12"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835" cy="8801100"/>
                        </a:xfrm>
                        <a:prstGeom prst="rect">
                          <a:avLst/>
                        </a:prstGeom>
                        <a:gradFill rotWithShape="0">
                          <a:gsLst>
                            <a:gs pos="0">
                              <a:srgbClr val="99CCFF">
                                <a:gamma/>
                                <a:tint val="0"/>
                                <a:invGamma/>
                              </a:srgbClr>
                            </a:gs>
                            <a:gs pos="100000">
                              <a:srgbClr val="99CCFF"/>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2909" w:rsidRDefault="00FE2909">
                            <w:pPr>
                              <w:rPr>
                                <w:rtl/>
                                <w:lang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8" o:spid="_x0000_s1026" type="#_x0000_t202" style="position:absolute;left:0;text-align:left;margin-left:355.85pt;margin-top:18pt;width:126.05pt;height:6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" stroked="f">
                <v:fill color2="#9cf" focus="100%" type="gradient"/>
                <v:textbox>
                  <w:txbxContent>
                    <w:p w:rsidR="00FE2909" w:rsidRDefault="00FE2909">
                      <w:pPr>
                        <w:rPr>
                          <w:rtl/>
                          <w:lang w:eastAsia="en-US"/>
                        </w:rPr>
                      </w:pPr>
                    </w:p>
                  </w:txbxContent>
                </v:textbox>
              </v:shape>
            </w:pict>
          </mc:Fallback>
        </mc:AlternateContent>
      </w:r>
      <w:r>
        <w:rPr>
          <w:noProof/>
          <w:sz w:val="20"/>
          <w:lang w:eastAsia="en-US"/>
        </w:rPr>
        <mc:AlternateContent>
          <mc:Choice Requires="wps">
            <w:drawing>
              <wp:anchor distT="0" distB="0" distL="114300" distR="114300" simplePos="0" relativeHeight="251658240" behindDoc="0" locked="0" layoutInCell="1" allowOverlap="1">
                <wp:simplePos x="0" y="0"/>
                <wp:positionH relativeFrom="column">
                  <wp:posOffset>4467225</wp:posOffset>
                </wp:positionH>
                <wp:positionV relativeFrom="paragraph">
                  <wp:posOffset>316865</wp:posOffset>
                </wp:positionV>
                <wp:extent cx="1714500" cy="617855"/>
                <wp:effectExtent l="0" t="0" r="0" b="0"/>
                <wp:wrapNone/>
                <wp:docPr id="11"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617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2909" w:rsidRDefault="00FE2909">
                            <w:pPr>
                              <w:pStyle w:val="ac"/>
                              <w:spacing w:after="60"/>
                              <w:jc w:val="center"/>
                              <w:rPr>
                                <w:b/>
                                <w:bCs/>
                                <w:color w:val="000066"/>
                                <w:spacing w:val="8"/>
                                <w:rtl/>
                                <w:lang w:eastAsia="en-US"/>
                              </w:rPr>
                            </w:pPr>
                            <w:r>
                              <w:rPr>
                                <w:rFonts w:hint="eastAsia"/>
                                <w:b/>
                                <w:bCs/>
                                <w:color w:val="000066"/>
                                <w:spacing w:val="8"/>
                                <w:rtl/>
                                <w:lang w:eastAsia="en-US"/>
                              </w:rPr>
                              <w:t>הכנסת</w:t>
                            </w:r>
                          </w:p>
                          <w:p w:rsidR="00FE2909" w:rsidRPr="00E37CE6" w:rsidRDefault="00FE2909">
                            <w:pPr>
                              <w:pStyle w:val="ac"/>
                              <w:spacing w:before="60"/>
                              <w:jc w:val="center"/>
                              <w:rPr>
                                <w:b/>
                                <w:bCs/>
                                <w:rtl/>
                                <w:lang w:eastAsia="en-US"/>
                              </w:rPr>
                            </w:pPr>
                            <w:r w:rsidRPr="00E37CE6">
                              <w:rPr>
                                <w:rFonts w:hint="cs"/>
                                <w:b/>
                                <w:bCs/>
                                <w:color w:val="000066"/>
                                <w:rtl/>
                              </w:rPr>
                              <w:t>מרכז המחקר והמידע</w:t>
                            </w:r>
                          </w:p>
                          <w:p w:rsidR="00FE2909" w:rsidRDefault="00FE2909">
                            <w:pPr>
                              <w:rPr>
                                <w:rtl/>
                                <w:lang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2" o:spid="_x0000_s1027" type="#_x0000_t202" style="position:absolute;left:0;text-align:left;margin-left:351.75pt;margin-top:24.95pt;width:135pt;height:48.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99QuAIAAMM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" filled="f" stroked="f">
                <v:textbox>
                  <w:txbxContent>
                    <w:p w:rsidR="00FE2909" w:rsidRDefault="00FE2909">
                      <w:pPr>
                        <w:pStyle w:val="ac"/>
                        <w:spacing w:after="60"/>
                        <w:jc w:val="center"/>
                        <w:rPr>
                          <w:b/>
                          <w:bCs/>
                          <w:color w:val="000066"/>
                          <w:spacing w:val="8"/>
                          <w:rtl/>
                          <w:lang w:eastAsia="en-US"/>
                        </w:rPr>
                      </w:pPr>
                      <w:r>
                        <w:rPr>
                          <w:rFonts w:hint="eastAsia"/>
                          <w:b/>
                          <w:bCs/>
                          <w:color w:val="000066"/>
                          <w:spacing w:val="8"/>
                          <w:rtl/>
                          <w:lang w:eastAsia="en-US"/>
                        </w:rPr>
                        <w:t>הכנסת</w:t>
                      </w:r>
                    </w:p>
                    <w:p w:rsidR="00FE2909" w:rsidRPr="00E37CE6" w:rsidRDefault="00FE2909">
                      <w:pPr>
                        <w:pStyle w:val="ac"/>
                        <w:spacing w:before="60"/>
                        <w:jc w:val="center"/>
                        <w:rPr>
                          <w:b/>
                          <w:bCs/>
                          <w:rtl/>
                          <w:lang w:eastAsia="en-US"/>
                        </w:rPr>
                      </w:pPr>
                      <w:r w:rsidRPr="00E37CE6">
                        <w:rPr>
                          <w:rFonts w:hint="cs"/>
                          <w:b/>
                          <w:bCs/>
                          <w:color w:val="000066"/>
                          <w:rtl/>
                        </w:rPr>
                        <w:t>מרכז המחקר והמידע</w:t>
                      </w:r>
                    </w:p>
                    <w:p w:rsidR="00FE2909" w:rsidRDefault="00FE2909">
                      <w:pPr>
                        <w:rPr>
                          <w:rtl/>
                          <w:lang w:eastAsia="en-US"/>
                        </w:rPr>
                      </w:pPr>
                    </w:p>
                  </w:txbxContent>
                </v:textbox>
              </v:shape>
            </w:pict>
          </mc:Fallback>
        </mc:AlternateContent>
      </w:r>
      <w:r w:rsidR="001958D7" w:rsidRPr="00BB6388">
        <w:rPr>
          <w:noProof/>
          <w:lang w:eastAsia="en-US"/>
        </w:rPr>
        <w:drawing>
          <wp:anchor distT="0" distB="0" distL="114300" distR="114300" simplePos="0" relativeHeight="251655168" behindDoc="1" locked="0" layoutInCell="1" allowOverlap="1">
            <wp:simplePos x="0" y="0"/>
            <wp:positionH relativeFrom="column">
              <wp:posOffset>5019675</wp:posOffset>
            </wp:positionH>
            <wp:positionV relativeFrom="paragraph">
              <wp:posOffset>-219075</wp:posOffset>
            </wp:positionV>
            <wp:extent cx="609600" cy="689610"/>
            <wp:effectExtent l="0" t="0" r="0" b="0"/>
            <wp:wrapNone/>
            <wp:docPr id="249" name="תמונה 249" descr="סגן מזכי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סגן מזכיר"/>
                    <pic:cNvPicPr>
                      <a:picLocks noChangeAspect="1" noChangeArrowheads="1"/>
                    </pic:cNvPicPr>
                  </pic:nvPicPr>
                  <pic:blipFill>
                    <a:blip r:embed="rId11" cstate="print">
                      <a:extLst>
                        <a:ext uri="{28A0092B-C50C-407E-A947-70E740481C1C}">
                          <a14:useLocalDpi xmlns:a14="http://schemas.microsoft.com/office/drawing/2010/main" val="0"/>
                        </a:ext>
                      </a:extLst>
                    </a:blip>
                    <a:srcRect l="19977" r="20679" b="25812"/>
                    <a:stretch>
                      <a:fillRect/>
                    </a:stretch>
                  </pic:blipFill>
                  <pic:spPr bwMode="auto">
                    <a:xfrm>
                      <a:off x="0" y="0"/>
                      <a:ext cx="609600" cy="689610"/>
                    </a:xfrm>
                    <a:prstGeom prst="rect">
                      <a:avLst/>
                    </a:prstGeom>
                    <a:noFill/>
                  </pic:spPr>
                </pic:pic>
              </a:graphicData>
            </a:graphic>
          </wp:anchor>
        </w:drawing>
      </w:r>
      <w:r w:rsidR="00ED4C31" w:rsidRPr="00BB6388">
        <w:rPr>
          <w:rFonts w:hint="cs"/>
          <w:color w:val="3366FF"/>
          <w:rtl/>
          <w:lang w:eastAsia="en-US"/>
        </w:rPr>
        <w:t xml:space="preserve">     </w:t>
      </w:r>
      <w:r w:rsidR="00CB74D1" w:rsidRPr="00BB6388">
        <w:rPr>
          <w:rFonts w:hint="cs"/>
          <w:color w:val="3366FF"/>
          <w:rtl/>
          <w:lang w:eastAsia="en-US"/>
        </w:rPr>
        <w:t xml:space="preserve">    </w:t>
      </w:r>
    </w:p>
    <w:p w:rsidR="00BB0340" w:rsidRPr="00BB6388" w:rsidRDefault="00BB0340" w:rsidP="00BB6388">
      <w:pPr>
        <w:pStyle w:val="ac"/>
        <w:spacing w:line="360" w:lineRule="auto"/>
        <w:jc w:val="center"/>
        <w:rPr>
          <w:color w:val="000066"/>
          <w:sz w:val="28"/>
          <w:szCs w:val="28"/>
          <w:rtl/>
          <w:lang w:eastAsia="en-US"/>
        </w:rPr>
      </w:pPr>
    </w:p>
    <w:p w:rsidR="00BB0340" w:rsidRPr="00BB6388" w:rsidRDefault="002D3AFE" w:rsidP="00BB6388">
      <w:pPr>
        <w:pStyle w:val="a2"/>
        <w:spacing w:line="360" w:lineRule="auto"/>
        <w:ind w:left="-14"/>
        <w:rPr>
          <w:rtl/>
        </w:rPr>
      </w:pPr>
      <w:r>
        <w:rPr>
          <w:noProof/>
          <w:rtl/>
        </w:rPr>
        <mc:AlternateContent>
          <mc:Choice Requires="wps">
            <w:drawing>
              <wp:anchor distT="0" distB="0" distL="114300" distR="114300" simplePos="0" relativeHeight="251656192" behindDoc="0" locked="1" layoutInCell="1" allowOverlap="1">
                <wp:simplePos x="0" y="0"/>
                <wp:positionH relativeFrom="column">
                  <wp:posOffset>229235</wp:posOffset>
                </wp:positionH>
                <wp:positionV relativeFrom="paragraph">
                  <wp:posOffset>1383665</wp:posOffset>
                </wp:positionV>
                <wp:extent cx="3657600" cy="1485900"/>
                <wp:effectExtent l="0" t="0" r="0" b="0"/>
                <wp:wrapNone/>
                <wp:docPr id="10"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2909" w:rsidRDefault="00FE2909" w:rsidP="00D83B44">
                            <w:pPr>
                              <w:bidi w:val="0"/>
                              <w:jc w:val="center"/>
                              <w:rPr>
                                <w:b/>
                                <w:bCs/>
                                <w:sz w:val="36"/>
                                <w:szCs w:val="36"/>
                                <w:rtl/>
                                <w:lang w:eastAsia="en-US"/>
                              </w:rPr>
                            </w:pPr>
                            <w:r>
                              <w:rPr>
                                <w:rFonts w:hint="cs"/>
                                <w:b/>
                                <w:bCs/>
                                <w:sz w:val="36"/>
                                <w:szCs w:val="36"/>
                                <w:rtl/>
                                <w:lang w:eastAsia="en-US"/>
                              </w:rPr>
                              <w:t>סמים ואלכוהול בישראל:</w:t>
                            </w:r>
                          </w:p>
                          <w:p w:rsidR="00FE2909" w:rsidRPr="00F86ADF" w:rsidRDefault="00FE2909" w:rsidP="00D83B44">
                            <w:pPr>
                              <w:bidi w:val="0"/>
                              <w:jc w:val="center"/>
                              <w:rPr>
                                <w:b/>
                                <w:bCs/>
                                <w:sz w:val="36"/>
                                <w:szCs w:val="36"/>
                                <w:rtl/>
                                <w:lang w:eastAsia="en-US"/>
                              </w:rPr>
                            </w:pPr>
                            <w:r>
                              <w:rPr>
                                <w:rFonts w:hint="cs"/>
                                <w:b/>
                                <w:bCs/>
                                <w:sz w:val="36"/>
                                <w:szCs w:val="36"/>
                                <w:rtl/>
                                <w:lang w:eastAsia="en-US"/>
                              </w:rPr>
                              <w:t>נתוני רקע, חקיקה, ופעילות גופי מדינה</w:t>
                            </w:r>
                          </w:p>
                        </w:txbxContent>
                      </wps:txbx>
                      <wps:bodyPr rot="0" vert="horz" wrap="square" lIns="91440" tIns="45720" rIns="9144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0" o:spid="_x0000_s1028" type="#_x0000_t202" style="position:absolute;left:0;text-align:left;margin-left:18.05pt;margin-top:108.95pt;width:4in;height:11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Ve5vAIAAMQ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" filled="f" stroked="f">
                <v:textbox inset=",,,1mm">
                  <w:txbxContent>
                    <w:p w:rsidR="00FE2909" w:rsidRDefault="00FE2909" w:rsidP="00D83B44">
                      <w:pPr>
                        <w:bidi w:val="0"/>
                        <w:jc w:val="center"/>
                        <w:rPr>
                          <w:b/>
                          <w:bCs/>
                          <w:sz w:val="36"/>
                          <w:szCs w:val="36"/>
                          <w:rtl/>
                          <w:lang w:eastAsia="en-US"/>
                        </w:rPr>
                      </w:pPr>
                      <w:r>
                        <w:rPr>
                          <w:rFonts w:hint="cs"/>
                          <w:b/>
                          <w:bCs/>
                          <w:sz w:val="36"/>
                          <w:szCs w:val="36"/>
                          <w:rtl/>
                          <w:lang w:eastAsia="en-US"/>
                        </w:rPr>
                        <w:t>סמים ואלכוהול בישראל:</w:t>
                      </w:r>
                    </w:p>
                    <w:p w:rsidR="00FE2909" w:rsidRPr="00F86ADF" w:rsidRDefault="00FE2909" w:rsidP="00D83B44">
                      <w:pPr>
                        <w:bidi w:val="0"/>
                        <w:jc w:val="center"/>
                        <w:rPr>
                          <w:b/>
                          <w:bCs/>
                          <w:sz w:val="36"/>
                          <w:szCs w:val="36"/>
                          <w:rtl/>
                          <w:lang w:eastAsia="en-US"/>
                        </w:rPr>
                      </w:pPr>
                      <w:r>
                        <w:rPr>
                          <w:rFonts w:hint="cs"/>
                          <w:b/>
                          <w:bCs/>
                          <w:sz w:val="36"/>
                          <w:szCs w:val="36"/>
                          <w:rtl/>
                          <w:lang w:eastAsia="en-US"/>
                        </w:rPr>
                        <w:t>נתוני רקע, חקיקה, ופעילות גופי מדינה</w:t>
                      </w:r>
                    </w:p>
                  </w:txbxContent>
                </v:textbox>
                <w10:anchorlock/>
              </v:shape>
            </w:pict>
          </mc:Fallback>
        </mc:AlternateContent>
      </w:r>
      <w:r>
        <w:rPr>
          <w:noProof/>
          <w:rtl/>
        </w:rPr>
        <mc:AlternateContent>
          <mc:Choice Requires="wps">
            <w:drawing>
              <wp:anchor distT="0" distB="0" distL="114300" distR="114300" simplePos="0" relativeHeight="251657216" behindDoc="0" locked="1" layoutInCell="1" allowOverlap="1">
                <wp:simplePos x="0" y="0"/>
                <wp:positionH relativeFrom="column">
                  <wp:posOffset>265430</wp:posOffset>
                </wp:positionH>
                <wp:positionV relativeFrom="paragraph">
                  <wp:posOffset>3512820</wp:posOffset>
                </wp:positionV>
                <wp:extent cx="3657600" cy="800100"/>
                <wp:effectExtent l="0" t="0" r="0" b="0"/>
                <wp:wrapNone/>
                <wp:docPr id="8"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2909" w:rsidRDefault="00FE2909" w:rsidP="00C75311">
                            <w:pPr>
                              <w:pStyle w:val="a2"/>
                              <w:ind w:left="-14"/>
                              <w:jc w:val="center"/>
                              <w:rPr>
                                <w:b/>
                                <w:bCs/>
                                <w:sz w:val="32"/>
                                <w:szCs w:val="32"/>
                                <w:rtl/>
                              </w:rPr>
                            </w:pPr>
                            <w:r>
                              <w:rPr>
                                <w:rFonts w:hint="cs"/>
                                <w:b/>
                                <w:bCs/>
                                <w:sz w:val="32"/>
                                <w:szCs w:val="32"/>
                                <w:rtl/>
                              </w:rPr>
                              <w:t>מוגש לוועדה למאבק בנגעי הסמים והאלכוהול</w:t>
                            </w:r>
                          </w:p>
                        </w:txbxContent>
                      </wps:txbx>
                      <wps:bodyPr rot="0" vert="horz" wrap="square" lIns="91440" tIns="45720" rIns="9144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 o:spid="_x0000_s1029" type="#_x0000_t202" style="position:absolute;left:0;text-align:left;margin-left:20.9pt;margin-top:276.6pt;width:4in;height: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" filled="f" stroked="f">
                <v:textbox inset=",,,1mm">
                  <w:txbxContent>
                    <w:p w:rsidR="00FE2909" w:rsidRDefault="00FE2909" w:rsidP="00C75311">
                      <w:pPr>
                        <w:pStyle w:val="a2"/>
                        <w:ind w:left="-14"/>
                        <w:jc w:val="center"/>
                        <w:rPr>
                          <w:b/>
                          <w:bCs/>
                          <w:sz w:val="32"/>
                          <w:szCs w:val="32"/>
                          <w:rtl/>
                        </w:rPr>
                      </w:pPr>
                      <w:r>
                        <w:rPr>
                          <w:rFonts w:hint="cs"/>
                          <w:b/>
                          <w:bCs/>
                          <w:sz w:val="32"/>
                          <w:szCs w:val="32"/>
                          <w:rtl/>
                        </w:rPr>
                        <w:t>מוגש לוועדה למאבק בנגעי הסמים והאלכוהול</w:t>
                      </w:r>
                    </w:p>
                  </w:txbxContent>
                </v:textbox>
                <w10:anchorlock/>
              </v:shape>
            </w:pict>
          </mc:Fallback>
        </mc:AlternateContent>
      </w:r>
    </w:p>
    <w:p w:rsidR="00BB0340" w:rsidRPr="00BB6388" w:rsidRDefault="00BB0340" w:rsidP="00BB6388">
      <w:pPr>
        <w:pStyle w:val="a2"/>
        <w:spacing w:line="360" w:lineRule="auto"/>
        <w:ind w:left="-14"/>
        <w:rPr>
          <w:rtl/>
        </w:rPr>
      </w:pPr>
    </w:p>
    <w:p w:rsidR="00BB0340" w:rsidRPr="00BB6388" w:rsidRDefault="00BB0340" w:rsidP="00BB6388">
      <w:pPr>
        <w:pStyle w:val="a2"/>
        <w:spacing w:line="360" w:lineRule="auto"/>
        <w:ind w:left="-14"/>
        <w:rPr>
          <w:rtl/>
        </w:rPr>
      </w:pPr>
    </w:p>
    <w:p w:rsidR="00BB0340" w:rsidRPr="00BB6388" w:rsidRDefault="00BB0340" w:rsidP="00BB6388">
      <w:pPr>
        <w:pStyle w:val="a2"/>
        <w:spacing w:line="360" w:lineRule="auto"/>
        <w:ind w:left="-14"/>
        <w:jc w:val="center"/>
        <w:rPr>
          <w:b/>
          <w:bCs/>
          <w:sz w:val="40"/>
          <w:szCs w:val="40"/>
          <w:rtl/>
        </w:rPr>
      </w:pPr>
    </w:p>
    <w:p w:rsidR="00BB0340" w:rsidRPr="00BB6388" w:rsidRDefault="00BB0340" w:rsidP="00BB6388">
      <w:pPr>
        <w:pStyle w:val="a2"/>
        <w:spacing w:line="360" w:lineRule="auto"/>
        <w:ind w:left="-14"/>
        <w:jc w:val="center"/>
        <w:rPr>
          <w:b/>
          <w:bCs/>
          <w:sz w:val="32"/>
          <w:szCs w:val="32"/>
          <w:rtl/>
        </w:rPr>
      </w:pPr>
    </w:p>
    <w:p w:rsidR="00BB0340" w:rsidRPr="00BB6388" w:rsidRDefault="00BB0340" w:rsidP="00BB6388">
      <w:pPr>
        <w:pStyle w:val="a2"/>
        <w:spacing w:line="360" w:lineRule="auto"/>
        <w:ind w:left="-14"/>
        <w:jc w:val="center"/>
        <w:rPr>
          <w:b/>
          <w:bCs/>
          <w:sz w:val="32"/>
          <w:szCs w:val="32"/>
          <w:rtl/>
        </w:rPr>
      </w:pPr>
    </w:p>
    <w:p w:rsidR="00BB0340" w:rsidRPr="00BB6388" w:rsidRDefault="00BB0340" w:rsidP="00BB6388">
      <w:pPr>
        <w:pStyle w:val="a2"/>
        <w:spacing w:line="360" w:lineRule="auto"/>
        <w:ind w:left="-14"/>
        <w:jc w:val="center"/>
        <w:rPr>
          <w:b/>
          <w:bCs/>
          <w:sz w:val="32"/>
          <w:szCs w:val="32"/>
          <w:rtl/>
        </w:rPr>
      </w:pPr>
    </w:p>
    <w:p w:rsidR="00BB0340" w:rsidRPr="00BB6388" w:rsidRDefault="00BB0340" w:rsidP="00BB6388">
      <w:pPr>
        <w:pStyle w:val="a2"/>
        <w:spacing w:line="360" w:lineRule="auto"/>
        <w:ind w:left="-14"/>
        <w:rPr>
          <w:rtl/>
        </w:rPr>
      </w:pPr>
    </w:p>
    <w:p w:rsidR="00BB0340" w:rsidRPr="00BB6388" w:rsidRDefault="00BB0340" w:rsidP="00BB6388">
      <w:pPr>
        <w:pStyle w:val="a2"/>
        <w:spacing w:line="360" w:lineRule="auto"/>
        <w:ind w:left="-14"/>
        <w:rPr>
          <w:rtl/>
        </w:rPr>
      </w:pPr>
    </w:p>
    <w:p w:rsidR="00BB0340" w:rsidRPr="00BB6388" w:rsidRDefault="00BB0340" w:rsidP="00BB6388">
      <w:pPr>
        <w:pStyle w:val="a2"/>
        <w:spacing w:line="360" w:lineRule="auto"/>
        <w:ind w:left="-14"/>
        <w:rPr>
          <w:rtl/>
        </w:rPr>
      </w:pPr>
    </w:p>
    <w:p w:rsidR="00BB0340" w:rsidRPr="00BB6388" w:rsidRDefault="00BB0340" w:rsidP="00BB6388">
      <w:pPr>
        <w:pStyle w:val="a2"/>
        <w:spacing w:line="360" w:lineRule="auto"/>
        <w:ind w:left="-14"/>
        <w:rPr>
          <w:rtl/>
        </w:rPr>
      </w:pPr>
    </w:p>
    <w:p w:rsidR="00BB0340" w:rsidRPr="00BB6388" w:rsidRDefault="00BB0340" w:rsidP="00BB6388">
      <w:pPr>
        <w:pStyle w:val="a2"/>
        <w:spacing w:line="360" w:lineRule="auto"/>
        <w:ind w:left="-14"/>
        <w:rPr>
          <w:rtl/>
        </w:rPr>
      </w:pPr>
    </w:p>
    <w:p w:rsidR="00BB0340" w:rsidRPr="00BB6388" w:rsidRDefault="00BB0340" w:rsidP="00BB6388">
      <w:pPr>
        <w:pStyle w:val="a2"/>
        <w:spacing w:line="360" w:lineRule="auto"/>
        <w:ind w:left="-14"/>
        <w:rPr>
          <w:rtl/>
        </w:rPr>
      </w:pPr>
    </w:p>
    <w:p w:rsidR="00BB0340" w:rsidRPr="00BB6388" w:rsidRDefault="00BB0340" w:rsidP="00BB6388">
      <w:pPr>
        <w:pStyle w:val="a2"/>
        <w:spacing w:line="360" w:lineRule="auto"/>
        <w:ind w:left="-14"/>
        <w:rPr>
          <w:rtl/>
        </w:rPr>
      </w:pPr>
    </w:p>
    <w:p w:rsidR="00BB0340" w:rsidRPr="00BB6388" w:rsidRDefault="00BB0340" w:rsidP="00BB6388">
      <w:pPr>
        <w:pStyle w:val="a2"/>
        <w:spacing w:line="360" w:lineRule="auto"/>
        <w:ind w:left="-14"/>
        <w:rPr>
          <w:rtl/>
        </w:rPr>
      </w:pPr>
    </w:p>
    <w:p w:rsidR="00BB0340" w:rsidRPr="00BB6388" w:rsidRDefault="00BB0340" w:rsidP="00BB6388">
      <w:pPr>
        <w:pStyle w:val="a2"/>
        <w:spacing w:line="360" w:lineRule="auto"/>
        <w:ind w:left="-14"/>
        <w:rPr>
          <w:rtl/>
        </w:rPr>
      </w:pPr>
    </w:p>
    <w:p w:rsidR="00BB0340" w:rsidRPr="00BB6388" w:rsidRDefault="002D3AFE" w:rsidP="00BB6388">
      <w:pPr>
        <w:pStyle w:val="a2"/>
        <w:spacing w:line="360" w:lineRule="auto"/>
        <w:ind w:left="-14"/>
        <w:rPr>
          <w:rtl/>
        </w:rPr>
      </w:pPr>
      <w:r>
        <w:rPr>
          <w:noProof/>
          <w:sz w:val="20"/>
          <w:rtl/>
        </w:rPr>
        <mc:AlternateContent>
          <mc:Choice Requires="wps">
            <w:drawing>
              <wp:anchor distT="0" distB="0" distL="114300" distR="114300" simplePos="0" relativeHeight="251660288" behindDoc="0" locked="0" layoutInCell="1" allowOverlap="1">
                <wp:simplePos x="0" y="0"/>
                <wp:positionH relativeFrom="column">
                  <wp:posOffset>4565650</wp:posOffset>
                </wp:positionH>
                <wp:positionV relativeFrom="paragraph">
                  <wp:posOffset>1529080</wp:posOffset>
                </wp:positionV>
                <wp:extent cx="1525905" cy="1284605"/>
                <wp:effectExtent l="0" t="0" r="17145" b="0"/>
                <wp:wrapNone/>
                <wp:docPr id="7"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5905" cy="12846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E2909" w:rsidRDefault="00FE2909" w:rsidP="00797B99">
                            <w:pPr>
                              <w:tabs>
                                <w:tab w:val="left" w:pos="612"/>
                                <w:tab w:val="left" w:pos="1956"/>
                              </w:tabs>
                              <w:spacing w:before="60" w:after="60" w:line="432" w:lineRule="auto"/>
                              <w:jc w:val="center"/>
                              <w:rPr>
                                <w:sz w:val="20"/>
                              </w:rPr>
                            </w:pPr>
                            <w:r w:rsidRPr="00E37CE6">
                              <w:rPr>
                                <w:rFonts w:hint="cs"/>
                                <w:b/>
                                <w:bCs/>
                                <w:color w:val="000056"/>
                                <w:spacing w:val="-2"/>
                                <w:szCs w:val="20"/>
                                <w:rtl/>
                              </w:rPr>
                              <w:t xml:space="preserve">הכנסת, </w:t>
                            </w:r>
                            <w:r w:rsidRPr="00E37CE6">
                              <w:rPr>
                                <w:rFonts w:hint="cs"/>
                                <w:b/>
                                <w:bCs/>
                                <w:color w:val="000066"/>
                                <w:sz w:val="20"/>
                                <w:szCs w:val="20"/>
                                <w:rtl/>
                              </w:rPr>
                              <w:t>מרכז המחקר והמידע</w:t>
                            </w:r>
                            <w:r w:rsidRPr="00E37CE6">
                              <w:rPr>
                                <w:b/>
                                <w:bCs/>
                                <w:color w:val="000056"/>
                                <w:spacing w:val="-2"/>
                                <w:sz w:val="20"/>
                                <w:szCs w:val="20"/>
                                <w:rtl/>
                              </w:rPr>
                              <w:br/>
                            </w:r>
                            <w:r>
                              <w:rPr>
                                <w:rFonts w:hint="cs"/>
                                <w:b/>
                                <w:bCs/>
                                <w:color w:val="000056"/>
                                <w:spacing w:val="-2"/>
                                <w:szCs w:val="20"/>
                                <w:rtl/>
                              </w:rPr>
                              <w:t>קריית בן-גוריון, ירושלים 91950</w:t>
                            </w:r>
                            <w:r>
                              <w:rPr>
                                <w:b/>
                                <w:bCs/>
                                <w:color w:val="000056"/>
                                <w:spacing w:val="-2"/>
                                <w:szCs w:val="20"/>
                                <w:rtl/>
                              </w:rPr>
                              <w:br/>
                            </w:r>
                            <w:r>
                              <w:rPr>
                                <w:rFonts w:hint="cs"/>
                                <w:b/>
                                <w:bCs/>
                                <w:color w:val="000056"/>
                                <w:spacing w:val="-2"/>
                                <w:szCs w:val="20"/>
                                <w:rtl/>
                              </w:rPr>
                              <w:t>טל':</w:t>
                            </w:r>
                            <w:r>
                              <w:rPr>
                                <w:rFonts w:hint="cs"/>
                                <w:b/>
                                <w:bCs/>
                                <w:color w:val="000056"/>
                                <w:spacing w:val="-2"/>
                                <w:szCs w:val="20"/>
                                <w:rtl/>
                              </w:rPr>
                              <w:tab/>
                            </w:r>
                            <w:r>
                              <w:rPr>
                                <w:rFonts w:hint="cs"/>
                                <w:b/>
                                <w:bCs/>
                                <w:color w:val="000056"/>
                                <w:spacing w:val="40"/>
                                <w:szCs w:val="20"/>
                                <w:rtl/>
                              </w:rPr>
                              <w:t>6408240/1</w:t>
                            </w:r>
                            <w:r>
                              <w:rPr>
                                <w:rFonts w:hint="cs"/>
                                <w:b/>
                                <w:bCs/>
                                <w:color w:val="000056"/>
                                <w:spacing w:val="40"/>
                                <w:szCs w:val="20"/>
                                <w:rtl/>
                              </w:rPr>
                              <w:tab/>
                            </w:r>
                            <w:r>
                              <w:rPr>
                                <w:rFonts w:hint="cs"/>
                                <w:b/>
                                <w:bCs/>
                                <w:color w:val="000056"/>
                                <w:spacing w:val="28"/>
                                <w:szCs w:val="20"/>
                                <w:rtl/>
                              </w:rPr>
                              <w:t>- 02</w:t>
                            </w:r>
                            <w:r>
                              <w:rPr>
                                <w:b/>
                                <w:bCs/>
                                <w:color w:val="000056"/>
                                <w:spacing w:val="28"/>
                                <w:szCs w:val="20"/>
                                <w:rtl/>
                              </w:rPr>
                              <w:br/>
                            </w:r>
                            <w:r>
                              <w:rPr>
                                <w:rFonts w:hint="cs"/>
                                <w:b/>
                                <w:bCs/>
                                <w:color w:val="000056"/>
                                <w:spacing w:val="-2"/>
                                <w:szCs w:val="20"/>
                                <w:rtl/>
                              </w:rPr>
                              <w:t>פקס:</w:t>
                            </w:r>
                            <w:r>
                              <w:rPr>
                                <w:rFonts w:hint="cs"/>
                                <w:b/>
                                <w:bCs/>
                                <w:color w:val="000056"/>
                                <w:spacing w:val="-2"/>
                                <w:szCs w:val="20"/>
                                <w:rtl/>
                              </w:rPr>
                              <w:tab/>
                            </w:r>
                            <w:r>
                              <w:rPr>
                                <w:rFonts w:hint="cs"/>
                                <w:b/>
                                <w:bCs/>
                                <w:color w:val="000056"/>
                                <w:spacing w:val="76"/>
                                <w:szCs w:val="20"/>
                                <w:rtl/>
                              </w:rPr>
                              <w:t>6496103</w:t>
                            </w:r>
                            <w:r>
                              <w:rPr>
                                <w:rFonts w:hint="cs"/>
                                <w:b/>
                                <w:bCs/>
                                <w:color w:val="000056"/>
                                <w:spacing w:val="76"/>
                                <w:szCs w:val="20"/>
                                <w:rtl/>
                              </w:rPr>
                              <w:tab/>
                            </w:r>
                            <w:r>
                              <w:rPr>
                                <w:rFonts w:hint="cs"/>
                                <w:b/>
                                <w:bCs/>
                                <w:color w:val="000056"/>
                                <w:spacing w:val="28"/>
                                <w:szCs w:val="20"/>
                                <w:rtl/>
                              </w:rPr>
                              <w:t>- 02</w:t>
                            </w:r>
                            <w:r>
                              <w:rPr>
                                <w:spacing w:val="28"/>
                                <w:rtl/>
                              </w:rPr>
                              <w:br/>
                            </w:r>
                            <w:r>
                              <w:rPr>
                                <w:b/>
                                <w:bCs/>
                                <w:color w:val="000056"/>
                                <w:spacing w:val="8"/>
                                <w:sz w:val="20"/>
                                <w:szCs w:val="20"/>
                              </w:rPr>
                              <w:t>www.knesset.gov.il/mmm</w:t>
                            </w:r>
                            <w:r>
                              <w:rPr>
                                <w:rFonts w:hint="cs"/>
                                <w:sz w:val="20"/>
                                <w:rtl/>
                              </w:rPr>
                              <w:br/>
                            </w:r>
                          </w:p>
                        </w:txbxContent>
                      </wps:txbx>
                      <wps:bodyPr rot="0" vert="horz" wrap="square" lIns="0" tIns="4572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4" o:spid="_x0000_s1030" type="#_x0000_t202" style="position:absolute;left:0;text-align:left;margin-left:359.5pt;margin-top:120.4pt;width:120.15pt;height:10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" filled="f" stroked="f">
                <v:textbox inset="0,,0,1mm">
                  <w:txbxContent>
                    <w:p w:rsidR="00FE2909" w:rsidRDefault="00FE2909" w:rsidP="00797B99">
                      <w:pPr>
                        <w:tabs>
                          <w:tab w:val="left" w:pos="612"/>
                          <w:tab w:val="left" w:pos="1956"/>
                        </w:tabs>
                        <w:spacing w:before="60" w:after="60" w:line="432" w:lineRule="auto"/>
                        <w:jc w:val="center"/>
                        <w:rPr>
                          <w:sz w:val="20"/>
                        </w:rPr>
                      </w:pPr>
                      <w:r w:rsidRPr="00E37CE6">
                        <w:rPr>
                          <w:rFonts w:hint="cs"/>
                          <w:b/>
                          <w:bCs/>
                          <w:color w:val="000056"/>
                          <w:spacing w:val="-2"/>
                          <w:szCs w:val="20"/>
                          <w:rtl/>
                        </w:rPr>
                        <w:t xml:space="preserve">הכנסת, </w:t>
                      </w:r>
                      <w:r w:rsidRPr="00E37CE6">
                        <w:rPr>
                          <w:rFonts w:hint="cs"/>
                          <w:b/>
                          <w:bCs/>
                          <w:color w:val="000066"/>
                          <w:sz w:val="20"/>
                          <w:szCs w:val="20"/>
                          <w:rtl/>
                        </w:rPr>
                        <w:t>מרכז המחקר והמידע</w:t>
                      </w:r>
                      <w:r w:rsidRPr="00E37CE6">
                        <w:rPr>
                          <w:b/>
                          <w:bCs/>
                          <w:color w:val="000056"/>
                          <w:spacing w:val="-2"/>
                          <w:sz w:val="20"/>
                          <w:szCs w:val="20"/>
                          <w:rtl/>
                        </w:rPr>
                        <w:br/>
                      </w:r>
                      <w:r>
                        <w:rPr>
                          <w:rFonts w:hint="cs"/>
                          <w:b/>
                          <w:bCs/>
                          <w:color w:val="000056"/>
                          <w:spacing w:val="-2"/>
                          <w:szCs w:val="20"/>
                          <w:rtl/>
                        </w:rPr>
                        <w:t>קריית בן-גוריון, ירושלים 91950</w:t>
                      </w:r>
                      <w:r>
                        <w:rPr>
                          <w:b/>
                          <w:bCs/>
                          <w:color w:val="000056"/>
                          <w:spacing w:val="-2"/>
                          <w:szCs w:val="20"/>
                          <w:rtl/>
                        </w:rPr>
                        <w:br/>
                      </w:r>
                      <w:r>
                        <w:rPr>
                          <w:rFonts w:hint="cs"/>
                          <w:b/>
                          <w:bCs/>
                          <w:color w:val="000056"/>
                          <w:spacing w:val="-2"/>
                          <w:szCs w:val="20"/>
                          <w:rtl/>
                        </w:rPr>
                        <w:t>טל':</w:t>
                      </w:r>
                      <w:r>
                        <w:rPr>
                          <w:rFonts w:hint="cs"/>
                          <w:b/>
                          <w:bCs/>
                          <w:color w:val="000056"/>
                          <w:spacing w:val="-2"/>
                          <w:szCs w:val="20"/>
                          <w:rtl/>
                        </w:rPr>
                        <w:tab/>
                      </w:r>
                      <w:r>
                        <w:rPr>
                          <w:rFonts w:hint="cs"/>
                          <w:b/>
                          <w:bCs/>
                          <w:color w:val="000056"/>
                          <w:spacing w:val="40"/>
                          <w:szCs w:val="20"/>
                          <w:rtl/>
                        </w:rPr>
                        <w:t>6408240/1</w:t>
                      </w:r>
                      <w:r>
                        <w:rPr>
                          <w:rFonts w:hint="cs"/>
                          <w:b/>
                          <w:bCs/>
                          <w:color w:val="000056"/>
                          <w:spacing w:val="40"/>
                          <w:szCs w:val="20"/>
                          <w:rtl/>
                        </w:rPr>
                        <w:tab/>
                      </w:r>
                      <w:r>
                        <w:rPr>
                          <w:rFonts w:hint="cs"/>
                          <w:b/>
                          <w:bCs/>
                          <w:color w:val="000056"/>
                          <w:spacing w:val="28"/>
                          <w:szCs w:val="20"/>
                          <w:rtl/>
                        </w:rPr>
                        <w:t>- 02</w:t>
                      </w:r>
                      <w:r>
                        <w:rPr>
                          <w:b/>
                          <w:bCs/>
                          <w:color w:val="000056"/>
                          <w:spacing w:val="28"/>
                          <w:szCs w:val="20"/>
                          <w:rtl/>
                        </w:rPr>
                        <w:br/>
                      </w:r>
                      <w:r>
                        <w:rPr>
                          <w:rFonts w:hint="cs"/>
                          <w:b/>
                          <w:bCs/>
                          <w:color w:val="000056"/>
                          <w:spacing w:val="-2"/>
                          <w:szCs w:val="20"/>
                          <w:rtl/>
                        </w:rPr>
                        <w:t>פקס:</w:t>
                      </w:r>
                      <w:r>
                        <w:rPr>
                          <w:rFonts w:hint="cs"/>
                          <w:b/>
                          <w:bCs/>
                          <w:color w:val="000056"/>
                          <w:spacing w:val="-2"/>
                          <w:szCs w:val="20"/>
                          <w:rtl/>
                        </w:rPr>
                        <w:tab/>
                      </w:r>
                      <w:r>
                        <w:rPr>
                          <w:rFonts w:hint="cs"/>
                          <w:b/>
                          <w:bCs/>
                          <w:color w:val="000056"/>
                          <w:spacing w:val="76"/>
                          <w:szCs w:val="20"/>
                          <w:rtl/>
                        </w:rPr>
                        <w:t>6496103</w:t>
                      </w:r>
                      <w:r>
                        <w:rPr>
                          <w:rFonts w:hint="cs"/>
                          <w:b/>
                          <w:bCs/>
                          <w:color w:val="000056"/>
                          <w:spacing w:val="76"/>
                          <w:szCs w:val="20"/>
                          <w:rtl/>
                        </w:rPr>
                        <w:tab/>
                      </w:r>
                      <w:r>
                        <w:rPr>
                          <w:rFonts w:hint="cs"/>
                          <w:b/>
                          <w:bCs/>
                          <w:color w:val="000056"/>
                          <w:spacing w:val="28"/>
                          <w:szCs w:val="20"/>
                          <w:rtl/>
                        </w:rPr>
                        <w:t>- 02</w:t>
                      </w:r>
                      <w:r>
                        <w:rPr>
                          <w:spacing w:val="28"/>
                          <w:rtl/>
                        </w:rPr>
                        <w:br/>
                      </w:r>
                      <w:r>
                        <w:rPr>
                          <w:b/>
                          <w:bCs/>
                          <w:color w:val="000056"/>
                          <w:spacing w:val="8"/>
                          <w:sz w:val="20"/>
                          <w:szCs w:val="20"/>
                        </w:rPr>
                        <w:t>www.knesset.gov.il/mmm</w:t>
                      </w:r>
                      <w:r>
                        <w:rPr>
                          <w:rFonts w:hint="cs"/>
                          <w:sz w:val="20"/>
                          <w:rtl/>
                        </w:rPr>
                        <w:br/>
                      </w:r>
                    </w:p>
                  </w:txbxContent>
                </v:textbox>
              </v:shape>
            </w:pict>
          </mc:Fallback>
        </mc:AlternateContent>
      </w:r>
    </w:p>
    <w:p w:rsidR="00AC0DD9" w:rsidRPr="00BB6388" w:rsidRDefault="00AC0DD9" w:rsidP="00BB6388">
      <w:pPr>
        <w:spacing w:line="360" w:lineRule="auto"/>
        <w:rPr>
          <w:rtl/>
        </w:rPr>
      </w:pPr>
    </w:p>
    <w:p w:rsidR="00AC0DD9" w:rsidRPr="00BB6388" w:rsidRDefault="00AC0DD9" w:rsidP="00BB6388">
      <w:pPr>
        <w:spacing w:line="360" w:lineRule="auto"/>
        <w:rPr>
          <w:rtl/>
        </w:rPr>
      </w:pPr>
    </w:p>
    <w:p w:rsidR="00AC0DD9" w:rsidRPr="00BB6388" w:rsidRDefault="008229A6" w:rsidP="00BB6388">
      <w:pPr>
        <w:spacing w:line="360" w:lineRule="auto"/>
        <w:rPr>
          <w:rtl/>
        </w:rPr>
      </w:pPr>
      <w:r>
        <w:rPr>
          <w:noProof/>
          <w:sz w:val="20"/>
          <w:rtl/>
          <w:lang w:eastAsia="en-US"/>
        </w:rPr>
        <mc:AlternateContent>
          <mc:Choice Requires="wps">
            <w:drawing>
              <wp:anchor distT="0" distB="0" distL="114300" distR="114300" simplePos="0" relativeHeight="251659264" behindDoc="0" locked="0" layoutInCell="1" allowOverlap="1" wp14:anchorId="4D68AA92" wp14:editId="436479A8">
                <wp:simplePos x="0" y="0"/>
                <wp:positionH relativeFrom="column">
                  <wp:posOffset>-342265</wp:posOffset>
                </wp:positionH>
                <wp:positionV relativeFrom="paragraph">
                  <wp:posOffset>384810</wp:posOffset>
                </wp:positionV>
                <wp:extent cx="4800600" cy="1861185"/>
                <wp:effectExtent l="0" t="0" r="0" b="5715"/>
                <wp:wrapNone/>
                <wp:docPr id="2"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18611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229A6" w:rsidRDefault="008229A6">
                            <w:pPr>
                              <w:rPr>
                                <w:rtl/>
                              </w:rPr>
                            </w:pPr>
                          </w:p>
                          <w:p w:rsidR="008229A6" w:rsidRDefault="008229A6"/>
                          <w:tbl>
                            <w:tblPr>
                              <w:bidiVisual/>
                              <w:tblW w:w="0" w:type="auto"/>
                              <w:tblInd w:w="15" w:type="dxa"/>
                              <w:tblLayout w:type="fixed"/>
                              <w:tblCellMar>
                                <w:left w:w="0" w:type="dxa"/>
                                <w:right w:w="0" w:type="dxa"/>
                              </w:tblCellMar>
                              <w:tblLook w:val="0000" w:firstRow="0" w:lastRow="0" w:firstColumn="0" w:lastColumn="0" w:noHBand="0" w:noVBand="0"/>
                            </w:tblPr>
                            <w:tblGrid>
                              <w:gridCol w:w="5228"/>
                              <w:gridCol w:w="2332"/>
                              <w:gridCol w:w="2332"/>
                            </w:tblGrid>
                            <w:tr w:rsidR="008229A6" w:rsidTr="008229A6">
                              <w:tc>
                                <w:tcPr>
                                  <w:tcW w:w="5228" w:type="dxa"/>
                                  <w:vAlign w:val="bottom"/>
                                </w:tcPr>
                                <w:p w:rsidR="008229A6" w:rsidRDefault="008229A6" w:rsidP="008229A6">
                                  <w:pPr>
                                    <w:pStyle w:val="4"/>
                                    <w:rPr>
                                      <w:rtl/>
                                      <w:lang w:eastAsia="en-US"/>
                                    </w:rPr>
                                  </w:pPr>
                                  <w:bookmarkStart w:id="1" w:name="_Toc353961971"/>
                                  <w:bookmarkStart w:id="2" w:name="_Toc418585060"/>
                                  <w:bookmarkStart w:id="3" w:name="_Toc419963010"/>
                                  <w:r>
                                    <w:rPr>
                                      <w:rFonts w:hint="cs"/>
                                      <w:rtl/>
                                      <w:lang w:eastAsia="en-US"/>
                                    </w:rPr>
                                    <w:t xml:space="preserve">כתיבה: </w:t>
                                  </w:r>
                                  <w:bookmarkEnd w:id="1"/>
                                  <w:r>
                                    <w:rPr>
                                      <w:rFonts w:hint="cs"/>
                                      <w:rtl/>
                                      <w:lang w:eastAsia="en-US"/>
                                    </w:rPr>
                                    <w:t>ד"ר עדי ענבר</w:t>
                                  </w:r>
                                  <w:bookmarkEnd w:id="2"/>
                                  <w:bookmarkEnd w:id="3"/>
                                </w:p>
                                <w:p w:rsidR="008229A6" w:rsidRPr="008229A6" w:rsidRDefault="008229A6" w:rsidP="008229A6">
                                  <w:pPr>
                                    <w:pStyle w:val="111"/>
                                    <w:numPr>
                                      <w:ilvl w:val="0"/>
                                      <w:numId w:val="0"/>
                                    </w:numPr>
                                    <w:spacing w:line="240" w:lineRule="auto"/>
                                    <w:ind w:left="357" w:hanging="357"/>
                                    <w:rPr>
                                      <w:b w:val="0"/>
                                      <w:bCs w:val="0"/>
                                      <w:rtl/>
                                      <w:lang w:eastAsia="en-US"/>
                                    </w:rPr>
                                  </w:pPr>
                                  <w:bookmarkStart w:id="4" w:name="_Toc353961972"/>
                                  <w:bookmarkStart w:id="5" w:name="_Toc418585061"/>
                                  <w:bookmarkStart w:id="6" w:name="_Toc419963011"/>
                                  <w:r w:rsidRPr="008229A6">
                                    <w:rPr>
                                      <w:rFonts w:hint="cs"/>
                                      <w:b w:val="0"/>
                                      <w:bCs w:val="0"/>
                                      <w:sz w:val="24"/>
                                      <w:szCs w:val="24"/>
                                      <w:rtl/>
                                      <w:lang w:eastAsia="en-US"/>
                                    </w:rPr>
                                    <w:t xml:space="preserve">אישור: </w:t>
                                  </w:r>
                                  <w:bookmarkEnd w:id="4"/>
                                  <w:bookmarkEnd w:id="5"/>
                                  <w:r w:rsidRPr="008229A6">
                                    <w:rPr>
                                      <w:rFonts w:hint="cs"/>
                                      <w:b w:val="0"/>
                                      <w:bCs w:val="0"/>
                                      <w:sz w:val="24"/>
                                      <w:szCs w:val="24"/>
                                      <w:rtl/>
                                      <w:lang w:eastAsia="en-US"/>
                                    </w:rPr>
                                    <w:t>ד"ר שירלי אברמי, מנהלת מרכז המחקר והמידע</w:t>
                                  </w:r>
                                  <w:bookmarkEnd w:id="6"/>
                                  <w:r w:rsidRPr="008229A6">
                                    <w:rPr>
                                      <w:rFonts w:hint="cs"/>
                                      <w:b w:val="0"/>
                                      <w:bCs w:val="0"/>
                                      <w:rtl/>
                                      <w:lang w:eastAsia="en-US"/>
                                    </w:rPr>
                                    <w:t xml:space="preserve">  </w:t>
                                  </w:r>
                                </w:p>
                                <w:p w:rsidR="008229A6" w:rsidRDefault="008229A6" w:rsidP="008229A6">
                                  <w:pPr>
                                    <w:pStyle w:val="111"/>
                                    <w:numPr>
                                      <w:ilvl w:val="0"/>
                                      <w:numId w:val="0"/>
                                    </w:numPr>
                                    <w:spacing w:line="240" w:lineRule="auto"/>
                                    <w:ind w:left="357" w:hanging="357"/>
                                    <w:rPr>
                                      <w:lang w:eastAsia="en-US"/>
                                    </w:rPr>
                                  </w:pPr>
                                </w:p>
                              </w:tc>
                              <w:tc>
                                <w:tcPr>
                                  <w:tcW w:w="2332" w:type="dxa"/>
                                </w:tcPr>
                                <w:p w:rsidR="008229A6" w:rsidRDefault="008229A6" w:rsidP="008229A6">
                                  <w:pPr>
                                    <w:jc w:val="center"/>
                                    <w:rPr>
                                      <w:rtl/>
                                      <w:lang w:eastAsia="en-US"/>
                                    </w:rPr>
                                  </w:pPr>
                                  <w:r w:rsidRPr="000D2764">
                                    <w:rPr>
                                      <w:rtl/>
                                      <w:lang w:eastAsia="en-US"/>
                                    </w:rPr>
                                    <w:fldChar w:fldCharType="begin"/>
                                  </w:r>
                                  <w:r w:rsidRPr="000D2764">
                                    <w:rPr>
                                      <w:rtl/>
                                      <w:lang w:eastAsia="en-US"/>
                                    </w:rPr>
                                    <w:instrText xml:space="preserve"> </w:instrText>
                                  </w:r>
                                  <w:r w:rsidRPr="000D2764">
                                    <w:rPr>
                                      <w:rFonts w:hint="cs"/>
                                      <w:lang w:eastAsia="en-US"/>
                                    </w:rPr>
                                    <w:instrText>CREATEDATE  \@ "dd MMMM yyyy" \h  \* MERGEFORMAT</w:instrText>
                                  </w:r>
                                  <w:r w:rsidRPr="000D2764">
                                    <w:rPr>
                                      <w:rtl/>
                                      <w:lang w:eastAsia="en-US"/>
                                    </w:rPr>
                                    <w:instrText xml:space="preserve"> </w:instrText>
                                  </w:r>
                                  <w:r w:rsidRPr="000D2764">
                                    <w:rPr>
                                      <w:rtl/>
                                      <w:lang w:eastAsia="en-US"/>
                                    </w:rPr>
                                    <w:fldChar w:fldCharType="separate"/>
                                  </w:r>
                                  <w:r>
                                    <w:rPr>
                                      <w:noProof/>
                                      <w:rtl/>
                                      <w:lang w:eastAsia="en-US"/>
                                    </w:rPr>
                                    <w:t>‏</w:t>
                                  </w:r>
                                  <w:r w:rsidRPr="000D2764">
                                    <w:rPr>
                                      <w:rtl/>
                                      <w:lang w:eastAsia="en-US"/>
                                    </w:rPr>
                                    <w:fldChar w:fldCharType="end"/>
                                  </w:r>
                                </w:p>
                                <w:p w:rsidR="008229A6" w:rsidRPr="000D2764" w:rsidRDefault="008229A6" w:rsidP="008229A6">
                                  <w:pPr>
                                    <w:jc w:val="center"/>
                                    <w:rPr>
                                      <w:rtl/>
                                      <w:lang w:eastAsia="en-US"/>
                                    </w:rPr>
                                  </w:pPr>
                                  <w:r>
                                    <w:rPr>
                                      <w:noProof/>
                                      <w:rtl/>
                                      <w:lang w:eastAsia="en-US"/>
                                    </w:rPr>
                                    <w:t xml:space="preserve"> ל' סיון תשע"ה</w:t>
                                  </w:r>
                                  <w:r w:rsidRPr="000D2764">
                                    <w:rPr>
                                      <w:rtl/>
                                      <w:lang w:eastAsia="en-US"/>
                                    </w:rPr>
                                    <w:t xml:space="preserve"> </w:t>
                                  </w:r>
                                </w:p>
                                <w:p w:rsidR="008229A6" w:rsidRDefault="008229A6" w:rsidP="008229A6">
                                  <w:pPr>
                                    <w:jc w:val="center"/>
                                    <w:rPr>
                                      <w:highlight w:val="yellow"/>
                                      <w:lang w:eastAsia="en-US"/>
                                    </w:rPr>
                                  </w:pPr>
                                  <w:r w:rsidRPr="000D2764">
                                    <w:rPr>
                                      <w:rtl/>
                                      <w:lang w:eastAsia="en-US"/>
                                    </w:rPr>
                                    <w:fldChar w:fldCharType="begin"/>
                                  </w:r>
                                  <w:r w:rsidRPr="000D2764">
                                    <w:rPr>
                                      <w:rtl/>
                                      <w:lang w:eastAsia="en-US"/>
                                    </w:rPr>
                                    <w:instrText xml:space="preserve"> </w:instrText>
                                  </w:r>
                                  <w:r w:rsidRPr="000D2764">
                                    <w:rPr>
                                      <w:rFonts w:hint="cs"/>
                                      <w:lang w:eastAsia="en-US"/>
                                    </w:rPr>
                                    <w:instrText>CREATEDATE  \@ "dd MMMM yyyy"  \* MERGEFORMAT</w:instrText>
                                  </w:r>
                                  <w:r w:rsidRPr="000D2764">
                                    <w:rPr>
                                      <w:rtl/>
                                      <w:lang w:eastAsia="en-US"/>
                                    </w:rPr>
                                    <w:instrText xml:space="preserve"> </w:instrText>
                                  </w:r>
                                  <w:r w:rsidRPr="000D2764">
                                    <w:rPr>
                                      <w:rtl/>
                                      <w:lang w:eastAsia="en-US"/>
                                    </w:rPr>
                                    <w:fldChar w:fldCharType="separate"/>
                                  </w:r>
                                  <w:r>
                                    <w:rPr>
                                      <w:noProof/>
                                      <w:rtl/>
                                      <w:lang w:eastAsia="en-US"/>
                                    </w:rPr>
                                    <w:t>‏17 יוני 2015</w:t>
                                  </w:r>
                                  <w:r w:rsidRPr="000D2764">
                                    <w:rPr>
                                      <w:rtl/>
                                      <w:lang w:eastAsia="en-US"/>
                                    </w:rPr>
                                    <w:fldChar w:fldCharType="end"/>
                                  </w:r>
                                </w:p>
                              </w:tc>
                              <w:tc>
                                <w:tcPr>
                                  <w:tcW w:w="2332" w:type="dxa"/>
                                  <w:vAlign w:val="bottom"/>
                                </w:tcPr>
                                <w:p w:rsidR="008229A6" w:rsidRDefault="008229A6" w:rsidP="00D12DD4">
                                  <w:pPr>
                                    <w:jc w:val="center"/>
                                    <w:rPr>
                                      <w:highlight w:val="yellow"/>
                                      <w:lang w:eastAsia="en-US"/>
                                    </w:rPr>
                                  </w:pPr>
                                </w:p>
                              </w:tc>
                            </w:tr>
                            <w:tr w:rsidR="008229A6" w:rsidTr="008229A6">
                              <w:tc>
                                <w:tcPr>
                                  <w:tcW w:w="5228" w:type="dxa"/>
                                  <w:vAlign w:val="bottom"/>
                                </w:tcPr>
                                <w:p w:rsidR="008229A6" w:rsidRDefault="008229A6" w:rsidP="006A7549">
                                  <w:pPr>
                                    <w:pStyle w:val="4"/>
                                    <w:rPr>
                                      <w:rtl/>
                                      <w:lang w:eastAsia="en-US"/>
                                    </w:rPr>
                                  </w:pPr>
                                </w:p>
                              </w:tc>
                              <w:tc>
                                <w:tcPr>
                                  <w:tcW w:w="2332" w:type="dxa"/>
                                </w:tcPr>
                                <w:p w:rsidR="008229A6" w:rsidRPr="000D2764" w:rsidRDefault="008229A6" w:rsidP="008229A6">
                                  <w:pPr>
                                    <w:jc w:val="center"/>
                                    <w:rPr>
                                      <w:rtl/>
                                      <w:lang w:eastAsia="en-US"/>
                                    </w:rPr>
                                  </w:pPr>
                                </w:p>
                              </w:tc>
                              <w:tc>
                                <w:tcPr>
                                  <w:tcW w:w="2332" w:type="dxa"/>
                                  <w:vAlign w:val="bottom"/>
                                </w:tcPr>
                                <w:p w:rsidR="008229A6" w:rsidRPr="000D2764" w:rsidRDefault="008229A6" w:rsidP="008229A6">
                                  <w:pPr>
                                    <w:jc w:val="center"/>
                                    <w:rPr>
                                      <w:rtl/>
                                      <w:lang w:eastAsia="en-US"/>
                                    </w:rPr>
                                  </w:pPr>
                                </w:p>
                              </w:tc>
                            </w:tr>
                          </w:tbl>
                          <w:p w:rsidR="00FE2909" w:rsidRDefault="00FE2909">
                            <w:pPr>
                              <w:pStyle w:val="a2"/>
                              <w:rPr>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68AA92" id="Text Box 253" o:spid="_x0000_s1031" type="#_x0000_t202" style="position:absolute;left:0;text-align:left;margin-left:-26.95pt;margin-top:30.3pt;width:378pt;height:14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" filled="f" stroked="f">
                <v:textbox inset="0,0,0,0">
                  <w:txbxContent>
                    <w:p w:rsidR="008229A6" w:rsidRDefault="008229A6">
                      <w:pPr>
                        <w:rPr>
                          <w:rtl/>
                        </w:rPr>
                      </w:pPr>
                    </w:p>
                    <w:p w:rsidR="008229A6" w:rsidRDefault="008229A6"/>
                    <w:tbl>
                      <w:tblPr>
                        <w:bidiVisual/>
                        <w:tblW w:w="0" w:type="auto"/>
                        <w:tblInd w:w="15" w:type="dxa"/>
                        <w:tblLayout w:type="fixed"/>
                        <w:tblCellMar>
                          <w:left w:w="0" w:type="dxa"/>
                          <w:right w:w="0" w:type="dxa"/>
                        </w:tblCellMar>
                        <w:tblLook w:val="0000" w:firstRow="0" w:lastRow="0" w:firstColumn="0" w:lastColumn="0" w:noHBand="0" w:noVBand="0"/>
                      </w:tblPr>
                      <w:tblGrid>
                        <w:gridCol w:w="5228"/>
                        <w:gridCol w:w="2332"/>
                        <w:gridCol w:w="2332"/>
                      </w:tblGrid>
                      <w:tr w:rsidR="008229A6" w:rsidTr="008229A6">
                        <w:tc>
                          <w:tcPr>
                            <w:tcW w:w="5228" w:type="dxa"/>
                            <w:vAlign w:val="bottom"/>
                          </w:tcPr>
                          <w:p w:rsidR="008229A6" w:rsidRDefault="008229A6" w:rsidP="008229A6">
                            <w:pPr>
                              <w:pStyle w:val="4"/>
                              <w:rPr>
                                <w:rtl/>
                                <w:lang w:eastAsia="en-US"/>
                              </w:rPr>
                            </w:pPr>
                            <w:bookmarkStart w:id="7" w:name="_Toc353961971"/>
                            <w:bookmarkStart w:id="8" w:name="_Toc418585060"/>
                            <w:bookmarkStart w:id="9" w:name="_Toc419963010"/>
                            <w:r>
                              <w:rPr>
                                <w:rFonts w:hint="cs"/>
                                <w:rtl/>
                                <w:lang w:eastAsia="en-US"/>
                              </w:rPr>
                              <w:t xml:space="preserve">כתיבה: </w:t>
                            </w:r>
                            <w:bookmarkEnd w:id="7"/>
                            <w:r>
                              <w:rPr>
                                <w:rFonts w:hint="cs"/>
                                <w:rtl/>
                                <w:lang w:eastAsia="en-US"/>
                              </w:rPr>
                              <w:t>ד"ר עדי ענבר</w:t>
                            </w:r>
                            <w:bookmarkEnd w:id="8"/>
                            <w:bookmarkEnd w:id="9"/>
                          </w:p>
                          <w:p w:rsidR="008229A6" w:rsidRPr="008229A6" w:rsidRDefault="008229A6" w:rsidP="008229A6">
                            <w:pPr>
                              <w:pStyle w:val="111"/>
                              <w:numPr>
                                <w:ilvl w:val="0"/>
                                <w:numId w:val="0"/>
                              </w:numPr>
                              <w:spacing w:line="240" w:lineRule="auto"/>
                              <w:ind w:left="357" w:hanging="357"/>
                              <w:rPr>
                                <w:b w:val="0"/>
                                <w:bCs w:val="0"/>
                                <w:rtl/>
                                <w:lang w:eastAsia="en-US"/>
                              </w:rPr>
                            </w:pPr>
                            <w:bookmarkStart w:id="10" w:name="_Toc353961972"/>
                            <w:bookmarkStart w:id="11" w:name="_Toc418585061"/>
                            <w:bookmarkStart w:id="12" w:name="_Toc419963011"/>
                            <w:r w:rsidRPr="008229A6">
                              <w:rPr>
                                <w:rFonts w:hint="cs"/>
                                <w:b w:val="0"/>
                                <w:bCs w:val="0"/>
                                <w:sz w:val="24"/>
                                <w:szCs w:val="24"/>
                                <w:rtl/>
                                <w:lang w:eastAsia="en-US"/>
                              </w:rPr>
                              <w:t xml:space="preserve">אישור: </w:t>
                            </w:r>
                            <w:bookmarkEnd w:id="10"/>
                            <w:bookmarkEnd w:id="11"/>
                            <w:r w:rsidRPr="008229A6">
                              <w:rPr>
                                <w:rFonts w:hint="cs"/>
                                <w:b w:val="0"/>
                                <w:bCs w:val="0"/>
                                <w:sz w:val="24"/>
                                <w:szCs w:val="24"/>
                                <w:rtl/>
                                <w:lang w:eastAsia="en-US"/>
                              </w:rPr>
                              <w:t>ד"ר שירלי אברמי, מנהלת מרכז המחקר והמידע</w:t>
                            </w:r>
                            <w:bookmarkEnd w:id="12"/>
                            <w:r w:rsidRPr="008229A6">
                              <w:rPr>
                                <w:rFonts w:hint="cs"/>
                                <w:b w:val="0"/>
                                <w:bCs w:val="0"/>
                                <w:rtl/>
                                <w:lang w:eastAsia="en-US"/>
                              </w:rPr>
                              <w:t xml:space="preserve">  </w:t>
                            </w:r>
                          </w:p>
                          <w:p w:rsidR="008229A6" w:rsidRDefault="008229A6" w:rsidP="008229A6">
                            <w:pPr>
                              <w:pStyle w:val="111"/>
                              <w:numPr>
                                <w:ilvl w:val="0"/>
                                <w:numId w:val="0"/>
                              </w:numPr>
                              <w:spacing w:line="240" w:lineRule="auto"/>
                              <w:ind w:left="357" w:hanging="357"/>
                              <w:rPr>
                                <w:lang w:eastAsia="en-US"/>
                              </w:rPr>
                            </w:pPr>
                          </w:p>
                        </w:tc>
                        <w:tc>
                          <w:tcPr>
                            <w:tcW w:w="2332" w:type="dxa"/>
                          </w:tcPr>
                          <w:p w:rsidR="008229A6" w:rsidRDefault="008229A6" w:rsidP="008229A6">
                            <w:pPr>
                              <w:jc w:val="center"/>
                              <w:rPr>
                                <w:rtl/>
                                <w:lang w:eastAsia="en-US"/>
                              </w:rPr>
                            </w:pPr>
                            <w:r w:rsidRPr="000D2764">
                              <w:rPr>
                                <w:rtl/>
                                <w:lang w:eastAsia="en-US"/>
                              </w:rPr>
                              <w:fldChar w:fldCharType="begin"/>
                            </w:r>
                            <w:r w:rsidRPr="000D2764">
                              <w:rPr>
                                <w:rtl/>
                                <w:lang w:eastAsia="en-US"/>
                              </w:rPr>
                              <w:instrText xml:space="preserve"> </w:instrText>
                            </w:r>
                            <w:r w:rsidRPr="000D2764">
                              <w:rPr>
                                <w:rFonts w:hint="cs"/>
                                <w:lang w:eastAsia="en-US"/>
                              </w:rPr>
                              <w:instrText>CREATEDATE  \@ "dd MMMM yyyy" \h  \* MERGEFORMAT</w:instrText>
                            </w:r>
                            <w:r w:rsidRPr="000D2764">
                              <w:rPr>
                                <w:rtl/>
                                <w:lang w:eastAsia="en-US"/>
                              </w:rPr>
                              <w:instrText xml:space="preserve"> </w:instrText>
                            </w:r>
                            <w:r w:rsidRPr="000D2764">
                              <w:rPr>
                                <w:rtl/>
                                <w:lang w:eastAsia="en-US"/>
                              </w:rPr>
                              <w:fldChar w:fldCharType="separate"/>
                            </w:r>
                            <w:r>
                              <w:rPr>
                                <w:noProof/>
                                <w:rtl/>
                                <w:lang w:eastAsia="en-US"/>
                              </w:rPr>
                              <w:t>‏</w:t>
                            </w:r>
                            <w:r w:rsidRPr="000D2764">
                              <w:rPr>
                                <w:rtl/>
                                <w:lang w:eastAsia="en-US"/>
                              </w:rPr>
                              <w:fldChar w:fldCharType="end"/>
                            </w:r>
                          </w:p>
                          <w:p w:rsidR="008229A6" w:rsidRPr="000D2764" w:rsidRDefault="008229A6" w:rsidP="008229A6">
                            <w:pPr>
                              <w:jc w:val="center"/>
                              <w:rPr>
                                <w:rtl/>
                                <w:lang w:eastAsia="en-US"/>
                              </w:rPr>
                            </w:pPr>
                            <w:r>
                              <w:rPr>
                                <w:noProof/>
                                <w:rtl/>
                                <w:lang w:eastAsia="en-US"/>
                              </w:rPr>
                              <w:t xml:space="preserve"> ל' סיון תשע"ה</w:t>
                            </w:r>
                            <w:r w:rsidRPr="000D2764">
                              <w:rPr>
                                <w:rtl/>
                                <w:lang w:eastAsia="en-US"/>
                              </w:rPr>
                              <w:t xml:space="preserve"> </w:t>
                            </w:r>
                          </w:p>
                          <w:p w:rsidR="008229A6" w:rsidRDefault="008229A6" w:rsidP="008229A6">
                            <w:pPr>
                              <w:jc w:val="center"/>
                              <w:rPr>
                                <w:highlight w:val="yellow"/>
                                <w:lang w:eastAsia="en-US"/>
                              </w:rPr>
                            </w:pPr>
                            <w:r w:rsidRPr="000D2764">
                              <w:rPr>
                                <w:rtl/>
                                <w:lang w:eastAsia="en-US"/>
                              </w:rPr>
                              <w:fldChar w:fldCharType="begin"/>
                            </w:r>
                            <w:r w:rsidRPr="000D2764">
                              <w:rPr>
                                <w:rtl/>
                                <w:lang w:eastAsia="en-US"/>
                              </w:rPr>
                              <w:instrText xml:space="preserve"> </w:instrText>
                            </w:r>
                            <w:r w:rsidRPr="000D2764">
                              <w:rPr>
                                <w:rFonts w:hint="cs"/>
                                <w:lang w:eastAsia="en-US"/>
                              </w:rPr>
                              <w:instrText>CREATEDATE  \@ "dd MMMM yyyy"  \* MERGEFORMAT</w:instrText>
                            </w:r>
                            <w:r w:rsidRPr="000D2764">
                              <w:rPr>
                                <w:rtl/>
                                <w:lang w:eastAsia="en-US"/>
                              </w:rPr>
                              <w:instrText xml:space="preserve"> </w:instrText>
                            </w:r>
                            <w:r w:rsidRPr="000D2764">
                              <w:rPr>
                                <w:rtl/>
                                <w:lang w:eastAsia="en-US"/>
                              </w:rPr>
                              <w:fldChar w:fldCharType="separate"/>
                            </w:r>
                            <w:r>
                              <w:rPr>
                                <w:noProof/>
                                <w:rtl/>
                                <w:lang w:eastAsia="en-US"/>
                              </w:rPr>
                              <w:t>‏17 יוני 2015</w:t>
                            </w:r>
                            <w:r w:rsidRPr="000D2764">
                              <w:rPr>
                                <w:rtl/>
                                <w:lang w:eastAsia="en-US"/>
                              </w:rPr>
                              <w:fldChar w:fldCharType="end"/>
                            </w:r>
                          </w:p>
                        </w:tc>
                        <w:tc>
                          <w:tcPr>
                            <w:tcW w:w="2332" w:type="dxa"/>
                            <w:vAlign w:val="bottom"/>
                          </w:tcPr>
                          <w:p w:rsidR="008229A6" w:rsidRDefault="008229A6" w:rsidP="00D12DD4">
                            <w:pPr>
                              <w:jc w:val="center"/>
                              <w:rPr>
                                <w:highlight w:val="yellow"/>
                                <w:lang w:eastAsia="en-US"/>
                              </w:rPr>
                            </w:pPr>
                          </w:p>
                        </w:tc>
                      </w:tr>
                      <w:tr w:rsidR="008229A6" w:rsidTr="008229A6">
                        <w:tc>
                          <w:tcPr>
                            <w:tcW w:w="5228" w:type="dxa"/>
                            <w:vAlign w:val="bottom"/>
                          </w:tcPr>
                          <w:p w:rsidR="008229A6" w:rsidRDefault="008229A6" w:rsidP="006A7549">
                            <w:pPr>
                              <w:pStyle w:val="4"/>
                              <w:rPr>
                                <w:rtl/>
                                <w:lang w:eastAsia="en-US"/>
                              </w:rPr>
                            </w:pPr>
                          </w:p>
                        </w:tc>
                        <w:tc>
                          <w:tcPr>
                            <w:tcW w:w="2332" w:type="dxa"/>
                          </w:tcPr>
                          <w:p w:rsidR="008229A6" w:rsidRPr="000D2764" w:rsidRDefault="008229A6" w:rsidP="008229A6">
                            <w:pPr>
                              <w:jc w:val="center"/>
                              <w:rPr>
                                <w:rtl/>
                                <w:lang w:eastAsia="en-US"/>
                              </w:rPr>
                            </w:pPr>
                          </w:p>
                        </w:tc>
                        <w:tc>
                          <w:tcPr>
                            <w:tcW w:w="2332" w:type="dxa"/>
                            <w:vAlign w:val="bottom"/>
                          </w:tcPr>
                          <w:p w:rsidR="008229A6" w:rsidRPr="000D2764" w:rsidRDefault="008229A6" w:rsidP="008229A6">
                            <w:pPr>
                              <w:jc w:val="center"/>
                              <w:rPr>
                                <w:rtl/>
                                <w:lang w:eastAsia="en-US"/>
                              </w:rPr>
                            </w:pPr>
                          </w:p>
                        </w:tc>
                      </w:tr>
                    </w:tbl>
                    <w:p w:rsidR="00FE2909" w:rsidRDefault="00FE2909">
                      <w:pPr>
                        <w:pStyle w:val="a2"/>
                        <w:rPr>
                          <w:rtl/>
                        </w:rPr>
                      </w:pPr>
                    </w:p>
                  </w:txbxContent>
                </v:textbox>
              </v:shape>
            </w:pict>
          </mc:Fallback>
        </mc:AlternateContent>
      </w:r>
    </w:p>
    <w:p w:rsidR="00AC0DD9" w:rsidRPr="00BB6388" w:rsidRDefault="00AC0DD9" w:rsidP="00BB6388">
      <w:pPr>
        <w:spacing w:line="360" w:lineRule="auto"/>
        <w:rPr>
          <w:rtl/>
        </w:rPr>
      </w:pPr>
    </w:p>
    <w:p w:rsidR="00AC0DD9" w:rsidRPr="00BB6388" w:rsidRDefault="00AC0DD9" w:rsidP="00BB6388">
      <w:pPr>
        <w:spacing w:line="360" w:lineRule="auto"/>
        <w:rPr>
          <w:rtl/>
        </w:rPr>
      </w:pPr>
    </w:p>
    <w:p w:rsidR="00AC0DD9" w:rsidRPr="00BB6388" w:rsidRDefault="00AC0DD9" w:rsidP="00BB6388">
      <w:pPr>
        <w:spacing w:line="360" w:lineRule="auto"/>
        <w:rPr>
          <w:rtl/>
        </w:rPr>
      </w:pPr>
    </w:p>
    <w:p w:rsidR="00AC0DD9" w:rsidRPr="00BB6388" w:rsidRDefault="00AC0DD9" w:rsidP="00BB6388">
      <w:pPr>
        <w:spacing w:line="360" w:lineRule="auto"/>
        <w:rPr>
          <w:rtl/>
        </w:rPr>
      </w:pPr>
    </w:p>
    <w:p w:rsidR="00AC0DD9" w:rsidRPr="00BB6388" w:rsidRDefault="00AC0DD9" w:rsidP="00BB6388">
      <w:pPr>
        <w:spacing w:line="360" w:lineRule="auto"/>
        <w:rPr>
          <w:rtl/>
        </w:rPr>
      </w:pPr>
    </w:p>
    <w:sdt>
      <w:sdtPr>
        <w:rPr>
          <w:rFonts w:ascii="Times New Roman" w:eastAsia="Times New Roman" w:hAnsi="Times New Roman" w:cs="David"/>
          <w:b w:val="0"/>
          <w:bCs w:val="0"/>
          <w:color w:val="auto"/>
          <w:sz w:val="24"/>
          <w:szCs w:val="24"/>
          <w:lang w:eastAsia="he-IL" w:bidi="he-IL"/>
        </w:rPr>
        <w:id w:val="-388879771"/>
        <w:docPartObj>
          <w:docPartGallery w:val="Table of Contents"/>
          <w:docPartUnique/>
        </w:docPartObj>
      </w:sdtPr>
      <w:sdtEndPr>
        <w:rPr>
          <w:noProof/>
          <w:rtl/>
        </w:rPr>
      </w:sdtEndPr>
      <w:sdtContent>
        <w:p w:rsidR="004857EC" w:rsidRPr="004857EC" w:rsidRDefault="004857EC" w:rsidP="004857EC">
          <w:pPr>
            <w:pStyle w:val="afff8"/>
            <w:jc w:val="center"/>
            <w:rPr>
              <w:rFonts w:cs="David"/>
              <w:color w:val="auto"/>
              <w:lang w:bidi="he-IL"/>
            </w:rPr>
          </w:pPr>
          <w:r w:rsidRPr="004857EC">
            <w:rPr>
              <w:rFonts w:cs="David" w:hint="cs"/>
              <w:color w:val="auto"/>
              <w:rtl/>
              <w:lang w:bidi="he-IL"/>
            </w:rPr>
            <w:t>תוכן העניינים</w:t>
          </w:r>
        </w:p>
        <w:p w:rsidR="00A50C7B" w:rsidRPr="00A50C7B" w:rsidRDefault="00F3448E">
          <w:pPr>
            <w:pStyle w:val="TOC1"/>
            <w:rPr>
              <w:rFonts w:asciiTheme="minorHAnsi" w:eastAsiaTheme="minorEastAsia" w:hAnsiTheme="minorHAnsi" w:cstheme="minorBidi"/>
              <w:b w:val="0"/>
              <w:bCs w:val="0"/>
              <w:caps w:val="0"/>
              <w:noProof/>
              <w:sz w:val="24"/>
              <w:szCs w:val="24"/>
              <w:u w:val="none"/>
              <w:rtl/>
              <w:lang w:eastAsia="en-US"/>
            </w:rPr>
          </w:pPr>
          <w:r>
            <w:fldChar w:fldCharType="begin"/>
          </w:r>
          <w:r w:rsidR="004857EC">
            <w:instrText xml:space="preserve"> TOC \o "1-3" \h \z \u </w:instrText>
          </w:r>
          <w:r>
            <w:fldChar w:fldCharType="separate"/>
          </w:r>
          <w:hyperlink w:anchor="_Toc421697028" w:history="1">
            <w:r w:rsidR="00A50C7B" w:rsidRPr="00A50C7B">
              <w:rPr>
                <w:rStyle w:val="Hyperlink"/>
                <w:rFonts w:hint="eastAsia"/>
                <w:noProof/>
                <w:sz w:val="24"/>
                <w:szCs w:val="24"/>
                <w:rtl/>
              </w:rPr>
              <w:t>מבוא</w:t>
            </w:r>
            <w:r w:rsidR="00A50C7B">
              <w:rPr>
                <w:rStyle w:val="Hyperlink"/>
                <w:rFonts w:hint="cs"/>
                <w:noProof/>
                <w:sz w:val="24"/>
                <w:szCs w:val="24"/>
                <w:rtl/>
              </w:rPr>
              <w:t xml:space="preserve">   </w:t>
            </w:r>
            <w:r w:rsidR="00A50C7B" w:rsidRPr="00A50C7B">
              <w:rPr>
                <w:noProof/>
                <w:webHidden/>
                <w:sz w:val="24"/>
                <w:szCs w:val="24"/>
                <w:rtl/>
              </w:rPr>
              <w:tab/>
            </w:r>
            <w:r w:rsidR="00A50C7B" w:rsidRPr="00A50C7B">
              <w:rPr>
                <w:noProof/>
                <w:webHidden/>
                <w:sz w:val="24"/>
                <w:szCs w:val="24"/>
                <w:rtl/>
              </w:rPr>
              <w:fldChar w:fldCharType="begin"/>
            </w:r>
            <w:r w:rsidR="00A50C7B" w:rsidRPr="00A50C7B">
              <w:rPr>
                <w:noProof/>
                <w:webHidden/>
                <w:sz w:val="24"/>
                <w:szCs w:val="24"/>
                <w:rtl/>
              </w:rPr>
              <w:instrText xml:space="preserve"> </w:instrText>
            </w:r>
            <w:r w:rsidR="00A50C7B" w:rsidRPr="00A50C7B">
              <w:rPr>
                <w:noProof/>
                <w:webHidden/>
                <w:sz w:val="24"/>
                <w:szCs w:val="24"/>
              </w:rPr>
              <w:instrText>PAGEREF</w:instrText>
            </w:r>
            <w:r w:rsidR="00A50C7B" w:rsidRPr="00A50C7B">
              <w:rPr>
                <w:noProof/>
                <w:webHidden/>
                <w:sz w:val="24"/>
                <w:szCs w:val="24"/>
                <w:rtl/>
              </w:rPr>
              <w:instrText xml:space="preserve"> _</w:instrText>
            </w:r>
            <w:r w:rsidR="00A50C7B" w:rsidRPr="00A50C7B">
              <w:rPr>
                <w:noProof/>
                <w:webHidden/>
                <w:sz w:val="24"/>
                <w:szCs w:val="24"/>
              </w:rPr>
              <w:instrText>Toc421697028 \h</w:instrText>
            </w:r>
            <w:r w:rsidR="00A50C7B" w:rsidRPr="00A50C7B">
              <w:rPr>
                <w:noProof/>
                <w:webHidden/>
                <w:sz w:val="24"/>
                <w:szCs w:val="24"/>
                <w:rtl/>
              </w:rPr>
              <w:instrText xml:space="preserve"> </w:instrText>
            </w:r>
            <w:r w:rsidR="00A50C7B" w:rsidRPr="00A50C7B">
              <w:rPr>
                <w:noProof/>
                <w:webHidden/>
                <w:sz w:val="24"/>
                <w:szCs w:val="24"/>
                <w:rtl/>
              </w:rPr>
            </w:r>
            <w:r w:rsidR="00A50C7B" w:rsidRPr="00A50C7B">
              <w:rPr>
                <w:noProof/>
                <w:webHidden/>
                <w:sz w:val="24"/>
                <w:szCs w:val="24"/>
                <w:rtl/>
              </w:rPr>
              <w:fldChar w:fldCharType="separate"/>
            </w:r>
            <w:r w:rsidR="007347AB">
              <w:rPr>
                <w:noProof/>
                <w:webHidden/>
                <w:sz w:val="24"/>
                <w:szCs w:val="24"/>
                <w:rtl/>
              </w:rPr>
              <w:t>4</w:t>
            </w:r>
            <w:r w:rsidR="00A50C7B" w:rsidRPr="00A50C7B">
              <w:rPr>
                <w:noProof/>
                <w:webHidden/>
                <w:sz w:val="24"/>
                <w:szCs w:val="24"/>
                <w:rtl/>
              </w:rPr>
              <w:fldChar w:fldCharType="end"/>
            </w:r>
          </w:hyperlink>
        </w:p>
        <w:p w:rsidR="00A50C7B" w:rsidRPr="00A50C7B" w:rsidRDefault="002113EA">
          <w:pPr>
            <w:pStyle w:val="TOC1"/>
            <w:rPr>
              <w:rFonts w:asciiTheme="minorHAnsi" w:eastAsiaTheme="minorEastAsia" w:hAnsiTheme="minorHAnsi" w:cstheme="minorBidi"/>
              <w:b w:val="0"/>
              <w:bCs w:val="0"/>
              <w:caps w:val="0"/>
              <w:noProof/>
              <w:sz w:val="24"/>
              <w:szCs w:val="24"/>
              <w:u w:val="none"/>
              <w:rtl/>
              <w:lang w:eastAsia="en-US"/>
            </w:rPr>
          </w:pPr>
          <w:hyperlink w:anchor="_Toc421697029" w:history="1">
            <w:r w:rsidR="00A50C7B" w:rsidRPr="00A50C7B">
              <w:rPr>
                <w:rStyle w:val="Hyperlink"/>
                <w:rFonts w:hint="eastAsia"/>
                <w:noProof/>
                <w:sz w:val="24"/>
                <w:szCs w:val="24"/>
                <w:rtl/>
              </w:rPr>
              <w:t>עיקרי</w:t>
            </w:r>
            <w:r w:rsidR="00A50C7B" w:rsidRPr="00A50C7B">
              <w:rPr>
                <w:rStyle w:val="Hyperlink"/>
                <w:noProof/>
                <w:sz w:val="24"/>
                <w:szCs w:val="24"/>
                <w:rtl/>
              </w:rPr>
              <w:t xml:space="preserve"> </w:t>
            </w:r>
            <w:r w:rsidR="00A50C7B" w:rsidRPr="00A50C7B">
              <w:rPr>
                <w:rStyle w:val="Hyperlink"/>
                <w:rFonts w:hint="eastAsia"/>
                <w:noProof/>
                <w:sz w:val="24"/>
                <w:szCs w:val="24"/>
                <w:rtl/>
              </w:rPr>
              <w:t>המסמך</w:t>
            </w:r>
            <w:r w:rsidR="00A50C7B" w:rsidRPr="00A50C7B">
              <w:rPr>
                <w:noProof/>
                <w:webHidden/>
                <w:sz w:val="24"/>
                <w:szCs w:val="24"/>
                <w:rtl/>
              </w:rPr>
              <w:tab/>
            </w:r>
            <w:r w:rsidR="00A50C7B" w:rsidRPr="00A50C7B">
              <w:rPr>
                <w:noProof/>
                <w:webHidden/>
                <w:sz w:val="24"/>
                <w:szCs w:val="24"/>
                <w:rtl/>
              </w:rPr>
              <w:fldChar w:fldCharType="begin"/>
            </w:r>
            <w:r w:rsidR="00A50C7B" w:rsidRPr="00A50C7B">
              <w:rPr>
                <w:noProof/>
                <w:webHidden/>
                <w:sz w:val="24"/>
                <w:szCs w:val="24"/>
                <w:rtl/>
              </w:rPr>
              <w:instrText xml:space="preserve"> </w:instrText>
            </w:r>
            <w:r w:rsidR="00A50C7B" w:rsidRPr="00A50C7B">
              <w:rPr>
                <w:noProof/>
                <w:webHidden/>
                <w:sz w:val="24"/>
                <w:szCs w:val="24"/>
              </w:rPr>
              <w:instrText>PAGEREF</w:instrText>
            </w:r>
            <w:r w:rsidR="00A50C7B" w:rsidRPr="00A50C7B">
              <w:rPr>
                <w:noProof/>
                <w:webHidden/>
                <w:sz w:val="24"/>
                <w:szCs w:val="24"/>
                <w:rtl/>
              </w:rPr>
              <w:instrText xml:space="preserve"> _</w:instrText>
            </w:r>
            <w:r w:rsidR="00A50C7B" w:rsidRPr="00A50C7B">
              <w:rPr>
                <w:noProof/>
                <w:webHidden/>
                <w:sz w:val="24"/>
                <w:szCs w:val="24"/>
              </w:rPr>
              <w:instrText>Toc421697029 \h</w:instrText>
            </w:r>
            <w:r w:rsidR="00A50C7B" w:rsidRPr="00A50C7B">
              <w:rPr>
                <w:noProof/>
                <w:webHidden/>
                <w:sz w:val="24"/>
                <w:szCs w:val="24"/>
                <w:rtl/>
              </w:rPr>
              <w:instrText xml:space="preserve"> </w:instrText>
            </w:r>
            <w:r w:rsidR="00A50C7B" w:rsidRPr="00A50C7B">
              <w:rPr>
                <w:noProof/>
                <w:webHidden/>
                <w:sz w:val="24"/>
                <w:szCs w:val="24"/>
                <w:rtl/>
              </w:rPr>
            </w:r>
            <w:r w:rsidR="00A50C7B" w:rsidRPr="00A50C7B">
              <w:rPr>
                <w:noProof/>
                <w:webHidden/>
                <w:sz w:val="24"/>
                <w:szCs w:val="24"/>
                <w:rtl/>
              </w:rPr>
              <w:fldChar w:fldCharType="separate"/>
            </w:r>
            <w:r w:rsidR="007347AB">
              <w:rPr>
                <w:noProof/>
                <w:webHidden/>
                <w:sz w:val="24"/>
                <w:szCs w:val="24"/>
                <w:rtl/>
              </w:rPr>
              <w:t>5</w:t>
            </w:r>
            <w:r w:rsidR="00A50C7B" w:rsidRPr="00A50C7B">
              <w:rPr>
                <w:noProof/>
                <w:webHidden/>
                <w:sz w:val="24"/>
                <w:szCs w:val="24"/>
                <w:rtl/>
              </w:rPr>
              <w:fldChar w:fldCharType="end"/>
            </w:r>
          </w:hyperlink>
        </w:p>
        <w:p w:rsidR="00A50C7B" w:rsidRPr="00A50C7B" w:rsidRDefault="002113EA">
          <w:pPr>
            <w:pStyle w:val="TOC1"/>
            <w:rPr>
              <w:rFonts w:asciiTheme="minorHAnsi" w:eastAsiaTheme="minorEastAsia" w:hAnsiTheme="minorHAnsi" w:cstheme="minorBidi"/>
              <w:b w:val="0"/>
              <w:bCs w:val="0"/>
              <w:caps w:val="0"/>
              <w:noProof/>
              <w:sz w:val="24"/>
              <w:szCs w:val="24"/>
              <w:u w:val="none"/>
              <w:rtl/>
              <w:lang w:eastAsia="en-US"/>
            </w:rPr>
          </w:pPr>
          <w:hyperlink w:anchor="_Toc421697030" w:history="1">
            <w:r w:rsidR="00A50C7B" w:rsidRPr="00A50C7B">
              <w:rPr>
                <w:rStyle w:val="Hyperlink"/>
                <w:noProof/>
                <w:sz w:val="24"/>
                <w:szCs w:val="24"/>
                <w:rtl/>
              </w:rPr>
              <w:t xml:space="preserve">1. </w:t>
            </w:r>
            <w:r w:rsidR="00A50C7B" w:rsidRPr="00A50C7B">
              <w:rPr>
                <w:rStyle w:val="Hyperlink"/>
                <w:rFonts w:hint="eastAsia"/>
                <w:noProof/>
                <w:sz w:val="24"/>
                <w:szCs w:val="24"/>
                <w:rtl/>
              </w:rPr>
              <w:t>נתוני</w:t>
            </w:r>
            <w:r w:rsidR="00A50C7B" w:rsidRPr="00A50C7B">
              <w:rPr>
                <w:rStyle w:val="Hyperlink"/>
                <w:noProof/>
                <w:sz w:val="24"/>
                <w:szCs w:val="24"/>
                <w:rtl/>
              </w:rPr>
              <w:t xml:space="preserve"> </w:t>
            </w:r>
            <w:r w:rsidR="00A50C7B" w:rsidRPr="00A50C7B">
              <w:rPr>
                <w:rStyle w:val="Hyperlink"/>
                <w:rFonts w:hint="eastAsia"/>
                <w:noProof/>
                <w:sz w:val="24"/>
                <w:szCs w:val="24"/>
                <w:rtl/>
              </w:rPr>
              <w:t>רקע</w:t>
            </w:r>
            <w:r w:rsidR="00A50C7B" w:rsidRPr="00A50C7B">
              <w:rPr>
                <w:rStyle w:val="Hyperlink"/>
                <w:noProof/>
                <w:sz w:val="24"/>
                <w:szCs w:val="24"/>
                <w:rtl/>
              </w:rPr>
              <w:t xml:space="preserve">: </w:t>
            </w:r>
            <w:r w:rsidR="00A50C7B" w:rsidRPr="00A50C7B">
              <w:rPr>
                <w:rStyle w:val="Hyperlink"/>
                <w:rFonts w:hint="eastAsia"/>
                <w:noProof/>
                <w:sz w:val="24"/>
                <w:szCs w:val="24"/>
                <w:rtl/>
              </w:rPr>
              <w:t>השימוש</w:t>
            </w:r>
            <w:r w:rsidR="00A50C7B" w:rsidRPr="00A50C7B">
              <w:rPr>
                <w:rStyle w:val="Hyperlink"/>
                <w:noProof/>
                <w:sz w:val="24"/>
                <w:szCs w:val="24"/>
                <w:rtl/>
              </w:rPr>
              <w:t xml:space="preserve"> </w:t>
            </w:r>
            <w:r w:rsidR="00A50C7B" w:rsidRPr="00A50C7B">
              <w:rPr>
                <w:rStyle w:val="Hyperlink"/>
                <w:rFonts w:hint="eastAsia"/>
                <w:noProof/>
                <w:sz w:val="24"/>
                <w:szCs w:val="24"/>
                <w:rtl/>
              </w:rPr>
              <w:t>בסמים</w:t>
            </w:r>
            <w:r w:rsidR="00A50C7B" w:rsidRPr="00A50C7B">
              <w:rPr>
                <w:rStyle w:val="Hyperlink"/>
                <w:noProof/>
                <w:sz w:val="24"/>
                <w:szCs w:val="24"/>
                <w:rtl/>
              </w:rPr>
              <w:t xml:space="preserve"> </w:t>
            </w:r>
            <w:r w:rsidR="00A50C7B" w:rsidRPr="00A50C7B">
              <w:rPr>
                <w:rStyle w:val="Hyperlink"/>
                <w:rFonts w:hint="eastAsia"/>
                <w:noProof/>
                <w:sz w:val="24"/>
                <w:szCs w:val="24"/>
                <w:rtl/>
              </w:rPr>
              <w:t>ובאלכוהול</w:t>
            </w:r>
            <w:r w:rsidR="00A50C7B" w:rsidRPr="00A50C7B">
              <w:rPr>
                <w:rStyle w:val="Hyperlink"/>
                <w:noProof/>
                <w:sz w:val="24"/>
                <w:szCs w:val="24"/>
                <w:rtl/>
              </w:rPr>
              <w:t xml:space="preserve"> </w:t>
            </w:r>
            <w:r w:rsidR="00A50C7B" w:rsidRPr="00A50C7B">
              <w:rPr>
                <w:rStyle w:val="Hyperlink"/>
                <w:rFonts w:hint="eastAsia"/>
                <w:noProof/>
                <w:sz w:val="24"/>
                <w:szCs w:val="24"/>
                <w:rtl/>
              </w:rPr>
              <w:t>בעולם</w:t>
            </w:r>
            <w:r w:rsidR="00A50C7B" w:rsidRPr="00A50C7B">
              <w:rPr>
                <w:rStyle w:val="Hyperlink"/>
                <w:noProof/>
                <w:sz w:val="24"/>
                <w:szCs w:val="24"/>
                <w:rtl/>
              </w:rPr>
              <w:t xml:space="preserve"> </w:t>
            </w:r>
            <w:r w:rsidR="00A50C7B" w:rsidRPr="00A50C7B">
              <w:rPr>
                <w:rStyle w:val="Hyperlink"/>
                <w:rFonts w:hint="eastAsia"/>
                <w:noProof/>
                <w:sz w:val="24"/>
                <w:szCs w:val="24"/>
                <w:rtl/>
              </w:rPr>
              <w:t>ובישראל</w:t>
            </w:r>
            <w:r w:rsidR="00A50C7B" w:rsidRPr="00A50C7B">
              <w:rPr>
                <w:noProof/>
                <w:webHidden/>
                <w:sz w:val="24"/>
                <w:szCs w:val="24"/>
                <w:rtl/>
              </w:rPr>
              <w:tab/>
            </w:r>
            <w:r w:rsidR="00A50C7B" w:rsidRPr="00A50C7B">
              <w:rPr>
                <w:noProof/>
                <w:webHidden/>
                <w:sz w:val="24"/>
                <w:szCs w:val="24"/>
                <w:rtl/>
              </w:rPr>
              <w:fldChar w:fldCharType="begin"/>
            </w:r>
            <w:r w:rsidR="00A50C7B" w:rsidRPr="00A50C7B">
              <w:rPr>
                <w:noProof/>
                <w:webHidden/>
                <w:sz w:val="24"/>
                <w:szCs w:val="24"/>
                <w:rtl/>
              </w:rPr>
              <w:instrText xml:space="preserve"> </w:instrText>
            </w:r>
            <w:r w:rsidR="00A50C7B" w:rsidRPr="00A50C7B">
              <w:rPr>
                <w:noProof/>
                <w:webHidden/>
                <w:sz w:val="24"/>
                <w:szCs w:val="24"/>
              </w:rPr>
              <w:instrText>PAGEREF</w:instrText>
            </w:r>
            <w:r w:rsidR="00A50C7B" w:rsidRPr="00A50C7B">
              <w:rPr>
                <w:noProof/>
                <w:webHidden/>
                <w:sz w:val="24"/>
                <w:szCs w:val="24"/>
                <w:rtl/>
              </w:rPr>
              <w:instrText xml:space="preserve"> _</w:instrText>
            </w:r>
            <w:r w:rsidR="00A50C7B" w:rsidRPr="00A50C7B">
              <w:rPr>
                <w:noProof/>
                <w:webHidden/>
                <w:sz w:val="24"/>
                <w:szCs w:val="24"/>
              </w:rPr>
              <w:instrText>Toc421697030 \h</w:instrText>
            </w:r>
            <w:r w:rsidR="00A50C7B" w:rsidRPr="00A50C7B">
              <w:rPr>
                <w:noProof/>
                <w:webHidden/>
                <w:sz w:val="24"/>
                <w:szCs w:val="24"/>
                <w:rtl/>
              </w:rPr>
              <w:instrText xml:space="preserve"> </w:instrText>
            </w:r>
            <w:r w:rsidR="00A50C7B" w:rsidRPr="00A50C7B">
              <w:rPr>
                <w:noProof/>
                <w:webHidden/>
                <w:sz w:val="24"/>
                <w:szCs w:val="24"/>
                <w:rtl/>
              </w:rPr>
            </w:r>
            <w:r w:rsidR="00A50C7B" w:rsidRPr="00A50C7B">
              <w:rPr>
                <w:noProof/>
                <w:webHidden/>
                <w:sz w:val="24"/>
                <w:szCs w:val="24"/>
                <w:rtl/>
              </w:rPr>
              <w:fldChar w:fldCharType="separate"/>
            </w:r>
            <w:r w:rsidR="007347AB">
              <w:rPr>
                <w:noProof/>
                <w:webHidden/>
                <w:sz w:val="24"/>
                <w:szCs w:val="24"/>
                <w:rtl/>
              </w:rPr>
              <w:t>11</w:t>
            </w:r>
            <w:r w:rsidR="00A50C7B" w:rsidRPr="00A50C7B">
              <w:rPr>
                <w:noProof/>
                <w:webHidden/>
                <w:sz w:val="24"/>
                <w:szCs w:val="24"/>
                <w:rtl/>
              </w:rPr>
              <w:fldChar w:fldCharType="end"/>
            </w:r>
          </w:hyperlink>
        </w:p>
        <w:p w:rsidR="00A50C7B" w:rsidRPr="00A50C7B" w:rsidRDefault="002113EA">
          <w:pPr>
            <w:pStyle w:val="TOC2"/>
            <w:rPr>
              <w:rFonts w:asciiTheme="minorHAnsi" w:eastAsiaTheme="minorEastAsia" w:hAnsiTheme="minorHAnsi" w:cstheme="minorBidi"/>
              <w:b w:val="0"/>
              <w:bCs w:val="0"/>
              <w:smallCaps w:val="0"/>
              <w:noProof/>
              <w:sz w:val="24"/>
              <w:szCs w:val="24"/>
              <w:rtl/>
              <w:lang w:eastAsia="en-US"/>
            </w:rPr>
          </w:pPr>
          <w:hyperlink w:anchor="_Toc421697031" w:history="1">
            <w:r w:rsidR="00A50C7B" w:rsidRPr="00A50C7B">
              <w:rPr>
                <w:rStyle w:val="Hyperlink"/>
                <w:noProof/>
                <w:sz w:val="24"/>
                <w:szCs w:val="24"/>
                <w:rtl/>
              </w:rPr>
              <w:t xml:space="preserve">1.1. </w:t>
            </w:r>
            <w:r w:rsidR="00A50C7B" w:rsidRPr="00A50C7B">
              <w:rPr>
                <w:rStyle w:val="Hyperlink"/>
                <w:rFonts w:hint="eastAsia"/>
                <w:noProof/>
                <w:sz w:val="24"/>
                <w:szCs w:val="24"/>
                <w:rtl/>
              </w:rPr>
              <w:t>הערות</w:t>
            </w:r>
            <w:r w:rsidR="00A50C7B" w:rsidRPr="00A50C7B">
              <w:rPr>
                <w:rStyle w:val="Hyperlink"/>
                <w:noProof/>
                <w:sz w:val="24"/>
                <w:szCs w:val="24"/>
                <w:rtl/>
              </w:rPr>
              <w:t xml:space="preserve"> </w:t>
            </w:r>
            <w:r w:rsidR="00A50C7B" w:rsidRPr="00A50C7B">
              <w:rPr>
                <w:rStyle w:val="Hyperlink"/>
                <w:rFonts w:hint="eastAsia"/>
                <w:noProof/>
                <w:sz w:val="24"/>
                <w:szCs w:val="24"/>
                <w:rtl/>
              </w:rPr>
              <w:t>מתודולוגיות</w:t>
            </w:r>
            <w:r w:rsidR="00A50C7B" w:rsidRPr="00A50C7B">
              <w:rPr>
                <w:noProof/>
                <w:webHidden/>
                <w:sz w:val="24"/>
                <w:szCs w:val="24"/>
                <w:rtl/>
              </w:rPr>
              <w:tab/>
            </w:r>
            <w:r w:rsidR="00A50C7B" w:rsidRPr="00A50C7B">
              <w:rPr>
                <w:noProof/>
                <w:webHidden/>
                <w:sz w:val="24"/>
                <w:szCs w:val="24"/>
                <w:rtl/>
              </w:rPr>
              <w:fldChar w:fldCharType="begin"/>
            </w:r>
            <w:r w:rsidR="00A50C7B" w:rsidRPr="00A50C7B">
              <w:rPr>
                <w:noProof/>
                <w:webHidden/>
                <w:sz w:val="24"/>
                <w:szCs w:val="24"/>
                <w:rtl/>
              </w:rPr>
              <w:instrText xml:space="preserve"> </w:instrText>
            </w:r>
            <w:r w:rsidR="00A50C7B" w:rsidRPr="00A50C7B">
              <w:rPr>
                <w:noProof/>
                <w:webHidden/>
                <w:sz w:val="24"/>
                <w:szCs w:val="24"/>
              </w:rPr>
              <w:instrText>PAGEREF</w:instrText>
            </w:r>
            <w:r w:rsidR="00A50C7B" w:rsidRPr="00A50C7B">
              <w:rPr>
                <w:noProof/>
                <w:webHidden/>
                <w:sz w:val="24"/>
                <w:szCs w:val="24"/>
                <w:rtl/>
              </w:rPr>
              <w:instrText xml:space="preserve"> _</w:instrText>
            </w:r>
            <w:r w:rsidR="00A50C7B" w:rsidRPr="00A50C7B">
              <w:rPr>
                <w:noProof/>
                <w:webHidden/>
                <w:sz w:val="24"/>
                <w:szCs w:val="24"/>
              </w:rPr>
              <w:instrText>Toc421697031 \h</w:instrText>
            </w:r>
            <w:r w:rsidR="00A50C7B" w:rsidRPr="00A50C7B">
              <w:rPr>
                <w:noProof/>
                <w:webHidden/>
                <w:sz w:val="24"/>
                <w:szCs w:val="24"/>
                <w:rtl/>
              </w:rPr>
              <w:instrText xml:space="preserve"> </w:instrText>
            </w:r>
            <w:r w:rsidR="00A50C7B" w:rsidRPr="00A50C7B">
              <w:rPr>
                <w:noProof/>
                <w:webHidden/>
                <w:sz w:val="24"/>
                <w:szCs w:val="24"/>
                <w:rtl/>
              </w:rPr>
            </w:r>
            <w:r w:rsidR="00A50C7B" w:rsidRPr="00A50C7B">
              <w:rPr>
                <w:noProof/>
                <w:webHidden/>
                <w:sz w:val="24"/>
                <w:szCs w:val="24"/>
                <w:rtl/>
              </w:rPr>
              <w:fldChar w:fldCharType="separate"/>
            </w:r>
            <w:r w:rsidR="007347AB">
              <w:rPr>
                <w:noProof/>
                <w:webHidden/>
                <w:sz w:val="24"/>
                <w:szCs w:val="24"/>
                <w:rtl/>
              </w:rPr>
              <w:t>11</w:t>
            </w:r>
            <w:r w:rsidR="00A50C7B" w:rsidRPr="00A50C7B">
              <w:rPr>
                <w:noProof/>
                <w:webHidden/>
                <w:sz w:val="24"/>
                <w:szCs w:val="24"/>
                <w:rtl/>
              </w:rPr>
              <w:fldChar w:fldCharType="end"/>
            </w:r>
          </w:hyperlink>
        </w:p>
        <w:p w:rsidR="00A50C7B" w:rsidRPr="00A50C7B" w:rsidRDefault="002113EA">
          <w:pPr>
            <w:pStyle w:val="TOC2"/>
            <w:rPr>
              <w:rFonts w:asciiTheme="minorHAnsi" w:eastAsiaTheme="minorEastAsia" w:hAnsiTheme="minorHAnsi" w:cstheme="minorBidi"/>
              <w:b w:val="0"/>
              <w:bCs w:val="0"/>
              <w:smallCaps w:val="0"/>
              <w:noProof/>
              <w:sz w:val="24"/>
              <w:szCs w:val="24"/>
              <w:rtl/>
              <w:lang w:eastAsia="en-US"/>
            </w:rPr>
          </w:pPr>
          <w:hyperlink w:anchor="_Toc421697032" w:history="1">
            <w:r w:rsidR="00A50C7B" w:rsidRPr="00A50C7B">
              <w:rPr>
                <w:rStyle w:val="Hyperlink"/>
                <w:noProof/>
                <w:sz w:val="24"/>
                <w:szCs w:val="24"/>
                <w:rtl/>
              </w:rPr>
              <w:t xml:space="preserve">1.2. </w:t>
            </w:r>
            <w:r w:rsidR="00A50C7B" w:rsidRPr="00A50C7B">
              <w:rPr>
                <w:rStyle w:val="Hyperlink"/>
                <w:rFonts w:hint="eastAsia"/>
                <w:noProof/>
                <w:sz w:val="24"/>
                <w:szCs w:val="24"/>
                <w:rtl/>
              </w:rPr>
              <w:t>השימוש</w:t>
            </w:r>
            <w:r w:rsidR="00A50C7B" w:rsidRPr="00A50C7B">
              <w:rPr>
                <w:rStyle w:val="Hyperlink"/>
                <w:noProof/>
                <w:sz w:val="24"/>
                <w:szCs w:val="24"/>
                <w:rtl/>
              </w:rPr>
              <w:t xml:space="preserve"> </w:t>
            </w:r>
            <w:r w:rsidR="00A50C7B" w:rsidRPr="00A50C7B">
              <w:rPr>
                <w:rStyle w:val="Hyperlink"/>
                <w:rFonts w:hint="eastAsia"/>
                <w:noProof/>
                <w:sz w:val="24"/>
                <w:szCs w:val="24"/>
                <w:rtl/>
              </w:rPr>
              <w:t>בסמים</w:t>
            </w:r>
            <w:r w:rsidR="00A50C7B" w:rsidRPr="00A50C7B">
              <w:rPr>
                <w:rStyle w:val="Hyperlink"/>
                <w:noProof/>
                <w:sz w:val="24"/>
                <w:szCs w:val="24"/>
                <w:rtl/>
              </w:rPr>
              <w:t xml:space="preserve"> </w:t>
            </w:r>
            <w:r w:rsidR="00A50C7B" w:rsidRPr="00A50C7B">
              <w:rPr>
                <w:rStyle w:val="Hyperlink"/>
                <w:rFonts w:hint="eastAsia"/>
                <w:noProof/>
                <w:sz w:val="24"/>
                <w:szCs w:val="24"/>
                <w:rtl/>
              </w:rPr>
              <w:t>בעולם</w:t>
            </w:r>
            <w:r w:rsidR="00A50C7B" w:rsidRPr="00A50C7B">
              <w:rPr>
                <w:rStyle w:val="Hyperlink"/>
                <w:noProof/>
                <w:sz w:val="24"/>
                <w:szCs w:val="24"/>
                <w:rtl/>
              </w:rPr>
              <w:t xml:space="preserve"> </w:t>
            </w:r>
            <w:r w:rsidR="00A50C7B" w:rsidRPr="00A50C7B">
              <w:rPr>
                <w:rStyle w:val="Hyperlink"/>
                <w:rFonts w:hint="eastAsia"/>
                <w:noProof/>
                <w:sz w:val="24"/>
                <w:szCs w:val="24"/>
                <w:rtl/>
              </w:rPr>
              <w:t>ובישראל</w:t>
            </w:r>
            <w:r w:rsidR="00A50C7B" w:rsidRPr="00A50C7B">
              <w:rPr>
                <w:noProof/>
                <w:webHidden/>
                <w:sz w:val="24"/>
                <w:szCs w:val="24"/>
                <w:rtl/>
              </w:rPr>
              <w:tab/>
            </w:r>
            <w:r w:rsidR="00A50C7B" w:rsidRPr="00A50C7B">
              <w:rPr>
                <w:noProof/>
                <w:webHidden/>
                <w:sz w:val="24"/>
                <w:szCs w:val="24"/>
                <w:rtl/>
              </w:rPr>
              <w:fldChar w:fldCharType="begin"/>
            </w:r>
            <w:r w:rsidR="00A50C7B" w:rsidRPr="00A50C7B">
              <w:rPr>
                <w:noProof/>
                <w:webHidden/>
                <w:sz w:val="24"/>
                <w:szCs w:val="24"/>
                <w:rtl/>
              </w:rPr>
              <w:instrText xml:space="preserve"> </w:instrText>
            </w:r>
            <w:r w:rsidR="00A50C7B" w:rsidRPr="00A50C7B">
              <w:rPr>
                <w:noProof/>
                <w:webHidden/>
                <w:sz w:val="24"/>
                <w:szCs w:val="24"/>
              </w:rPr>
              <w:instrText>PAGEREF</w:instrText>
            </w:r>
            <w:r w:rsidR="00A50C7B" w:rsidRPr="00A50C7B">
              <w:rPr>
                <w:noProof/>
                <w:webHidden/>
                <w:sz w:val="24"/>
                <w:szCs w:val="24"/>
                <w:rtl/>
              </w:rPr>
              <w:instrText xml:space="preserve"> _</w:instrText>
            </w:r>
            <w:r w:rsidR="00A50C7B" w:rsidRPr="00A50C7B">
              <w:rPr>
                <w:noProof/>
                <w:webHidden/>
                <w:sz w:val="24"/>
                <w:szCs w:val="24"/>
              </w:rPr>
              <w:instrText>Toc421697032 \h</w:instrText>
            </w:r>
            <w:r w:rsidR="00A50C7B" w:rsidRPr="00A50C7B">
              <w:rPr>
                <w:noProof/>
                <w:webHidden/>
                <w:sz w:val="24"/>
                <w:szCs w:val="24"/>
                <w:rtl/>
              </w:rPr>
              <w:instrText xml:space="preserve"> </w:instrText>
            </w:r>
            <w:r w:rsidR="00A50C7B" w:rsidRPr="00A50C7B">
              <w:rPr>
                <w:noProof/>
                <w:webHidden/>
                <w:sz w:val="24"/>
                <w:szCs w:val="24"/>
                <w:rtl/>
              </w:rPr>
            </w:r>
            <w:r w:rsidR="00A50C7B" w:rsidRPr="00A50C7B">
              <w:rPr>
                <w:noProof/>
                <w:webHidden/>
                <w:sz w:val="24"/>
                <w:szCs w:val="24"/>
                <w:rtl/>
              </w:rPr>
              <w:fldChar w:fldCharType="separate"/>
            </w:r>
            <w:r w:rsidR="007347AB">
              <w:rPr>
                <w:noProof/>
                <w:webHidden/>
                <w:sz w:val="24"/>
                <w:szCs w:val="24"/>
                <w:rtl/>
              </w:rPr>
              <w:t>12</w:t>
            </w:r>
            <w:r w:rsidR="00A50C7B" w:rsidRPr="00A50C7B">
              <w:rPr>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33" w:history="1">
            <w:r w:rsidR="00A50C7B" w:rsidRPr="00A50C7B">
              <w:rPr>
                <w:rStyle w:val="Hyperlink"/>
                <w:b w:val="0"/>
                <w:bCs w:val="0"/>
                <w:noProof/>
                <w:sz w:val="24"/>
                <w:szCs w:val="24"/>
                <w:rtl/>
              </w:rPr>
              <w:t xml:space="preserve">1.2.1. </w:t>
            </w:r>
            <w:r w:rsidR="00A50C7B" w:rsidRPr="00A50C7B">
              <w:rPr>
                <w:rStyle w:val="Hyperlink"/>
                <w:rFonts w:hint="eastAsia"/>
                <w:b w:val="0"/>
                <w:bCs w:val="0"/>
                <w:noProof/>
                <w:sz w:val="24"/>
                <w:szCs w:val="24"/>
                <w:rtl/>
              </w:rPr>
              <w:t>היקף</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השימוש</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בסמים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בעולם</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Toc421697033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12</w:t>
            </w:r>
            <w:r w:rsidR="00A50C7B" w:rsidRPr="00A50C7B">
              <w:rPr>
                <w:b w:val="0"/>
                <w:bCs w:val="0"/>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34" w:history="1">
            <w:r w:rsidR="00A50C7B" w:rsidRPr="00A50C7B">
              <w:rPr>
                <w:rStyle w:val="Hyperlink"/>
                <w:b w:val="0"/>
                <w:bCs w:val="0"/>
                <w:noProof/>
                <w:sz w:val="24"/>
                <w:szCs w:val="24"/>
                <w:rtl/>
              </w:rPr>
              <w:t xml:space="preserve">1.2.2. </w:t>
            </w:r>
            <w:r w:rsidR="00A50C7B" w:rsidRPr="00A50C7B">
              <w:rPr>
                <w:rStyle w:val="Hyperlink"/>
                <w:rFonts w:hint="eastAsia"/>
                <w:b w:val="0"/>
                <w:bCs w:val="0"/>
                <w:noProof/>
                <w:sz w:val="24"/>
                <w:szCs w:val="24"/>
                <w:rtl/>
              </w:rPr>
              <w:t>היקף</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השימוש</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בסמים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בישראל</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Toc421697034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13</w:t>
            </w:r>
            <w:r w:rsidR="00A50C7B" w:rsidRPr="00A50C7B">
              <w:rPr>
                <w:b w:val="0"/>
                <w:bCs w:val="0"/>
                <w:noProof/>
                <w:webHidden/>
                <w:sz w:val="24"/>
                <w:szCs w:val="24"/>
                <w:rtl/>
              </w:rPr>
              <w:fldChar w:fldCharType="end"/>
            </w:r>
          </w:hyperlink>
        </w:p>
        <w:p w:rsidR="00A50C7B" w:rsidRPr="00A50C7B" w:rsidRDefault="002113EA">
          <w:pPr>
            <w:pStyle w:val="TOC2"/>
            <w:rPr>
              <w:rFonts w:asciiTheme="minorHAnsi" w:eastAsiaTheme="minorEastAsia" w:hAnsiTheme="minorHAnsi" w:cstheme="minorBidi"/>
              <w:b w:val="0"/>
              <w:bCs w:val="0"/>
              <w:smallCaps w:val="0"/>
              <w:noProof/>
              <w:sz w:val="24"/>
              <w:szCs w:val="24"/>
              <w:rtl/>
              <w:lang w:eastAsia="en-US"/>
            </w:rPr>
          </w:pPr>
          <w:hyperlink w:anchor="_Toc421697035" w:history="1">
            <w:r w:rsidR="00A50C7B" w:rsidRPr="00A50C7B">
              <w:rPr>
                <w:rStyle w:val="Hyperlink"/>
                <w:noProof/>
                <w:sz w:val="24"/>
                <w:szCs w:val="24"/>
                <w:rtl/>
              </w:rPr>
              <w:t xml:space="preserve">1.3. </w:t>
            </w:r>
            <w:r w:rsidR="00A50C7B" w:rsidRPr="00A50C7B">
              <w:rPr>
                <w:rStyle w:val="Hyperlink"/>
                <w:rFonts w:hint="eastAsia"/>
                <w:noProof/>
                <w:sz w:val="24"/>
                <w:szCs w:val="24"/>
                <w:rtl/>
              </w:rPr>
              <w:t>השימוש</w:t>
            </w:r>
            <w:r w:rsidR="00A50C7B" w:rsidRPr="00A50C7B">
              <w:rPr>
                <w:rStyle w:val="Hyperlink"/>
                <w:noProof/>
                <w:sz w:val="24"/>
                <w:szCs w:val="24"/>
                <w:rtl/>
              </w:rPr>
              <w:t xml:space="preserve"> </w:t>
            </w:r>
            <w:r w:rsidR="00A50C7B" w:rsidRPr="00A50C7B">
              <w:rPr>
                <w:rStyle w:val="Hyperlink"/>
                <w:rFonts w:hint="eastAsia"/>
                <w:noProof/>
                <w:sz w:val="24"/>
                <w:szCs w:val="24"/>
                <w:rtl/>
              </w:rPr>
              <w:t>באלכוהול</w:t>
            </w:r>
            <w:r w:rsidR="00A50C7B" w:rsidRPr="00A50C7B">
              <w:rPr>
                <w:rStyle w:val="Hyperlink"/>
                <w:noProof/>
                <w:sz w:val="24"/>
                <w:szCs w:val="24"/>
                <w:rtl/>
              </w:rPr>
              <w:t xml:space="preserve"> </w:t>
            </w:r>
            <w:r w:rsidR="00A50C7B" w:rsidRPr="00A50C7B">
              <w:rPr>
                <w:rStyle w:val="Hyperlink"/>
                <w:rFonts w:hint="eastAsia"/>
                <w:noProof/>
                <w:sz w:val="24"/>
                <w:szCs w:val="24"/>
                <w:rtl/>
              </w:rPr>
              <w:t>בעולם</w:t>
            </w:r>
            <w:r w:rsidR="00A50C7B" w:rsidRPr="00A50C7B">
              <w:rPr>
                <w:rStyle w:val="Hyperlink"/>
                <w:noProof/>
                <w:sz w:val="24"/>
                <w:szCs w:val="24"/>
                <w:rtl/>
              </w:rPr>
              <w:t xml:space="preserve"> </w:t>
            </w:r>
            <w:r w:rsidR="00A50C7B" w:rsidRPr="00A50C7B">
              <w:rPr>
                <w:rStyle w:val="Hyperlink"/>
                <w:rFonts w:hint="eastAsia"/>
                <w:noProof/>
                <w:sz w:val="24"/>
                <w:szCs w:val="24"/>
                <w:rtl/>
              </w:rPr>
              <w:t>ובישראל</w:t>
            </w:r>
            <w:r w:rsidR="00A50C7B" w:rsidRPr="00A50C7B">
              <w:rPr>
                <w:noProof/>
                <w:webHidden/>
                <w:sz w:val="24"/>
                <w:szCs w:val="24"/>
                <w:rtl/>
              </w:rPr>
              <w:tab/>
            </w:r>
            <w:r w:rsidR="00A50C7B" w:rsidRPr="00A50C7B">
              <w:rPr>
                <w:noProof/>
                <w:webHidden/>
                <w:sz w:val="24"/>
                <w:szCs w:val="24"/>
                <w:rtl/>
              </w:rPr>
              <w:fldChar w:fldCharType="begin"/>
            </w:r>
            <w:r w:rsidR="00A50C7B" w:rsidRPr="00A50C7B">
              <w:rPr>
                <w:noProof/>
                <w:webHidden/>
                <w:sz w:val="24"/>
                <w:szCs w:val="24"/>
                <w:rtl/>
              </w:rPr>
              <w:instrText xml:space="preserve"> </w:instrText>
            </w:r>
            <w:r w:rsidR="00A50C7B" w:rsidRPr="00A50C7B">
              <w:rPr>
                <w:noProof/>
                <w:webHidden/>
                <w:sz w:val="24"/>
                <w:szCs w:val="24"/>
              </w:rPr>
              <w:instrText>PAGEREF</w:instrText>
            </w:r>
            <w:r w:rsidR="00A50C7B" w:rsidRPr="00A50C7B">
              <w:rPr>
                <w:noProof/>
                <w:webHidden/>
                <w:sz w:val="24"/>
                <w:szCs w:val="24"/>
                <w:rtl/>
              </w:rPr>
              <w:instrText xml:space="preserve"> _</w:instrText>
            </w:r>
            <w:r w:rsidR="00A50C7B" w:rsidRPr="00A50C7B">
              <w:rPr>
                <w:noProof/>
                <w:webHidden/>
                <w:sz w:val="24"/>
                <w:szCs w:val="24"/>
              </w:rPr>
              <w:instrText>Toc421697035 \h</w:instrText>
            </w:r>
            <w:r w:rsidR="00A50C7B" w:rsidRPr="00A50C7B">
              <w:rPr>
                <w:noProof/>
                <w:webHidden/>
                <w:sz w:val="24"/>
                <w:szCs w:val="24"/>
                <w:rtl/>
              </w:rPr>
              <w:instrText xml:space="preserve"> </w:instrText>
            </w:r>
            <w:r w:rsidR="00A50C7B" w:rsidRPr="00A50C7B">
              <w:rPr>
                <w:noProof/>
                <w:webHidden/>
                <w:sz w:val="24"/>
                <w:szCs w:val="24"/>
                <w:rtl/>
              </w:rPr>
            </w:r>
            <w:r w:rsidR="00A50C7B" w:rsidRPr="00A50C7B">
              <w:rPr>
                <w:noProof/>
                <w:webHidden/>
                <w:sz w:val="24"/>
                <w:szCs w:val="24"/>
                <w:rtl/>
              </w:rPr>
              <w:fldChar w:fldCharType="separate"/>
            </w:r>
            <w:r w:rsidR="007347AB">
              <w:rPr>
                <w:noProof/>
                <w:webHidden/>
                <w:sz w:val="24"/>
                <w:szCs w:val="24"/>
                <w:rtl/>
              </w:rPr>
              <w:t>18</w:t>
            </w:r>
            <w:r w:rsidR="00A50C7B" w:rsidRPr="00A50C7B">
              <w:rPr>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36" w:history="1">
            <w:r w:rsidR="00A50C7B" w:rsidRPr="00A50C7B">
              <w:rPr>
                <w:rStyle w:val="Hyperlink"/>
                <w:b w:val="0"/>
                <w:bCs w:val="0"/>
                <w:noProof/>
                <w:sz w:val="24"/>
                <w:szCs w:val="24"/>
                <w:rtl/>
              </w:rPr>
              <w:t xml:space="preserve">1.3.1. </w:t>
            </w:r>
            <w:r w:rsidR="00A50C7B" w:rsidRPr="00A50C7B">
              <w:rPr>
                <w:rStyle w:val="Hyperlink"/>
                <w:rFonts w:hint="eastAsia"/>
                <w:b w:val="0"/>
                <w:bCs w:val="0"/>
                <w:noProof/>
                <w:sz w:val="24"/>
                <w:szCs w:val="24"/>
                <w:rtl/>
              </w:rPr>
              <w:t>היקף</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השימוש</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באלכוהול</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בעולם</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Toc421697036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18</w:t>
            </w:r>
            <w:r w:rsidR="00A50C7B" w:rsidRPr="00A50C7B">
              <w:rPr>
                <w:b w:val="0"/>
                <w:bCs w:val="0"/>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37" w:history="1">
            <w:r w:rsidR="00A50C7B" w:rsidRPr="00A50C7B">
              <w:rPr>
                <w:rStyle w:val="Hyperlink"/>
                <w:b w:val="0"/>
                <w:bCs w:val="0"/>
                <w:noProof/>
                <w:sz w:val="24"/>
                <w:szCs w:val="24"/>
                <w:rtl/>
              </w:rPr>
              <w:t xml:space="preserve">1.3.2. </w:t>
            </w:r>
            <w:r w:rsidR="00A50C7B" w:rsidRPr="00A50C7B">
              <w:rPr>
                <w:rStyle w:val="Hyperlink"/>
                <w:rFonts w:hint="eastAsia"/>
                <w:b w:val="0"/>
                <w:bCs w:val="0"/>
                <w:noProof/>
                <w:sz w:val="24"/>
                <w:szCs w:val="24"/>
                <w:rtl/>
              </w:rPr>
              <w:t>היקף</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השימוש</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באלכוהול</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בישראל</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Toc421697037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21</w:t>
            </w:r>
            <w:r w:rsidR="00A50C7B" w:rsidRPr="00A50C7B">
              <w:rPr>
                <w:b w:val="0"/>
                <w:bCs w:val="0"/>
                <w:noProof/>
                <w:webHidden/>
                <w:sz w:val="24"/>
                <w:szCs w:val="24"/>
                <w:rtl/>
              </w:rPr>
              <w:fldChar w:fldCharType="end"/>
            </w:r>
          </w:hyperlink>
        </w:p>
        <w:p w:rsidR="00A50C7B" w:rsidRPr="00A50C7B" w:rsidRDefault="002113EA">
          <w:pPr>
            <w:pStyle w:val="TOC2"/>
            <w:rPr>
              <w:rFonts w:asciiTheme="minorHAnsi" w:eastAsiaTheme="minorEastAsia" w:hAnsiTheme="minorHAnsi" w:cstheme="minorBidi"/>
              <w:b w:val="0"/>
              <w:bCs w:val="0"/>
              <w:smallCaps w:val="0"/>
              <w:noProof/>
              <w:sz w:val="24"/>
              <w:szCs w:val="24"/>
              <w:rtl/>
              <w:lang w:eastAsia="en-US"/>
            </w:rPr>
          </w:pPr>
          <w:hyperlink w:anchor="_Toc421697038" w:history="1">
            <w:r w:rsidR="00A50C7B" w:rsidRPr="00A50C7B">
              <w:rPr>
                <w:rStyle w:val="Hyperlink"/>
                <w:noProof/>
                <w:sz w:val="24"/>
                <w:szCs w:val="24"/>
                <w:rtl/>
              </w:rPr>
              <w:t xml:space="preserve">1.4. </w:t>
            </w:r>
            <w:r w:rsidR="00A50C7B" w:rsidRPr="00A50C7B">
              <w:rPr>
                <w:rStyle w:val="Hyperlink"/>
                <w:rFonts w:hint="eastAsia"/>
                <w:noProof/>
                <w:sz w:val="24"/>
                <w:szCs w:val="24"/>
                <w:rtl/>
              </w:rPr>
              <w:t>השפעת</w:t>
            </w:r>
            <w:r w:rsidR="00A50C7B" w:rsidRPr="00A50C7B">
              <w:rPr>
                <w:rStyle w:val="Hyperlink"/>
                <w:noProof/>
                <w:sz w:val="24"/>
                <w:szCs w:val="24"/>
                <w:rtl/>
              </w:rPr>
              <w:t xml:space="preserve"> </w:t>
            </w:r>
            <w:r w:rsidR="00A50C7B" w:rsidRPr="00A50C7B">
              <w:rPr>
                <w:rStyle w:val="Hyperlink"/>
                <w:rFonts w:hint="eastAsia"/>
                <w:noProof/>
                <w:sz w:val="24"/>
                <w:szCs w:val="24"/>
                <w:rtl/>
              </w:rPr>
              <w:t>שימוש</w:t>
            </w:r>
            <w:r w:rsidR="00A50C7B" w:rsidRPr="00A50C7B">
              <w:rPr>
                <w:rStyle w:val="Hyperlink"/>
                <w:noProof/>
                <w:sz w:val="24"/>
                <w:szCs w:val="24"/>
                <w:rtl/>
              </w:rPr>
              <w:t xml:space="preserve"> </w:t>
            </w:r>
            <w:r w:rsidR="00A50C7B" w:rsidRPr="00A50C7B">
              <w:rPr>
                <w:rStyle w:val="Hyperlink"/>
                <w:rFonts w:hint="eastAsia"/>
                <w:noProof/>
                <w:sz w:val="24"/>
                <w:szCs w:val="24"/>
                <w:rtl/>
              </w:rPr>
              <w:t>בסמים</w:t>
            </w:r>
            <w:r w:rsidR="00A50C7B" w:rsidRPr="00A50C7B">
              <w:rPr>
                <w:rStyle w:val="Hyperlink"/>
                <w:noProof/>
                <w:sz w:val="24"/>
                <w:szCs w:val="24"/>
                <w:rtl/>
              </w:rPr>
              <w:t xml:space="preserve"> </w:t>
            </w:r>
            <w:r w:rsidR="00A50C7B" w:rsidRPr="00A50C7B">
              <w:rPr>
                <w:rStyle w:val="Hyperlink"/>
                <w:rFonts w:hint="eastAsia"/>
                <w:noProof/>
                <w:sz w:val="24"/>
                <w:szCs w:val="24"/>
                <w:rtl/>
              </w:rPr>
              <w:t>ובאלכוהול</w:t>
            </w:r>
            <w:r w:rsidR="00A50C7B" w:rsidRPr="00A50C7B">
              <w:rPr>
                <w:rStyle w:val="Hyperlink"/>
                <w:noProof/>
                <w:sz w:val="24"/>
                <w:szCs w:val="24"/>
                <w:rtl/>
              </w:rPr>
              <w:t xml:space="preserve"> </w:t>
            </w:r>
            <w:r w:rsidR="00A50C7B" w:rsidRPr="00A50C7B">
              <w:rPr>
                <w:rStyle w:val="Hyperlink"/>
                <w:rFonts w:hint="eastAsia"/>
                <w:noProof/>
                <w:sz w:val="24"/>
                <w:szCs w:val="24"/>
                <w:rtl/>
              </w:rPr>
              <w:t>על</w:t>
            </w:r>
            <w:r w:rsidR="00A50C7B" w:rsidRPr="00A50C7B">
              <w:rPr>
                <w:rStyle w:val="Hyperlink"/>
                <w:noProof/>
                <w:sz w:val="24"/>
                <w:szCs w:val="24"/>
                <w:rtl/>
              </w:rPr>
              <w:t xml:space="preserve"> </w:t>
            </w:r>
            <w:r w:rsidR="00A50C7B" w:rsidRPr="00A50C7B">
              <w:rPr>
                <w:rStyle w:val="Hyperlink"/>
                <w:rFonts w:hint="eastAsia"/>
                <w:noProof/>
                <w:sz w:val="24"/>
                <w:szCs w:val="24"/>
                <w:rtl/>
              </w:rPr>
              <w:t>בריאות</w:t>
            </w:r>
            <w:r w:rsidR="00A50C7B" w:rsidRPr="00A50C7B">
              <w:rPr>
                <w:noProof/>
                <w:webHidden/>
                <w:sz w:val="24"/>
                <w:szCs w:val="24"/>
                <w:rtl/>
              </w:rPr>
              <w:tab/>
            </w:r>
            <w:r w:rsidR="00A50C7B" w:rsidRPr="00A50C7B">
              <w:rPr>
                <w:noProof/>
                <w:webHidden/>
                <w:sz w:val="24"/>
                <w:szCs w:val="24"/>
                <w:rtl/>
              </w:rPr>
              <w:fldChar w:fldCharType="begin"/>
            </w:r>
            <w:r w:rsidR="00A50C7B" w:rsidRPr="00A50C7B">
              <w:rPr>
                <w:noProof/>
                <w:webHidden/>
                <w:sz w:val="24"/>
                <w:szCs w:val="24"/>
                <w:rtl/>
              </w:rPr>
              <w:instrText xml:space="preserve"> </w:instrText>
            </w:r>
            <w:r w:rsidR="00A50C7B" w:rsidRPr="00A50C7B">
              <w:rPr>
                <w:noProof/>
                <w:webHidden/>
                <w:sz w:val="24"/>
                <w:szCs w:val="24"/>
              </w:rPr>
              <w:instrText>PAGEREF</w:instrText>
            </w:r>
            <w:r w:rsidR="00A50C7B" w:rsidRPr="00A50C7B">
              <w:rPr>
                <w:noProof/>
                <w:webHidden/>
                <w:sz w:val="24"/>
                <w:szCs w:val="24"/>
                <w:rtl/>
              </w:rPr>
              <w:instrText xml:space="preserve"> _</w:instrText>
            </w:r>
            <w:r w:rsidR="00A50C7B" w:rsidRPr="00A50C7B">
              <w:rPr>
                <w:noProof/>
                <w:webHidden/>
                <w:sz w:val="24"/>
                <w:szCs w:val="24"/>
              </w:rPr>
              <w:instrText>Toc421697038 \h</w:instrText>
            </w:r>
            <w:r w:rsidR="00A50C7B" w:rsidRPr="00A50C7B">
              <w:rPr>
                <w:noProof/>
                <w:webHidden/>
                <w:sz w:val="24"/>
                <w:szCs w:val="24"/>
                <w:rtl/>
              </w:rPr>
              <w:instrText xml:space="preserve"> </w:instrText>
            </w:r>
            <w:r w:rsidR="00A50C7B" w:rsidRPr="00A50C7B">
              <w:rPr>
                <w:noProof/>
                <w:webHidden/>
                <w:sz w:val="24"/>
                <w:szCs w:val="24"/>
                <w:rtl/>
              </w:rPr>
            </w:r>
            <w:r w:rsidR="00A50C7B" w:rsidRPr="00A50C7B">
              <w:rPr>
                <w:noProof/>
                <w:webHidden/>
                <w:sz w:val="24"/>
                <w:szCs w:val="24"/>
                <w:rtl/>
              </w:rPr>
              <w:fldChar w:fldCharType="separate"/>
            </w:r>
            <w:r w:rsidR="007347AB">
              <w:rPr>
                <w:noProof/>
                <w:webHidden/>
                <w:sz w:val="24"/>
                <w:szCs w:val="24"/>
                <w:rtl/>
              </w:rPr>
              <w:t>23</w:t>
            </w:r>
            <w:r w:rsidR="00A50C7B" w:rsidRPr="00A50C7B">
              <w:rPr>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39" w:history="1">
            <w:r w:rsidR="00A50C7B" w:rsidRPr="00A50C7B">
              <w:rPr>
                <w:rStyle w:val="Hyperlink"/>
                <w:b w:val="0"/>
                <w:bCs w:val="0"/>
                <w:noProof/>
                <w:sz w:val="24"/>
                <w:szCs w:val="24"/>
                <w:rtl/>
              </w:rPr>
              <w:t xml:space="preserve">1.4.1. </w:t>
            </w:r>
            <w:r w:rsidR="00D12DD4" w:rsidRPr="00D12DD4">
              <w:rPr>
                <w:rStyle w:val="Hyperlink"/>
                <w:rFonts w:hint="eastAsia"/>
                <w:b w:val="0"/>
                <w:bCs w:val="0"/>
                <w:noProof/>
                <w:sz w:val="24"/>
                <w:szCs w:val="24"/>
                <w:rtl/>
              </w:rPr>
              <w:t>השפעות</w:t>
            </w:r>
            <w:r w:rsidR="00D12DD4" w:rsidRPr="00D12DD4">
              <w:rPr>
                <w:rStyle w:val="Hyperlink"/>
                <w:b w:val="0"/>
                <w:bCs w:val="0"/>
                <w:noProof/>
                <w:sz w:val="24"/>
                <w:szCs w:val="24"/>
                <w:rtl/>
              </w:rPr>
              <w:t xml:space="preserve"> </w:t>
            </w:r>
            <w:r w:rsidR="00D12DD4" w:rsidRPr="00D12DD4">
              <w:rPr>
                <w:rStyle w:val="Hyperlink"/>
                <w:rFonts w:hint="eastAsia"/>
                <w:b w:val="0"/>
                <w:bCs w:val="0"/>
                <w:noProof/>
                <w:sz w:val="24"/>
                <w:szCs w:val="24"/>
                <w:rtl/>
              </w:rPr>
              <w:t>צריכת</w:t>
            </w:r>
            <w:r w:rsidR="00D12DD4" w:rsidRPr="00D12DD4">
              <w:rPr>
                <w:rStyle w:val="Hyperlink"/>
                <w:b w:val="0"/>
                <w:bCs w:val="0"/>
                <w:noProof/>
                <w:sz w:val="24"/>
                <w:szCs w:val="24"/>
                <w:rtl/>
              </w:rPr>
              <w:t xml:space="preserve"> </w:t>
            </w:r>
            <w:r w:rsidR="00D12DD4" w:rsidRPr="00D12DD4">
              <w:rPr>
                <w:rStyle w:val="Hyperlink"/>
                <w:rFonts w:hint="eastAsia"/>
                <w:b w:val="0"/>
                <w:bCs w:val="0"/>
                <w:noProof/>
                <w:sz w:val="24"/>
                <w:szCs w:val="24"/>
                <w:rtl/>
              </w:rPr>
              <w:t>סמים</w:t>
            </w:r>
            <w:r w:rsidR="00D12DD4" w:rsidRPr="00D12DD4">
              <w:rPr>
                <w:rStyle w:val="Hyperlink"/>
                <w:b w:val="0"/>
                <w:bCs w:val="0"/>
                <w:noProof/>
                <w:sz w:val="24"/>
                <w:szCs w:val="24"/>
                <w:rtl/>
              </w:rPr>
              <w:t xml:space="preserve"> </w:t>
            </w:r>
            <w:r w:rsidR="00D12DD4" w:rsidRPr="00D12DD4">
              <w:rPr>
                <w:rStyle w:val="Hyperlink"/>
                <w:rFonts w:hint="eastAsia"/>
                <w:b w:val="0"/>
                <w:bCs w:val="0"/>
                <w:noProof/>
                <w:sz w:val="24"/>
                <w:szCs w:val="24"/>
                <w:rtl/>
              </w:rPr>
              <w:t>ואלכוהול</w:t>
            </w:r>
            <w:r w:rsidR="00D12DD4" w:rsidRPr="00D12DD4">
              <w:rPr>
                <w:rStyle w:val="Hyperlink"/>
                <w:b w:val="0"/>
                <w:bCs w:val="0"/>
                <w:noProof/>
                <w:sz w:val="24"/>
                <w:szCs w:val="24"/>
                <w:rtl/>
              </w:rPr>
              <w:t xml:space="preserve"> </w:t>
            </w:r>
            <w:r w:rsidR="00D12DD4" w:rsidRPr="00D12DD4">
              <w:rPr>
                <w:rStyle w:val="Hyperlink"/>
                <w:rFonts w:hint="eastAsia"/>
                <w:b w:val="0"/>
                <w:bCs w:val="0"/>
                <w:noProof/>
                <w:sz w:val="24"/>
                <w:szCs w:val="24"/>
                <w:rtl/>
              </w:rPr>
              <w:t>על</w:t>
            </w:r>
            <w:r w:rsidR="00D12DD4" w:rsidRPr="00D12DD4">
              <w:rPr>
                <w:rStyle w:val="Hyperlink"/>
                <w:b w:val="0"/>
                <w:bCs w:val="0"/>
                <w:noProof/>
                <w:sz w:val="24"/>
                <w:szCs w:val="24"/>
                <w:rtl/>
              </w:rPr>
              <w:t xml:space="preserve"> </w:t>
            </w:r>
            <w:r w:rsidR="00D12DD4" w:rsidRPr="00D12DD4">
              <w:rPr>
                <w:rStyle w:val="Hyperlink"/>
                <w:rFonts w:hint="eastAsia"/>
                <w:b w:val="0"/>
                <w:bCs w:val="0"/>
                <w:noProof/>
                <w:sz w:val="24"/>
                <w:szCs w:val="24"/>
                <w:rtl/>
              </w:rPr>
              <w:t xml:space="preserve">בריאות </w:t>
            </w:r>
            <w:r w:rsidR="00A50C7B" w:rsidRPr="00A50C7B">
              <w:rPr>
                <w:rStyle w:val="Hyperlink"/>
                <w:rFonts w:hint="eastAsia"/>
                <w:b w:val="0"/>
                <w:bCs w:val="0"/>
                <w:noProof/>
                <w:sz w:val="24"/>
                <w:szCs w:val="24"/>
                <w:rtl/>
              </w:rPr>
              <w:t>בעולם</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Toc421697039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23</w:t>
            </w:r>
            <w:r w:rsidR="00A50C7B" w:rsidRPr="00A50C7B">
              <w:rPr>
                <w:b w:val="0"/>
                <w:bCs w:val="0"/>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40" w:history="1">
            <w:r w:rsidR="00A50C7B" w:rsidRPr="00A50C7B">
              <w:rPr>
                <w:rStyle w:val="Hyperlink"/>
                <w:b w:val="0"/>
                <w:bCs w:val="0"/>
                <w:noProof/>
                <w:sz w:val="24"/>
                <w:szCs w:val="24"/>
                <w:rtl/>
              </w:rPr>
              <w:t xml:space="preserve">1.4.2. </w:t>
            </w:r>
            <w:r w:rsidR="00A50C7B" w:rsidRPr="00A50C7B">
              <w:rPr>
                <w:rStyle w:val="Hyperlink"/>
                <w:rFonts w:hint="eastAsia"/>
                <w:b w:val="0"/>
                <w:bCs w:val="0"/>
                <w:noProof/>
                <w:sz w:val="24"/>
                <w:szCs w:val="24"/>
                <w:rtl/>
              </w:rPr>
              <w:t>השפעות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צריכת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סמים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ואלכוהול</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על</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בריאות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בישראל</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Toc421697040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24</w:t>
            </w:r>
            <w:r w:rsidR="00A50C7B" w:rsidRPr="00A50C7B">
              <w:rPr>
                <w:b w:val="0"/>
                <w:bCs w:val="0"/>
                <w:noProof/>
                <w:webHidden/>
                <w:sz w:val="24"/>
                <w:szCs w:val="24"/>
                <w:rtl/>
              </w:rPr>
              <w:fldChar w:fldCharType="end"/>
            </w:r>
          </w:hyperlink>
        </w:p>
        <w:p w:rsidR="00A50C7B" w:rsidRPr="00A50C7B" w:rsidRDefault="002113EA">
          <w:pPr>
            <w:pStyle w:val="TOC1"/>
            <w:rPr>
              <w:rFonts w:asciiTheme="minorHAnsi" w:eastAsiaTheme="minorEastAsia" w:hAnsiTheme="minorHAnsi" w:cstheme="minorBidi"/>
              <w:b w:val="0"/>
              <w:bCs w:val="0"/>
              <w:caps w:val="0"/>
              <w:noProof/>
              <w:sz w:val="24"/>
              <w:szCs w:val="24"/>
              <w:u w:val="none"/>
              <w:rtl/>
              <w:lang w:eastAsia="en-US"/>
            </w:rPr>
          </w:pPr>
          <w:hyperlink w:anchor="_Toc421697041" w:history="1">
            <w:r w:rsidR="00A50C7B" w:rsidRPr="00A50C7B">
              <w:rPr>
                <w:rStyle w:val="Hyperlink"/>
                <w:noProof/>
                <w:sz w:val="24"/>
                <w:szCs w:val="24"/>
                <w:rtl/>
              </w:rPr>
              <w:t xml:space="preserve">2. </w:t>
            </w:r>
            <w:r w:rsidR="00A50C7B" w:rsidRPr="00A50C7B">
              <w:rPr>
                <w:rStyle w:val="Hyperlink"/>
                <w:rFonts w:hint="eastAsia"/>
                <w:noProof/>
                <w:sz w:val="24"/>
                <w:szCs w:val="24"/>
                <w:rtl/>
              </w:rPr>
              <w:t>חקיקה</w:t>
            </w:r>
            <w:r w:rsidR="00A50C7B" w:rsidRPr="00A50C7B">
              <w:rPr>
                <w:rStyle w:val="Hyperlink"/>
                <w:noProof/>
                <w:sz w:val="24"/>
                <w:szCs w:val="24"/>
                <w:rtl/>
              </w:rPr>
              <w:t xml:space="preserve"> </w:t>
            </w:r>
            <w:r w:rsidR="00A50C7B" w:rsidRPr="00A50C7B">
              <w:rPr>
                <w:rStyle w:val="Hyperlink"/>
                <w:rFonts w:hint="eastAsia"/>
                <w:noProof/>
                <w:sz w:val="24"/>
                <w:szCs w:val="24"/>
                <w:rtl/>
              </w:rPr>
              <w:t>בישראל</w:t>
            </w:r>
            <w:r w:rsidR="00A50C7B" w:rsidRPr="00A50C7B">
              <w:rPr>
                <w:rStyle w:val="Hyperlink"/>
                <w:noProof/>
                <w:sz w:val="24"/>
                <w:szCs w:val="24"/>
                <w:rtl/>
              </w:rPr>
              <w:t xml:space="preserve"> </w:t>
            </w:r>
            <w:r w:rsidR="00A50C7B" w:rsidRPr="00A50C7B">
              <w:rPr>
                <w:rStyle w:val="Hyperlink"/>
                <w:rFonts w:hint="eastAsia"/>
                <w:noProof/>
                <w:sz w:val="24"/>
                <w:szCs w:val="24"/>
                <w:rtl/>
              </w:rPr>
              <w:t>בתחום</w:t>
            </w:r>
            <w:r w:rsidR="00A50C7B" w:rsidRPr="00A50C7B">
              <w:rPr>
                <w:rStyle w:val="Hyperlink"/>
                <w:noProof/>
                <w:sz w:val="24"/>
                <w:szCs w:val="24"/>
                <w:rtl/>
              </w:rPr>
              <w:t xml:space="preserve"> </w:t>
            </w:r>
            <w:r w:rsidR="00A50C7B" w:rsidRPr="00A50C7B">
              <w:rPr>
                <w:rStyle w:val="Hyperlink"/>
                <w:rFonts w:hint="eastAsia"/>
                <w:noProof/>
                <w:sz w:val="24"/>
                <w:szCs w:val="24"/>
                <w:rtl/>
              </w:rPr>
              <w:t>הסמים</w:t>
            </w:r>
            <w:r w:rsidR="00A50C7B" w:rsidRPr="00A50C7B">
              <w:rPr>
                <w:rStyle w:val="Hyperlink"/>
                <w:noProof/>
                <w:sz w:val="24"/>
                <w:szCs w:val="24"/>
                <w:rtl/>
              </w:rPr>
              <w:t xml:space="preserve"> </w:t>
            </w:r>
            <w:r w:rsidR="00A50C7B" w:rsidRPr="00A50C7B">
              <w:rPr>
                <w:rStyle w:val="Hyperlink"/>
                <w:rFonts w:hint="eastAsia"/>
                <w:noProof/>
                <w:sz w:val="24"/>
                <w:szCs w:val="24"/>
                <w:rtl/>
              </w:rPr>
              <w:t>והאלכוהול</w:t>
            </w:r>
            <w:r w:rsidR="00A50C7B" w:rsidRPr="00A50C7B">
              <w:rPr>
                <w:noProof/>
                <w:webHidden/>
                <w:sz w:val="24"/>
                <w:szCs w:val="24"/>
                <w:rtl/>
              </w:rPr>
              <w:tab/>
            </w:r>
            <w:r w:rsidR="00A50C7B" w:rsidRPr="00A50C7B">
              <w:rPr>
                <w:noProof/>
                <w:webHidden/>
                <w:sz w:val="24"/>
                <w:szCs w:val="24"/>
                <w:rtl/>
              </w:rPr>
              <w:fldChar w:fldCharType="begin"/>
            </w:r>
            <w:r w:rsidR="00A50C7B" w:rsidRPr="00A50C7B">
              <w:rPr>
                <w:noProof/>
                <w:webHidden/>
                <w:sz w:val="24"/>
                <w:szCs w:val="24"/>
                <w:rtl/>
              </w:rPr>
              <w:instrText xml:space="preserve"> </w:instrText>
            </w:r>
            <w:r w:rsidR="00A50C7B" w:rsidRPr="00A50C7B">
              <w:rPr>
                <w:noProof/>
                <w:webHidden/>
                <w:sz w:val="24"/>
                <w:szCs w:val="24"/>
              </w:rPr>
              <w:instrText>PAGEREF</w:instrText>
            </w:r>
            <w:r w:rsidR="00A50C7B" w:rsidRPr="00A50C7B">
              <w:rPr>
                <w:noProof/>
                <w:webHidden/>
                <w:sz w:val="24"/>
                <w:szCs w:val="24"/>
                <w:rtl/>
              </w:rPr>
              <w:instrText xml:space="preserve"> _</w:instrText>
            </w:r>
            <w:r w:rsidR="00A50C7B" w:rsidRPr="00A50C7B">
              <w:rPr>
                <w:noProof/>
                <w:webHidden/>
                <w:sz w:val="24"/>
                <w:szCs w:val="24"/>
              </w:rPr>
              <w:instrText>Toc421697041 \h</w:instrText>
            </w:r>
            <w:r w:rsidR="00A50C7B" w:rsidRPr="00A50C7B">
              <w:rPr>
                <w:noProof/>
                <w:webHidden/>
                <w:sz w:val="24"/>
                <w:szCs w:val="24"/>
                <w:rtl/>
              </w:rPr>
              <w:instrText xml:space="preserve"> </w:instrText>
            </w:r>
            <w:r w:rsidR="00A50C7B" w:rsidRPr="00A50C7B">
              <w:rPr>
                <w:noProof/>
                <w:webHidden/>
                <w:sz w:val="24"/>
                <w:szCs w:val="24"/>
                <w:rtl/>
              </w:rPr>
            </w:r>
            <w:r w:rsidR="00A50C7B" w:rsidRPr="00A50C7B">
              <w:rPr>
                <w:noProof/>
                <w:webHidden/>
                <w:sz w:val="24"/>
                <w:szCs w:val="24"/>
                <w:rtl/>
              </w:rPr>
              <w:fldChar w:fldCharType="separate"/>
            </w:r>
            <w:r w:rsidR="007347AB">
              <w:rPr>
                <w:noProof/>
                <w:webHidden/>
                <w:sz w:val="24"/>
                <w:szCs w:val="24"/>
                <w:rtl/>
              </w:rPr>
              <w:t>26</w:t>
            </w:r>
            <w:r w:rsidR="00A50C7B" w:rsidRPr="00A50C7B">
              <w:rPr>
                <w:noProof/>
                <w:webHidden/>
                <w:sz w:val="24"/>
                <w:szCs w:val="24"/>
                <w:rtl/>
              </w:rPr>
              <w:fldChar w:fldCharType="end"/>
            </w:r>
          </w:hyperlink>
        </w:p>
        <w:p w:rsidR="00A50C7B" w:rsidRPr="00A50C7B" w:rsidRDefault="002113EA">
          <w:pPr>
            <w:pStyle w:val="TOC2"/>
            <w:rPr>
              <w:rFonts w:asciiTheme="minorHAnsi" w:eastAsiaTheme="minorEastAsia" w:hAnsiTheme="minorHAnsi" w:cstheme="minorBidi"/>
              <w:b w:val="0"/>
              <w:bCs w:val="0"/>
              <w:smallCaps w:val="0"/>
              <w:noProof/>
              <w:sz w:val="24"/>
              <w:szCs w:val="24"/>
              <w:rtl/>
              <w:lang w:eastAsia="en-US"/>
            </w:rPr>
          </w:pPr>
          <w:hyperlink w:anchor="_Toc421697042" w:history="1">
            <w:r w:rsidR="00A50C7B" w:rsidRPr="00A50C7B">
              <w:rPr>
                <w:rStyle w:val="Hyperlink"/>
                <w:noProof/>
                <w:sz w:val="24"/>
                <w:szCs w:val="24"/>
                <w:rtl/>
              </w:rPr>
              <w:t xml:space="preserve">2.1. </w:t>
            </w:r>
            <w:r w:rsidR="00A50C7B" w:rsidRPr="00A50C7B">
              <w:rPr>
                <w:rStyle w:val="Hyperlink"/>
                <w:rFonts w:hint="eastAsia"/>
                <w:noProof/>
                <w:sz w:val="24"/>
                <w:szCs w:val="24"/>
                <w:rtl/>
              </w:rPr>
              <w:t>גופים</w:t>
            </w:r>
            <w:r w:rsidR="00A50C7B" w:rsidRPr="00A50C7B">
              <w:rPr>
                <w:rStyle w:val="Hyperlink"/>
                <w:noProof/>
                <w:sz w:val="24"/>
                <w:szCs w:val="24"/>
                <w:rtl/>
              </w:rPr>
              <w:t xml:space="preserve"> </w:t>
            </w:r>
            <w:r w:rsidR="00A50C7B" w:rsidRPr="00A50C7B">
              <w:rPr>
                <w:rStyle w:val="Hyperlink"/>
                <w:rFonts w:hint="eastAsia"/>
                <w:noProof/>
                <w:sz w:val="24"/>
                <w:szCs w:val="24"/>
                <w:rtl/>
              </w:rPr>
              <w:t>בתחום</w:t>
            </w:r>
            <w:r w:rsidR="00A50C7B" w:rsidRPr="00A50C7B">
              <w:rPr>
                <w:rStyle w:val="Hyperlink"/>
                <w:noProof/>
                <w:sz w:val="24"/>
                <w:szCs w:val="24"/>
                <w:rtl/>
              </w:rPr>
              <w:t xml:space="preserve"> </w:t>
            </w:r>
            <w:r w:rsidR="00A50C7B" w:rsidRPr="00A50C7B">
              <w:rPr>
                <w:rStyle w:val="Hyperlink"/>
                <w:rFonts w:hint="eastAsia"/>
                <w:noProof/>
                <w:sz w:val="24"/>
                <w:szCs w:val="24"/>
                <w:rtl/>
              </w:rPr>
              <w:t>הסמים</w:t>
            </w:r>
            <w:r w:rsidR="00A50C7B" w:rsidRPr="00A50C7B">
              <w:rPr>
                <w:rStyle w:val="Hyperlink"/>
                <w:noProof/>
                <w:sz w:val="24"/>
                <w:szCs w:val="24"/>
                <w:rtl/>
              </w:rPr>
              <w:t xml:space="preserve"> </w:t>
            </w:r>
            <w:r w:rsidR="00A50C7B" w:rsidRPr="00A50C7B">
              <w:rPr>
                <w:rStyle w:val="Hyperlink"/>
                <w:rFonts w:hint="eastAsia"/>
                <w:noProof/>
                <w:sz w:val="24"/>
                <w:szCs w:val="24"/>
                <w:rtl/>
              </w:rPr>
              <w:t>והאלכוהול</w:t>
            </w:r>
            <w:r w:rsidR="00A50C7B" w:rsidRPr="00A50C7B">
              <w:rPr>
                <w:noProof/>
                <w:webHidden/>
                <w:sz w:val="24"/>
                <w:szCs w:val="24"/>
                <w:rtl/>
              </w:rPr>
              <w:tab/>
            </w:r>
            <w:r w:rsidR="00A50C7B" w:rsidRPr="00A50C7B">
              <w:rPr>
                <w:noProof/>
                <w:webHidden/>
                <w:sz w:val="24"/>
                <w:szCs w:val="24"/>
                <w:rtl/>
              </w:rPr>
              <w:fldChar w:fldCharType="begin"/>
            </w:r>
            <w:r w:rsidR="00A50C7B" w:rsidRPr="00A50C7B">
              <w:rPr>
                <w:noProof/>
                <w:webHidden/>
                <w:sz w:val="24"/>
                <w:szCs w:val="24"/>
                <w:rtl/>
              </w:rPr>
              <w:instrText xml:space="preserve"> </w:instrText>
            </w:r>
            <w:r w:rsidR="00A50C7B" w:rsidRPr="00A50C7B">
              <w:rPr>
                <w:noProof/>
                <w:webHidden/>
                <w:sz w:val="24"/>
                <w:szCs w:val="24"/>
              </w:rPr>
              <w:instrText>PAGEREF</w:instrText>
            </w:r>
            <w:r w:rsidR="00A50C7B" w:rsidRPr="00A50C7B">
              <w:rPr>
                <w:noProof/>
                <w:webHidden/>
                <w:sz w:val="24"/>
                <w:szCs w:val="24"/>
                <w:rtl/>
              </w:rPr>
              <w:instrText xml:space="preserve"> _</w:instrText>
            </w:r>
            <w:r w:rsidR="00A50C7B" w:rsidRPr="00A50C7B">
              <w:rPr>
                <w:noProof/>
                <w:webHidden/>
                <w:sz w:val="24"/>
                <w:szCs w:val="24"/>
              </w:rPr>
              <w:instrText>Toc421697042 \h</w:instrText>
            </w:r>
            <w:r w:rsidR="00A50C7B" w:rsidRPr="00A50C7B">
              <w:rPr>
                <w:noProof/>
                <w:webHidden/>
                <w:sz w:val="24"/>
                <w:szCs w:val="24"/>
                <w:rtl/>
              </w:rPr>
              <w:instrText xml:space="preserve"> </w:instrText>
            </w:r>
            <w:r w:rsidR="00A50C7B" w:rsidRPr="00A50C7B">
              <w:rPr>
                <w:noProof/>
                <w:webHidden/>
                <w:sz w:val="24"/>
                <w:szCs w:val="24"/>
                <w:rtl/>
              </w:rPr>
            </w:r>
            <w:r w:rsidR="00A50C7B" w:rsidRPr="00A50C7B">
              <w:rPr>
                <w:noProof/>
                <w:webHidden/>
                <w:sz w:val="24"/>
                <w:szCs w:val="24"/>
                <w:rtl/>
              </w:rPr>
              <w:fldChar w:fldCharType="separate"/>
            </w:r>
            <w:r w:rsidR="007347AB">
              <w:rPr>
                <w:noProof/>
                <w:webHidden/>
                <w:sz w:val="24"/>
                <w:szCs w:val="24"/>
                <w:rtl/>
              </w:rPr>
              <w:t>26</w:t>
            </w:r>
            <w:r w:rsidR="00A50C7B" w:rsidRPr="00A50C7B">
              <w:rPr>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43" w:history="1">
            <w:r w:rsidR="00A50C7B" w:rsidRPr="00A50C7B">
              <w:rPr>
                <w:rStyle w:val="Hyperlink"/>
                <w:b w:val="0"/>
                <w:bCs w:val="0"/>
                <w:noProof/>
                <w:sz w:val="24"/>
                <w:szCs w:val="24"/>
                <w:rtl/>
              </w:rPr>
              <w:t xml:space="preserve">2.1.1. </w:t>
            </w:r>
            <w:r w:rsidR="00A50C7B" w:rsidRPr="00A50C7B">
              <w:rPr>
                <w:rStyle w:val="Hyperlink"/>
                <w:rFonts w:hint="eastAsia"/>
                <w:b w:val="0"/>
                <w:bCs w:val="0"/>
                <w:noProof/>
                <w:sz w:val="24"/>
                <w:szCs w:val="24"/>
                <w:rtl/>
              </w:rPr>
              <w:t>הקמת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הוועדה</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המיוחדת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של</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הכנסת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למאבק</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בנגעי</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הסמים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והאלכוהול</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Toc421697043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26</w:t>
            </w:r>
            <w:r w:rsidR="00A50C7B" w:rsidRPr="00A50C7B">
              <w:rPr>
                <w:b w:val="0"/>
                <w:bCs w:val="0"/>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44" w:history="1">
            <w:r w:rsidR="00A50C7B" w:rsidRPr="00A50C7B">
              <w:rPr>
                <w:rStyle w:val="Hyperlink"/>
                <w:b w:val="0"/>
                <w:bCs w:val="0"/>
                <w:noProof/>
                <w:sz w:val="24"/>
                <w:szCs w:val="24"/>
                <w:rtl/>
              </w:rPr>
              <w:t xml:space="preserve">2.1.2. </w:t>
            </w:r>
            <w:r w:rsidR="00A50C7B" w:rsidRPr="00A50C7B">
              <w:rPr>
                <w:rStyle w:val="Hyperlink"/>
                <w:rFonts w:hint="eastAsia"/>
                <w:b w:val="0"/>
                <w:bCs w:val="0"/>
                <w:noProof/>
                <w:sz w:val="24"/>
                <w:szCs w:val="24"/>
                <w:rtl/>
              </w:rPr>
              <w:t>חוק</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הרשות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הלאומית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למלחמה</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בסמים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ושימוש</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לרעה</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באלכוהול</w:t>
            </w:r>
            <w:r w:rsidR="00A50C7B" w:rsidRPr="00A50C7B">
              <w:rPr>
                <w:rStyle w:val="Hyperlink"/>
                <w:b w:val="0"/>
                <w:bCs w:val="0"/>
                <w:noProof/>
                <w:sz w:val="24"/>
                <w:szCs w:val="24"/>
                <w:rtl/>
              </w:rPr>
              <w:t xml:space="preserve">, </w:t>
            </w:r>
            <w:r w:rsidR="00D12DD4">
              <w:rPr>
                <w:rStyle w:val="Hyperlink"/>
                <w:rFonts w:hint="cs"/>
                <w:b w:val="0"/>
                <w:bCs w:val="0"/>
                <w:noProof/>
                <w:sz w:val="24"/>
                <w:szCs w:val="24"/>
                <w:rtl/>
              </w:rPr>
              <w:t>ה</w:t>
            </w:r>
            <w:r w:rsidR="00A50C7B" w:rsidRPr="00A50C7B">
              <w:rPr>
                <w:rStyle w:val="Hyperlink"/>
                <w:rFonts w:hint="eastAsia"/>
                <w:b w:val="0"/>
                <w:bCs w:val="0"/>
                <w:noProof/>
                <w:sz w:val="24"/>
                <w:szCs w:val="24"/>
                <w:rtl/>
              </w:rPr>
              <w:t>תשמ</w:t>
            </w:r>
            <w:r w:rsidR="00A50C7B" w:rsidRPr="00A50C7B">
              <w:rPr>
                <w:rStyle w:val="Hyperlink"/>
                <w:b w:val="0"/>
                <w:bCs w:val="0"/>
                <w:noProof/>
                <w:sz w:val="24"/>
                <w:szCs w:val="24"/>
                <w:rtl/>
              </w:rPr>
              <w:t>"</w:t>
            </w:r>
            <w:r w:rsidR="00A50C7B" w:rsidRPr="00A50C7B">
              <w:rPr>
                <w:rStyle w:val="Hyperlink"/>
                <w:rFonts w:hint="eastAsia"/>
                <w:b w:val="0"/>
                <w:bCs w:val="0"/>
                <w:noProof/>
                <w:sz w:val="24"/>
                <w:szCs w:val="24"/>
                <w:rtl/>
              </w:rPr>
              <w:t>ח</w:t>
            </w:r>
            <w:r w:rsidR="00A50C7B" w:rsidRPr="00A50C7B">
              <w:rPr>
                <w:rStyle w:val="Hyperlink"/>
                <w:b w:val="0"/>
                <w:bCs w:val="0"/>
                <w:noProof/>
                <w:sz w:val="24"/>
                <w:szCs w:val="24"/>
                <w:rtl/>
              </w:rPr>
              <w:t>-1988</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Toc421697044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26</w:t>
            </w:r>
            <w:r w:rsidR="00A50C7B" w:rsidRPr="00A50C7B">
              <w:rPr>
                <w:b w:val="0"/>
                <w:bCs w:val="0"/>
                <w:noProof/>
                <w:webHidden/>
                <w:sz w:val="24"/>
                <w:szCs w:val="24"/>
                <w:rtl/>
              </w:rPr>
              <w:fldChar w:fldCharType="end"/>
            </w:r>
          </w:hyperlink>
        </w:p>
        <w:p w:rsidR="00A50C7B" w:rsidRPr="00A50C7B" w:rsidRDefault="002113EA">
          <w:pPr>
            <w:pStyle w:val="TOC2"/>
            <w:rPr>
              <w:rFonts w:asciiTheme="minorHAnsi" w:eastAsiaTheme="minorEastAsia" w:hAnsiTheme="minorHAnsi" w:cstheme="minorBidi"/>
              <w:b w:val="0"/>
              <w:bCs w:val="0"/>
              <w:smallCaps w:val="0"/>
              <w:noProof/>
              <w:sz w:val="24"/>
              <w:szCs w:val="24"/>
              <w:rtl/>
              <w:lang w:eastAsia="en-US"/>
            </w:rPr>
          </w:pPr>
          <w:hyperlink w:anchor="_Toc421697045" w:history="1">
            <w:r w:rsidR="00A50C7B" w:rsidRPr="00A50C7B">
              <w:rPr>
                <w:rStyle w:val="Hyperlink"/>
                <w:noProof/>
                <w:sz w:val="24"/>
                <w:szCs w:val="24"/>
                <w:rtl/>
              </w:rPr>
              <w:t xml:space="preserve">2.2. </w:t>
            </w:r>
            <w:r w:rsidR="00A50C7B" w:rsidRPr="00A50C7B">
              <w:rPr>
                <w:rStyle w:val="Hyperlink"/>
                <w:rFonts w:hint="eastAsia"/>
                <w:noProof/>
                <w:sz w:val="24"/>
                <w:szCs w:val="24"/>
                <w:rtl/>
              </w:rPr>
              <w:t>חקיקה</w:t>
            </w:r>
            <w:r w:rsidR="00A50C7B" w:rsidRPr="00A50C7B">
              <w:rPr>
                <w:rStyle w:val="Hyperlink"/>
                <w:noProof/>
                <w:sz w:val="24"/>
                <w:szCs w:val="24"/>
                <w:rtl/>
              </w:rPr>
              <w:t xml:space="preserve"> </w:t>
            </w:r>
            <w:r w:rsidR="00A50C7B" w:rsidRPr="00A50C7B">
              <w:rPr>
                <w:rStyle w:val="Hyperlink"/>
                <w:rFonts w:hint="eastAsia"/>
                <w:noProof/>
                <w:sz w:val="24"/>
                <w:szCs w:val="24"/>
                <w:rtl/>
              </w:rPr>
              <w:t>בתחום</w:t>
            </w:r>
            <w:r w:rsidR="00A50C7B" w:rsidRPr="00A50C7B">
              <w:rPr>
                <w:rStyle w:val="Hyperlink"/>
                <w:noProof/>
                <w:sz w:val="24"/>
                <w:szCs w:val="24"/>
                <w:rtl/>
              </w:rPr>
              <w:t xml:space="preserve"> </w:t>
            </w:r>
            <w:r w:rsidR="00A50C7B" w:rsidRPr="00A50C7B">
              <w:rPr>
                <w:rStyle w:val="Hyperlink"/>
                <w:rFonts w:hint="eastAsia"/>
                <w:noProof/>
                <w:sz w:val="24"/>
                <w:szCs w:val="24"/>
                <w:rtl/>
              </w:rPr>
              <w:t>הסמים</w:t>
            </w:r>
            <w:r w:rsidR="00A50C7B" w:rsidRPr="00A50C7B">
              <w:rPr>
                <w:noProof/>
                <w:webHidden/>
                <w:sz w:val="24"/>
                <w:szCs w:val="24"/>
                <w:rtl/>
              </w:rPr>
              <w:tab/>
            </w:r>
            <w:r w:rsidR="00A50C7B" w:rsidRPr="00A50C7B">
              <w:rPr>
                <w:noProof/>
                <w:webHidden/>
                <w:sz w:val="24"/>
                <w:szCs w:val="24"/>
                <w:rtl/>
              </w:rPr>
              <w:fldChar w:fldCharType="begin"/>
            </w:r>
            <w:r w:rsidR="00A50C7B" w:rsidRPr="00A50C7B">
              <w:rPr>
                <w:noProof/>
                <w:webHidden/>
                <w:sz w:val="24"/>
                <w:szCs w:val="24"/>
                <w:rtl/>
              </w:rPr>
              <w:instrText xml:space="preserve"> </w:instrText>
            </w:r>
            <w:r w:rsidR="00A50C7B" w:rsidRPr="00A50C7B">
              <w:rPr>
                <w:noProof/>
                <w:webHidden/>
                <w:sz w:val="24"/>
                <w:szCs w:val="24"/>
              </w:rPr>
              <w:instrText>PAGEREF</w:instrText>
            </w:r>
            <w:r w:rsidR="00A50C7B" w:rsidRPr="00A50C7B">
              <w:rPr>
                <w:noProof/>
                <w:webHidden/>
                <w:sz w:val="24"/>
                <w:szCs w:val="24"/>
                <w:rtl/>
              </w:rPr>
              <w:instrText xml:space="preserve"> _</w:instrText>
            </w:r>
            <w:r w:rsidR="00A50C7B" w:rsidRPr="00A50C7B">
              <w:rPr>
                <w:noProof/>
                <w:webHidden/>
                <w:sz w:val="24"/>
                <w:szCs w:val="24"/>
              </w:rPr>
              <w:instrText>Toc421697045 \h</w:instrText>
            </w:r>
            <w:r w:rsidR="00A50C7B" w:rsidRPr="00A50C7B">
              <w:rPr>
                <w:noProof/>
                <w:webHidden/>
                <w:sz w:val="24"/>
                <w:szCs w:val="24"/>
                <w:rtl/>
              </w:rPr>
              <w:instrText xml:space="preserve"> </w:instrText>
            </w:r>
            <w:r w:rsidR="00A50C7B" w:rsidRPr="00A50C7B">
              <w:rPr>
                <w:noProof/>
                <w:webHidden/>
                <w:sz w:val="24"/>
                <w:szCs w:val="24"/>
                <w:rtl/>
              </w:rPr>
            </w:r>
            <w:r w:rsidR="00A50C7B" w:rsidRPr="00A50C7B">
              <w:rPr>
                <w:noProof/>
                <w:webHidden/>
                <w:sz w:val="24"/>
                <w:szCs w:val="24"/>
                <w:rtl/>
              </w:rPr>
              <w:fldChar w:fldCharType="separate"/>
            </w:r>
            <w:r w:rsidR="007347AB">
              <w:rPr>
                <w:noProof/>
                <w:webHidden/>
                <w:sz w:val="24"/>
                <w:szCs w:val="24"/>
                <w:rtl/>
              </w:rPr>
              <w:t>27</w:t>
            </w:r>
            <w:r w:rsidR="00A50C7B" w:rsidRPr="00A50C7B">
              <w:rPr>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46" w:history="1">
            <w:r w:rsidR="00A50C7B" w:rsidRPr="00A50C7B">
              <w:rPr>
                <w:rStyle w:val="Hyperlink"/>
                <w:b w:val="0"/>
                <w:bCs w:val="0"/>
                <w:noProof/>
                <w:sz w:val="24"/>
                <w:szCs w:val="24"/>
                <w:rtl/>
              </w:rPr>
              <w:t xml:space="preserve">2.2.1. </w:t>
            </w:r>
            <w:r w:rsidR="00A50C7B" w:rsidRPr="00A50C7B">
              <w:rPr>
                <w:rStyle w:val="Hyperlink"/>
                <w:rFonts w:hint="eastAsia"/>
                <w:b w:val="0"/>
                <w:bCs w:val="0"/>
                <w:noProof/>
                <w:sz w:val="24"/>
                <w:szCs w:val="24"/>
                <w:rtl/>
              </w:rPr>
              <w:t>פקודת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הסמים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המסוכנים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נוסח</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חדש</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התשל</w:t>
            </w:r>
            <w:r w:rsidR="00A50C7B" w:rsidRPr="00A50C7B">
              <w:rPr>
                <w:rStyle w:val="Hyperlink"/>
                <w:b w:val="0"/>
                <w:bCs w:val="0"/>
                <w:noProof/>
                <w:sz w:val="24"/>
                <w:szCs w:val="24"/>
                <w:rtl/>
              </w:rPr>
              <w:t>"</w:t>
            </w:r>
            <w:r w:rsidR="00A50C7B" w:rsidRPr="00A50C7B">
              <w:rPr>
                <w:rStyle w:val="Hyperlink"/>
                <w:rFonts w:hint="eastAsia"/>
                <w:b w:val="0"/>
                <w:bCs w:val="0"/>
                <w:noProof/>
                <w:sz w:val="24"/>
                <w:szCs w:val="24"/>
                <w:rtl/>
              </w:rPr>
              <w:t>ג</w:t>
            </w:r>
            <w:r w:rsidR="00A50C7B" w:rsidRPr="00A50C7B">
              <w:rPr>
                <w:rStyle w:val="Hyperlink"/>
                <w:b w:val="0"/>
                <w:bCs w:val="0"/>
                <w:noProof/>
                <w:sz w:val="24"/>
                <w:szCs w:val="24"/>
                <w:rtl/>
              </w:rPr>
              <w:t>-1973</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Toc421697046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27</w:t>
            </w:r>
            <w:r w:rsidR="00A50C7B" w:rsidRPr="00A50C7B">
              <w:rPr>
                <w:b w:val="0"/>
                <w:bCs w:val="0"/>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47" w:history="1">
            <w:r w:rsidR="00A50C7B" w:rsidRPr="00A50C7B">
              <w:rPr>
                <w:rStyle w:val="Hyperlink"/>
                <w:b w:val="0"/>
                <w:bCs w:val="0"/>
                <w:noProof/>
                <w:sz w:val="24"/>
                <w:szCs w:val="24"/>
                <w:rtl/>
              </w:rPr>
              <w:t xml:space="preserve">2.2.2. </w:t>
            </w:r>
            <w:r w:rsidR="00A50C7B" w:rsidRPr="00A50C7B">
              <w:rPr>
                <w:rStyle w:val="Hyperlink"/>
                <w:rFonts w:hint="eastAsia"/>
                <w:b w:val="0"/>
                <w:bCs w:val="0"/>
                <w:noProof/>
                <w:sz w:val="24"/>
                <w:szCs w:val="24"/>
                <w:rtl/>
              </w:rPr>
              <w:t>חוק</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המאבק</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בתופעת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השימוש</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בחומרים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מְסַכְּניִם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התשע</w:t>
            </w:r>
            <w:r w:rsidR="00A50C7B" w:rsidRPr="00A50C7B">
              <w:rPr>
                <w:rStyle w:val="Hyperlink"/>
                <w:b w:val="0"/>
                <w:bCs w:val="0"/>
                <w:noProof/>
                <w:sz w:val="24"/>
                <w:szCs w:val="24"/>
                <w:rtl/>
              </w:rPr>
              <w:t>"</w:t>
            </w:r>
            <w:r w:rsidR="00A50C7B" w:rsidRPr="00A50C7B">
              <w:rPr>
                <w:rStyle w:val="Hyperlink"/>
                <w:rFonts w:hint="eastAsia"/>
                <w:b w:val="0"/>
                <w:bCs w:val="0"/>
                <w:noProof/>
                <w:sz w:val="24"/>
                <w:szCs w:val="24"/>
                <w:rtl/>
              </w:rPr>
              <w:t>ג</w:t>
            </w:r>
            <w:r w:rsidR="00A50C7B" w:rsidRPr="00A50C7B">
              <w:rPr>
                <w:rStyle w:val="Hyperlink"/>
                <w:b w:val="0"/>
                <w:bCs w:val="0"/>
                <w:noProof/>
                <w:sz w:val="24"/>
                <w:szCs w:val="24"/>
                <w:rtl/>
              </w:rPr>
              <w:t>-2013</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Toc421697047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28</w:t>
            </w:r>
            <w:r w:rsidR="00A50C7B" w:rsidRPr="00A50C7B">
              <w:rPr>
                <w:b w:val="0"/>
                <w:bCs w:val="0"/>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48" w:history="1">
            <w:r w:rsidR="00A50C7B" w:rsidRPr="00A50C7B">
              <w:rPr>
                <w:rStyle w:val="Hyperlink"/>
                <w:b w:val="0"/>
                <w:bCs w:val="0"/>
                <w:noProof/>
                <w:sz w:val="24"/>
                <w:szCs w:val="24"/>
                <w:rtl/>
              </w:rPr>
              <w:t xml:space="preserve">2.2.3. </w:t>
            </w:r>
            <w:r w:rsidR="00A50C7B" w:rsidRPr="00A50C7B">
              <w:rPr>
                <w:rStyle w:val="Hyperlink"/>
                <w:rFonts w:hint="eastAsia"/>
                <w:b w:val="0"/>
                <w:bCs w:val="0"/>
                <w:noProof/>
                <w:sz w:val="24"/>
                <w:szCs w:val="24"/>
                <w:rtl/>
              </w:rPr>
              <w:t>חוק</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הפיקוח</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על</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מוסדות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לטיפול</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במשתמשים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בסמים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התשנ</w:t>
            </w:r>
            <w:r w:rsidR="00A50C7B" w:rsidRPr="00A50C7B">
              <w:rPr>
                <w:rStyle w:val="Hyperlink"/>
                <w:b w:val="0"/>
                <w:bCs w:val="0"/>
                <w:noProof/>
                <w:sz w:val="24"/>
                <w:szCs w:val="24"/>
                <w:rtl/>
              </w:rPr>
              <w:t>"</w:t>
            </w:r>
            <w:r w:rsidR="00A50C7B" w:rsidRPr="00A50C7B">
              <w:rPr>
                <w:rStyle w:val="Hyperlink"/>
                <w:rFonts w:hint="eastAsia"/>
                <w:b w:val="0"/>
                <w:bCs w:val="0"/>
                <w:noProof/>
                <w:sz w:val="24"/>
                <w:szCs w:val="24"/>
                <w:rtl/>
              </w:rPr>
              <w:t>ג</w:t>
            </w:r>
            <w:r w:rsidR="00A50C7B" w:rsidRPr="00A50C7B">
              <w:rPr>
                <w:rStyle w:val="Hyperlink"/>
                <w:b w:val="0"/>
                <w:bCs w:val="0"/>
                <w:noProof/>
                <w:sz w:val="24"/>
                <w:szCs w:val="24"/>
                <w:rtl/>
              </w:rPr>
              <w:t>-1993</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Toc421697048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30</w:t>
            </w:r>
            <w:r w:rsidR="00A50C7B" w:rsidRPr="00A50C7B">
              <w:rPr>
                <w:b w:val="0"/>
                <w:bCs w:val="0"/>
                <w:noProof/>
                <w:webHidden/>
                <w:sz w:val="24"/>
                <w:szCs w:val="24"/>
                <w:rtl/>
              </w:rPr>
              <w:fldChar w:fldCharType="end"/>
            </w:r>
          </w:hyperlink>
        </w:p>
        <w:p w:rsidR="00A50C7B" w:rsidRPr="00A50C7B" w:rsidRDefault="002113EA">
          <w:pPr>
            <w:pStyle w:val="TOC2"/>
            <w:rPr>
              <w:rFonts w:asciiTheme="minorHAnsi" w:eastAsiaTheme="minorEastAsia" w:hAnsiTheme="minorHAnsi" w:cstheme="minorBidi"/>
              <w:b w:val="0"/>
              <w:bCs w:val="0"/>
              <w:smallCaps w:val="0"/>
              <w:noProof/>
              <w:sz w:val="24"/>
              <w:szCs w:val="24"/>
              <w:rtl/>
              <w:lang w:eastAsia="en-US"/>
            </w:rPr>
          </w:pPr>
          <w:hyperlink w:anchor="_Toc421697049" w:history="1">
            <w:r w:rsidR="00A50C7B" w:rsidRPr="00A50C7B">
              <w:rPr>
                <w:rStyle w:val="Hyperlink"/>
                <w:noProof/>
                <w:sz w:val="24"/>
                <w:szCs w:val="24"/>
                <w:rtl/>
              </w:rPr>
              <w:t xml:space="preserve">2.3. </w:t>
            </w:r>
            <w:r w:rsidR="00A50C7B" w:rsidRPr="00A50C7B">
              <w:rPr>
                <w:rStyle w:val="Hyperlink"/>
                <w:rFonts w:hint="eastAsia"/>
                <w:noProof/>
                <w:sz w:val="24"/>
                <w:szCs w:val="24"/>
                <w:rtl/>
              </w:rPr>
              <w:t>חקיקה</w:t>
            </w:r>
            <w:r w:rsidR="00A50C7B" w:rsidRPr="00A50C7B">
              <w:rPr>
                <w:rStyle w:val="Hyperlink"/>
                <w:noProof/>
                <w:sz w:val="24"/>
                <w:szCs w:val="24"/>
                <w:rtl/>
              </w:rPr>
              <w:t xml:space="preserve"> </w:t>
            </w:r>
            <w:r w:rsidR="00A50C7B" w:rsidRPr="00A50C7B">
              <w:rPr>
                <w:rStyle w:val="Hyperlink"/>
                <w:rFonts w:hint="eastAsia"/>
                <w:noProof/>
                <w:sz w:val="24"/>
                <w:szCs w:val="24"/>
                <w:rtl/>
              </w:rPr>
              <w:t>בתחום</w:t>
            </w:r>
            <w:r w:rsidR="00A50C7B" w:rsidRPr="00A50C7B">
              <w:rPr>
                <w:rStyle w:val="Hyperlink"/>
                <w:noProof/>
                <w:sz w:val="24"/>
                <w:szCs w:val="24"/>
                <w:rtl/>
              </w:rPr>
              <w:t xml:space="preserve"> </w:t>
            </w:r>
            <w:r w:rsidR="00A50C7B" w:rsidRPr="00A50C7B">
              <w:rPr>
                <w:rStyle w:val="Hyperlink"/>
                <w:rFonts w:hint="eastAsia"/>
                <w:noProof/>
                <w:sz w:val="24"/>
                <w:szCs w:val="24"/>
                <w:rtl/>
              </w:rPr>
              <w:t>משקאות</w:t>
            </w:r>
            <w:r w:rsidR="00A50C7B" w:rsidRPr="00A50C7B">
              <w:rPr>
                <w:rStyle w:val="Hyperlink"/>
                <w:noProof/>
                <w:sz w:val="24"/>
                <w:szCs w:val="24"/>
                <w:rtl/>
              </w:rPr>
              <w:t xml:space="preserve"> </w:t>
            </w:r>
            <w:r w:rsidR="00A50C7B" w:rsidRPr="00A50C7B">
              <w:rPr>
                <w:rStyle w:val="Hyperlink"/>
                <w:rFonts w:hint="eastAsia"/>
                <w:noProof/>
                <w:sz w:val="24"/>
                <w:szCs w:val="24"/>
                <w:rtl/>
              </w:rPr>
              <w:t>אלכוהוליים</w:t>
            </w:r>
            <w:r w:rsidR="00A50C7B" w:rsidRPr="00A50C7B">
              <w:rPr>
                <w:rStyle w:val="Hyperlink"/>
                <w:noProof/>
                <w:sz w:val="24"/>
                <w:szCs w:val="24"/>
                <w:rtl/>
              </w:rPr>
              <w:t xml:space="preserve"> </w:t>
            </w:r>
            <w:r w:rsidR="00A50C7B" w:rsidRPr="00A50C7B">
              <w:rPr>
                <w:rStyle w:val="Hyperlink"/>
                <w:rFonts w:hint="eastAsia"/>
                <w:noProof/>
                <w:sz w:val="24"/>
                <w:szCs w:val="24"/>
                <w:rtl/>
              </w:rPr>
              <w:t>ושכרות</w:t>
            </w:r>
            <w:r w:rsidR="00A50C7B" w:rsidRPr="00A50C7B">
              <w:rPr>
                <w:noProof/>
                <w:webHidden/>
                <w:sz w:val="24"/>
                <w:szCs w:val="24"/>
                <w:rtl/>
              </w:rPr>
              <w:tab/>
            </w:r>
            <w:r w:rsidR="00A50C7B" w:rsidRPr="00A50C7B">
              <w:rPr>
                <w:noProof/>
                <w:webHidden/>
                <w:sz w:val="24"/>
                <w:szCs w:val="24"/>
                <w:rtl/>
              </w:rPr>
              <w:fldChar w:fldCharType="begin"/>
            </w:r>
            <w:r w:rsidR="00A50C7B" w:rsidRPr="00A50C7B">
              <w:rPr>
                <w:noProof/>
                <w:webHidden/>
                <w:sz w:val="24"/>
                <w:szCs w:val="24"/>
                <w:rtl/>
              </w:rPr>
              <w:instrText xml:space="preserve"> </w:instrText>
            </w:r>
            <w:r w:rsidR="00A50C7B" w:rsidRPr="00A50C7B">
              <w:rPr>
                <w:noProof/>
                <w:webHidden/>
                <w:sz w:val="24"/>
                <w:szCs w:val="24"/>
              </w:rPr>
              <w:instrText>PAGEREF</w:instrText>
            </w:r>
            <w:r w:rsidR="00A50C7B" w:rsidRPr="00A50C7B">
              <w:rPr>
                <w:noProof/>
                <w:webHidden/>
                <w:sz w:val="24"/>
                <w:szCs w:val="24"/>
                <w:rtl/>
              </w:rPr>
              <w:instrText xml:space="preserve"> _</w:instrText>
            </w:r>
            <w:r w:rsidR="00A50C7B" w:rsidRPr="00A50C7B">
              <w:rPr>
                <w:noProof/>
                <w:webHidden/>
                <w:sz w:val="24"/>
                <w:szCs w:val="24"/>
              </w:rPr>
              <w:instrText>Toc421697049 \h</w:instrText>
            </w:r>
            <w:r w:rsidR="00A50C7B" w:rsidRPr="00A50C7B">
              <w:rPr>
                <w:noProof/>
                <w:webHidden/>
                <w:sz w:val="24"/>
                <w:szCs w:val="24"/>
                <w:rtl/>
              </w:rPr>
              <w:instrText xml:space="preserve"> </w:instrText>
            </w:r>
            <w:r w:rsidR="00A50C7B" w:rsidRPr="00A50C7B">
              <w:rPr>
                <w:noProof/>
                <w:webHidden/>
                <w:sz w:val="24"/>
                <w:szCs w:val="24"/>
                <w:rtl/>
              </w:rPr>
            </w:r>
            <w:r w:rsidR="00A50C7B" w:rsidRPr="00A50C7B">
              <w:rPr>
                <w:noProof/>
                <w:webHidden/>
                <w:sz w:val="24"/>
                <w:szCs w:val="24"/>
                <w:rtl/>
              </w:rPr>
              <w:fldChar w:fldCharType="separate"/>
            </w:r>
            <w:r w:rsidR="007347AB">
              <w:rPr>
                <w:noProof/>
                <w:webHidden/>
                <w:sz w:val="24"/>
                <w:szCs w:val="24"/>
                <w:rtl/>
              </w:rPr>
              <w:t>30</w:t>
            </w:r>
            <w:r w:rsidR="00A50C7B" w:rsidRPr="00A50C7B">
              <w:rPr>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50" w:history="1">
            <w:r w:rsidR="00A50C7B" w:rsidRPr="00A50C7B">
              <w:rPr>
                <w:rStyle w:val="Hyperlink"/>
                <w:b w:val="0"/>
                <w:bCs w:val="0"/>
                <w:noProof/>
                <w:sz w:val="24"/>
                <w:szCs w:val="24"/>
                <w:rtl/>
              </w:rPr>
              <w:t xml:space="preserve">2.3.1. </w:t>
            </w:r>
            <w:r w:rsidR="00A50C7B" w:rsidRPr="00A50C7B">
              <w:rPr>
                <w:rStyle w:val="Hyperlink"/>
                <w:rFonts w:hint="eastAsia"/>
                <w:b w:val="0"/>
                <w:bCs w:val="0"/>
                <w:noProof/>
                <w:sz w:val="24"/>
                <w:szCs w:val="24"/>
                <w:rtl/>
              </w:rPr>
              <w:t>חוק</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המאבק</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בתופעת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השכרות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התש</w:t>
            </w:r>
            <w:r w:rsidR="00A50C7B" w:rsidRPr="00A50C7B">
              <w:rPr>
                <w:rStyle w:val="Hyperlink"/>
                <w:b w:val="0"/>
                <w:bCs w:val="0"/>
                <w:noProof/>
                <w:sz w:val="24"/>
                <w:szCs w:val="24"/>
                <w:rtl/>
              </w:rPr>
              <w:t>"</w:t>
            </w:r>
            <w:r w:rsidR="00A50C7B" w:rsidRPr="00A50C7B">
              <w:rPr>
                <w:rStyle w:val="Hyperlink"/>
                <w:rFonts w:hint="eastAsia"/>
                <w:b w:val="0"/>
                <w:bCs w:val="0"/>
                <w:noProof/>
                <w:sz w:val="24"/>
                <w:szCs w:val="24"/>
                <w:rtl/>
              </w:rPr>
              <w:t>ע</w:t>
            </w:r>
            <w:r w:rsidR="00A50C7B" w:rsidRPr="00A50C7B">
              <w:rPr>
                <w:rStyle w:val="Hyperlink"/>
                <w:b w:val="0"/>
                <w:bCs w:val="0"/>
                <w:noProof/>
                <w:sz w:val="24"/>
                <w:szCs w:val="24"/>
                <w:rtl/>
              </w:rPr>
              <w:t>-2010</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Toc421697050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30</w:t>
            </w:r>
            <w:r w:rsidR="00A50C7B" w:rsidRPr="00A50C7B">
              <w:rPr>
                <w:b w:val="0"/>
                <w:bCs w:val="0"/>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51" w:history="1">
            <w:r w:rsidR="00A50C7B" w:rsidRPr="00A50C7B">
              <w:rPr>
                <w:rStyle w:val="Hyperlink"/>
                <w:b w:val="0"/>
                <w:bCs w:val="0"/>
                <w:noProof/>
                <w:sz w:val="24"/>
                <w:szCs w:val="24"/>
                <w:rtl/>
              </w:rPr>
              <w:t xml:space="preserve">2.3.2. </w:t>
            </w:r>
            <w:r w:rsidR="00A50C7B" w:rsidRPr="00A50C7B">
              <w:rPr>
                <w:rStyle w:val="Hyperlink"/>
                <w:rFonts w:hint="eastAsia"/>
                <w:b w:val="0"/>
                <w:bCs w:val="0"/>
                <w:noProof/>
                <w:sz w:val="24"/>
                <w:szCs w:val="24"/>
                <w:rtl/>
              </w:rPr>
              <w:t>חוק</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הגבלת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הפרסומת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והשיווק</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של</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משקאות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אלכוהוליים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התשע</w:t>
            </w:r>
            <w:r w:rsidR="00A50C7B" w:rsidRPr="00A50C7B">
              <w:rPr>
                <w:rStyle w:val="Hyperlink"/>
                <w:b w:val="0"/>
                <w:bCs w:val="0"/>
                <w:noProof/>
                <w:sz w:val="24"/>
                <w:szCs w:val="24"/>
                <w:rtl/>
              </w:rPr>
              <w:t>"</w:t>
            </w:r>
            <w:r w:rsidR="00A50C7B" w:rsidRPr="00A50C7B">
              <w:rPr>
                <w:rStyle w:val="Hyperlink"/>
                <w:rFonts w:hint="eastAsia"/>
                <w:b w:val="0"/>
                <w:bCs w:val="0"/>
                <w:noProof/>
                <w:sz w:val="24"/>
                <w:szCs w:val="24"/>
                <w:rtl/>
              </w:rPr>
              <w:t>ב</w:t>
            </w:r>
            <w:r w:rsidR="00A50C7B" w:rsidRPr="00A50C7B">
              <w:rPr>
                <w:rStyle w:val="Hyperlink"/>
                <w:b w:val="0"/>
                <w:bCs w:val="0"/>
                <w:noProof/>
                <w:sz w:val="24"/>
                <w:szCs w:val="24"/>
                <w:rtl/>
              </w:rPr>
              <w:t>-2012</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Toc421697051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31</w:t>
            </w:r>
            <w:r w:rsidR="00A50C7B" w:rsidRPr="00A50C7B">
              <w:rPr>
                <w:b w:val="0"/>
                <w:bCs w:val="0"/>
                <w:noProof/>
                <w:webHidden/>
                <w:sz w:val="24"/>
                <w:szCs w:val="24"/>
                <w:rtl/>
              </w:rPr>
              <w:fldChar w:fldCharType="end"/>
            </w:r>
          </w:hyperlink>
        </w:p>
        <w:p w:rsidR="00A50C7B" w:rsidRPr="00A50C7B" w:rsidRDefault="002113EA">
          <w:pPr>
            <w:pStyle w:val="TOC2"/>
            <w:rPr>
              <w:rFonts w:asciiTheme="minorHAnsi" w:eastAsiaTheme="minorEastAsia" w:hAnsiTheme="minorHAnsi" w:cstheme="minorBidi"/>
              <w:b w:val="0"/>
              <w:bCs w:val="0"/>
              <w:smallCaps w:val="0"/>
              <w:noProof/>
              <w:sz w:val="24"/>
              <w:szCs w:val="24"/>
              <w:rtl/>
              <w:lang w:eastAsia="en-US"/>
            </w:rPr>
          </w:pPr>
          <w:hyperlink w:anchor="_Toc421697052" w:history="1">
            <w:r w:rsidR="00A50C7B" w:rsidRPr="00A50C7B">
              <w:rPr>
                <w:rStyle w:val="Hyperlink"/>
                <w:noProof/>
                <w:sz w:val="24"/>
                <w:szCs w:val="24"/>
                <w:rtl/>
              </w:rPr>
              <w:t xml:space="preserve">2.4. </w:t>
            </w:r>
            <w:r w:rsidR="00A50C7B" w:rsidRPr="00A50C7B">
              <w:rPr>
                <w:rStyle w:val="Hyperlink"/>
                <w:rFonts w:hint="eastAsia"/>
                <w:noProof/>
                <w:sz w:val="24"/>
                <w:szCs w:val="24"/>
                <w:rtl/>
              </w:rPr>
              <w:t>חקיקה</w:t>
            </w:r>
            <w:r w:rsidR="00A50C7B" w:rsidRPr="00A50C7B">
              <w:rPr>
                <w:rStyle w:val="Hyperlink"/>
                <w:noProof/>
                <w:sz w:val="24"/>
                <w:szCs w:val="24"/>
                <w:rtl/>
              </w:rPr>
              <w:t xml:space="preserve"> </w:t>
            </w:r>
            <w:r w:rsidR="00A50C7B" w:rsidRPr="00A50C7B">
              <w:rPr>
                <w:rStyle w:val="Hyperlink"/>
                <w:rFonts w:hint="eastAsia"/>
                <w:noProof/>
                <w:sz w:val="24"/>
                <w:szCs w:val="24"/>
                <w:rtl/>
              </w:rPr>
              <w:t>נוספת</w:t>
            </w:r>
            <w:r w:rsidR="00A50C7B" w:rsidRPr="00A50C7B">
              <w:rPr>
                <w:rStyle w:val="Hyperlink"/>
                <w:noProof/>
                <w:sz w:val="24"/>
                <w:szCs w:val="24"/>
                <w:rtl/>
              </w:rPr>
              <w:t xml:space="preserve"> </w:t>
            </w:r>
            <w:r w:rsidR="00A50C7B" w:rsidRPr="00A50C7B">
              <w:rPr>
                <w:rStyle w:val="Hyperlink"/>
                <w:rFonts w:hint="eastAsia"/>
                <w:noProof/>
                <w:sz w:val="24"/>
                <w:szCs w:val="24"/>
                <w:rtl/>
              </w:rPr>
              <w:t>בתחום</w:t>
            </w:r>
            <w:r w:rsidR="00A50C7B" w:rsidRPr="00A50C7B">
              <w:rPr>
                <w:rStyle w:val="Hyperlink"/>
                <w:noProof/>
                <w:sz w:val="24"/>
                <w:szCs w:val="24"/>
                <w:rtl/>
              </w:rPr>
              <w:t xml:space="preserve"> </w:t>
            </w:r>
            <w:r w:rsidR="00A50C7B" w:rsidRPr="00A50C7B">
              <w:rPr>
                <w:rStyle w:val="Hyperlink"/>
                <w:rFonts w:hint="eastAsia"/>
                <w:noProof/>
                <w:sz w:val="24"/>
                <w:szCs w:val="24"/>
                <w:rtl/>
              </w:rPr>
              <w:t>הסמים</w:t>
            </w:r>
            <w:r w:rsidR="00A50C7B" w:rsidRPr="00A50C7B">
              <w:rPr>
                <w:rStyle w:val="Hyperlink"/>
                <w:noProof/>
                <w:sz w:val="24"/>
                <w:szCs w:val="24"/>
                <w:rtl/>
              </w:rPr>
              <w:t xml:space="preserve"> </w:t>
            </w:r>
            <w:r w:rsidR="00A50C7B" w:rsidRPr="00A50C7B">
              <w:rPr>
                <w:rStyle w:val="Hyperlink"/>
                <w:rFonts w:hint="eastAsia"/>
                <w:noProof/>
                <w:sz w:val="24"/>
                <w:szCs w:val="24"/>
                <w:rtl/>
              </w:rPr>
              <w:t>והאלכוהול</w:t>
            </w:r>
            <w:r w:rsidR="00A50C7B" w:rsidRPr="00A50C7B">
              <w:rPr>
                <w:rStyle w:val="Hyperlink"/>
                <w:noProof/>
                <w:sz w:val="24"/>
                <w:szCs w:val="24"/>
                <w:rtl/>
              </w:rPr>
              <w:t xml:space="preserve"> </w:t>
            </w:r>
            <w:r w:rsidR="00A50C7B" w:rsidRPr="00A50C7B">
              <w:rPr>
                <w:rStyle w:val="Hyperlink"/>
                <w:rFonts w:hint="eastAsia"/>
                <w:noProof/>
                <w:sz w:val="24"/>
                <w:szCs w:val="24"/>
                <w:rtl/>
              </w:rPr>
              <w:t>בישראל</w:t>
            </w:r>
            <w:r w:rsidR="00A50C7B" w:rsidRPr="00A50C7B">
              <w:rPr>
                <w:noProof/>
                <w:webHidden/>
                <w:sz w:val="24"/>
                <w:szCs w:val="24"/>
                <w:rtl/>
              </w:rPr>
              <w:tab/>
            </w:r>
            <w:r w:rsidR="00A50C7B" w:rsidRPr="00A50C7B">
              <w:rPr>
                <w:noProof/>
                <w:webHidden/>
                <w:sz w:val="24"/>
                <w:szCs w:val="24"/>
                <w:rtl/>
              </w:rPr>
              <w:fldChar w:fldCharType="begin"/>
            </w:r>
            <w:r w:rsidR="00A50C7B" w:rsidRPr="00A50C7B">
              <w:rPr>
                <w:noProof/>
                <w:webHidden/>
                <w:sz w:val="24"/>
                <w:szCs w:val="24"/>
                <w:rtl/>
              </w:rPr>
              <w:instrText xml:space="preserve"> </w:instrText>
            </w:r>
            <w:r w:rsidR="00A50C7B" w:rsidRPr="00A50C7B">
              <w:rPr>
                <w:noProof/>
                <w:webHidden/>
                <w:sz w:val="24"/>
                <w:szCs w:val="24"/>
              </w:rPr>
              <w:instrText>PAGEREF</w:instrText>
            </w:r>
            <w:r w:rsidR="00A50C7B" w:rsidRPr="00A50C7B">
              <w:rPr>
                <w:noProof/>
                <w:webHidden/>
                <w:sz w:val="24"/>
                <w:szCs w:val="24"/>
                <w:rtl/>
              </w:rPr>
              <w:instrText xml:space="preserve"> _</w:instrText>
            </w:r>
            <w:r w:rsidR="00A50C7B" w:rsidRPr="00A50C7B">
              <w:rPr>
                <w:noProof/>
                <w:webHidden/>
                <w:sz w:val="24"/>
                <w:szCs w:val="24"/>
              </w:rPr>
              <w:instrText>Toc421697052 \h</w:instrText>
            </w:r>
            <w:r w:rsidR="00A50C7B" w:rsidRPr="00A50C7B">
              <w:rPr>
                <w:noProof/>
                <w:webHidden/>
                <w:sz w:val="24"/>
                <w:szCs w:val="24"/>
                <w:rtl/>
              </w:rPr>
              <w:instrText xml:space="preserve"> </w:instrText>
            </w:r>
            <w:r w:rsidR="00A50C7B" w:rsidRPr="00A50C7B">
              <w:rPr>
                <w:noProof/>
                <w:webHidden/>
                <w:sz w:val="24"/>
                <w:szCs w:val="24"/>
                <w:rtl/>
              </w:rPr>
            </w:r>
            <w:r w:rsidR="00A50C7B" w:rsidRPr="00A50C7B">
              <w:rPr>
                <w:noProof/>
                <w:webHidden/>
                <w:sz w:val="24"/>
                <w:szCs w:val="24"/>
                <w:rtl/>
              </w:rPr>
              <w:fldChar w:fldCharType="separate"/>
            </w:r>
            <w:r w:rsidR="007347AB">
              <w:rPr>
                <w:noProof/>
                <w:webHidden/>
                <w:sz w:val="24"/>
                <w:szCs w:val="24"/>
                <w:rtl/>
              </w:rPr>
              <w:t>31</w:t>
            </w:r>
            <w:r w:rsidR="00A50C7B" w:rsidRPr="00A50C7B">
              <w:rPr>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53" w:history="1">
            <w:r w:rsidR="00A50C7B" w:rsidRPr="00A50C7B">
              <w:rPr>
                <w:rStyle w:val="Hyperlink"/>
                <w:b w:val="0"/>
                <w:bCs w:val="0"/>
                <w:noProof/>
                <w:sz w:val="24"/>
                <w:szCs w:val="24"/>
                <w:rtl/>
              </w:rPr>
              <w:t xml:space="preserve">2.4.1. </w:t>
            </w:r>
            <w:r w:rsidR="00A50C7B" w:rsidRPr="00A50C7B">
              <w:rPr>
                <w:rStyle w:val="Hyperlink"/>
                <w:rFonts w:hint="eastAsia"/>
                <w:b w:val="0"/>
                <w:bCs w:val="0"/>
                <w:noProof/>
                <w:sz w:val="24"/>
                <w:szCs w:val="24"/>
                <w:rtl/>
              </w:rPr>
              <w:t>חוק</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העונשין</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התשל</w:t>
            </w:r>
            <w:r w:rsidR="00A50C7B" w:rsidRPr="00A50C7B">
              <w:rPr>
                <w:rStyle w:val="Hyperlink"/>
                <w:b w:val="0"/>
                <w:bCs w:val="0"/>
                <w:noProof/>
                <w:sz w:val="24"/>
                <w:szCs w:val="24"/>
                <w:rtl/>
              </w:rPr>
              <w:t>"</w:t>
            </w:r>
            <w:r w:rsidR="00A50C7B" w:rsidRPr="00A50C7B">
              <w:rPr>
                <w:rStyle w:val="Hyperlink"/>
                <w:rFonts w:hint="eastAsia"/>
                <w:b w:val="0"/>
                <w:bCs w:val="0"/>
                <w:noProof/>
                <w:sz w:val="24"/>
                <w:szCs w:val="24"/>
                <w:rtl/>
              </w:rPr>
              <w:t>ז</w:t>
            </w:r>
            <w:r w:rsidR="00A50C7B" w:rsidRPr="00A50C7B">
              <w:rPr>
                <w:rStyle w:val="Hyperlink"/>
                <w:b w:val="0"/>
                <w:bCs w:val="0"/>
                <w:noProof/>
                <w:sz w:val="24"/>
                <w:szCs w:val="24"/>
                <w:rtl/>
              </w:rPr>
              <w:t>-1977</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Toc421697053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32</w:t>
            </w:r>
            <w:r w:rsidR="00A50C7B" w:rsidRPr="00A50C7B">
              <w:rPr>
                <w:b w:val="0"/>
                <w:bCs w:val="0"/>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54" w:history="1">
            <w:r w:rsidR="00A50C7B" w:rsidRPr="00A50C7B">
              <w:rPr>
                <w:rStyle w:val="Hyperlink"/>
                <w:b w:val="0"/>
                <w:bCs w:val="0"/>
                <w:noProof/>
                <w:sz w:val="24"/>
                <w:szCs w:val="24"/>
                <w:rtl/>
              </w:rPr>
              <w:t xml:space="preserve">2.4.2. </w:t>
            </w:r>
            <w:r w:rsidR="00A50C7B" w:rsidRPr="00A50C7B">
              <w:rPr>
                <w:rStyle w:val="Hyperlink"/>
                <w:rFonts w:hint="eastAsia"/>
                <w:b w:val="0"/>
                <w:bCs w:val="0"/>
                <w:noProof/>
                <w:sz w:val="24"/>
                <w:szCs w:val="24"/>
                <w:rtl/>
              </w:rPr>
              <w:t>פקודת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העיריות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נוסח</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חדש</w:t>
            </w:r>
            <w:r w:rsidR="00A50C7B" w:rsidRPr="00A50C7B">
              <w:rPr>
                <w:rStyle w:val="Hyperlink"/>
                <w:b w:val="0"/>
                <w:bCs w:val="0"/>
                <w:noProof/>
                <w:sz w:val="24"/>
                <w:szCs w:val="24"/>
                <w:rtl/>
              </w:rPr>
              <w:t>]</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Toc421697054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32</w:t>
            </w:r>
            <w:r w:rsidR="00A50C7B" w:rsidRPr="00A50C7B">
              <w:rPr>
                <w:b w:val="0"/>
                <w:bCs w:val="0"/>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55" w:history="1">
            <w:r w:rsidR="00A50C7B" w:rsidRPr="00A50C7B">
              <w:rPr>
                <w:rStyle w:val="Hyperlink"/>
                <w:b w:val="0"/>
                <w:bCs w:val="0"/>
                <w:noProof/>
                <w:sz w:val="24"/>
                <w:szCs w:val="24"/>
                <w:rtl/>
              </w:rPr>
              <w:t xml:space="preserve">2.4.3. </w:t>
            </w:r>
            <w:r w:rsidR="00A50C7B" w:rsidRPr="00A50C7B">
              <w:rPr>
                <w:rStyle w:val="Hyperlink"/>
                <w:rFonts w:hint="eastAsia"/>
                <w:b w:val="0"/>
                <w:bCs w:val="0"/>
                <w:noProof/>
                <w:sz w:val="24"/>
                <w:szCs w:val="24"/>
                <w:rtl/>
              </w:rPr>
              <w:t>פקודת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התעבורה</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נוסח</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חדש</w:t>
            </w:r>
            <w:r w:rsidR="00A50C7B" w:rsidRPr="00A50C7B">
              <w:rPr>
                <w:rStyle w:val="Hyperlink"/>
                <w:b w:val="0"/>
                <w:bCs w:val="0"/>
                <w:noProof/>
                <w:sz w:val="24"/>
                <w:szCs w:val="24"/>
                <w:rtl/>
              </w:rPr>
              <w:t>]</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Toc421697055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32</w:t>
            </w:r>
            <w:r w:rsidR="00A50C7B" w:rsidRPr="00A50C7B">
              <w:rPr>
                <w:b w:val="0"/>
                <w:bCs w:val="0"/>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56" w:history="1">
            <w:r w:rsidR="00A50C7B" w:rsidRPr="00A50C7B">
              <w:rPr>
                <w:rStyle w:val="Hyperlink"/>
                <w:b w:val="0"/>
                <w:bCs w:val="0"/>
                <w:noProof/>
                <w:sz w:val="24"/>
                <w:szCs w:val="24"/>
                <w:rtl/>
              </w:rPr>
              <w:t xml:space="preserve">2.4.4. </w:t>
            </w:r>
            <w:r w:rsidR="00A50C7B" w:rsidRPr="00A50C7B">
              <w:rPr>
                <w:rStyle w:val="Hyperlink"/>
                <w:rFonts w:hint="eastAsia"/>
                <w:b w:val="0"/>
                <w:bCs w:val="0"/>
                <w:noProof/>
                <w:sz w:val="24"/>
                <w:szCs w:val="24"/>
                <w:rtl/>
              </w:rPr>
              <w:t>חוק</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המרשם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הפלילי</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ותקנת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השבים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התשמ</w:t>
            </w:r>
            <w:r w:rsidR="00A50C7B" w:rsidRPr="00A50C7B">
              <w:rPr>
                <w:rStyle w:val="Hyperlink"/>
                <w:b w:val="0"/>
                <w:bCs w:val="0"/>
                <w:noProof/>
                <w:sz w:val="24"/>
                <w:szCs w:val="24"/>
                <w:rtl/>
              </w:rPr>
              <w:t>"</w:t>
            </w:r>
            <w:r w:rsidR="00A50C7B" w:rsidRPr="00A50C7B">
              <w:rPr>
                <w:rStyle w:val="Hyperlink"/>
                <w:rFonts w:hint="eastAsia"/>
                <w:b w:val="0"/>
                <w:bCs w:val="0"/>
                <w:noProof/>
                <w:sz w:val="24"/>
                <w:szCs w:val="24"/>
                <w:rtl/>
              </w:rPr>
              <w:t>א</w:t>
            </w:r>
            <w:r w:rsidR="00A50C7B" w:rsidRPr="00A50C7B">
              <w:rPr>
                <w:rStyle w:val="Hyperlink"/>
                <w:b w:val="0"/>
                <w:bCs w:val="0"/>
                <w:noProof/>
                <w:sz w:val="24"/>
                <w:szCs w:val="24"/>
                <w:rtl/>
              </w:rPr>
              <w:t>-1981</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Toc421697056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33</w:t>
            </w:r>
            <w:r w:rsidR="00A50C7B" w:rsidRPr="00A50C7B">
              <w:rPr>
                <w:b w:val="0"/>
                <w:bCs w:val="0"/>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57" w:history="1">
            <w:r w:rsidR="00A50C7B" w:rsidRPr="00A50C7B">
              <w:rPr>
                <w:rStyle w:val="Hyperlink"/>
                <w:b w:val="0"/>
                <w:bCs w:val="0"/>
                <w:noProof/>
                <w:sz w:val="24"/>
                <w:szCs w:val="24"/>
                <w:rtl/>
              </w:rPr>
              <w:t xml:space="preserve">2.4.5. </w:t>
            </w:r>
            <w:r w:rsidR="00A50C7B" w:rsidRPr="00A50C7B">
              <w:rPr>
                <w:rStyle w:val="Hyperlink"/>
                <w:rFonts w:hint="eastAsia"/>
                <w:b w:val="0"/>
                <w:bCs w:val="0"/>
                <w:noProof/>
                <w:sz w:val="24"/>
                <w:szCs w:val="24"/>
                <w:rtl/>
              </w:rPr>
              <w:t>פקודת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הרוקחים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נוסח</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חדש</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התשמ</w:t>
            </w:r>
            <w:r w:rsidR="00A50C7B" w:rsidRPr="00A50C7B">
              <w:rPr>
                <w:rStyle w:val="Hyperlink"/>
                <w:b w:val="0"/>
                <w:bCs w:val="0"/>
                <w:noProof/>
                <w:sz w:val="24"/>
                <w:szCs w:val="24"/>
                <w:rtl/>
              </w:rPr>
              <w:t>"</w:t>
            </w:r>
            <w:r w:rsidR="00A50C7B" w:rsidRPr="00A50C7B">
              <w:rPr>
                <w:rStyle w:val="Hyperlink"/>
                <w:rFonts w:hint="eastAsia"/>
                <w:b w:val="0"/>
                <w:bCs w:val="0"/>
                <w:noProof/>
                <w:sz w:val="24"/>
                <w:szCs w:val="24"/>
                <w:rtl/>
              </w:rPr>
              <w:t>א</w:t>
            </w:r>
            <w:r w:rsidR="00A50C7B" w:rsidRPr="00A50C7B">
              <w:rPr>
                <w:rStyle w:val="Hyperlink"/>
                <w:b w:val="0"/>
                <w:bCs w:val="0"/>
                <w:noProof/>
                <w:sz w:val="24"/>
                <w:szCs w:val="24"/>
                <w:rtl/>
              </w:rPr>
              <w:t>-1981</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Toc421697057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33</w:t>
            </w:r>
            <w:r w:rsidR="00A50C7B" w:rsidRPr="00A50C7B">
              <w:rPr>
                <w:b w:val="0"/>
                <w:bCs w:val="0"/>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58" w:history="1">
            <w:r w:rsidR="00A50C7B" w:rsidRPr="00A50C7B">
              <w:rPr>
                <w:rStyle w:val="Hyperlink"/>
                <w:b w:val="0"/>
                <w:bCs w:val="0"/>
                <w:noProof/>
                <w:sz w:val="24"/>
                <w:szCs w:val="24"/>
                <w:rtl/>
              </w:rPr>
              <w:t xml:space="preserve">2.4.6. </w:t>
            </w:r>
            <w:r w:rsidR="00A50C7B" w:rsidRPr="00A50C7B">
              <w:rPr>
                <w:rStyle w:val="Hyperlink"/>
                <w:rFonts w:hint="eastAsia"/>
                <w:b w:val="0"/>
                <w:bCs w:val="0"/>
                <w:noProof/>
                <w:sz w:val="24"/>
                <w:szCs w:val="24"/>
                <w:rtl/>
              </w:rPr>
              <w:t>חוק</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רישוי</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עסקים</w:t>
            </w:r>
            <w:r w:rsidR="00A50C7B" w:rsidRPr="00A50C7B">
              <w:rPr>
                <w:rStyle w:val="Hyperlink"/>
                <w:b w:val="0"/>
                <w:bCs w:val="0"/>
                <w:noProof/>
                <w:sz w:val="24"/>
                <w:szCs w:val="24"/>
                <w:rtl/>
              </w:rPr>
              <w:t xml:space="preserve">, </w:t>
            </w:r>
            <w:r w:rsidR="003F3A67">
              <w:rPr>
                <w:rStyle w:val="Hyperlink"/>
                <w:rFonts w:hint="cs"/>
                <w:b w:val="0"/>
                <w:bCs w:val="0"/>
                <w:noProof/>
                <w:sz w:val="24"/>
                <w:szCs w:val="24"/>
                <w:rtl/>
              </w:rPr>
              <w:t>ה</w:t>
            </w:r>
            <w:r w:rsidR="00A50C7B" w:rsidRPr="00A50C7B">
              <w:rPr>
                <w:rStyle w:val="Hyperlink"/>
                <w:rFonts w:hint="eastAsia"/>
                <w:b w:val="0"/>
                <w:bCs w:val="0"/>
                <w:noProof/>
                <w:sz w:val="24"/>
                <w:szCs w:val="24"/>
                <w:rtl/>
              </w:rPr>
              <w:t>תשכ</w:t>
            </w:r>
            <w:r w:rsidR="00A50C7B" w:rsidRPr="00A50C7B">
              <w:rPr>
                <w:rStyle w:val="Hyperlink"/>
                <w:b w:val="0"/>
                <w:bCs w:val="0"/>
                <w:noProof/>
                <w:sz w:val="24"/>
                <w:szCs w:val="24"/>
                <w:rtl/>
              </w:rPr>
              <w:t>"</w:t>
            </w:r>
            <w:r w:rsidR="00A50C7B" w:rsidRPr="00A50C7B">
              <w:rPr>
                <w:rStyle w:val="Hyperlink"/>
                <w:rFonts w:hint="eastAsia"/>
                <w:b w:val="0"/>
                <w:bCs w:val="0"/>
                <w:noProof/>
                <w:sz w:val="24"/>
                <w:szCs w:val="24"/>
                <w:rtl/>
              </w:rPr>
              <w:t>ח</w:t>
            </w:r>
            <w:r w:rsidR="00A50C7B" w:rsidRPr="00A50C7B">
              <w:rPr>
                <w:rStyle w:val="Hyperlink"/>
                <w:b w:val="0"/>
                <w:bCs w:val="0"/>
                <w:noProof/>
                <w:sz w:val="24"/>
                <w:szCs w:val="24"/>
                <w:rtl/>
              </w:rPr>
              <w:t>-1968</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Toc421697058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33</w:t>
            </w:r>
            <w:r w:rsidR="00A50C7B" w:rsidRPr="00A50C7B">
              <w:rPr>
                <w:b w:val="0"/>
                <w:bCs w:val="0"/>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59" w:history="1">
            <w:r w:rsidR="00A50C7B" w:rsidRPr="00A50C7B">
              <w:rPr>
                <w:rStyle w:val="Hyperlink"/>
                <w:b w:val="0"/>
                <w:bCs w:val="0"/>
                <w:noProof/>
                <w:sz w:val="24"/>
                <w:szCs w:val="24"/>
                <w:rtl/>
              </w:rPr>
              <w:t xml:space="preserve">2.4.7. </w:t>
            </w:r>
            <w:r w:rsidR="00A50C7B" w:rsidRPr="00A50C7B">
              <w:rPr>
                <w:rStyle w:val="Hyperlink"/>
                <w:rFonts w:hint="eastAsia"/>
                <w:b w:val="0"/>
                <w:bCs w:val="0"/>
                <w:noProof/>
                <w:sz w:val="24"/>
                <w:szCs w:val="24"/>
                <w:rtl/>
              </w:rPr>
              <w:t>תקנות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משרד</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האוצר</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מס</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קניה</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Toc421697059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33</w:t>
            </w:r>
            <w:r w:rsidR="00A50C7B" w:rsidRPr="00A50C7B">
              <w:rPr>
                <w:b w:val="0"/>
                <w:bCs w:val="0"/>
                <w:noProof/>
                <w:webHidden/>
                <w:sz w:val="24"/>
                <w:szCs w:val="24"/>
                <w:rtl/>
              </w:rPr>
              <w:fldChar w:fldCharType="end"/>
            </w:r>
          </w:hyperlink>
        </w:p>
        <w:p w:rsidR="00A50C7B" w:rsidRPr="00A50C7B" w:rsidRDefault="002113EA">
          <w:pPr>
            <w:pStyle w:val="TOC1"/>
            <w:rPr>
              <w:rFonts w:asciiTheme="minorHAnsi" w:eastAsiaTheme="minorEastAsia" w:hAnsiTheme="minorHAnsi" w:cstheme="minorBidi"/>
              <w:b w:val="0"/>
              <w:bCs w:val="0"/>
              <w:caps w:val="0"/>
              <w:noProof/>
              <w:sz w:val="24"/>
              <w:szCs w:val="24"/>
              <w:u w:val="none"/>
              <w:rtl/>
              <w:lang w:eastAsia="en-US"/>
            </w:rPr>
          </w:pPr>
          <w:hyperlink w:anchor="_Toc421697060" w:history="1">
            <w:r w:rsidR="00A50C7B" w:rsidRPr="00A50C7B">
              <w:rPr>
                <w:rStyle w:val="Hyperlink"/>
                <w:noProof/>
                <w:sz w:val="24"/>
                <w:szCs w:val="24"/>
                <w:rtl/>
              </w:rPr>
              <w:t xml:space="preserve">3. </w:t>
            </w:r>
            <w:r w:rsidR="00A50C7B" w:rsidRPr="00A50C7B">
              <w:rPr>
                <w:rStyle w:val="Hyperlink"/>
                <w:rFonts w:hint="eastAsia"/>
                <w:noProof/>
                <w:sz w:val="24"/>
                <w:szCs w:val="24"/>
                <w:rtl/>
              </w:rPr>
              <w:t>גופי</w:t>
            </w:r>
            <w:r w:rsidR="00A50C7B" w:rsidRPr="00A50C7B">
              <w:rPr>
                <w:rStyle w:val="Hyperlink"/>
                <w:noProof/>
                <w:sz w:val="24"/>
                <w:szCs w:val="24"/>
                <w:rtl/>
              </w:rPr>
              <w:t xml:space="preserve"> </w:t>
            </w:r>
            <w:r w:rsidR="00A50C7B" w:rsidRPr="00A50C7B">
              <w:rPr>
                <w:rStyle w:val="Hyperlink"/>
                <w:rFonts w:hint="eastAsia"/>
                <w:noProof/>
                <w:sz w:val="24"/>
                <w:szCs w:val="24"/>
                <w:rtl/>
              </w:rPr>
              <w:t>המדינה</w:t>
            </w:r>
            <w:r w:rsidR="00A50C7B" w:rsidRPr="00A50C7B">
              <w:rPr>
                <w:rStyle w:val="Hyperlink"/>
                <w:noProof/>
                <w:sz w:val="24"/>
                <w:szCs w:val="24"/>
                <w:rtl/>
              </w:rPr>
              <w:t xml:space="preserve"> </w:t>
            </w:r>
            <w:r w:rsidR="00A50C7B" w:rsidRPr="00A50C7B">
              <w:rPr>
                <w:rStyle w:val="Hyperlink"/>
                <w:rFonts w:hint="eastAsia"/>
                <w:noProof/>
                <w:sz w:val="24"/>
                <w:szCs w:val="24"/>
                <w:rtl/>
              </w:rPr>
              <w:t>העוסקים</w:t>
            </w:r>
            <w:r w:rsidR="00A50C7B" w:rsidRPr="00A50C7B">
              <w:rPr>
                <w:rStyle w:val="Hyperlink"/>
                <w:noProof/>
                <w:sz w:val="24"/>
                <w:szCs w:val="24"/>
                <w:rtl/>
              </w:rPr>
              <w:t xml:space="preserve"> </w:t>
            </w:r>
            <w:r w:rsidR="00A50C7B" w:rsidRPr="00A50C7B">
              <w:rPr>
                <w:rStyle w:val="Hyperlink"/>
                <w:rFonts w:hint="eastAsia"/>
                <w:noProof/>
                <w:sz w:val="24"/>
                <w:szCs w:val="24"/>
                <w:rtl/>
              </w:rPr>
              <w:t>בסמים</w:t>
            </w:r>
            <w:r w:rsidR="00A50C7B" w:rsidRPr="00A50C7B">
              <w:rPr>
                <w:rStyle w:val="Hyperlink"/>
                <w:noProof/>
                <w:sz w:val="24"/>
                <w:szCs w:val="24"/>
                <w:rtl/>
              </w:rPr>
              <w:t xml:space="preserve"> </w:t>
            </w:r>
            <w:r w:rsidR="00A50C7B" w:rsidRPr="00A50C7B">
              <w:rPr>
                <w:rStyle w:val="Hyperlink"/>
                <w:rFonts w:hint="eastAsia"/>
                <w:noProof/>
                <w:sz w:val="24"/>
                <w:szCs w:val="24"/>
                <w:rtl/>
              </w:rPr>
              <w:t>ובאלכוהול</w:t>
            </w:r>
            <w:r w:rsidR="00A50C7B" w:rsidRPr="00A50C7B">
              <w:rPr>
                <w:rStyle w:val="Hyperlink"/>
                <w:noProof/>
                <w:sz w:val="24"/>
                <w:szCs w:val="24"/>
                <w:rtl/>
              </w:rPr>
              <w:t xml:space="preserve">: </w:t>
            </w:r>
            <w:r w:rsidR="00A50C7B" w:rsidRPr="00A50C7B">
              <w:rPr>
                <w:rStyle w:val="Hyperlink"/>
                <w:rFonts w:hint="eastAsia"/>
                <w:noProof/>
                <w:sz w:val="24"/>
                <w:szCs w:val="24"/>
                <w:rtl/>
              </w:rPr>
              <w:t>עיקרי</w:t>
            </w:r>
            <w:r w:rsidR="00A50C7B" w:rsidRPr="00A50C7B">
              <w:rPr>
                <w:rStyle w:val="Hyperlink"/>
                <w:noProof/>
                <w:sz w:val="24"/>
                <w:szCs w:val="24"/>
                <w:rtl/>
              </w:rPr>
              <w:t xml:space="preserve"> </w:t>
            </w:r>
            <w:r w:rsidR="00A50C7B" w:rsidRPr="00A50C7B">
              <w:rPr>
                <w:rStyle w:val="Hyperlink"/>
                <w:rFonts w:hint="eastAsia"/>
                <w:noProof/>
                <w:sz w:val="24"/>
                <w:szCs w:val="24"/>
                <w:rtl/>
              </w:rPr>
              <w:t>פעילות</w:t>
            </w:r>
            <w:r w:rsidR="00A50C7B" w:rsidRPr="00A50C7B">
              <w:rPr>
                <w:noProof/>
                <w:webHidden/>
                <w:sz w:val="24"/>
                <w:szCs w:val="24"/>
                <w:rtl/>
              </w:rPr>
              <w:tab/>
            </w:r>
            <w:r w:rsidR="00A50C7B" w:rsidRPr="00A50C7B">
              <w:rPr>
                <w:noProof/>
                <w:webHidden/>
                <w:sz w:val="24"/>
                <w:szCs w:val="24"/>
                <w:rtl/>
              </w:rPr>
              <w:fldChar w:fldCharType="begin"/>
            </w:r>
            <w:r w:rsidR="00A50C7B" w:rsidRPr="00A50C7B">
              <w:rPr>
                <w:noProof/>
                <w:webHidden/>
                <w:sz w:val="24"/>
                <w:szCs w:val="24"/>
                <w:rtl/>
              </w:rPr>
              <w:instrText xml:space="preserve"> </w:instrText>
            </w:r>
            <w:r w:rsidR="00A50C7B" w:rsidRPr="00A50C7B">
              <w:rPr>
                <w:noProof/>
                <w:webHidden/>
                <w:sz w:val="24"/>
                <w:szCs w:val="24"/>
              </w:rPr>
              <w:instrText>PAGEREF</w:instrText>
            </w:r>
            <w:r w:rsidR="00A50C7B" w:rsidRPr="00A50C7B">
              <w:rPr>
                <w:noProof/>
                <w:webHidden/>
                <w:sz w:val="24"/>
                <w:szCs w:val="24"/>
                <w:rtl/>
              </w:rPr>
              <w:instrText xml:space="preserve"> _</w:instrText>
            </w:r>
            <w:r w:rsidR="00A50C7B" w:rsidRPr="00A50C7B">
              <w:rPr>
                <w:noProof/>
                <w:webHidden/>
                <w:sz w:val="24"/>
                <w:szCs w:val="24"/>
              </w:rPr>
              <w:instrText>Toc421697060 \h</w:instrText>
            </w:r>
            <w:r w:rsidR="00A50C7B" w:rsidRPr="00A50C7B">
              <w:rPr>
                <w:noProof/>
                <w:webHidden/>
                <w:sz w:val="24"/>
                <w:szCs w:val="24"/>
                <w:rtl/>
              </w:rPr>
              <w:instrText xml:space="preserve"> </w:instrText>
            </w:r>
            <w:r w:rsidR="00A50C7B" w:rsidRPr="00A50C7B">
              <w:rPr>
                <w:noProof/>
                <w:webHidden/>
                <w:sz w:val="24"/>
                <w:szCs w:val="24"/>
                <w:rtl/>
              </w:rPr>
            </w:r>
            <w:r w:rsidR="00A50C7B" w:rsidRPr="00A50C7B">
              <w:rPr>
                <w:noProof/>
                <w:webHidden/>
                <w:sz w:val="24"/>
                <w:szCs w:val="24"/>
                <w:rtl/>
              </w:rPr>
              <w:fldChar w:fldCharType="separate"/>
            </w:r>
            <w:r w:rsidR="007347AB">
              <w:rPr>
                <w:noProof/>
                <w:webHidden/>
                <w:sz w:val="24"/>
                <w:szCs w:val="24"/>
                <w:rtl/>
              </w:rPr>
              <w:t>34</w:t>
            </w:r>
            <w:r w:rsidR="00A50C7B" w:rsidRPr="00A50C7B">
              <w:rPr>
                <w:noProof/>
                <w:webHidden/>
                <w:sz w:val="24"/>
                <w:szCs w:val="24"/>
                <w:rtl/>
              </w:rPr>
              <w:fldChar w:fldCharType="end"/>
            </w:r>
          </w:hyperlink>
        </w:p>
        <w:p w:rsidR="00A50C7B" w:rsidRPr="00A50C7B" w:rsidRDefault="002113EA">
          <w:pPr>
            <w:pStyle w:val="TOC2"/>
            <w:rPr>
              <w:rFonts w:asciiTheme="minorHAnsi" w:eastAsiaTheme="minorEastAsia" w:hAnsiTheme="minorHAnsi" w:cstheme="minorBidi"/>
              <w:b w:val="0"/>
              <w:bCs w:val="0"/>
              <w:smallCaps w:val="0"/>
              <w:noProof/>
              <w:sz w:val="24"/>
              <w:szCs w:val="24"/>
              <w:rtl/>
              <w:lang w:eastAsia="en-US"/>
            </w:rPr>
          </w:pPr>
          <w:hyperlink w:anchor="_Toc421697061" w:history="1">
            <w:r w:rsidR="00A50C7B" w:rsidRPr="00A50C7B">
              <w:rPr>
                <w:rStyle w:val="Hyperlink"/>
                <w:noProof/>
                <w:sz w:val="24"/>
                <w:szCs w:val="24"/>
                <w:rtl/>
              </w:rPr>
              <w:t xml:space="preserve">3.1. </w:t>
            </w:r>
            <w:r w:rsidR="00A50C7B" w:rsidRPr="00A50C7B">
              <w:rPr>
                <w:rStyle w:val="Hyperlink"/>
                <w:rFonts w:hint="eastAsia"/>
                <w:noProof/>
                <w:sz w:val="24"/>
                <w:szCs w:val="24"/>
                <w:rtl/>
              </w:rPr>
              <w:t>הוועדה</w:t>
            </w:r>
            <w:r w:rsidR="00A50C7B" w:rsidRPr="00A50C7B">
              <w:rPr>
                <w:rStyle w:val="Hyperlink"/>
                <w:noProof/>
                <w:sz w:val="24"/>
                <w:szCs w:val="24"/>
                <w:rtl/>
              </w:rPr>
              <w:t xml:space="preserve"> </w:t>
            </w:r>
            <w:r w:rsidR="00A50C7B" w:rsidRPr="00A50C7B">
              <w:rPr>
                <w:rStyle w:val="Hyperlink"/>
                <w:rFonts w:hint="eastAsia"/>
                <w:noProof/>
                <w:sz w:val="24"/>
                <w:szCs w:val="24"/>
                <w:rtl/>
              </w:rPr>
              <w:t>המיוחדת</w:t>
            </w:r>
            <w:r w:rsidR="00A50C7B" w:rsidRPr="00A50C7B">
              <w:rPr>
                <w:rStyle w:val="Hyperlink"/>
                <w:noProof/>
                <w:sz w:val="24"/>
                <w:szCs w:val="24"/>
                <w:rtl/>
              </w:rPr>
              <w:t xml:space="preserve"> </w:t>
            </w:r>
            <w:r w:rsidR="00A50C7B" w:rsidRPr="00A50C7B">
              <w:rPr>
                <w:rStyle w:val="Hyperlink"/>
                <w:rFonts w:hint="eastAsia"/>
                <w:noProof/>
                <w:sz w:val="24"/>
                <w:szCs w:val="24"/>
                <w:rtl/>
              </w:rPr>
              <w:t>של</w:t>
            </w:r>
            <w:r w:rsidR="00A50C7B" w:rsidRPr="00A50C7B">
              <w:rPr>
                <w:rStyle w:val="Hyperlink"/>
                <w:noProof/>
                <w:sz w:val="24"/>
                <w:szCs w:val="24"/>
                <w:rtl/>
              </w:rPr>
              <w:t xml:space="preserve"> </w:t>
            </w:r>
            <w:r w:rsidR="00A50C7B" w:rsidRPr="00A50C7B">
              <w:rPr>
                <w:rStyle w:val="Hyperlink"/>
                <w:rFonts w:hint="eastAsia"/>
                <w:noProof/>
                <w:sz w:val="24"/>
                <w:szCs w:val="24"/>
                <w:rtl/>
              </w:rPr>
              <w:t>הכנסת</w:t>
            </w:r>
            <w:r w:rsidR="00A50C7B" w:rsidRPr="00A50C7B">
              <w:rPr>
                <w:rStyle w:val="Hyperlink"/>
                <w:noProof/>
                <w:sz w:val="24"/>
                <w:szCs w:val="24"/>
                <w:rtl/>
              </w:rPr>
              <w:t xml:space="preserve"> </w:t>
            </w:r>
            <w:r w:rsidR="00A50C7B" w:rsidRPr="00A50C7B">
              <w:rPr>
                <w:rStyle w:val="Hyperlink"/>
                <w:rFonts w:hint="eastAsia"/>
                <w:noProof/>
                <w:sz w:val="24"/>
                <w:szCs w:val="24"/>
                <w:rtl/>
              </w:rPr>
              <w:t>למאבק</w:t>
            </w:r>
            <w:r w:rsidR="00A50C7B" w:rsidRPr="00A50C7B">
              <w:rPr>
                <w:rStyle w:val="Hyperlink"/>
                <w:noProof/>
                <w:sz w:val="24"/>
                <w:szCs w:val="24"/>
                <w:rtl/>
              </w:rPr>
              <w:t xml:space="preserve"> </w:t>
            </w:r>
            <w:r w:rsidR="00A50C7B" w:rsidRPr="00A50C7B">
              <w:rPr>
                <w:rStyle w:val="Hyperlink"/>
                <w:rFonts w:hint="eastAsia"/>
                <w:noProof/>
                <w:sz w:val="24"/>
                <w:szCs w:val="24"/>
                <w:rtl/>
              </w:rPr>
              <w:t>בנגעי</w:t>
            </w:r>
            <w:r w:rsidR="00A50C7B" w:rsidRPr="00A50C7B">
              <w:rPr>
                <w:rStyle w:val="Hyperlink"/>
                <w:noProof/>
                <w:sz w:val="24"/>
                <w:szCs w:val="24"/>
                <w:rtl/>
              </w:rPr>
              <w:t xml:space="preserve"> </w:t>
            </w:r>
            <w:r w:rsidR="00A50C7B" w:rsidRPr="00A50C7B">
              <w:rPr>
                <w:rStyle w:val="Hyperlink"/>
                <w:rFonts w:hint="eastAsia"/>
                <w:noProof/>
                <w:sz w:val="24"/>
                <w:szCs w:val="24"/>
                <w:rtl/>
              </w:rPr>
              <w:t>הסמים</w:t>
            </w:r>
            <w:r w:rsidR="00A50C7B" w:rsidRPr="00A50C7B">
              <w:rPr>
                <w:rStyle w:val="Hyperlink"/>
                <w:noProof/>
                <w:sz w:val="24"/>
                <w:szCs w:val="24"/>
                <w:rtl/>
              </w:rPr>
              <w:t xml:space="preserve"> </w:t>
            </w:r>
            <w:r w:rsidR="00A50C7B" w:rsidRPr="00A50C7B">
              <w:rPr>
                <w:rStyle w:val="Hyperlink"/>
                <w:rFonts w:hint="eastAsia"/>
                <w:noProof/>
                <w:sz w:val="24"/>
                <w:szCs w:val="24"/>
                <w:rtl/>
              </w:rPr>
              <w:t>והאלכוהול</w:t>
            </w:r>
            <w:r w:rsidR="00A50C7B" w:rsidRPr="00A50C7B">
              <w:rPr>
                <w:noProof/>
                <w:webHidden/>
                <w:sz w:val="24"/>
                <w:szCs w:val="24"/>
                <w:rtl/>
              </w:rPr>
              <w:tab/>
            </w:r>
            <w:r w:rsidR="00A50C7B" w:rsidRPr="00A50C7B">
              <w:rPr>
                <w:noProof/>
                <w:webHidden/>
                <w:sz w:val="24"/>
                <w:szCs w:val="24"/>
                <w:rtl/>
              </w:rPr>
              <w:fldChar w:fldCharType="begin"/>
            </w:r>
            <w:r w:rsidR="00A50C7B" w:rsidRPr="00A50C7B">
              <w:rPr>
                <w:noProof/>
                <w:webHidden/>
                <w:sz w:val="24"/>
                <w:szCs w:val="24"/>
                <w:rtl/>
              </w:rPr>
              <w:instrText xml:space="preserve"> </w:instrText>
            </w:r>
            <w:r w:rsidR="00A50C7B" w:rsidRPr="00A50C7B">
              <w:rPr>
                <w:noProof/>
                <w:webHidden/>
                <w:sz w:val="24"/>
                <w:szCs w:val="24"/>
              </w:rPr>
              <w:instrText>PAGEREF</w:instrText>
            </w:r>
            <w:r w:rsidR="00A50C7B" w:rsidRPr="00A50C7B">
              <w:rPr>
                <w:noProof/>
                <w:webHidden/>
                <w:sz w:val="24"/>
                <w:szCs w:val="24"/>
                <w:rtl/>
              </w:rPr>
              <w:instrText xml:space="preserve"> _</w:instrText>
            </w:r>
            <w:r w:rsidR="00A50C7B" w:rsidRPr="00A50C7B">
              <w:rPr>
                <w:noProof/>
                <w:webHidden/>
                <w:sz w:val="24"/>
                <w:szCs w:val="24"/>
              </w:rPr>
              <w:instrText>Toc421697061 \h</w:instrText>
            </w:r>
            <w:r w:rsidR="00A50C7B" w:rsidRPr="00A50C7B">
              <w:rPr>
                <w:noProof/>
                <w:webHidden/>
                <w:sz w:val="24"/>
                <w:szCs w:val="24"/>
                <w:rtl/>
              </w:rPr>
              <w:instrText xml:space="preserve"> </w:instrText>
            </w:r>
            <w:r w:rsidR="00A50C7B" w:rsidRPr="00A50C7B">
              <w:rPr>
                <w:noProof/>
                <w:webHidden/>
                <w:sz w:val="24"/>
                <w:szCs w:val="24"/>
                <w:rtl/>
              </w:rPr>
            </w:r>
            <w:r w:rsidR="00A50C7B" w:rsidRPr="00A50C7B">
              <w:rPr>
                <w:noProof/>
                <w:webHidden/>
                <w:sz w:val="24"/>
                <w:szCs w:val="24"/>
                <w:rtl/>
              </w:rPr>
              <w:fldChar w:fldCharType="separate"/>
            </w:r>
            <w:r w:rsidR="007347AB">
              <w:rPr>
                <w:noProof/>
                <w:webHidden/>
                <w:sz w:val="24"/>
                <w:szCs w:val="24"/>
                <w:rtl/>
              </w:rPr>
              <w:t>35</w:t>
            </w:r>
            <w:r w:rsidR="00A50C7B" w:rsidRPr="00A50C7B">
              <w:rPr>
                <w:noProof/>
                <w:webHidden/>
                <w:sz w:val="24"/>
                <w:szCs w:val="24"/>
                <w:rtl/>
              </w:rPr>
              <w:fldChar w:fldCharType="end"/>
            </w:r>
          </w:hyperlink>
        </w:p>
        <w:p w:rsidR="00A50C7B" w:rsidRPr="00A50C7B" w:rsidRDefault="002113EA">
          <w:pPr>
            <w:pStyle w:val="TOC2"/>
            <w:rPr>
              <w:rFonts w:asciiTheme="minorHAnsi" w:eastAsiaTheme="minorEastAsia" w:hAnsiTheme="minorHAnsi" w:cstheme="minorBidi"/>
              <w:b w:val="0"/>
              <w:bCs w:val="0"/>
              <w:smallCaps w:val="0"/>
              <w:noProof/>
              <w:sz w:val="24"/>
              <w:szCs w:val="24"/>
              <w:rtl/>
              <w:lang w:eastAsia="en-US"/>
            </w:rPr>
          </w:pPr>
          <w:hyperlink w:anchor="_Toc421697062" w:history="1">
            <w:r w:rsidR="00A50C7B" w:rsidRPr="00A50C7B">
              <w:rPr>
                <w:rStyle w:val="Hyperlink"/>
                <w:noProof/>
                <w:sz w:val="24"/>
                <w:szCs w:val="24"/>
                <w:rtl/>
              </w:rPr>
              <w:t xml:space="preserve">3.2. </w:t>
            </w:r>
            <w:r w:rsidR="00A50C7B" w:rsidRPr="00A50C7B">
              <w:rPr>
                <w:rStyle w:val="Hyperlink"/>
                <w:rFonts w:hint="eastAsia"/>
                <w:noProof/>
                <w:sz w:val="24"/>
                <w:szCs w:val="24"/>
                <w:rtl/>
              </w:rPr>
              <w:t>המשרד</w:t>
            </w:r>
            <w:r w:rsidR="00A50C7B" w:rsidRPr="00A50C7B">
              <w:rPr>
                <w:rStyle w:val="Hyperlink"/>
                <w:noProof/>
                <w:sz w:val="24"/>
                <w:szCs w:val="24"/>
                <w:rtl/>
              </w:rPr>
              <w:t xml:space="preserve"> </w:t>
            </w:r>
            <w:r w:rsidR="00A50C7B" w:rsidRPr="00A50C7B">
              <w:rPr>
                <w:rStyle w:val="Hyperlink"/>
                <w:rFonts w:hint="eastAsia"/>
                <w:noProof/>
                <w:sz w:val="24"/>
                <w:szCs w:val="24"/>
                <w:rtl/>
              </w:rPr>
              <w:t>לביטחון</w:t>
            </w:r>
            <w:r w:rsidR="00A50C7B" w:rsidRPr="00A50C7B">
              <w:rPr>
                <w:rStyle w:val="Hyperlink"/>
                <w:noProof/>
                <w:sz w:val="24"/>
                <w:szCs w:val="24"/>
                <w:rtl/>
              </w:rPr>
              <w:t xml:space="preserve"> </w:t>
            </w:r>
            <w:r w:rsidR="00A50C7B" w:rsidRPr="00A50C7B">
              <w:rPr>
                <w:rStyle w:val="Hyperlink"/>
                <w:rFonts w:hint="eastAsia"/>
                <w:noProof/>
                <w:sz w:val="24"/>
                <w:szCs w:val="24"/>
                <w:rtl/>
              </w:rPr>
              <w:t>הפנים</w:t>
            </w:r>
            <w:r w:rsidR="00A50C7B" w:rsidRPr="00A50C7B">
              <w:rPr>
                <w:noProof/>
                <w:webHidden/>
                <w:sz w:val="24"/>
                <w:szCs w:val="24"/>
                <w:rtl/>
              </w:rPr>
              <w:tab/>
            </w:r>
            <w:r w:rsidR="00A50C7B" w:rsidRPr="00A50C7B">
              <w:rPr>
                <w:noProof/>
                <w:webHidden/>
                <w:sz w:val="24"/>
                <w:szCs w:val="24"/>
                <w:rtl/>
              </w:rPr>
              <w:fldChar w:fldCharType="begin"/>
            </w:r>
            <w:r w:rsidR="00A50C7B" w:rsidRPr="00A50C7B">
              <w:rPr>
                <w:noProof/>
                <w:webHidden/>
                <w:sz w:val="24"/>
                <w:szCs w:val="24"/>
                <w:rtl/>
              </w:rPr>
              <w:instrText xml:space="preserve"> </w:instrText>
            </w:r>
            <w:r w:rsidR="00A50C7B" w:rsidRPr="00A50C7B">
              <w:rPr>
                <w:noProof/>
                <w:webHidden/>
                <w:sz w:val="24"/>
                <w:szCs w:val="24"/>
              </w:rPr>
              <w:instrText>PAGEREF</w:instrText>
            </w:r>
            <w:r w:rsidR="00A50C7B" w:rsidRPr="00A50C7B">
              <w:rPr>
                <w:noProof/>
                <w:webHidden/>
                <w:sz w:val="24"/>
                <w:szCs w:val="24"/>
                <w:rtl/>
              </w:rPr>
              <w:instrText xml:space="preserve"> _</w:instrText>
            </w:r>
            <w:r w:rsidR="00A50C7B" w:rsidRPr="00A50C7B">
              <w:rPr>
                <w:noProof/>
                <w:webHidden/>
                <w:sz w:val="24"/>
                <w:szCs w:val="24"/>
              </w:rPr>
              <w:instrText>Toc421697062 \h</w:instrText>
            </w:r>
            <w:r w:rsidR="00A50C7B" w:rsidRPr="00A50C7B">
              <w:rPr>
                <w:noProof/>
                <w:webHidden/>
                <w:sz w:val="24"/>
                <w:szCs w:val="24"/>
                <w:rtl/>
              </w:rPr>
              <w:instrText xml:space="preserve"> </w:instrText>
            </w:r>
            <w:r w:rsidR="00A50C7B" w:rsidRPr="00A50C7B">
              <w:rPr>
                <w:noProof/>
                <w:webHidden/>
                <w:sz w:val="24"/>
                <w:szCs w:val="24"/>
                <w:rtl/>
              </w:rPr>
            </w:r>
            <w:r w:rsidR="00A50C7B" w:rsidRPr="00A50C7B">
              <w:rPr>
                <w:noProof/>
                <w:webHidden/>
                <w:sz w:val="24"/>
                <w:szCs w:val="24"/>
                <w:rtl/>
              </w:rPr>
              <w:fldChar w:fldCharType="separate"/>
            </w:r>
            <w:r w:rsidR="007347AB">
              <w:rPr>
                <w:noProof/>
                <w:webHidden/>
                <w:sz w:val="24"/>
                <w:szCs w:val="24"/>
                <w:rtl/>
              </w:rPr>
              <w:t>36</w:t>
            </w:r>
            <w:r w:rsidR="00A50C7B" w:rsidRPr="00A50C7B">
              <w:rPr>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63" w:history="1">
            <w:r w:rsidR="00A50C7B" w:rsidRPr="00A50C7B">
              <w:rPr>
                <w:rStyle w:val="Hyperlink"/>
                <w:b w:val="0"/>
                <w:bCs w:val="0"/>
                <w:noProof/>
                <w:sz w:val="24"/>
                <w:szCs w:val="24"/>
                <w:rtl/>
              </w:rPr>
              <w:t xml:space="preserve">3.2.1. </w:t>
            </w:r>
            <w:r w:rsidR="00A50C7B" w:rsidRPr="00A50C7B">
              <w:rPr>
                <w:rStyle w:val="Hyperlink"/>
                <w:rFonts w:hint="eastAsia"/>
                <w:b w:val="0"/>
                <w:bCs w:val="0"/>
                <w:noProof/>
                <w:sz w:val="24"/>
                <w:szCs w:val="24"/>
                <w:rtl/>
              </w:rPr>
              <w:t>הרשות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הלאומית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למלחמה</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בסמים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ואלכוהול</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Toc421697063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36</w:t>
            </w:r>
            <w:r w:rsidR="00A50C7B" w:rsidRPr="00A50C7B">
              <w:rPr>
                <w:b w:val="0"/>
                <w:bCs w:val="0"/>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64" w:history="1">
            <w:r w:rsidR="00A50C7B" w:rsidRPr="00A50C7B">
              <w:rPr>
                <w:rStyle w:val="Hyperlink"/>
                <w:b w:val="0"/>
                <w:bCs w:val="0"/>
                <w:noProof/>
                <w:sz w:val="24"/>
                <w:szCs w:val="24"/>
                <w:rtl/>
              </w:rPr>
              <w:t xml:space="preserve">3.2.2. </w:t>
            </w:r>
            <w:r w:rsidR="00A50C7B" w:rsidRPr="00A50C7B">
              <w:rPr>
                <w:rStyle w:val="Hyperlink"/>
                <w:rFonts w:hint="eastAsia"/>
                <w:b w:val="0"/>
                <w:bCs w:val="0"/>
                <w:noProof/>
                <w:sz w:val="24"/>
                <w:szCs w:val="24"/>
                <w:rtl/>
              </w:rPr>
              <w:t>התוכנית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הלאומית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לצמצום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הצריכה</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המופרזת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של</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אלכוהול</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ולצמצום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נזקיו</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Toc421697064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39</w:t>
            </w:r>
            <w:r w:rsidR="00A50C7B" w:rsidRPr="00A50C7B">
              <w:rPr>
                <w:b w:val="0"/>
                <w:bCs w:val="0"/>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65" w:history="1">
            <w:r w:rsidR="00A50C7B" w:rsidRPr="00A50C7B">
              <w:rPr>
                <w:rStyle w:val="Hyperlink"/>
                <w:b w:val="0"/>
                <w:bCs w:val="0"/>
                <w:noProof/>
                <w:sz w:val="24"/>
                <w:szCs w:val="24"/>
                <w:rtl/>
              </w:rPr>
              <w:t xml:space="preserve">3.2.3. </w:t>
            </w:r>
            <w:r w:rsidR="00A50C7B" w:rsidRPr="00A50C7B">
              <w:rPr>
                <w:rStyle w:val="Hyperlink"/>
                <w:rFonts w:hint="eastAsia"/>
                <w:b w:val="0"/>
                <w:bCs w:val="0"/>
                <w:noProof/>
                <w:sz w:val="24"/>
                <w:szCs w:val="24"/>
                <w:rtl/>
              </w:rPr>
              <w:t>משטרת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ישראל</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Toc421697065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41</w:t>
            </w:r>
            <w:r w:rsidR="00A50C7B" w:rsidRPr="00A50C7B">
              <w:rPr>
                <w:b w:val="0"/>
                <w:bCs w:val="0"/>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66" w:history="1">
            <w:r w:rsidR="00A50C7B" w:rsidRPr="00A50C7B">
              <w:rPr>
                <w:rStyle w:val="Hyperlink"/>
                <w:b w:val="0"/>
                <w:bCs w:val="0"/>
                <w:noProof/>
                <w:sz w:val="24"/>
                <w:szCs w:val="24"/>
                <w:rtl/>
              </w:rPr>
              <w:t xml:space="preserve">3.2.4. </w:t>
            </w:r>
            <w:r w:rsidR="00A50C7B" w:rsidRPr="00A50C7B">
              <w:rPr>
                <w:rStyle w:val="Hyperlink"/>
                <w:rFonts w:hint="eastAsia"/>
                <w:b w:val="0"/>
                <w:bCs w:val="0"/>
                <w:noProof/>
                <w:sz w:val="24"/>
                <w:szCs w:val="24"/>
                <w:rtl/>
              </w:rPr>
              <w:t>תוכנית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עיר</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ללא</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אלימות</w:t>
            </w:r>
            <w:r w:rsidR="00A50C7B" w:rsidRPr="00A50C7B">
              <w:rPr>
                <w:rStyle w:val="Hyperlink"/>
                <w:b w:val="0"/>
                <w:bCs w:val="0"/>
                <w:noProof/>
                <w:sz w:val="24"/>
                <w:szCs w:val="24"/>
                <w:rtl/>
              </w:rPr>
              <w:t>"</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Toc421697066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48</w:t>
            </w:r>
            <w:r w:rsidR="00A50C7B" w:rsidRPr="00A50C7B">
              <w:rPr>
                <w:b w:val="0"/>
                <w:bCs w:val="0"/>
                <w:noProof/>
                <w:webHidden/>
                <w:sz w:val="24"/>
                <w:szCs w:val="24"/>
                <w:rtl/>
              </w:rPr>
              <w:fldChar w:fldCharType="end"/>
            </w:r>
          </w:hyperlink>
        </w:p>
        <w:p w:rsidR="00A50C7B" w:rsidRPr="00A50C7B" w:rsidRDefault="002113EA">
          <w:pPr>
            <w:pStyle w:val="TOC2"/>
            <w:rPr>
              <w:rFonts w:asciiTheme="minorHAnsi" w:eastAsiaTheme="minorEastAsia" w:hAnsiTheme="minorHAnsi" w:cstheme="minorBidi"/>
              <w:b w:val="0"/>
              <w:bCs w:val="0"/>
              <w:smallCaps w:val="0"/>
              <w:noProof/>
              <w:sz w:val="24"/>
              <w:szCs w:val="24"/>
              <w:rtl/>
              <w:lang w:eastAsia="en-US"/>
            </w:rPr>
          </w:pPr>
          <w:hyperlink w:anchor="_Toc421697067" w:history="1">
            <w:r w:rsidR="00A50C7B" w:rsidRPr="00A50C7B">
              <w:rPr>
                <w:rStyle w:val="Hyperlink"/>
                <w:noProof/>
                <w:sz w:val="24"/>
                <w:szCs w:val="24"/>
                <w:rtl/>
              </w:rPr>
              <w:t xml:space="preserve">3.3. </w:t>
            </w:r>
            <w:r w:rsidR="00A50C7B" w:rsidRPr="00A50C7B">
              <w:rPr>
                <w:rStyle w:val="Hyperlink"/>
                <w:rFonts w:hint="eastAsia"/>
                <w:noProof/>
                <w:sz w:val="24"/>
                <w:szCs w:val="24"/>
                <w:rtl/>
              </w:rPr>
              <w:t>משרד</w:t>
            </w:r>
            <w:r w:rsidR="00A50C7B" w:rsidRPr="00A50C7B">
              <w:rPr>
                <w:rStyle w:val="Hyperlink"/>
                <w:noProof/>
                <w:sz w:val="24"/>
                <w:szCs w:val="24"/>
                <w:rtl/>
              </w:rPr>
              <w:t xml:space="preserve"> </w:t>
            </w:r>
            <w:r w:rsidR="00A50C7B" w:rsidRPr="00A50C7B">
              <w:rPr>
                <w:rStyle w:val="Hyperlink"/>
                <w:rFonts w:hint="eastAsia"/>
                <w:noProof/>
                <w:sz w:val="24"/>
                <w:szCs w:val="24"/>
                <w:rtl/>
              </w:rPr>
              <w:t>האוצר</w:t>
            </w:r>
            <w:r w:rsidR="00A50C7B" w:rsidRPr="00A50C7B">
              <w:rPr>
                <w:rStyle w:val="Hyperlink"/>
                <w:noProof/>
                <w:sz w:val="24"/>
                <w:szCs w:val="24"/>
                <w:rtl/>
              </w:rPr>
              <w:t xml:space="preserve">, </w:t>
            </w:r>
            <w:r w:rsidR="00A50C7B" w:rsidRPr="00A50C7B">
              <w:rPr>
                <w:rStyle w:val="Hyperlink"/>
                <w:rFonts w:hint="eastAsia"/>
                <w:noProof/>
                <w:sz w:val="24"/>
                <w:szCs w:val="24"/>
                <w:rtl/>
              </w:rPr>
              <w:t>רשות</w:t>
            </w:r>
            <w:r w:rsidR="00A50C7B" w:rsidRPr="00A50C7B">
              <w:rPr>
                <w:rStyle w:val="Hyperlink"/>
                <w:noProof/>
                <w:sz w:val="24"/>
                <w:szCs w:val="24"/>
                <w:rtl/>
              </w:rPr>
              <w:t xml:space="preserve"> </w:t>
            </w:r>
            <w:r w:rsidR="00A50C7B" w:rsidRPr="00A50C7B">
              <w:rPr>
                <w:rStyle w:val="Hyperlink"/>
                <w:rFonts w:hint="eastAsia"/>
                <w:noProof/>
                <w:sz w:val="24"/>
                <w:szCs w:val="24"/>
                <w:rtl/>
              </w:rPr>
              <w:t>המיסים</w:t>
            </w:r>
            <w:r w:rsidR="00A50C7B" w:rsidRPr="00A50C7B">
              <w:rPr>
                <w:rStyle w:val="Hyperlink"/>
                <w:noProof/>
                <w:sz w:val="24"/>
                <w:szCs w:val="24"/>
                <w:rtl/>
              </w:rPr>
              <w:t xml:space="preserve">: </w:t>
            </w:r>
            <w:r w:rsidR="00A50C7B" w:rsidRPr="00A50C7B">
              <w:rPr>
                <w:rStyle w:val="Hyperlink"/>
                <w:rFonts w:hint="eastAsia"/>
                <w:noProof/>
                <w:sz w:val="24"/>
                <w:szCs w:val="24"/>
                <w:rtl/>
              </w:rPr>
              <w:t>יחידת</w:t>
            </w:r>
            <w:r w:rsidR="00A50C7B" w:rsidRPr="00A50C7B">
              <w:rPr>
                <w:rStyle w:val="Hyperlink"/>
                <w:noProof/>
                <w:sz w:val="24"/>
                <w:szCs w:val="24"/>
                <w:rtl/>
              </w:rPr>
              <w:t xml:space="preserve"> </w:t>
            </w:r>
            <w:r w:rsidR="00A50C7B" w:rsidRPr="00A50C7B">
              <w:rPr>
                <w:rStyle w:val="Hyperlink"/>
                <w:rFonts w:hint="eastAsia"/>
                <w:noProof/>
                <w:sz w:val="24"/>
                <w:szCs w:val="24"/>
                <w:rtl/>
              </w:rPr>
              <w:t>סמים</w:t>
            </w:r>
            <w:r w:rsidR="00A50C7B" w:rsidRPr="00A50C7B">
              <w:rPr>
                <w:rStyle w:val="Hyperlink"/>
                <w:noProof/>
                <w:sz w:val="24"/>
                <w:szCs w:val="24"/>
                <w:rtl/>
              </w:rPr>
              <w:t xml:space="preserve"> </w:t>
            </w:r>
            <w:r w:rsidR="00A50C7B" w:rsidRPr="00A50C7B">
              <w:rPr>
                <w:rStyle w:val="Hyperlink"/>
                <w:rFonts w:hint="eastAsia"/>
                <w:noProof/>
                <w:sz w:val="24"/>
                <w:szCs w:val="24"/>
                <w:rtl/>
              </w:rPr>
              <w:t>ומכס</w:t>
            </w:r>
            <w:r w:rsidR="00A50C7B" w:rsidRPr="00A50C7B">
              <w:rPr>
                <w:rStyle w:val="Hyperlink"/>
                <w:noProof/>
                <w:sz w:val="24"/>
                <w:szCs w:val="24"/>
                <w:rtl/>
              </w:rPr>
              <w:t xml:space="preserve"> (</w:t>
            </w:r>
            <w:r w:rsidR="00A50C7B" w:rsidRPr="00A50C7B">
              <w:rPr>
                <w:rStyle w:val="Hyperlink"/>
                <w:rFonts w:hint="eastAsia"/>
                <w:noProof/>
                <w:sz w:val="24"/>
                <w:szCs w:val="24"/>
                <w:rtl/>
              </w:rPr>
              <w:t>יס</w:t>
            </w:r>
            <w:r w:rsidR="00A50C7B" w:rsidRPr="00A50C7B">
              <w:rPr>
                <w:rStyle w:val="Hyperlink"/>
                <w:noProof/>
                <w:sz w:val="24"/>
                <w:szCs w:val="24"/>
                <w:rtl/>
              </w:rPr>
              <w:t>"</w:t>
            </w:r>
            <w:r w:rsidR="00A50C7B" w:rsidRPr="00A50C7B">
              <w:rPr>
                <w:rStyle w:val="Hyperlink"/>
                <w:rFonts w:hint="eastAsia"/>
                <w:noProof/>
                <w:sz w:val="24"/>
                <w:szCs w:val="24"/>
                <w:rtl/>
              </w:rPr>
              <w:t>מ</w:t>
            </w:r>
            <w:r w:rsidR="00A50C7B" w:rsidRPr="00A50C7B">
              <w:rPr>
                <w:rStyle w:val="Hyperlink"/>
                <w:noProof/>
                <w:sz w:val="24"/>
                <w:szCs w:val="24"/>
                <w:rtl/>
              </w:rPr>
              <w:t>)</w:t>
            </w:r>
            <w:r w:rsidR="00A50C7B" w:rsidRPr="00A50C7B">
              <w:rPr>
                <w:noProof/>
                <w:webHidden/>
                <w:sz w:val="24"/>
                <w:szCs w:val="24"/>
                <w:rtl/>
              </w:rPr>
              <w:tab/>
            </w:r>
            <w:r w:rsidR="00A50C7B" w:rsidRPr="00A50C7B">
              <w:rPr>
                <w:noProof/>
                <w:webHidden/>
                <w:sz w:val="24"/>
                <w:szCs w:val="24"/>
                <w:rtl/>
              </w:rPr>
              <w:fldChar w:fldCharType="begin"/>
            </w:r>
            <w:r w:rsidR="00A50C7B" w:rsidRPr="00A50C7B">
              <w:rPr>
                <w:noProof/>
                <w:webHidden/>
                <w:sz w:val="24"/>
                <w:szCs w:val="24"/>
                <w:rtl/>
              </w:rPr>
              <w:instrText xml:space="preserve"> </w:instrText>
            </w:r>
            <w:r w:rsidR="00A50C7B" w:rsidRPr="00A50C7B">
              <w:rPr>
                <w:noProof/>
                <w:webHidden/>
                <w:sz w:val="24"/>
                <w:szCs w:val="24"/>
              </w:rPr>
              <w:instrText>PAGEREF</w:instrText>
            </w:r>
            <w:r w:rsidR="00A50C7B" w:rsidRPr="00A50C7B">
              <w:rPr>
                <w:noProof/>
                <w:webHidden/>
                <w:sz w:val="24"/>
                <w:szCs w:val="24"/>
                <w:rtl/>
              </w:rPr>
              <w:instrText xml:space="preserve"> _</w:instrText>
            </w:r>
            <w:r w:rsidR="00A50C7B" w:rsidRPr="00A50C7B">
              <w:rPr>
                <w:noProof/>
                <w:webHidden/>
                <w:sz w:val="24"/>
                <w:szCs w:val="24"/>
              </w:rPr>
              <w:instrText>Toc421697067 \h</w:instrText>
            </w:r>
            <w:r w:rsidR="00A50C7B" w:rsidRPr="00A50C7B">
              <w:rPr>
                <w:noProof/>
                <w:webHidden/>
                <w:sz w:val="24"/>
                <w:szCs w:val="24"/>
                <w:rtl/>
              </w:rPr>
              <w:instrText xml:space="preserve"> </w:instrText>
            </w:r>
            <w:r w:rsidR="00A50C7B" w:rsidRPr="00A50C7B">
              <w:rPr>
                <w:noProof/>
                <w:webHidden/>
                <w:sz w:val="24"/>
                <w:szCs w:val="24"/>
                <w:rtl/>
              </w:rPr>
            </w:r>
            <w:r w:rsidR="00A50C7B" w:rsidRPr="00A50C7B">
              <w:rPr>
                <w:noProof/>
                <w:webHidden/>
                <w:sz w:val="24"/>
                <w:szCs w:val="24"/>
                <w:rtl/>
              </w:rPr>
              <w:fldChar w:fldCharType="separate"/>
            </w:r>
            <w:r w:rsidR="007347AB">
              <w:rPr>
                <w:noProof/>
                <w:webHidden/>
                <w:sz w:val="24"/>
                <w:szCs w:val="24"/>
                <w:rtl/>
              </w:rPr>
              <w:t>48</w:t>
            </w:r>
            <w:r w:rsidR="00A50C7B" w:rsidRPr="00A50C7B">
              <w:rPr>
                <w:noProof/>
                <w:webHidden/>
                <w:sz w:val="24"/>
                <w:szCs w:val="24"/>
                <w:rtl/>
              </w:rPr>
              <w:fldChar w:fldCharType="end"/>
            </w:r>
          </w:hyperlink>
        </w:p>
        <w:p w:rsidR="00A50C7B" w:rsidRPr="00A50C7B" w:rsidRDefault="002113EA">
          <w:pPr>
            <w:pStyle w:val="TOC2"/>
            <w:rPr>
              <w:rFonts w:asciiTheme="minorHAnsi" w:eastAsiaTheme="minorEastAsia" w:hAnsiTheme="minorHAnsi" w:cstheme="minorBidi"/>
              <w:b w:val="0"/>
              <w:bCs w:val="0"/>
              <w:smallCaps w:val="0"/>
              <w:noProof/>
              <w:sz w:val="24"/>
              <w:szCs w:val="24"/>
              <w:rtl/>
              <w:lang w:eastAsia="en-US"/>
            </w:rPr>
          </w:pPr>
          <w:hyperlink w:anchor="_Toc421697068" w:history="1">
            <w:r w:rsidR="00A50C7B" w:rsidRPr="00A50C7B">
              <w:rPr>
                <w:rStyle w:val="Hyperlink"/>
                <w:noProof/>
                <w:sz w:val="24"/>
                <w:szCs w:val="24"/>
                <w:rtl/>
              </w:rPr>
              <w:t xml:space="preserve">3.4. </w:t>
            </w:r>
            <w:r w:rsidR="00A50C7B" w:rsidRPr="00A50C7B">
              <w:rPr>
                <w:rStyle w:val="Hyperlink"/>
                <w:rFonts w:hint="eastAsia"/>
                <w:noProof/>
                <w:sz w:val="24"/>
                <w:szCs w:val="24"/>
                <w:rtl/>
              </w:rPr>
              <w:t>משרד</w:t>
            </w:r>
            <w:r w:rsidR="00A50C7B" w:rsidRPr="00A50C7B">
              <w:rPr>
                <w:rStyle w:val="Hyperlink"/>
                <w:noProof/>
                <w:sz w:val="24"/>
                <w:szCs w:val="24"/>
                <w:rtl/>
              </w:rPr>
              <w:t xml:space="preserve"> </w:t>
            </w:r>
            <w:r w:rsidR="00A50C7B" w:rsidRPr="00A50C7B">
              <w:rPr>
                <w:rStyle w:val="Hyperlink"/>
                <w:rFonts w:hint="eastAsia"/>
                <w:noProof/>
                <w:sz w:val="24"/>
                <w:szCs w:val="24"/>
                <w:rtl/>
              </w:rPr>
              <w:t>הבריאות</w:t>
            </w:r>
            <w:r w:rsidR="00A50C7B" w:rsidRPr="00A50C7B">
              <w:rPr>
                <w:noProof/>
                <w:webHidden/>
                <w:sz w:val="24"/>
                <w:szCs w:val="24"/>
                <w:rtl/>
              </w:rPr>
              <w:tab/>
            </w:r>
            <w:r w:rsidR="00A50C7B" w:rsidRPr="00A50C7B">
              <w:rPr>
                <w:noProof/>
                <w:webHidden/>
                <w:sz w:val="24"/>
                <w:szCs w:val="24"/>
                <w:rtl/>
              </w:rPr>
              <w:fldChar w:fldCharType="begin"/>
            </w:r>
            <w:r w:rsidR="00A50C7B" w:rsidRPr="00A50C7B">
              <w:rPr>
                <w:noProof/>
                <w:webHidden/>
                <w:sz w:val="24"/>
                <w:szCs w:val="24"/>
                <w:rtl/>
              </w:rPr>
              <w:instrText xml:space="preserve"> </w:instrText>
            </w:r>
            <w:r w:rsidR="00A50C7B" w:rsidRPr="00A50C7B">
              <w:rPr>
                <w:noProof/>
                <w:webHidden/>
                <w:sz w:val="24"/>
                <w:szCs w:val="24"/>
              </w:rPr>
              <w:instrText>PAGEREF</w:instrText>
            </w:r>
            <w:r w:rsidR="00A50C7B" w:rsidRPr="00A50C7B">
              <w:rPr>
                <w:noProof/>
                <w:webHidden/>
                <w:sz w:val="24"/>
                <w:szCs w:val="24"/>
                <w:rtl/>
              </w:rPr>
              <w:instrText xml:space="preserve"> _</w:instrText>
            </w:r>
            <w:r w:rsidR="00A50C7B" w:rsidRPr="00A50C7B">
              <w:rPr>
                <w:noProof/>
                <w:webHidden/>
                <w:sz w:val="24"/>
                <w:szCs w:val="24"/>
              </w:rPr>
              <w:instrText>Toc421697068 \h</w:instrText>
            </w:r>
            <w:r w:rsidR="00A50C7B" w:rsidRPr="00A50C7B">
              <w:rPr>
                <w:noProof/>
                <w:webHidden/>
                <w:sz w:val="24"/>
                <w:szCs w:val="24"/>
                <w:rtl/>
              </w:rPr>
              <w:instrText xml:space="preserve"> </w:instrText>
            </w:r>
            <w:r w:rsidR="00A50C7B" w:rsidRPr="00A50C7B">
              <w:rPr>
                <w:noProof/>
                <w:webHidden/>
                <w:sz w:val="24"/>
                <w:szCs w:val="24"/>
                <w:rtl/>
              </w:rPr>
            </w:r>
            <w:r w:rsidR="00A50C7B" w:rsidRPr="00A50C7B">
              <w:rPr>
                <w:noProof/>
                <w:webHidden/>
                <w:sz w:val="24"/>
                <w:szCs w:val="24"/>
                <w:rtl/>
              </w:rPr>
              <w:fldChar w:fldCharType="separate"/>
            </w:r>
            <w:r w:rsidR="007347AB">
              <w:rPr>
                <w:noProof/>
                <w:webHidden/>
                <w:sz w:val="24"/>
                <w:szCs w:val="24"/>
                <w:rtl/>
              </w:rPr>
              <w:t>51</w:t>
            </w:r>
            <w:r w:rsidR="00A50C7B" w:rsidRPr="00A50C7B">
              <w:rPr>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69" w:history="1">
            <w:r w:rsidR="00A50C7B" w:rsidRPr="00A50C7B">
              <w:rPr>
                <w:rStyle w:val="Hyperlink"/>
                <w:b w:val="0"/>
                <w:bCs w:val="0"/>
                <w:noProof/>
                <w:sz w:val="24"/>
                <w:szCs w:val="24"/>
                <w:rtl/>
              </w:rPr>
              <w:t xml:space="preserve">3.4.1. </w:t>
            </w:r>
            <w:r w:rsidR="00A50C7B" w:rsidRPr="00A50C7B">
              <w:rPr>
                <w:rStyle w:val="Hyperlink"/>
                <w:rFonts w:hint="eastAsia"/>
                <w:b w:val="0"/>
                <w:bCs w:val="0"/>
                <w:noProof/>
                <w:sz w:val="24"/>
                <w:szCs w:val="24"/>
                <w:rtl/>
              </w:rPr>
              <w:t>המחלקה</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לטיפול</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בהתמכרויות</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Toc421697069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51</w:t>
            </w:r>
            <w:r w:rsidR="00A50C7B" w:rsidRPr="00A50C7B">
              <w:rPr>
                <w:b w:val="0"/>
                <w:bCs w:val="0"/>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70" w:history="1">
            <w:r w:rsidR="00A50C7B" w:rsidRPr="00A50C7B">
              <w:rPr>
                <w:rStyle w:val="Hyperlink"/>
                <w:b w:val="0"/>
                <w:bCs w:val="0"/>
                <w:noProof/>
                <w:sz w:val="24"/>
                <w:szCs w:val="24"/>
                <w:rtl/>
              </w:rPr>
              <w:t xml:space="preserve">3.4.2. </w:t>
            </w:r>
            <w:r w:rsidR="00A50C7B" w:rsidRPr="00A50C7B">
              <w:rPr>
                <w:rStyle w:val="Hyperlink"/>
                <w:rFonts w:hint="eastAsia"/>
                <w:b w:val="0"/>
                <w:bCs w:val="0"/>
                <w:noProof/>
                <w:sz w:val="24"/>
                <w:szCs w:val="24"/>
                <w:rtl/>
              </w:rPr>
              <w:t>פעילות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משרד</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הבריאות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כרגולטור</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תחום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סמים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מסוכנים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וחומרים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מְסַכְּניִם</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Toc421697070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57</w:t>
            </w:r>
            <w:r w:rsidR="00A50C7B" w:rsidRPr="00A50C7B">
              <w:rPr>
                <w:b w:val="0"/>
                <w:bCs w:val="0"/>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71" w:history="1">
            <w:r w:rsidR="00A50C7B" w:rsidRPr="00A50C7B">
              <w:rPr>
                <w:rStyle w:val="Hyperlink"/>
                <w:b w:val="0"/>
                <w:bCs w:val="0"/>
                <w:noProof/>
                <w:sz w:val="24"/>
                <w:szCs w:val="24"/>
                <w:rtl/>
              </w:rPr>
              <w:t xml:space="preserve">3.4.3. </w:t>
            </w:r>
            <w:r w:rsidR="00A50C7B" w:rsidRPr="00A50C7B">
              <w:rPr>
                <w:rStyle w:val="Hyperlink"/>
                <w:rFonts w:hint="eastAsia"/>
                <w:b w:val="0"/>
                <w:bCs w:val="0"/>
                <w:noProof/>
                <w:sz w:val="24"/>
                <w:szCs w:val="24"/>
                <w:rtl/>
              </w:rPr>
              <w:t>היחידה</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לקנביס</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רפואי</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יק</w:t>
            </w:r>
            <w:r w:rsidR="00A50C7B" w:rsidRPr="00A50C7B">
              <w:rPr>
                <w:rStyle w:val="Hyperlink"/>
                <w:b w:val="0"/>
                <w:bCs w:val="0"/>
                <w:noProof/>
                <w:sz w:val="24"/>
                <w:szCs w:val="24"/>
                <w:rtl/>
              </w:rPr>
              <w:t>"</w:t>
            </w:r>
            <w:r w:rsidR="00A50C7B" w:rsidRPr="00A50C7B">
              <w:rPr>
                <w:rStyle w:val="Hyperlink"/>
                <w:rFonts w:hint="eastAsia"/>
                <w:b w:val="0"/>
                <w:bCs w:val="0"/>
                <w:noProof/>
                <w:sz w:val="24"/>
                <w:szCs w:val="24"/>
                <w:rtl/>
              </w:rPr>
              <w:t>ר</w:t>
            </w:r>
            <w:r w:rsidR="00A50C7B" w:rsidRPr="00A50C7B">
              <w:rPr>
                <w:rStyle w:val="Hyperlink"/>
                <w:b w:val="0"/>
                <w:bCs w:val="0"/>
                <w:noProof/>
                <w:sz w:val="24"/>
                <w:szCs w:val="24"/>
                <w:rtl/>
              </w:rPr>
              <w:t>)</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Toc421697071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62</w:t>
            </w:r>
            <w:r w:rsidR="00A50C7B" w:rsidRPr="00A50C7B">
              <w:rPr>
                <w:b w:val="0"/>
                <w:bCs w:val="0"/>
                <w:noProof/>
                <w:webHidden/>
                <w:sz w:val="24"/>
                <w:szCs w:val="24"/>
                <w:rtl/>
              </w:rPr>
              <w:fldChar w:fldCharType="end"/>
            </w:r>
          </w:hyperlink>
        </w:p>
        <w:p w:rsidR="00A50C7B" w:rsidRPr="00A50C7B" w:rsidRDefault="002113EA">
          <w:pPr>
            <w:pStyle w:val="TOC2"/>
            <w:rPr>
              <w:rFonts w:asciiTheme="minorHAnsi" w:eastAsiaTheme="minorEastAsia" w:hAnsiTheme="minorHAnsi" w:cstheme="minorBidi"/>
              <w:b w:val="0"/>
              <w:bCs w:val="0"/>
              <w:smallCaps w:val="0"/>
              <w:noProof/>
              <w:sz w:val="24"/>
              <w:szCs w:val="24"/>
              <w:rtl/>
              <w:lang w:eastAsia="en-US"/>
            </w:rPr>
          </w:pPr>
          <w:hyperlink w:anchor="_Toc421697072" w:history="1">
            <w:r w:rsidR="00A50C7B" w:rsidRPr="00A50C7B">
              <w:rPr>
                <w:rStyle w:val="Hyperlink"/>
                <w:noProof/>
                <w:sz w:val="24"/>
                <w:szCs w:val="24"/>
                <w:rtl/>
              </w:rPr>
              <w:t xml:space="preserve">3.5. </w:t>
            </w:r>
            <w:r w:rsidR="00A50C7B" w:rsidRPr="00A50C7B">
              <w:rPr>
                <w:rStyle w:val="Hyperlink"/>
                <w:rFonts w:hint="eastAsia"/>
                <w:noProof/>
                <w:sz w:val="24"/>
                <w:szCs w:val="24"/>
                <w:rtl/>
              </w:rPr>
              <w:t>משרד</w:t>
            </w:r>
            <w:r w:rsidR="00A50C7B" w:rsidRPr="00A50C7B">
              <w:rPr>
                <w:rStyle w:val="Hyperlink"/>
                <w:noProof/>
                <w:sz w:val="24"/>
                <w:szCs w:val="24"/>
                <w:rtl/>
              </w:rPr>
              <w:t xml:space="preserve"> </w:t>
            </w:r>
            <w:r w:rsidR="00A50C7B" w:rsidRPr="00A50C7B">
              <w:rPr>
                <w:rStyle w:val="Hyperlink"/>
                <w:rFonts w:hint="eastAsia"/>
                <w:noProof/>
                <w:sz w:val="24"/>
                <w:szCs w:val="24"/>
                <w:rtl/>
              </w:rPr>
              <w:t>הרווחה</w:t>
            </w:r>
            <w:r w:rsidR="00A50C7B" w:rsidRPr="00A50C7B">
              <w:rPr>
                <w:rStyle w:val="Hyperlink"/>
                <w:noProof/>
                <w:sz w:val="24"/>
                <w:szCs w:val="24"/>
                <w:rtl/>
              </w:rPr>
              <w:t xml:space="preserve"> </w:t>
            </w:r>
            <w:r w:rsidR="00A50C7B" w:rsidRPr="00A50C7B">
              <w:rPr>
                <w:rStyle w:val="Hyperlink"/>
                <w:rFonts w:hint="eastAsia"/>
                <w:noProof/>
                <w:sz w:val="24"/>
                <w:szCs w:val="24"/>
                <w:rtl/>
              </w:rPr>
              <w:t>והשירותים</w:t>
            </w:r>
            <w:r w:rsidR="00A50C7B" w:rsidRPr="00A50C7B">
              <w:rPr>
                <w:rStyle w:val="Hyperlink"/>
                <w:noProof/>
                <w:sz w:val="24"/>
                <w:szCs w:val="24"/>
                <w:rtl/>
              </w:rPr>
              <w:t xml:space="preserve"> </w:t>
            </w:r>
            <w:r w:rsidR="00A50C7B" w:rsidRPr="00A50C7B">
              <w:rPr>
                <w:rStyle w:val="Hyperlink"/>
                <w:rFonts w:hint="eastAsia"/>
                <w:noProof/>
                <w:sz w:val="24"/>
                <w:szCs w:val="24"/>
                <w:rtl/>
              </w:rPr>
              <w:t>החברתיים</w:t>
            </w:r>
            <w:r w:rsidR="00A50C7B" w:rsidRPr="00A50C7B">
              <w:rPr>
                <w:noProof/>
                <w:webHidden/>
                <w:sz w:val="24"/>
                <w:szCs w:val="24"/>
                <w:rtl/>
              </w:rPr>
              <w:tab/>
            </w:r>
            <w:r w:rsidR="00A50C7B" w:rsidRPr="00A50C7B">
              <w:rPr>
                <w:noProof/>
                <w:webHidden/>
                <w:sz w:val="24"/>
                <w:szCs w:val="24"/>
                <w:rtl/>
              </w:rPr>
              <w:fldChar w:fldCharType="begin"/>
            </w:r>
            <w:r w:rsidR="00A50C7B" w:rsidRPr="00A50C7B">
              <w:rPr>
                <w:noProof/>
                <w:webHidden/>
                <w:sz w:val="24"/>
                <w:szCs w:val="24"/>
                <w:rtl/>
              </w:rPr>
              <w:instrText xml:space="preserve"> </w:instrText>
            </w:r>
            <w:r w:rsidR="00A50C7B" w:rsidRPr="00A50C7B">
              <w:rPr>
                <w:noProof/>
                <w:webHidden/>
                <w:sz w:val="24"/>
                <w:szCs w:val="24"/>
              </w:rPr>
              <w:instrText>PAGEREF</w:instrText>
            </w:r>
            <w:r w:rsidR="00A50C7B" w:rsidRPr="00A50C7B">
              <w:rPr>
                <w:noProof/>
                <w:webHidden/>
                <w:sz w:val="24"/>
                <w:szCs w:val="24"/>
                <w:rtl/>
              </w:rPr>
              <w:instrText xml:space="preserve"> _</w:instrText>
            </w:r>
            <w:r w:rsidR="00A50C7B" w:rsidRPr="00A50C7B">
              <w:rPr>
                <w:noProof/>
                <w:webHidden/>
                <w:sz w:val="24"/>
                <w:szCs w:val="24"/>
              </w:rPr>
              <w:instrText>Toc421697072 \h</w:instrText>
            </w:r>
            <w:r w:rsidR="00A50C7B" w:rsidRPr="00A50C7B">
              <w:rPr>
                <w:noProof/>
                <w:webHidden/>
                <w:sz w:val="24"/>
                <w:szCs w:val="24"/>
                <w:rtl/>
              </w:rPr>
              <w:instrText xml:space="preserve"> </w:instrText>
            </w:r>
            <w:r w:rsidR="00A50C7B" w:rsidRPr="00A50C7B">
              <w:rPr>
                <w:noProof/>
                <w:webHidden/>
                <w:sz w:val="24"/>
                <w:szCs w:val="24"/>
                <w:rtl/>
              </w:rPr>
            </w:r>
            <w:r w:rsidR="00A50C7B" w:rsidRPr="00A50C7B">
              <w:rPr>
                <w:noProof/>
                <w:webHidden/>
                <w:sz w:val="24"/>
                <w:szCs w:val="24"/>
                <w:rtl/>
              </w:rPr>
              <w:fldChar w:fldCharType="separate"/>
            </w:r>
            <w:r w:rsidR="007347AB">
              <w:rPr>
                <w:noProof/>
                <w:webHidden/>
                <w:sz w:val="24"/>
                <w:szCs w:val="24"/>
                <w:rtl/>
              </w:rPr>
              <w:t>67</w:t>
            </w:r>
            <w:r w:rsidR="00A50C7B" w:rsidRPr="00A50C7B">
              <w:rPr>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73" w:history="1">
            <w:r w:rsidR="00A50C7B" w:rsidRPr="00A50C7B">
              <w:rPr>
                <w:rStyle w:val="Hyperlink"/>
                <w:b w:val="0"/>
                <w:bCs w:val="0"/>
                <w:noProof/>
                <w:sz w:val="24"/>
                <w:szCs w:val="24"/>
                <w:rtl/>
              </w:rPr>
              <w:t xml:space="preserve">3.5.1. </w:t>
            </w:r>
            <w:r w:rsidR="00A50C7B" w:rsidRPr="00A50C7B">
              <w:rPr>
                <w:rStyle w:val="Hyperlink"/>
                <w:rFonts w:hint="eastAsia"/>
                <w:b w:val="0"/>
                <w:bCs w:val="0"/>
                <w:noProof/>
                <w:sz w:val="24"/>
                <w:szCs w:val="24"/>
                <w:rtl/>
              </w:rPr>
              <w:t>השירות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לטיפול</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בהתמכרויות</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Toc421697073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67</w:t>
            </w:r>
            <w:r w:rsidR="00A50C7B" w:rsidRPr="00A50C7B">
              <w:rPr>
                <w:b w:val="0"/>
                <w:bCs w:val="0"/>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74" w:history="1">
            <w:r w:rsidR="00A50C7B" w:rsidRPr="00A50C7B">
              <w:rPr>
                <w:rStyle w:val="Hyperlink"/>
                <w:b w:val="0"/>
                <w:bCs w:val="0"/>
                <w:noProof/>
                <w:sz w:val="24"/>
                <w:szCs w:val="24"/>
                <w:rtl/>
              </w:rPr>
              <w:t xml:space="preserve">3.5.2. </w:t>
            </w:r>
            <w:r w:rsidR="00A50C7B" w:rsidRPr="00A50C7B">
              <w:rPr>
                <w:rStyle w:val="Hyperlink"/>
                <w:rFonts w:hint="eastAsia"/>
                <w:b w:val="0"/>
                <w:bCs w:val="0"/>
                <w:noProof/>
                <w:sz w:val="24"/>
                <w:szCs w:val="24"/>
                <w:rtl/>
              </w:rPr>
              <w:t>התוכנית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הלאומית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לילדים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ובני</w:t>
            </w:r>
            <w:r w:rsidR="00A50C7B" w:rsidRPr="00A50C7B">
              <w:rPr>
                <w:rStyle w:val="Hyperlink"/>
                <w:b w:val="0"/>
                <w:bCs w:val="0"/>
                <w:noProof/>
                <w:sz w:val="24"/>
                <w:szCs w:val="24"/>
                <w:rtl/>
              </w:rPr>
              <w:t>-</w:t>
            </w:r>
            <w:r w:rsidR="00A50C7B" w:rsidRPr="00A50C7B">
              <w:rPr>
                <w:rStyle w:val="Hyperlink"/>
                <w:rFonts w:hint="eastAsia"/>
                <w:b w:val="0"/>
                <w:bCs w:val="0"/>
                <w:noProof/>
                <w:sz w:val="24"/>
                <w:szCs w:val="24"/>
                <w:rtl/>
              </w:rPr>
              <w:t>נוער</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בסיכון</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Toc421697074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72</w:t>
            </w:r>
            <w:r w:rsidR="00A50C7B" w:rsidRPr="00A50C7B">
              <w:rPr>
                <w:b w:val="0"/>
                <w:bCs w:val="0"/>
                <w:noProof/>
                <w:webHidden/>
                <w:sz w:val="24"/>
                <w:szCs w:val="24"/>
                <w:rtl/>
              </w:rPr>
              <w:fldChar w:fldCharType="end"/>
            </w:r>
          </w:hyperlink>
        </w:p>
        <w:p w:rsidR="00A50C7B" w:rsidRPr="00A50C7B" w:rsidRDefault="002113EA">
          <w:pPr>
            <w:pStyle w:val="TOC2"/>
            <w:rPr>
              <w:rFonts w:asciiTheme="minorHAnsi" w:eastAsiaTheme="minorEastAsia" w:hAnsiTheme="minorHAnsi" w:cstheme="minorBidi"/>
              <w:b w:val="0"/>
              <w:bCs w:val="0"/>
              <w:smallCaps w:val="0"/>
              <w:noProof/>
              <w:sz w:val="24"/>
              <w:szCs w:val="24"/>
              <w:rtl/>
              <w:lang w:eastAsia="en-US"/>
            </w:rPr>
          </w:pPr>
          <w:hyperlink w:anchor="_Toc421697075" w:history="1">
            <w:r w:rsidR="00A50C7B" w:rsidRPr="00A50C7B">
              <w:rPr>
                <w:rStyle w:val="Hyperlink"/>
                <w:noProof/>
                <w:sz w:val="24"/>
                <w:szCs w:val="24"/>
                <w:rtl/>
              </w:rPr>
              <w:t xml:space="preserve">3.6. </w:t>
            </w:r>
            <w:r w:rsidR="00A50C7B" w:rsidRPr="00A50C7B">
              <w:rPr>
                <w:rStyle w:val="Hyperlink"/>
                <w:rFonts w:hint="eastAsia"/>
                <w:noProof/>
                <w:sz w:val="24"/>
                <w:szCs w:val="24"/>
                <w:rtl/>
              </w:rPr>
              <w:t>משרד</w:t>
            </w:r>
            <w:r w:rsidR="00A50C7B" w:rsidRPr="00A50C7B">
              <w:rPr>
                <w:rStyle w:val="Hyperlink"/>
                <w:noProof/>
                <w:sz w:val="24"/>
                <w:szCs w:val="24"/>
                <w:rtl/>
              </w:rPr>
              <w:t xml:space="preserve"> </w:t>
            </w:r>
            <w:r w:rsidR="00A50C7B" w:rsidRPr="00A50C7B">
              <w:rPr>
                <w:rStyle w:val="Hyperlink"/>
                <w:rFonts w:hint="eastAsia"/>
                <w:noProof/>
                <w:sz w:val="24"/>
                <w:szCs w:val="24"/>
                <w:rtl/>
              </w:rPr>
              <w:t>החינוך</w:t>
            </w:r>
            <w:r w:rsidR="00A50C7B" w:rsidRPr="00A50C7B">
              <w:rPr>
                <w:noProof/>
                <w:webHidden/>
                <w:sz w:val="24"/>
                <w:szCs w:val="24"/>
                <w:rtl/>
              </w:rPr>
              <w:tab/>
            </w:r>
            <w:r w:rsidR="00A50C7B" w:rsidRPr="00A50C7B">
              <w:rPr>
                <w:noProof/>
                <w:webHidden/>
                <w:sz w:val="24"/>
                <w:szCs w:val="24"/>
                <w:rtl/>
              </w:rPr>
              <w:fldChar w:fldCharType="begin"/>
            </w:r>
            <w:r w:rsidR="00A50C7B" w:rsidRPr="00A50C7B">
              <w:rPr>
                <w:noProof/>
                <w:webHidden/>
                <w:sz w:val="24"/>
                <w:szCs w:val="24"/>
                <w:rtl/>
              </w:rPr>
              <w:instrText xml:space="preserve"> </w:instrText>
            </w:r>
            <w:r w:rsidR="00A50C7B" w:rsidRPr="00A50C7B">
              <w:rPr>
                <w:noProof/>
                <w:webHidden/>
                <w:sz w:val="24"/>
                <w:szCs w:val="24"/>
              </w:rPr>
              <w:instrText>PAGEREF</w:instrText>
            </w:r>
            <w:r w:rsidR="00A50C7B" w:rsidRPr="00A50C7B">
              <w:rPr>
                <w:noProof/>
                <w:webHidden/>
                <w:sz w:val="24"/>
                <w:szCs w:val="24"/>
                <w:rtl/>
              </w:rPr>
              <w:instrText xml:space="preserve"> _</w:instrText>
            </w:r>
            <w:r w:rsidR="00A50C7B" w:rsidRPr="00A50C7B">
              <w:rPr>
                <w:noProof/>
                <w:webHidden/>
                <w:sz w:val="24"/>
                <w:szCs w:val="24"/>
              </w:rPr>
              <w:instrText>Toc421697075 \h</w:instrText>
            </w:r>
            <w:r w:rsidR="00A50C7B" w:rsidRPr="00A50C7B">
              <w:rPr>
                <w:noProof/>
                <w:webHidden/>
                <w:sz w:val="24"/>
                <w:szCs w:val="24"/>
                <w:rtl/>
              </w:rPr>
              <w:instrText xml:space="preserve"> </w:instrText>
            </w:r>
            <w:r w:rsidR="00A50C7B" w:rsidRPr="00A50C7B">
              <w:rPr>
                <w:noProof/>
                <w:webHidden/>
                <w:sz w:val="24"/>
                <w:szCs w:val="24"/>
                <w:rtl/>
              </w:rPr>
            </w:r>
            <w:r w:rsidR="00A50C7B" w:rsidRPr="00A50C7B">
              <w:rPr>
                <w:noProof/>
                <w:webHidden/>
                <w:sz w:val="24"/>
                <w:szCs w:val="24"/>
                <w:rtl/>
              </w:rPr>
              <w:fldChar w:fldCharType="separate"/>
            </w:r>
            <w:r w:rsidR="007347AB">
              <w:rPr>
                <w:noProof/>
                <w:webHidden/>
                <w:sz w:val="24"/>
                <w:szCs w:val="24"/>
                <w:rtl/>
              </w:rPr>
              <w:t>73</w:t>
            </w:r>
            <w:r w:rsidR="00A50C7B" w:rsidRPr="00A50C7B">
              <w:rPr>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76" w:history="1">
            <w:r w:rsidR="00A50C7B" w:rsidRPr="00A50C7B">
              <w:rPr>
                <w:rStyle w:val="Hyperlink"/>
                <w:b w:val="0"/>
                <w:bCs w:val="0"/>
                <w:noProof/>
                <w:sz w:val="24"/>
                <w:szCs w:val="24"/>
                <w:rtl/>
              </w:rPr>
              <w:t xml:space="preserve">3.6.1. </w:t>
            </w:r>
            <w:r w:rsidR="00A50C7B" w:rsidRPr="00A50C7B">
              <w:rPr>
                <w:rStyle w:val="Hyperlink"/>
                <w:rFonts w:hint="eastAsia"/>
                <w:b w:val="0"/>
                <w:bCs w:val="0"/>
                <w:noProof/>
                <w:sz w:val="24"/>
                <w:szCs w:val="24"/>
                <w:rtl/>
              </w:rPr>
              <w:t>תוכניות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במסגרות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החינוך</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הפורמלי</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היחידה</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למניעת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סמים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אלכוהול</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וטבק</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Toc421697076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74</w:t>
            </w:r>
            <w:r w:rsidR="00A50C7B" w:rsidRPr="00A50C7B">
              <w:rPr>
                <w:b w:val="0"/>
                <w:bCs w:val="0"/>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77" w:history="1">
            <w:r w:rsidR="00A50C7B" w:rsidRPr="00A50C7B">
              <w:rPr>
                <w:rStyle w:val="Hyperlink"/>
                <w:b w:val="0"/>
                <w:bCs w:val="0"/>
                <w:noProof/>
                <w:sz w:val="24"/>
                <w:szCs w:val="24"/>
                <w:rtl/>
              </w:rPr>
              <w:t xml:space="preserve">3.6.2. </w:t>
            </w:r>
            <w:r w:rsidR="00A50C7B" w:rsidRPr="00A50C7B">
              <w:rPr>
                <w:rStyle w:val="Hyperlink"/>
                <w:rFonts w:hint="eastAsia"/>
                <w:b w:val="0"/>
                <w:bCs w:val="0"/>
                <w:noProof/>
                <w:sz w:val="24"/>
                <w:szCs w:val="24"/>
                <w:rtl/>
              </w:rPr>
              <w:t>תוכניות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במסגרות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החינוך</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הבלתי</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פורמלי</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האגף</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הקהילתי</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חברתי</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Toc421697077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75</w:t>
            </w:r>
            <w:r w:rsidR="00A50C7B" w:rsidRPr="00A50C7B">
              <w:rPr>
                <w:b w:val="0"/>
                <w:bCs w:val="0"/>
                <w:noProof/>
                <w:webHidden/>
                <w:sz w:val="24"/>
                <w:szCs w:val="24"/>
                <w:rtl/>
              </w:rPr>
              <w:fldChar w:fldCharType="end"/>
            </w:r>
          </w:hyperlink>
        </w:p>
        <w:p w:rsidR="00A50C7B" w:rsidRPr="00A50C7B" w:rsidRDefault="002113EA">
          <w:pPr>
            <w:pStyle w:val="TOC3"/>
            <w:rPr>
              <w:rFonts w:asciiTheme="minorHAnsi" w:eastAsiaTheme="minorEastAsia" w:hAnsiTheme="minorHAnsi" w:cstheme="minorBidi"/>
              <w:b w:val="0"/>
              <w:bCs w:val="0"/>
              <w:smallCaps w:val="0"/>
              <w:noProof/>
              <w:sz w:val="24"/>
              <w:szCs w:val="24"/>
              <w:rtl/>
              <w:lang w:eastAsia="en-US"/>
            </w:rPr>
          </w:pPr>
          <w:hyperlink w:anchor="_Toc421697078" w:history="1">
            <w:r w:rsidR="00A50C7B" w:rsidRPr="00A50C7B">
              <w:rPr>
                <w:rStyle w:val="Hyperlink"/>
                <w:b w:val="0"/>
                <w:bCs w:val="0"/>
                <w:noProof/>
                <w:sz w:val="24"/>
                <w:szCs w:val="24"/>
                <w:rtl/>
              </w:rPr>
              <w:t xml:space="preserve">3.6.3. </w:t>
            </w:r>
            <w:r w:rsidR="00A50C7B" w:rsidRPr="00A50C7B">
              <w:rPr>
                <w:rStyle w:val="Hyperlink"/>
                <w:rFonts w:hint="eastAsia"/>
                <w:b w:val="0"/>
                <w:bCs w:val="0"/>
                <w:noProof/>
                <w:sz w:val="24"/>
                <w:szCs w:val="24"/>
                <w:rtl/>
              </w:rPr>
              <w:t>תוכניות</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עבור</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נוער</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בסיכון</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ונוער</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מנותק</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האגף</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לקידום</w:t>
            </w:r>
            <w:r w:rsidR="00A50C7B" w:rsidRPr="00A50C7B">
              <w:rPr>
                <w:rStyle w:val="Hyperlink"/>
                <w:b w:val="0"/>
                <w:bCs w:val="0"/>
                <w:noProof/>
                <w:sz w:val="24"/>
                <w:szCs w:val="24"/>
                <w:rtl/>
              </w:rPr>
              <w:t xml:space="preserve"> </w:t>
            </w:r>
            <w:r w:rsidR="00A50C7B" w:rsidRPr="00A50C7B">
              <w:rPr>
                <w:rStyle w:val="Hyperlink"/>
                <w:rFonts w:hint="eastAsia"/>
                <w:b w:val="0"/>
                <w:bCs w:val="0"/>
                <w:noProof/>
                <w:sz w:val="24"/>
                <w:szCs w:val="24"/>
                <w:rtl/>
              </w:rPr>
              <w:t>נוער</w:t>
            </w:r>
            <w:r w:rsidR="00A50C7B" w:rsidRPr="00A50C7B">
              <w:rPr>
                <w:b w:val="0"/>
                <w:bCs w:val="0"/>
                <w:noProof/>
                <w:webHidden/>
                <w:sz w:val="24"/>
                <w:szCs w:val="24"/>
                <w:rtl/>
              </w:rPr>
              <w:tab/>
            </w:r>
            <w:r w:rsidR="00A50C7B" w:rsidRPr="00A50C7B">
              <w:rPr>
                <w:b w:val="0"/>
                <w:bCs w:val="0"/>
                <w:noProof/>
                <w:webHidden/>
                <w:sz w:val="24"/>
                <w:szCs w:val="24"/>
                <w:rtl/>
              </w:rPr>
              <w:fldChar w:fldCharType="begin"/>
            </w:r>
            <w:r w:rsidR="00A50C7B" w:rsidRPr="00A50C7B">
              <w:rPr>
                <w:b w:val="0"/>
                <w:bCs w:val="0"/>
                <w:noProof/>
                <w:webHidden/>
                <w:sz w:val="24"/>
                <w:szCs w:val="24"/>
                <w:rtl/>
              </w:rPr>
              <w:instrText xml:space="preserve"> </w:instrText>
            </w:r>
            <w:r w:rsidR="00A50C7B" w:rsidRPr="00A50C7B">
              <w:rPr>
                <w:b w:val="0"/>
                <w:bCs w:val="0"/>
                <w:noProof/>
                <w:webHidden/>
                <w:sz w:val="24"/>
                <w:szCs w:val="24"/>
              </w:rPr>
              <w:instrText>PAGEREF</w:instrText>
            </w:r>
            <w:r w:rsidR="00A50C7B" w:rsidRPr="00A50C7B">
              <w:rPr>
                <w:b w:val="0"/>
                <w:bCs w:val="0"/>
                <w:noProof/>
                <w:webHidden/>
                <w:sz w:val="24"/>
                <w:szCs w:val="24"/>
                <w:rtl/>
              </w:rPr>
              <w:instrText xml:space="preserve"> _</w:instrText>
            </w:r>
            <w:r w:rsidR="00A50C7B" w:rsidRPr="00A50C7B">
              <w:rPr>
                <w:b w:val="0"/>
                <w:bCs w:val="0"/>
                <w:noProof/>
                <w:webHidden/>
                <w:sz w:val="24"/>
                <w:szCs w:val="24"/>
              </w:rPr>
              <w:instrText>Toc421697078 \h</w:instrText>
            </w:r>
            <w:r w:rsidR="00A50C7B" w:rsidRPr="00A50C7B">
              <w:rPr>
                <w:b w:val="0"/>
                <w:bCs w:val="0"/>
                <w:noProof/>
                <w:webHidden/>
                <w:sz w:val="24"/>
                <w:szCs w:val="24"/>
                <w:rtl/>
              </w:rPr>
              <w:instrText xml:space="preserve"> </w:instrText>
            </w:r>
            <w:r w:rsidR="00A50C7B" w:rsidRPr="00A50C7B">
              <w:rPr>
                <w:b w:val="0"/>
                <w:bCs w:val="0"/>
                <w:noProof/>
                <w:webHidden/>
                <w:sz w:val="24"/>
                <w:szCs w:val="24"/>
                <w:rtl/>
              </w:rPr>
            </w:r>
            <w:r w:rsidR="00A50C7B" w:rsidRPr="00A50C7B">
              <w:rPr>
                <w:b w:val="0"/>
                <w:bCs w:val="0"/>
                <w:noProof/>
                <w:webHidden/>
                <w:sz w:val="24"/>
                <w:szCs w:val="24"/>
                <w:rtl/>
              </w:rPr>
              <w:fldChar w:fldCharType="separate"/>
            </w:r>
            <w:r w:rsidR="007347AB">
              <w:rPr>
                <w:b w:val="0"/>
                <w:bCs w:val="0"/>
                <w:noProof/>
                <w:webHidden/>
                <w:sz w:val="24"/>
                <w:szCs w:val="24"/>
                <w:rtl/>
              </w:rPr>
              <w:t>75</w:t>
            </w:r>
            <w:r w:rsidR="00A50C7B" w:rsidRPr="00A50C7B">
              <w:rPr>
                <w:b w:val="0"/>
                <w:bCs w:val="0"/>
                <w:noProof/>
                <w:webHidden/>
                <w:sz w:val="24"/>
                <w:szCs w:val="24"/>
                <w:rtl/>
              </w:rPr>
              <w:fldChar w:fldCharType="end"/>
            </w:r>
          </w:hyperlink>
        </w:p>
        <w:p w:rsidR="00A50C7B" w:rsidRPr="00A50C7B" w:rsidRDefault="002113EA">
          <w:pPr>
            <w:pStyle w:val="TOC1"/>
            <w:rPr>
              <w:rFonts w:asciiTheme="minorHAnsi" w:eastAsiaTheme="minorEastAsia" w:hAnsiTheme="minorHAnsi" w:cstheme="minorBidi"/>
              <w:b w:val="0"/>
              <w:bCs w:val="0"/>
              <w:caps w:val="0"/>
              <w:noProof/>
              <w:sz w:val="24"/>
              <w:szCs w:val="24"/>
              <w:u w:val="none"/>
              <w:rtl/>
              <w:lang w:eastAsia="en-US"/>
            </w:rPr>
          </w:pPr>
          <w:hyperlink w:anchor="_Toc421697079" w:history="1">
            <w:r w:rsidR="00A50C7B" w:rsidRPr="00A50C7B">
              <w:rPr>
                <w:rStyle w:val="Hyperlink"/>
                <w:noProof/>
                <w:sz w:val="24"/>
                <w:szCs w:val="24"/>
                <w:rtl/>
              </w:rPr>
              <w:t xml:space="preserve">4. </w:t>
            </w:r>
            <w:r w:rsidR="00A50C7B" w:rsidRPr="00A50C7B">
              <w:rPr>
                <w:rStyle w:val="Hyperlink"/>
                <w:rFonts w:hint="eastAsia"/>
                <w:noProof/>
                <w:sz w:val="24"/>
                <w:szCs w:val="24"/>
                <w:rtl/>
              </w:rPr>
              <w:t>מקורות</w:t>
            </w:r>
            <w:r w:rsidR="00A50C7B" w:rsidRPr="00A50C7B">
              <w:rPr>
                <w:noProof/>
                <w:webHidden/>
                <w:sz w:val="24"/>
                <w:szCs w:val="24"/>
                <w:rtl/>
              </w:rPr>
              <w:tab/>
            </w:r>
            <w:r w:rsidR="00A50C7B" w:rsidRPr="00A50C7B">
              <w:rPr>
                <w:noProof/>
                <w:webHidden/>
                <w:sz w:val="24"/>
                <w:szCs w:val="24"/>
                <w:rtl/>
              </w:rPr>
              <w:fldChar w:fldCharType="begin"/>
            </w:r>
            <w:r w:rsidR="00A50C7B" w:rsidRPr="00A50C7B">
              <w:rPr>
                <w:noProof/>
                <w:webHidden/>
                <w:sz w:val="24"/>
                <w:szCs w:val="24"/>
                <w:rtl/>
              </w:rPr>
              <w:instrText xml:space="preserve"> </w:instrText>
            </w:r>
            <w:r w:rsidR="00A50C7B" w:rsidRPr="00A50C7B">
              <w:rPr>
                <w:noProof/>
                <w:webHidden/>
                <w:sz w:val="24"/>
                <w:szCs w:val="24"/>
              </w:rPr>
              <w:instrText>PAGEREF</w:instrText>
            </w:r>
            <w:r w:rsidR="00A50C7B" w:rsidRPr="00A50C7B">
              <w:rPr>
                <w:noProof/>
                <w:webHidden/>
                <w:sz w:val="24"/>
                <w:szCs w:val="24"/>
                <w:rtl/>
              </w:rPr>
              <w:instrText xml:space="preserve"> _</w:instrText>
            </w:r>
            <w:r w:rsidR="00A50C7B" w:rsidRPr="00A50C7B">
              <w:rPr>
                <w:noProof/>
                <w:webHidden/>
                <w:sz w:val="24"/>
                <w:szCs w:val="24"/>
              </w:rPr>
              <w:instrText>Toc421697079 \h</w:instrText>
            </w:r>
            <w:r w:rsidR="00A50C7B" w:rsidRPr="00A50C7B">
              <w:rPr>
                <w:noProof/>
                <w:webHidden/>
                <w:sz w:val="24"/>
                <w:szCs w:val="24"/>
                <w:rtl/>
              </w:rPr>
              <w:instrText xml:space="preserve"> </w:instrText>
            </w:r>
            <w:r w:rsidR="00A50C7B" w:rsidRPr="00A50C7B">
              <w:rPr>
                <w:noProof/>
                <w:webHidden/>
                <w:sz w:val="24"/>
                <w:szCs w:val="24"/>
                <w:rtl/>
              </w:rPr>
            </w:r>
            <w:r w:rsidR="00A50C7B" w:rsidRPr="00A50C7B">
              <w:rPr>
                <w:noProof/>
                <w:webHidden/>
                <w:sz w:val="24"/>
                <w:szCs w:val="24"/>
                <w:rtl/>
              </w:rPr>
              <w:fldChar w:fldCharType="separate"/>
            </w:r>
            <w:r w:rsidR="007347AB">
              <w:rPr>
                <w:noProof/>
                <w:webHidden/>
                <w:sz w:val="24"/>
                <w:szCs w:val="24"/>
                <w:rtl/>
              </w:rPr>
              <w:t>76</w:t>
            </w:r>
            <w:r w:rsidR="00A50C7B" w:rsidRPr="00A50C7B">
              <w:rPr>
                <w:noProof/>
                <w:webHidden/>
                <w:sz w:val="24"/>
                <w:szCs w:val="24"/>
                <w:rtl/>
              </w:rPr>
              <w:fldChar w:fldCharType="end"/>
            </w:r>
          </w:hyperlink>
        </w:p>
        <w:p w:rsidR="004857EC" w:rsidRDefault="00F3448E">
          <w:r>
            <w:rPr>
              <w:b/>
              <w:bCs/>
              <w:noProof/>
            </w:rPr>
            <w:fldChar w:fldCharType="end"/>
          </w:r>
        </w:p>
      </w:sdtContent>
    </w:sdt>
    <w:p w:rsidR="004B6DFF" w:rsidRPr="00BB6388" w:rsidRDefault="004B6DFF" w:rsidP="004857EC">
      <w:pPr>
        <w:spacing w:before="0" w:after="0" w:line="360" w:lineRule="auto"/>
        <w:jc w:val="left"/>
      </w:pPr>
    </w:p>
    <w:p w:rsidR="001C041C" w:rsidRDefault="001C041C">
      <w:pPr>
        <w:bidi w:val="0"/>
        <w:spacing w:before="0" w:after="0" w:line="240" w:lineRule="auto"/>
        <w:jc w:val="left"/>
        <w:rPr>
          <w:b/>
          <w:bCs/>
          <w:sz w:val="32"/>
          <w:szCs w:val="32"/>
        </w:rPr>
      </w:pPr>
      <w:bookmarkStart w:id="13" w:name="_Toc418585063"/>
      <w:bookmarkStart w:id="14" w:name="_Toc419054649"/>
      <w:bookmarkStart w:id="15" w:name="_Toc419959691"/>
      <w:bookmarkStart w:id="16" w:name="_Toc419963013"/>
      <w:bookmarkStart w:id="17" w:name="_Toc419963262"/>
      <w:r>
        <w:rPr>
          <w:rtl/>
        </w:rPr>
        <w:br w:type="page"/>
      </w:r>
    </w:p>
    <w:p w:rsidR="00AC0DD9" w:rsidRPr="00BB6388" w:rsidRDefault="00026BCE" w:rsidP="00286B44">
      <w:pPr>
        <w:pStyle w:val="10"/>
        <w:numPr>
          <w:ilvl w:val="0"/>
          <w:numId w:val="0"/>
        </w:numPr>
        <w:ind w:left="364" w:hanging="360"/>
        <w:rPr>
          <w:rtl/>
        </w:rPr>
      </w:pPr>
      <w:bookmarkStart w:id="18" w:name="_Toc421697028"/>
      <w:r w:rsidRPr="00BB6388">
        <w:rPr>
          <w:rFonts w:hint="cs"/>
          <w:rtl/>
        </w:rPr>
        <w:lastRenderedPageBreak/>
        <w:t>מבוא</w:t>
      </w:r>
      <w:bookmarkEnd w:id="13"/>
      <w:bookmarkEnd w:id="14"/>
      <w:bookmarkEnd w:id="15"/>
      <w:bookmarkEnd w:id="16"/>
      <w:bookmarkEnd w:id="17"/>
      <w:bookmarkEnd w:id="18"/>
      <w:r w:rsidR="00D10D36" w:rsidRPr="00BB6388">
        <w:rPr>
          <w:rFonts w:hint="cs"/>
          <w:rtl/>
        </w:rPr>
        <w:t xml:space="preserve"> </w:t>
      </w:r>
    </w:p>
    <w:p w:rsidR="00F95C1D" w:rsidRPr="00BB6388" w:rsidRDefault="00F0640A" w:rsidP="00515D70">
      <w:pPr>
        <w:pStyle w:val="a2"/>
        <w:spacing w:line="360" w:lineRule="auto"/>
        <w:rPr>
          <w:rtl/>
        </w:rPr>
      </w:pPr>
      <w:r w:rsidRPr="00BB6388">
        <w:rPr>
          <w:rFonts w:hint="cs"/>
          <w:sz w:val="22"/>
          <w:rtl/>
        </w:rPr>
        <w:t xml:space="preserve">מסמך זה נכתב עבור  </w:t>
      </w:r>
      <w:r w:rsidR="00D71DE0">
        <w:rPr>
          <w:rFonts w:hint="cs"/>
          <w:sz w:val="22"/>
          <w:rtl/>
        </w:rPr>
        <w:t>הוועדה למאבק בנגע</w:t>
      </w:r>
      <w:r w:rsidR="00C75311">
        <w:rPr>
          <w:rFonts w:hint="cs"/>
          <w:sz w:val="22"/>
          <w:rtl/>
        </w:rPr>
        <w:t>י</w:t>
      </w:r>
      <w:r w:rsidR="00D71DE0">
        <w:rPr>
          <w:rFonts w:hint="cs"/>
          <w:sz w:val="22"/>
          <w:rtl/>
        </w:rPr>
        <w:t xml:space="preserve"> הסמים ואלכוהול ב</w:t>
      </w:r>
      <w:r w:rsidRPr="00BB6388">
        <w:rPr>
          <w:rFonts w:hint="cs"/>
          <w:sz w:val="22"/>
          <w:rtl/>
        </w:rPr>
        <w:t xml:space="preserve">כנסת </w:t>
      </w:r>
      <w:r w:rsidR="00C82F4C" w:rsidRPr="00BB6388">
        <w:rPr>
          <w:rFonts w:hint="cs"/>
          <w:sz w:val="22"/>
          <w:rtl/>
        </w:rPr>
        <w:t>העשרים</w:t>
      </w:r>
      <w:r w:rsidRPr="00BB6388">
        <w:rPr>
          <w:rFonts w:hint="cs"/>
          <w:sz w:val="22"/>
          <w:rtl/>
        </w:rPr>
        <w:t xml:space="preserve"> והוא מציג </w:t>
      </w:r>
      <w:r w:rsidR="006A7549" w:rsidRPr="00BB6388">
        <w:rPr>
          <w:rFonts w:hint="cs"/>
          <w:sz w:val="22"/>
          <w:rtl/>
        </w:rPr>
        <w:t xml:space="preserve">סקירה של היבטים מרכזיים בתחום </w:t>
      </w:r>
      <w:r w:rsidR="003A6860" w:rsidRPr="00BB6388">
        <w:rPr>
          <w:rFonts w:hint="cs"/>
          <w:sz w:val="22"/>
          <w:rtl/>
        </w:rPr>
        <w:t>הסמים והאלכוהול</w:t>
      </w:r>
      <w:r w:rsidR="006A7549" w:rsidRPr="00BB6388">
        <w:rPr>
          <w:rFonts w:hint="cs"/>
          <w:sz w:val="22"/>
          <w:rtl/>
        </w:rPr>
        <w:t xml:space="preserve"> בישראל</w:t>
      </w:r>
      <w:r w:rsidRPr="00BB6388">
        <w:rPr>
          <w:rFonts w:hint="cs"/>
          <w:sz w:val="22"/>
          <w:rtl/>
        </w:rPr>
        <w:t xml:space="preserve">. </w:t>
      </w:r>
      <w:r w:rsidR="002C0371" w:rsidRPr="00BB6388">
        <w:rPr>
          <w:rtl/>
        </w:rPr>
        <w:t>במסמך יוצגו נתונים על היקף השימוש בסמים ובאלכוהול בארץ ובעולם, המסגרת החוקית המסדירה תחומים אלה</w:t>
      </w:r>
      <w:r w:rsidR="005A28AD">
        <w:rPr>
          <w:rFonts w:hint="cs"/>
          <w:rtl/>
        </w:rPr>
        <w:t xml:space="preserve"> בישראל</w:t>
      </w:r>
      <w:r w:rsidR="006E77FA" w:rsidRPr="00BB6388">
        <w:rPr>
          <w:rFonts w:hint="cs"/>
          <w:rtl/>
        </w:rPr>
        <w:t>, ו</w:t>
      </w:r>
      <w:r w:rsidR="005A28AD">
        <w:rPr>
          <w:rFonts w:hint="cs"/>
          <w:rtl/>
        </w:rPr>
        <w:t xml:space="preserve">סקירת </w:t>
      </w:r>
      <w:r w:rsidR="00A84B70" w:rsidRPr="00BB6388">
        <w:rPr>
          <w:rFonts w:hint="cs"/>
          <w:rtl/>
        </w:rPr>
        <w:t xml:space="preserve">עבודתם </w:t>
      </w:r>
      <w:r w:rsidR="002C0371" w:rsidRPr="00BB6388">
        <w:rPr>
          <w:rFonts w:hint="cs"/>
          <w:rtl/>
        </w:rPr>
        <w:t xml:space="preserve">של </w:t>
      </w:r>
      <w:r w:rsidR="00A84B70" w:rsidRPr="00BB6388">
        <w:rPr>
          <w:rFonts w:hint="cs"/>
          <w:rtl/>
        </w:rPr>
        <w:t>גופי המדינה השונים</w:t>
      </w:r>
      <w:r w:rsidR="005A28AD">
        <w:rPr>
          <w:rFonts w:hint="cs"/>
          <w:rtl/>
        </w:rPr>
        <w:t xml:space="preserve"> הפועלים בתחום</w:t>
      </w:r>
      <w:r w:rsidR="002C0371" w:rsidRPr="00BB6388">
        <w:rPr>
          <w:rtl/>
        </w:rPr>
        <w:t xml:space="preserve">. </w:t>
      </w:r>
    </w:p>
    <w:p w:rsidR="00E73D70" w:rsidRPr="009D13ED" w:rsidRDefault="002C0371" w:rsidP="00AF565C">
      <w:pPr>
        <w:pStyle w:val="a2"/>
        <w:spacing w:line="360" w:lineRule="auto"/>
      </w:pPr>
      <w:r w:rsidRPr="00BB6388">
        <w:rPr>
          <w:rFonts w:hint="cs"/>
          <w:rtl/>
        </w:rPr>
        <w:t>חומרים פסיכואקטיביים</w:t>
      </w:r>
      <w:r w:rsidR="00F54251" w:rsidRPr="00BB6388">
        <w:rPr>
          <w:rFonts w:hint="cs"/>
          <w:rtl/>
        </w:rPr>
        <w:t>, שהוא השם הכולל לסמים ואלכוהול יחדיו,</w:t>
      </w:r>
      <w:r w:rsidR="00F0640A" w:rsidRPr="00BB6388">
        <w:rPr>
          <w:rFonts w:hint="cs"/>
          <w:rtl/>
        </w:rPr>
        <w:t xml:space="preserve"> הם חומרים המוכנסים לגוף ומשפיעים על תהליכים נפשיים (חשיבה, רגשות, תפיסה</w:t>
      </w:r>
      <w:r w:rsidR="00271B29" w:rsidRPr="00BB6388">
        <w:rPr>
          <w:rFonts w:hint="cs"/>
          <w:rtl/>
        </w:rPr>
        <w:t xml:space="preserve"> </w:t>
      </w:r>
      <w:r w:rsidR="00F0640A" w:rsidRPr="00BB6388">
        <w:rPr>
          <w:rFonts w:hint="cs"/>
          <w:rtl/>
        </w:rPr>
        <w:t>והזיות) וגופניים (עוררות יתר, אטיות בתגובות ופגיעה ביציבות</w:t>
      </w:r>
      <w:r w:rsidR="00030AE4" w:rsidRPr="00BB6388">
        <w:rPr>
          <w:rFonts w:hint="cs"/>
          <w:rtl/>
        </w:rPr>
        <w:t>)</w:t>
      </w:r>
      <w:r w:rsidR="00FF7C66" w:rsidRPr="00BB6388">
        <w:rPr>
          <w:rFonts w:hint="cs"/>
          <w:rtl/>
        </w:rPr>
        <w:t>.</w:t>
      </w:r>
      <w:r w:rsidR="00F0640A" w:rsidRPr="00BB6388">
        <w:rPr>
          <w:rFonts w:hint="cs"/>
          <w:rtl/>
        </w:rPr>
        <w:t xml:space="preserve"> </w:t>
      </w:r>
      <w:r w:rsidR="00F36384" w:rsidRPr="00BB6388">
        <w:rPr>
          <w:rFonts w:hint="cs"/>
          <w:rtl/>
        </w:rPr>
        <w:t>חומרי</w:t>
      </w:r>
      <w:r w:rsidR="00410496" w:rsidRPr="00BB6388">
        <w:rPr>
          <w:rFonts w:hint="cs"/>
          <w:rtl/>
        </w:rPr>
        <w:t>ם</w:t>
      </w:r>
      <w:r w:rsidR="00F36384" w:rsidRPr="00BB6388">
        <w:rPr>
          <w:rFonts w:hint="cs"/>
          <w:rtl/>
        </w:rPr>
        <w:t xml:space="preserve"> פסיכואקטיביים שונים </w:t>
      </w:r>
      <w:r w:rsidR="00AF565C">
        <w:rPr>
          <w:rFonts w:hint="cs"/>
          <w:rtl/>
        </w:rPr>
        <w:t>הם בעלי השפעה שונה</w:t>
      </w:r>
      <w:r w:rsidR="00F36384" w:rsidRPr="00BB6388">
        <w:rPr>
          <w:rFonts w:hint="cs"/>
          <w:rtl/>
        </w:rPr>
        <w:t xml:space="preserve"> על המשתמש, </w:t>
      </w:r>
      <w:r w:rsidR="005A28AD">
        <w:rPr>
          <w:rFonts w:hint="cs"/>
          <w:rtl/>
        </w:rPr>
        <w:t>וניתן</w:t>
      </w:r>
      <w:r w:rsidR="00F36384" w:rsidRPr="00BB6388">
        <w:rPr>
          <w:rFonts w:hint="cs"/>
          <w:rtl/>
        </w:rPr>
        <w:t xml:space="preserve"> לחלקם ל</w:t>
      </w:r>
      <w:r w:rsidR="00E73D70" w:rsidRPr="00BB6388">
        <w:rPr>
          <w:rtl/>
        </w:rPr>
        <w:t>ארבע קבוצות עיקריות:</w:t>
      </w:r>
      <w:r w:rsidR="009D13ED">
        <w:rPr>
          <w:rStyle w:val="ab"/>
          <w:rtl/>
        </w:rPr>
        <w:footnoteReference w:id="1"/>
      </w:r>
    </w:p>
    <w:p w:rsidR="00E73D70" w:rsidRPr="00BB6388" w:rsidRDefault="00E73D70" w:rsidP="00BB6388">
      <w:pPr>
        <w:pStyle w:val="a2"/>
        <w:numPr>
          <w:ilvl w:val="0"/>
          <w:numId w:val="7"/>
        </w:numPr>
        <w:spacing w:line="360" w:lineRule="auto"/>
      </w:pPr>
      <w:r w:rsidRPr="00BB6388">
        <w:rPr>
          <w:rFonts w:hint="cs"/>
          <w:rtl/>
        </w:rPr>
        <w:t>חומרים פסיכואקטיביים</w:t>
      </w:r>
      <w:r w:rsidRPr="00BB6388">
        <w:rPr>
          <w:rFonts w:hint="cs"/>
          <w:b/>
          <w:bCs/>
          <w:rtl/>
        </w:rPr>
        <w:t xml:space="preserve"> המדכאים את פעילותה של מערכת העצבים</w:t>
      </w:r>
      <w:r w:rsidR="00FF7C66" w:rsidRPr="00BB6388">
        <w:rPr>
          <w:rFonts w:hint="cs"/>
          <w:b/>
          <w:bCs/>
          <w:rtl/>
        </w:rPr>
        <w:t>,</w:t>
      </w:r>
      <w:r w:rsidRPr="00BB6388">
        <w:rPr>
          <w:rFonts w:hint="cs"/>
          <w:rtl/>
        </w:rPr>
        <w:t xml:space="preserve"> דוגמת אלכוהול, תרופות שינה ותרופות מרגיעות.</w:t>
      </w:r>
    </w:p>
    <w:p w:rsidR="006D2A2F" w:rsidRPr="00BB6388" w:rsidRDefault="006D2A2F" w:rsidP="00BB6388">
      <w:pPr>
        <w:pStyle w:val="a2"/>
        <w:numPr>
          <w:ilvl w:val="0"/>
          <w:numId w:val="7"/>
        </w:numPr>
        <w:spacing w:line="360" w:lineRule="auto"/>
      </w:pPr>
      <w:r w:rsidRPr="00BB6388">
        <w:rPr>
          <w:rFonts w:hint="cs"/>
          <w:rtl/>
        </w:rPr>
        <w:t>חומרים פסיכואקטיביים</w:t>
      </w:r>
      <w:r w:rsidRPr="00BB6388">
        <w:rPr>
          <w:rFonts w:hint="cs"/>
          <w:b/>
          <w:bCs/>
          <w:rtl/>
        </w:rPr>
        <w:t xml:space="preserve"> המעוררים וממריצים את פעילותה של מערכת העצבים,</w:t>
      </w:r>
      <w:r w:rsidRPr="00BB6388">
        <w:rPr>
          <w:rFonts w:hint="cs"/>
          <w:rtl/>
        </w:rPr>
        <w:t xml:space="preserve"> דוגמת קוקאין, קראק, אקסטזי, פופרס וחגיגת.</w:t>
      </w:r>
    </w:p>
    <w:p w:rsidR="006D2A2F" w:rsidRPr="00BB6388" w:rsidRDefault="006D2A2F" w:rsidP="00BB6388">
      <w:pPr>
        <w:pStyle w:val="a2"/>
        <w:numPr>
          <w:ilvl w:val="0"/>
          <w:numId w:val="7"/>
        </w:numPr>
        <w:spacing w:line="360" w:lineRule="auto"/>
      </w:pPr>
      <w:r w:rsidRPr="00F001A1">
        <w:rPr>
          <w:rFonts w:hint="cs"/>
          <w:rtl/>
        </w:rPr>
        <w:t>חומרים פסיכואקטיביים</w:t>
      </w:r>
      <w:r w:rsidRPr="00BB6388">
        <w:rPr>
          <w:rFonts w:hint="cs"/>
          <w:b/>
          <w:bCs/>
          <w:rtl/>
        </w:rPr>
        <w:t xml:space="preserve"> משככי כאבים,</w:t>
      </w:r>
      <w:r w:rsidRPr="00BB6388">
        <w:rPr>
          <w:rFonts w:hint="cs"/>
          <w:rtl/>
        </w:rPr>
        <w:t xml:space="preserve"> דוגמת הרואין, מורפין, קודאין ואופיום.</w:t>
      </w:r>
    </w:p>
    <w:p w:rsidR="00EC4295" w:rsidRPr="00BB6388" w:rsidRDefault="00E73D70" w:rsidP="00BB6388">
      <w:pPr>
        <w:pStyle w:val="a2"/>
        <w:numPr>
          <w:ilvl w:val="0"/>
          <w:numId w:val="7"/>
        </w:numPr>
        <w:spacing w:line="360" w:lineRule="auto"/>
      </w:pPr>
      <w:r w:rsidRPr="00BB6388">
        <w:rPr>
          <w:rFonts w:hint="cs"/>
          <w:rtl/>
        </w:rPr>
        <w:t>חומרים פסיכואקטיביים</w:t>
      </w:r>
      <w:r w:rsidRPr="00BB6388">
        <w:rPr>
          <w:rFonts w:hint="cs"/>
          <w:b/>
          <w:bCs/>
          <w:rtl/>
        </w:rPr>
        <w:t xml:space="preserve"> מעוררי הזיות</w:t>
      </w:r>
      <w:r w:rsidR="00FF7C66" w:rsidRPr="00BB6388">
        <w:rPr>
          <w:rFonts w:hint="cs"/>
          <w:rtl/>
        </w:rPr>
        <w:t>,</w:t>
      </w:r>
      <w:r w:rsidRPr="00BB6388">
        <w:rPr>
          <w:rFonts w:hint="cs"/>
          <w:rtl/>
        </w:rPr>
        <w:t xml:space="preserve"> דוגמת חשיש, מריחואנה, </w:t>
      </w:r>
      <w:r w:rsidRPr="00BB6388">
        <w:rPr>
          <w:sz w:val="20"/>
          <w:szCs w:val="20"/>
        </w:rPr>
        <w:t>LSD</w:t>
      </w:r>
      <w:r w:rsidRPr="00BB6388">
        <w:rPr>
          <w:rFonts w:hint="cs"/>
          <w:rtl/>
        </w:rPr>
        <w:t xml:space="preserve"> (אסיד) ופטריות הזיה.</w:t>
      </w:r>
    </w:p>
    <w:p w:rsidR="005A28AD" w:rsidRDefault="003D4770" w:rsidP="003F62FA">
      <w:pPr>
        <w:pStyle w:val="a2"/>
        <w:spacing w:line="360" w:lineRule="auto"/>
        <w:rPr>
          <w:rtl/>
        </w:rPr>
      </w:pPr>
      <w:r>
        <w:rPr>
          <w:rFonts w:hint="cs"/>
          <w:rtl/>
        </w:rPr>
        <w:t xml:space="preserve">ניתן </w:t>
      </w:r>
      <w:r w:rsidR="00AF565C">
        <w:rPr>
          <w:rFonts w:hint="cs"/>
          <w:rtl/>
        </w:rPr>
        <w:t xml:space="preserve">גם </w:t>
      </w:r>
      <w:r>
        <w:rPr>
          <w:rFonts w:hint="cs"/>
          <w:rtl/>
        </w:rPr>
        <w:t xml:space="preserve"> לחלק את החומרים </w:t>
      </w:r>
      <w:r w:rsidR="003F3A67">
        <w:rPr>
          <w:rFonts w:hint="cs"/>
          <w:rtl/>
        </w:rPr>
        <w:t xml:space="preserve">גם </w:t>
      </w:r>
      <w:r>
        <w:rPr>
          <w:rFonts w:hint="cs"/>
          <w:rtl/>
        </w:rPr>
        <w:t xml:space="preserve">על-פי מקורם - </w:t>
      </w:r>
      <w:r w:rsidR="002B6014">
        <w:rPr>
          <w:rFonts w:hint="cs"/>
          <w:rtl/>
        </w:rPr>
        <w:t>טבעי (</w:t>
      </w:r>
      <w:r w:rsidR="00A72717">
        <w:rPr>
          <w:rFonts w:hint="cs"/>
          <w:rtl/>
        </w:rPr>
        <w:t>כדוג</w:t>
      </w:r>
      <w:r w:rsidR="002B6014">
        <w:rPr>
          <w:rFonts w:hint="cs"/>
          <w:rtl/>
        </w:rPr>
        <w:t xml:space="preserve">מת קנאביס או קוקאין) או </w:t>
      </w:r>
      <w:r w:rsidR="00FE5527">
        <w:rPr>
          <w:rFonts w:hint="cs"/>
          <w:rtl/>
        </w:rPr>
        <w:t>סינתטי</w:t>
      </w:r>
      <w:r w:rsidR="002B6014">
        <w:rPr>
          <w:rFonts w:hint="cs"/>
          <w:rtl/>
        </w:rPr>
        <w:t xml:space="preserve"> (כדוגמת </w:t>
      </w:r>
      <w:r>
        <w:rPr>
          <w:rFonts w:hint="cs"/>
          <w:rtl/>
        </w:rPr>
        <w:t xml:space="preserve">אקסטזי או </w:t>
      </w:r>
      <w:r>
        <w:t>YA-BA</w:t>
      </w:r>
      <w:r>
        <w:rPr>
          <w:rFonts w:hint="cs"/>
          <w:rtl/>
        </w:rPr>
        <w:t>)</w:t>
      </w:r>
      <w:r w:rsidR="00CE733F">
        <w:rPr>
          <w:rFonts w:hint="cs"/>
          <w:rtl/>
        </w:rPr>
        <w:t>;</w:t>
      </w:r>
      <w:r w:rsidR="00ED14C9">
        <w:rPr>
          <w:rStyle w:val="ab"/>
          <w:rtl/>
        </w:rPr>
        <w:footnoteReference w:id="2"/>
      </w:r>
      <w:r w:rsidR="00294C76">
        <w:rPr>
          <w:rFonts w:hint="cs"/>
          <w:rtl/>
        </w:rPr>
        <w:t xml:space="preserve"> </w:t>
      </w:r>
      <w:r w:rsidR="00AF565C">
        <w:rPr>
          <w:rFonts w:hint="cs"/>
          <w:rtl/>
        </w:rPr>
        <w:t xml:space="preserve"> </w:t>
      </w:r>
      <w:r w:rsidR="00294C76">
        <w:rPr>
          <w:rFonts w:hint="cs"/>
          <w:rtl/>
        </w:rPr>
        <w:t xml:space="preserve">לפי </w:t>
      </w:r>
      <w:r w:rsidR="00AF565C">
        <w:rPr>
          <w:rFonts w:hint="cs"/>
          <w:rtl/>
        </w:rPr>
        <w:t>ההתייחסות אליהם בחוק</w:t>
      </w:r>
      <w:r w:rsidR="0063001D">
        <w:rPr>
          <w:rFonts w:hint="cs"/>
          <w:rtl/>
        </w:rPr>
        <w:t xml:space="preserve"> </w:t>
      </w:r>
      <w:r w:rsidR="0063001D">
        <w:rPr>
          <w:rtl/>
        </w:rPr>
        <w:t>–</w:t>
      </w:r>
      <w:r w:rsidR="0063001D">
        <w:rPr>
          <w:rFonts w:hint="cs"/>
          <w:rtl/>
        </w:rPr>
        <w:t xml:space="preserve"> כך, </w:t>
      </w:r>
      <w:r w:rsidR="0063001D" w:rsidRPr="00FE2909">
        <w:rPr>
          <w:rFonts w:hint="cs"/>
          <w:rtl/>
        </w:rPr>
        <w:t xml:space="preserve">למשל, </w:t>
      </w:r>
      <w:r w:rsidR="00694FC4" w:rsidRPr="00FE2909">
        <w:rPr>
          <w:rFonts w:hint="cs"/>
          <w:rtl/>
        </w:rPr>
        <w:t xml:space="preserve">הן </w:t>
      </w:r>
      <w:r w:rsidR="00694FC4" w:rsidRPr="0065686F">
        <w:rPr>
          <w:rFonts w:hint="cs"/>
          <w:rtl/>
        </w:rPr>
        <w:t xml:space="preserve">'סמי פיצוציות' והן 'אקסטזי' </w:t>
      </w:r>
      <w:r w:rsidR="00FE5527" w:rsidRPr="0065686F">
        <w:rPr>
          <w:rFonts w:hint="cs"/>
          <w:rtl/>
        </w:rPr>
        <w:t>הם סמים סינתטיים</w:t>
      </w:r>
      <w:r w:rsidR="00694FC4" w:rsidRPr="0065686F">
        <w:rPr>
          <w:rFonts w:hint="cs"/>
          <w:rtl/>
        </w:rPr>
        <w:t>, אך</w:t>
      </w:r>
      <w:r w:rsidR="00A72717" w:rsidRPr="0065686F">
        <w:rPr>
          <w:rFonts w:hint="cs"/>
          <w:rtl/>
        </w:rPr>
        <w:t xml:space="preserve"> בישראל</w:t>
      </w:r>
      <w:r w:rsidR="00694FC4" w:rsidRPr="0065686F">
        <w:rPr>
          <w:rFonts w:hint="cs"/>
          <w:rtl/>
        </w:rPr>
        <w:t xml:space="preserve"> 'סמי פיצוציות' </w:t>
      </w:r>
      <w:r w:rsidR="00325292" w:rsidRPr="0065686F">
        <w:rPr>
          <w:rFonts w:hint="cs"/>
          <w:rtl/>
        </w:rPr>
        <w:t xml:space="preserve">הוא </w:t>
      </w:r>
      <w:r w:rsidR="003F62FA" w:rsidRPr="0065686F">
        <w:rPr>
          <w:rtl/>
        </w:rPr>
        <w:t xml:space="preserve">כינוי לסמים סינתטיים </w:t>
      </w:r>
      <w:r w:rsidR="00325292" w:rsidRPr="0065686F">
        <w:rPr>
          <w:rtl/>
        </w:rPr>
        <w:t>אשר נמכרים לעתים בפיצוציות בתור "סמים חוקיים" או "תחליפי סם"</w:t>
      </w:r>
      <w:r w:rsidR="003F62FA" w:rsidRPr="0065686F">
        <w:rPr>
          <w:rFonts w:hint="cs"/>
          <w:rtl/>
        </w:rPr>
        <w:t>,</w:t>
      </w:r>
      <w:r w:rsidR="003F62FA" w:rsidRPr="0065686F">
        <w:rPr>
          <w:rStyle w:val="ab"/>
          <w:rtl/>
        </w:rPr>
        <w:footnoteReference w:id="3"/>
      </w:r>
      <w:r w:rsidR="003F62FA" w:rsidRPr="0065686F">
        <w:rPr>
          <w:rFonts w:hint="cs"/>
          <w:rtl/>
        </w:rPr>
        <w:t xml:space="preserve"> כלומר - </w:t>
      </w:r>
      <w:r w:rsidR="00694FC4" w:rsidRPr="0065686F">
        <w:rPr>
          <w:rFonts w:hint="cs"/>
          <w:rtl/>
        </w:rPr>
        <w:t xml:space="preserve">חומרים פסיכואקטיביים </w:t>
      </w:r>
      <w:r w:rsidR="003F62FA" w:rsidRPr="0065686F">
        <w:rPr>
          <w:rFonts w:hint="cs"/>
          <w:rtl/>
        </w:rPr>
        <w:t>ה</w:t>
      </w:r>
      <w:r w:rsidR="00694FC4" w:rsidRPr="0065686F">
        <w:rPr>
          <w:rFonts w:hint="cs"/>
          <w:rtl/>
        </w:rPr>
        <w:t>נמכרים בגלוי</w:t>
      </w:r>
      <w:r w:rsidR="00294C76" w:rsidRPr="0065686F">
        <w:rPr>
          <w:rFonts w:hint="cs"/>
          <w:rtl/>
        </w:rPr>
        <w:t xml:space="preserve">, </w:t>
      </w:r>
      <w:r w:rsidR="003F62FA" w:rsidRPr="0065686F">
        <w:rPr>
          <w:rFonts w:hint="cs"/>
          <w:rtl/>
        </w:rPr>
        <w:t xml:space="preserve">וזאת </w:t>
      </w:r>
      <w:r w:rsidR="00294C76" w:rsidRPr="0065686F">
        <w:rPr>
          <w:rFonts w:hint="cs"/>
          <w:rtl/>
        </w:rPr>
        <w:t>בניגוד לאקסטזי שהוכרז כחלק</w:t>
      </w:r>
      <w:r w:rsidR="00294C76" w:rsidRPr="00FE2909">
        <w:rPr>
          <w:rFonts w:hint="cs"/>
          <w:rtl/>
        </w:rPr>
        <w:t xml:space="preserve"> מפקודת הס</w:t>
      </w:r>
      <w:r w:rsidR="00294C76">
        <w:rPr>
          <w:rFonts w:hint="cs"/>
          <w:rtl/>
        </w:rPr>
        <w:t>מים המסוכנים [נוסח חדש], התשל"</w:t>
      </w:r>
      <w:r w:rsidR="00A72717">
        <w:rPr>
          <w:rFonts w:hint="cs"/>
          <w:rtl/>
        </w:rPr>
        <w:t>ז-1973 ומכאן כאסור בצריכה או בסחר</w:t>
      </w:r>
      <w:r w:rsidR="00ED3996">
        <w:rPr>
          <w:rFonts w:hint="cs"/>
          <w:rtl/>
        </w:rPr>
        <w:t>;</w:t>
      </w:r>
      <w:r w:rsidR="00ED14C9">
        <w:rPr>
          <w:rStyle w:val="ab"/>
          <w:rtl/>
        </w:rPr>
        <w:footnoteReference w:id="4"/>
      </w:r>
      <w:r w:rsidR="00ED3996">
        <w:rPr>
          <w:rFonts w:hint="cs"/>
          <w:rtl/>
        </w:rPr>
        <w:t xml:space="preserve"> או למשל לפי מטרות השימוש </w:t>
      </w:r>
      <w:r w:rsidR="00ED3996">
        <w:rPr>
          <w:rtl/>
        </w:rPr>
        <w:t>–</w:t>
      </w:r>
      <w:r w:rsidR="00ED3996">
        <w:rPr>
          <w:rFonts w:hint="cs"/>
          <w:rtl/>
        </w:rPr>
        <w:t xml:space="preserve"> </w:t>
      </w:r>
      <w:r w:rsidR="00161BC8">
        <w:rPr>
          <w:rFonts w:hint="cs"/>
          <w:rtl/>
        </w:rPr>
        <w:t xml:space="preserve">רשות המכס בישראל מבחינה בתפיסות הסמים שלה בין מריחואנה וחשיש, שהם תוצרי צמח הקנביס ומיועדים לצריכה, ובין זרעי הקנביס, שמטרתם שונה </w:t>
      </w:r>
      <w:r w:rsidR="00161BC8">
        <w:rPr>
          <w:rtl/>
        </w:rPr>
        <w:t>–</w:t>
      </w:r>
      <w:r w:rsidR="00161BC8">
        <w:rPr>
          <w:rFonts w:hint="cs"/>
          <w:rtl/>
        </w:rPr>
        <w:t xml:space="preserve"> גידול.</w:t>
      </w:r>
      <w:r w:rsidR="00161BC8">
        <w:rPr>
          <w:rStyle w:val="ab"/>
          <w:rtl/>
        </w:rPr>
        <w:footnoteReference w:id="5"/>
      </w:r>
      <w:r w:rsidR="00A72717">
        <w:rPr>
          <w:rFonts w:hint="cs"/>
          <w:rtl/>
        </w:rPr>
        <w:t xml:space="preserve"> </w:t>
      </w:r>
      <w:r w:rsidR="00D43542">
        <w:rPr>
          <w:rFonts w:hint="cs"/>
          <w:rtl/>
        </w:rPr>
        <w:t xml:space="preserve">כך, </w:t>
      </w:r>
      <w:r w:rsidR="00A72717">
        <w:rPr>
          <w:rFonts w:hint="cs"/>
          <w:rtl/>
        </w:rPr>
        <w:t xml:space="preserve">ארגונים שונים עושים שימוש בקטגוריות סמים שונות, וזאת </w:t>
      </w:r>
      <w:r w:rsidR="00534EE5">
        <w:rPr>
          <w:rFonts w:hint="cs"/>
          <w:rtl/>
        </w:rPr>
        <w:t>לפי</w:t>
      </w:r>
      <w:r w:rsidR="00A72717">
        <w:rPr>
          <w:rFonts w:hint="cs"/>
          <w:rtl/>
        </w:rPr>
        <w:t xml:space="preserve"> </w:t>
      </w:r>
      <w:r w:rsidR="00534EE5">
        <w:rPr>
          <w:rFonts w:hint="cs"/>
          <w:rtl/>
        </w:rPr>
        <w:t>פעילותם וצו</w:t>
      </w:r>
      <w:r w:rsidR="00A72717">
        <w:rPr>
          <w:rFonts w:hint="cs"/>
          <w:rtl/>
        </w:rPr>
        <w:t>רכיהם.</w:t>
      </w:r>
    </w:p>
    <w:p w:rsidR="00D40FF4" w:rsidRDefault="00EC4295" w:rsidP="00743CC5">
      <w:pPr>
        <w:pStyle w:val="a2"/>
        <w:spacing w:line="360" w:lineRule="auto"/>
        <w:rPr>
          <w:b/>
          <w:bCs/>
          <w:sz w:val="28"/>
          <w:szCs w:val="28"/>
        </w:rPr>
      </w:pPr>
      <w:r w:rsidRPr="00BB6388">
        <w:rPr>
          <w:rFonts w:hint="cs"/>
          <w:rtl/>
        </w:rPr>
        <w:t>ל</w:t>
      </w:r>
      <w:r w:rsidR="00A81932" w:rsidRPr="00BB6388">
        <w:rPr>
          <w:rFonts w:hint="cs"/>
          <w:rtl/>
        </w:rPr>
        <w:t xml:space="preserve">כל </w:t>
      </w:r>
      <w:r w:rsidRPr="00BB6388">
        <w:rPr>
          <w:rFonts w:hint="cs"/>
          <w:rtl/>
        </w:rPr>
        <w:t xml:space="preserve">אורך המסמך </w:t>
      </w:r>
      <w:r w:rsidR="00E70710">
        <w:rPr>
          <w:rFonts w:hint="cs"/>
          <w:rtl/>
        </w:rPr>
        <w:t>הנוכחי ת</w:t>
      </w:r>
      <w:r w:rsidR="005E78E2">
        <w:rPr>
          <w:rFonts w:hint="cs"/>
          <w:rtl/>
        </w:rPr>
        <w:t>י</w:t>
      </w:r>
      <w:r w:rsidR="00E70710">
        <w:rPr>
          <w:rFonts w:hint="cs"/>
          <w:rtl/>
        </w:rPr>
        <w:t xml:space="preserve">עשה </w:t>
      </w:r>
      <w:r w:rsidRPr="00BB6388">
        <w:rPr>
          <w:rFonts w:hint="cs"/>
          <w:rtl/>
        </w:rPr>
        <w:t>הבחנה כללית בין 'סמים' ובין 'אלכוה</w:t>
      </w:r>
      <w:r w:rsidR="00A72717">
        <w:rPr>
          <w:rFonts w:hint="cs"/>
          <w:rtl/>
        </w:rPr>
        <w:t xml:space="preserve">ול', וזאת בהתאמה להבחנה הקיימת </w:t>
      </w:r>
      <w:r w:rsidRPr="00BB6388">
        <w:rPr>
          <w:rFonts w:hint="cs"/>
          <w:rtl/>
        </w:rPr>
        <w:t>בישראל ובעולם בתחומי החקיקה, המחקר, ותכניות המניעה והטיפול.</w:t>
      </w:r>
      <w:r w:rsidR="00BC0828" w:rsidRPr="00BB6388">
        <w:rPr>
          <w:rFonts w:hint="cs"/>
          <w:rtl/>
        </w:rPr>
        <w:t xml:space="preserve"> בו-בזמן יש לזכור כי לא מדובר בקטגוריות </w:t>
      </w:r>
      <w:r w:rsidR="00405FAE">
        <w:rPr>
          <w:rFonts w:hint="cs"/>
          <w:rtl/>
        </w:rPr>
        <w:t xml:space="preserve">נפרדות </w:t>
      </w:r>
      <w:r w:rsidR="00BC0828" w:rsidRPr="00BB6388">
        <w:rPr>
          <w:rFonts w:hint="cs"/>
          <w:rtl/>
        </w:rPr>
        <w:t xml:space="preserve"> בהכרח </w:t>
      </w:r>
      <w:r w:rsidR="00BC0828" w:rsidRPr="00BB6388">
        <w:rPr>
          <w:rtl/>
        </w:rPr>
        <w:t>–</w:t>
      </w:r>
      <w:r w:rsidR="00BC0828" w:rsidRPr="00BB6388">
        <w:rPr>
          <w:rFonts w:hint="cs"/>
          <w:rtl/>
        </w:rPr>
        <w:t xml:space="preserve"> יש המשתמשים הן בסמים והן באלכוהול, </w:t>
      </w:r>
      <w:r w:rsidR="00A81932" w:rsidRPr="00BB6388">
        <w:rPr>
          <w:rFonts w:hint="cs"/>
          <w:rtl/>
        </w:rPr>
        <w:t>ורוב הגופים העוסקים בתחום</w:t>
      </w:r>
      <w:r w:rsidR="008B69A6" w:rsidRPr="00BB6388">
        <w:rPr>
          <w:rFonts w:hint="cs"/>
          <w:rtl/>
        </w:rPr>
        <w:t xml:space="preserve"> על היבטיו השונים</w:t>
      </w:r>
      <w:r w:rsidR="00A81932" w:rsidRPr="00BB6388">
        <w:rPr>
          <w:rFonts w:hint="cs"/>
          <w:rtl/>
        </w:rPr>
        <w:t xml:space="preserve"> עוסקים בשתי קבוצות החומרים.</w:t>
      </w:r>
      <w:bookmarkStart w:id="19" w:name="_Toc419963015"/>
      <w:r w:rsidR="00D40FF4">
        <w:rPr>
          <w:rtl/>
        </w:rPr>
        <w:br w:type="page"/>
      </w:r>
    </w:p>
    <w:p w:rsidR="008E53E7" w:rsidRPr="00BB6388" w:rsidRDefault="00686F6A" w:rsidP="00D40FF4">
      <w:pPr>
        <w:pStyle w:val="10"/>
        <w:numPr>
          <w:ilvl w:val="0"/>
          <w:numId w:val="0"/>
        </w:numPr>
        <w:ind w:left="364" w:hanging="360"/>
        <w:rPr>
          <w:rtl/>
        </w:rPr>
      </w:pPr>
      <w:bookmarkStart w:id="20" w:name="_Toc421697029"/>
      <w:r>
        <w:rPr>
          <w:rFonts w:hint="cs"/>
          <w:rtl/>
        </w:rPr>
        <w:lastRenderedPageBreak/>
        <w:t>עיקרי המסמך</w:t>
      </w:r>
      <w:bookmarkEnd w:id="20"/>
    </w:p>
    <w:p w:rsidR="00D40FF4" w:rsidRDefault="00D40FF4" w:rsidP="00B774A9">
      <w:pPr>
        <w:pStyle w:val="a2"/>
        <w:rPr>
          <w:b/>
          <w:bCs/>
        </w:rPr>
      </w:pPr>
      <w:r>
        <w:rPr>
          <w:rFonts w:hint="cs"/>
          <w:rtl/>
        </w:rPr>
        <w:t xml:space="preserve">המסמך נחלק לפרקים הבאים: פרק מבוא; </w:t>
      </w:r>
      <w:r w:rsidR="006C7213">
        <w:rPr>
          <w:rFonts w:hint="cs"/>
          <w:rtl/>
        </w:rPr>
        <w:t xml:space="preserve">פרק </w:t>
      </w:r>
      <w:r>
        <w:rPr>
          <w:rFonts w:hint="cs"/>
          <w:rtl/>
        </w:rPr>
        <w:t>תמצית עיקרי המסמך; פרק 1</w:t>
      </w:r>
      <w:r w:rsidR="00405FAE">
        <w:rPr>
          <w:rFonts w:hint="cs"/>
          <w:rtl/>
        </w:rPr>
        <w:t>,</w:t>
      </w:r>
      <w:r>
        <w:rPr>
          <w:rFonts w:hint="cs"/>
          <w:rtl/>
        </w:rPr>
        <w:t xml:space="preserve"> המציג נתונים בדבר היקף ודפוסי השימוש בסמים ובאלכוהול בעולם ובישראל, </w:t>
      </w:r>
      <w:r w:rsidR="00B774A9">
        <w:rPr>
          <w:rFonts w:hint="cs"/>
          <w:rtl/>
        </w:rPr>
        <w:t>וכן סוקר ב</w:t>
      </w:r>
      <w:r>
        <w:rPr>
          <w:rFonts w:hint="cs"/>
          <w:rtl/>
        </w:rPr>
        <w:t>קצרה קשיים מתודולוגיים המאפיינים נתונים אלו; פרק 2</w:t>
      </w:r>
      <w:r w:rsidR="00405FAE">
        <w:rPr>
          <w:rFonts w:hint="cs"/>
          <w:rtl/>
        </w:rPr>
        <w:t xml:space="preserve">, </w:t>
      </w:r>
      <w:r>
        <w:rPr>
          <w:rFonts w:hint="cs"/>
          <w:rtl/>
        </w:rPr>
        <w:t xml:space="preserve"> </w:t>
      </w:r>
      <w:r w:rsidR="00405FAE">
        <w:rPr>
          <w:rFonts w:hint="cs"/>
          <w:rtl/>
        </w:rPr>
        <w:t>ה</w:t>
      </w:r>
      <w:r>
        <w:rPr>
          <w:rFonts w:hint="cs"/>
          <w:rtl/>
        </w:rPr>
        <w:t>סוקר את עיקרי החקיקה בישראל בתחום הסמים והאלכוהול; ופרק 3</w:t>
      </w:r>
      <w:r w:rsidR="00405FAE">
        <w:rPr>
          <w:rFonts w:hint="cs"/>
          <w:rtl/>
        </w:rPr>
        <w:t>,</w:t>
      </w:r>
      <w:r>
        <w:rPr>
          <w:rFonts w:hint="cs"/>
          <w:rtl/>
        </w:rPr>
        <w:t xml:space="preserve"> </w:t>
      </w:r>
      <w:r w:rsidR="00405FAE">
        <w:rPr>
          <w:rFonts w:hint="cs"/>
          <w:rtl/>
        </w:rPr>
        <w:t>ה</w:t>
      </w:r>
      <w:r>
        <w:rPr>
          <w:rFonts w:hint="cs"/>
          <w:rtl/>
        </w:rPr>
        <w:t>מציג את רשויות המדינה העוסקות בתחום בישראל ואת עיקרי פעילותן.</w:t>
      </w:r>
    </w:p>
    <w:p w:rsidR="008E53E7" w:rsidRPr="008E53E7" w:rsidRDefault="008E53E7" w:rsidP="008E53E7">
      <w:pPr>
        <w:pStyle w:val="a2"/>
        <w:rPr>
          <w:b/>
          <w:bCs/>
          <w:rtl/>
        </w:rPr>
      </w:pPr>
      <w:r>
        <w:rPr>
          <w:rFonts w:hint="cs"/>
          <w:b/>
          <w:bCs/>
          <w:rtl/>
        </w:rPr>
        <w:t>נתונים בדבר היקף ושימוש בחומרים פסיכואקטיביים בעולם ובישראל</w:t>
      </w:r>
    </w:p>
    <w:p w:rsidR="00686F6A" w:rsidRDefault="00686F6A" w:rsidP="00405FAE">
      <w:pPr>
        <w:pStyle w:val="a2"/>
        <w:numPr>
          <w:ilvl w:val="0"/>
          <w:numId w:val="23"/>
        </w:numPr>
      </w:pPr>
      <w:r>
        <w:rPr>
          <w:rFonts w:hint="cs"/>
          <w:rtl/>
        </w:rPr>
        <w:t xml:space="preserve">ישנם מספר קשיים באיסוף נתונים בדבר דפוסי </w:t>
      </w:r>
      <w:r w:rsidR="00F001A1">
        <w:rPr>
          <w:rFonts w:hint="cs"/>
          <w:rtl/>
        </w:rPr>
        <w:t xml:space="preserve">והיקף </w:t>
      </w:r>
      <w:r>
        <w:rPr>
          <w:rFonts w:hint="cs"/>
          <w:rtl/>
        </w:rPr>
        <w:t xml:space="preserve">השימוש בסמים ובאלכוהול. ראשון בהם הוא העובדה כי במדינות רבות צריכת סמים ואלכוהול שלא תחת פיקוח המדינה מוגדרת כלא-חוקית. לאור זאת, </w:t>
      </w:r>
      <w:r w:rsidRPr="00BB6388">
        <w:rPr>
          <w:rFonts w:hint="cs"/>
          <w:b/>
          <w:bCs/>
          <w:rtl/>
        </w:rPr>
        <w:t xml:space="preserve">אלו העושים שימוש לא-חוקי </w:t>
      </w:r>
      <w:r>
        <w:rPr>
          <w:rFonts w:hint="cs"/>
          <w:b/>
          <w:bCs/>
          <w:rtl/>
        </w:rPr>
        <w:t>בסמים ובאלכוהול</w:t>
      </w:r>
      <w:r w:rsidRPr="00BB6388">
        <w:rPr>
          <w:rFonts w:hint="cs"/>
          <w:b/>
          <w:bCs/>
          <w:rtl/>
        </w:rPr>
        <w:t>, ובכלל זאת צריכה או סחר</w:t>
      </w:r>
      <w:r w:rsidRPr="00BB6388">
        <w:rPr>
          <w:b/>
          <w:bCs/>
          <w:rtl/>
        </w:rPr>
        <w:t xml:space="preserve">, </w:t>
      </w:r>
      <w:r w:rsidRPr="00BB6388">
        <w:rPr>
          <w:rFonts w:hint="eastAsia"/>
          <w:b/>
          <w:bCs/>
          <w:rtl/>
        </w:rPr>
        <w:t>נוטים</w:t>
      </w:r>
      <w:r w:rsidRPr="00BB6388">
        <w:rPr>
          <w:b/>
          <w:bCs/>
          <w:rtl/>
        </w:rPr>
        <w:t xml:space="preserve"> </w:t>
      </w:r>
      <w:r w:rsidRPr="00BB6388">
        <w:rPr>
          <w:rFonts w:hint="eastAsia"/>
          <w:b/>
          <w:bCs/>
          <w:rtl/>
        </w:rPr>
        <w:t>להסתיר</w:t>
      </w:r>
      <w:r w:rsidRPr="00BB6388">
        <w:rPr>
          <w:b/>
          <w:bCs/>
          <w:rtl/>
        </w:rPr>
        <w:t xml:space="preserve"> </w:t>
      </w:r>
      <w:r w:rsidRPr="00BB6388">
        <w:rPr>
          <w:rFonts w:hint="cs"/>
          <w:b/>
          <w:bCs/>
          <w:rtl/>
        </w:rPr>
        <w:t>את פעילותם בתחום</w:t>
      </w:r>
      <w:r>
        <w:rPr>
          <w:rFonts w:hint="cs"/>
          <w:rtl/>
        </w:rPr>
        <w:t>.</w:t>
      </w:r>
      <w:r>
        <w:rPr>
          <w:rStyle w:val="ab"/>
          <w:rtl/>
        </w:rPr>
        <w:footnoteReference w:id="6"/>
      </w:r>
      <w:r>
        <w:rPr>
          <w:rFonts w:hint="cs"/>
          <w:rtl/>
        </w:rPr>
        <w:t xml:space="preserve"> התולדה היא </w:t>
      </w:r>
      <w:r w:rsidRPr="00A21C70">
        <w:rPr>
          <w:rFonts w:hint="cs"/>
          <w:b/>
          <w:bCs/>
          <w:rtl/>
        </w:rPr>
        <w:t xml:space="preserve">התבססותם של נתוני ארגונים רבים על </w:t>
      </w:r>
      <w:r w:rsidRPr="0078064E">
        <w:rPr>
          <w:rFonts w:hint="cs"/>
          <w:b/>
          <w:bCs/>
          <w:rtl/>
        </w:rPr>
        <w:t xml:space="preserve">הערכות בלבד, ומכאן לקשיים בבנייתן של תוכניות מדיניות </w:t>
      </w:r>
      <w:r w:rsidR="00405FAE">
        <w:rPr>
          <w:rFonts w:hint="cs"/>
          <w:b/>
          <w:bCs/>
          <w:rtl/>
        </w:rPr>
        <w:t xml:space="preserve"> מבוססות-נתונים</w:t>
      </w:r>
      <w:r>
        <w:rPr>
          <w:rFonts w:hint="cs"/>
          <w:rtl/>
        </w:rPr>
        <w:t>.</w:t>
      </w:r>
    </w:p>
    <w:p w:rsidR="00686F6A" w:rsidRDefault="00686F6A" w:rsidP="00D0263F">
      <w:pPr>
        <w:pStyle w:val="a2"/>
        <w:numPr>
          <w:ilvl w:val="0"/>
          <w:numId w:val="23"/>
        </w:numPr>
      </w:pPr>
      <w:r w:rsidRPr="0078064E">
        <w:rPr>
          <w:rFonts w:hint="cs"/>
          <w:b/>
          <w:bCs/>
          <w:rtl/>
        </w:rPr>
        <w:t xml:space="preserve">מקור הנתונים העיקרי, וכמעט היחיד, בנוגע לדפוסי צריכת האלכוהול והסמים </w:t>
      </w:r>
      <w:r w:rsidRPr="0048470A">
        <w:rPr>
          <w:rFonts w:hint="cs"/>
          <w:b/>
          <w:bCs/>
          <w:u w:val="single"/>
          <w:rtl/>
        </w:rPr>
        <w:t>בישראל</w:t>
      </w:r>
      <w:r w:rsidRPr="0078064E">
        <w:rPr>
          <w:rFonts w:hint="cs"/>
          <w:b/>
          <w:bCs/>
          <w:rtl/>
        </w:rPr>
        <w:t xml:space="preserve"> הוא הרשות הלאומית למלחמה בסמים ובאלכוהול</w:t>
      </w:r>
      <w:r>
        <w:rPr>
          <w:rFonts w:hint="cs"/>
          <w:rtl/>
        </w:rPr>
        <w:t xml:space="preserve"> (להלן </w:t>
      </w:r>
      <w:r>
        <w:rPr>
          <w:rtl/>
        </w:rPr>
        <w:t>–</w:t>
      </w:r>
      <w:r>
        <w:rPr>
          <w:rFonts w:hint="cs"/>
          <w:rtl/>
        </w:rPr>
        <w:t xml:space="preserve"> הרשות). הרשות עושה שימוש בקטגוריות ובשאלות שונות מאלו המקובלות על-ידי ארגון הבריאות העולמי (</w:t>
      </w:r>
      <w:r>
        <w:t>World Health Organization – WHO</w:t>
      </w:r>
      <w:r>
        <w:rPr>
          <w:rFonts w:hint="cs"/>
          <w:rtl/>
        </w:rPr>
        <w:t xml:space="preserve">) וארגון ה- </w:t>
      </w:r>
      <w:r>
        <w:t>OECD</w:t>
      </w:r>
      <w:r>
        <w:rPr>
          <w:rFonts w:hint="cs"/>
          <w:rtl/>
        </w:rPr>
        <w:t xml:space="preserve"> (</w:t>
      </w:r>
      <w:r w:rsidRPr="00D6766D">
        <w:t>Organization for Economic Co-operation and Development</w:t>
      </w:r>
      <w:r w:rsidRPr="00BB6388">
        <w:rPr>
          <w:rFonts w:hint="cs"/>
          <w:rtl/>
        </w:rPr>
        <w:t>ׂ</w:t>
      </w:r>
      <w:r>
        <w:rPr>
          <w:rFonts w:hint="cs"/>
          <w:rtl/>
        </w:rPr>
        <w:t>)</w:t>
      </w:r>
      <w:r w:rsidR="00405FAE">
        <w:rPr>
          <w:rFonts w:hint="cs"/>
          <w:rtl/>
        </w:rPr>
        <w:t>;</w:t>
      </w:r>
      <w:r>
        <w:rPr>
          <w:rFonts w:hint="cs"/>
          <w:rtl/>
        </w:rPr>
        <w:t xml:space="preserve"> וכן נתוניה העדכניים ביותר</w:t>
      </w:r>
      <w:r w:rsidR="00405FAE">
        <w:rPr>
          <w:rFonts w:hint="cs"/>
          <w:rtl/>
        </w:rPr>
        <w:t>,</w:t>
      </w:r>
      <w:r w:rsidR="00F001A1">
        <w:rPr>
          <w:rFonts w:hint="cs"/>
          <w:rtl/>
        </w:rPr>
        <w:t xml:space="preserve"> נכון</w:t>
      </w:r>
      <w:r w:rsidR="00D6766D">
        <w:rPr>
          <w:rFonts w:hint="cs"/>
          <w:rtl/>
        </w:rPr>
        <w:t xml:space="preserve"> למועד פרסום מסמך זה</w:t>
      </w:r>
      <w:r w:rsidR="00D0263F">
        <w:rPr>
          <w:rFonts w:hint="cs"/>
          <w:rtl/>
        </w:rPr>
        <w:t>,</w:t>
      </w:r>
      <w:r>
        <w:rPr>
          <w:rFonts w:hint="cs"/>
          <w:rtl/>
        </w:rPr>
        <w:t xml:space="preserve"> </w:t>
      </w:r>
      <w:r w:rsidR="00D6766D">
        <w:rPr>
          <w:rFonts w:hint="cs"/>
          <w:rtl/>
        </w:rPr>
        <w:t>בדבר</w:t>
      </w:r>
      <w:r>
        <w:rPr>
          <w:rFonts w:hint="cs"/>
          <w:rtl/>
        </w:rPr>
        <w:t xml:space="preserve"> היקף ודפוסי שימוש בסמים ובאלכוהול בקרב אוכלוסיית הבוגרים בישראל</w:t>
      </w:r>
      <w:r w:rsidR="00D0263F">
        <w:rPr>
          <w:rFonts w:hint="cs"/>
          <w:rtl/>
        </w:rPr>
        <w:t>,</w:t>
      </w:r>
      <w:r>
        <w:rPr>
          <w:rFonts w:hint="cs"/>
          <w:rtl/>
        </w:rPr>
        <w:t xml:space="preserve"> הם משנת 2009</w:t>
      </w:r>
      <w:r w:rsidR="009B4945">
        <w:rPr>
          <w:rFonts w:hint="cs"/>
          <w:rtl/>
        </w:rPr>
        <w:t>,</w:t>
      </w:r>
      <w:r>
        <w:rPr>
          <w:rFonts w:hint="cs"/>
          <w:rtl/>
        </w:rPr>
        <w:t xml:space="preserve"> ובקרב </w:t>
      </w:r>
      <w:r w:rsidR="00D0263F">
        <w:rPr>
          <w:rFonts w:hint="cs"/>
          <w:rtl/>
        </w:rPr>
        <w:t xml:space="preserve">בני </w:t>
      </w:r>
      <w:r>
        <w:rPr>
          <w:rFonts w:hint="cs"/>
          <w:rtl/>
        </w:rPr>
        <w:t xml:space="preserve">הנוער משנת 2011. </w:t>
      </w:r>
      <w:r w:rsidRPr="001F7FCE">
        <w:rPr>
          <w:rFonts w:hint="cs"/>
          <w:b/>
          <w:bCs/>
          <w:rtl/>
        </w:rPr>
        <w:t xml:space="preserve">לאור זאת קיים קושי בהצלבת הנתונים המפורסמים על-ידי הרשות  </w:t>
      </w:r>
      <w:r w:rsidR="00D0263F">
        <w:rPr>
          <w:rFonts w:hint="cs"/>
          <w:b/>
          <w:bCs/>
          <w:rtl/>
        </w:rPr>
        <w:t xml:space="preserve">עם </w:t>
      </w:r>
      <w:r w:rsidRPr="001F7FCE">
        <w:rPr>
          <w:rFonts w:hint="cs"/>
          <w:b/>
          <w:bCs/>
          <w:rtl/>
        </w:rPr>
        <w:t>מקורות אחרים</w:t>
      </w:r>
      <w:r>
        <w:rPr>
          <w:rFonts w:hint="cs"/>
          <w:b/>
          <w:bCs/>
          <w:rtl/>
        </w:rPr>
        <w:t>,</w:t>
      </w:r>
      <w:r w:rsidRPr="001F7FCE">
        <w:rPr>
          <w:rFonts w:hint="cs"/>
          <w:b/>
          <w:bCs/>
          <w:rtl/>
        </w:rPr>
        <w:t xml:space="preserve"> </w:t>
      </w:r>
      <w:r w:rsidR="002D3AFE">
        <w:rPr>
          <w:rFonts w:hint="cs"/>
          <w:b/>
          <w:bCs/>
          <w:rtl/>
        </w:rPr>
        <w:t>כמו-גם ב</w:t>
      </w:r>
      <w:r w:rsidRPr="001F7FCE">
        <w:rPr>
          <w:rFonts w:hint="cs"/>
          <w:b/>
          <w:bCs/>
          <w:rtl/>
        </w:rPr>
        <w:t>גזירת מסקנות כלשהן בהתייחס ל</w:t>
      </w:r>
      <w:r w:rsidR="002D3AFE">
        <w:rPr>
          <w:rFonts w:hint="cs"/>
          <w:b/>
          <w:bCs/>
          <w:rtl/>
        </w:rPr>
        <w:t>התנהגות ה</w:t>
      </w:r>
      <w:r w:rsidRPr="001F7FCE">
        <w:rPr>
          <w:rFonts w:hint="cs"/>
          <w:b/>
          <w:bCs/>
          <w:rtl/>
        </w:rPr>
        <w:t>אוכלוסייה הישראלית</w:t>
      </w:r>
      <w:r w:rsidR="002D3AFE">
        <w:rPr>
          <w:rFonts w:hint="cs"/>
          <w:b/>
          <w:bCs/>
          <w:rtl/>
        </w:rPr>
        <w:t xml:space="preserve"> בנושא זה</w:t>
      </w:r>
      <w:r w:rsidRPr="001F7FCE">
        <w:rPr>
          <w:rFonts w:hint="cs"/>
          <w:b/>
          <w:bCs/>
          <w:rtl/>
        </w:rPr>
        <w:t xml:space="preserve"> </w:t>
      </w:r>
      <w:r w:rsidRPr="002D3AFE">
        <w:rPr>
          <w:rFonts w:hint="cs"/>
          <w:b/>
          <w:bCs/>
          <w:u w:val="single"/>
          <w:rtl/>
        </w:rPr>
        <w:t>כיום</w:t>
      </w:r>
      <w:r>
        <w:rPr>
          <w:rFonts w:hint="cs"/>
          <w:rtl/>
        </w:rPr>
        <w:t>.</w:t>
      </w:r>
      <w:r>
        <w:rPr>
          <w:rStyle w:val="ab"/>
          <w:rtl/>
        </w:rPr>
        <w:footnoteReference w:id="7"/>
      </w:r>
    </w:p>
    <w:p w:rsidR="00686F6A" w:rsidRPr="00BC2177" w:rsidRDefault="00686F6A" w:rsidP="00F01257">
      <w:pPr>
        <w:pStyle w:val="a2"/>
        <w:numPr>
          <w:ilvl w:val="0"/>
          <w:numId w:val="23"/>
        </w:numPr>
      </w:pPr>
      <w:r w:rsidRPr="003717C7">
        <w:rPr>
          <w:rFonts w:hint="cs"/>
          <w:rtl/>
        </w:rPr>
        <w:t xml:space="preserve">לפי נתוני </w:t>
      </w:r>
      <w:r w:rsidRPr="00BC2177">
        <w:rPr>
          <w:rFonts w:hint="cs"/>
          <w:rtl/>
        </w:rPr>
        <w:t>הרשות הלאומית למלחמה בסמים ובאלכוהול,</w:t>
      </w:r>
      <w:r w:rsidRPr="00BC2177">
        <w:rPr>
          <w:rStyle w:val="ab"/>
        </w:rPr>
        <w:t xml:space="preserve"> </w:t>
      </w:r>
      <w:r w:rsidRPr="00BC2177">
        <w:rPr>
          <w:rStyle w:val="ab"/>
        </w:rPr>
        <w:footnoteReference w:id="8"/>
      </w:r>
      <w:r w:rsidRPr="00BC2177">
        <w:rPr>
          <w:rFonts w:hint="cs"/>
          <w:b/>
          <w:bCs/>
          <w:rtl/>
        </w:rPr>
        <w:t xml:space="preserve"> 11.4% מקרב בני ה- </w:t>
      </w:r>
      <w:r w:rsidR="009B4945">
        <w:rPr>
          <w:rFonts w:hint="cs"/>
          <w:b/>
          <w:bCs/>
          <w:rtl/>
        </w:rPr>
        <w:t>40-18</w:t>
      </w:r>
      <w:r w:rsidRPr="00BC2177">
        <w:rPr>
          <w:rFonts w:hint="cs"/>
          <w:b/>
          <w:bCs/>
          <w:rtl/>
        </w:rPr>
        <w:t xml:space="preserve"> בישראל </w:t>
      </w:r>
      <w:r w:rsidR="002D14BE" w:rsidRPr="00BC2177">
        <w:rPr>
          <w:rFonts w:hint="cs"/>
          <w:b/>
          <w:bCs/>
          <w:rtl/>
        </w:rPr>
        <w:t>בשנת 2009</w:t>
      </w:r>
      <w:r w:rsidR="002D14BE">
        <w:rPr>
          <w:rFonts w:hint="cs"/>
          <w:b/>
          <w:bCs/>
          <w:rtl/>
        </w:rPr>
        <w:t xml:space="preserve"> </w:t>
      </w:r>
      <w:r w:rsidRPr="00BC2177">
        <w:rPr>
          <w:rFonts w:hint="cs"/>
          <w:b/>
          <w:bCs/>
          <w:rtl/>
        </w:rPr>
        <w:t>עשו שימוש לא-חוקי כלשהו בסמים</w:t>
      </w:r>
      <w:r w:rsidRPr="00BC2177">
        <w:rPr>
          <w:rFonts w:hint="cs"/>
          <w:rtl/>
        </w:rPr>
        <w:t xml:space="preserve"> במהלך 12 החודשים האחרונים שקדמו לעריכת הסקר.</w:t>
      </w:r>
      <w:r w:rsidRPr="00BC2177">
        <w:rPr>
          <w:rStyle w:val="aa"/>
        </w:rPr>
        <w:t xml:space="preserve"> </w:t>
      </w:r>
      <w:r w:rsidRPr="00BC2177">
        <w:rPr>
          <w:rFonts w:hint="cs"/>
          <w:b/>
          <w:bCs/>
          <w:rtl/>
        </w:rPr>
        <w:t xml:space="preserve">הסם הנפוץ ביותר בקרב </w:t>
      </w:r>
      <w:r w:rsidR="00ED3996">
        <w:rPr>
          <w:rFonts w:hint="cs"/>
          <w:b/>
          <w:bCs/>
          <w:rtl/>
        </w:rPr>
        <w:t xml:space="preserve">בני ה- </w:t>
      </w:r>
      <w:r w:rsidR="009B4945">
        <w:rPr>
          <w:rFonts w:hint="cs"/>
          <w:b/>
          <w:bCs/>
          <w:rtl/>
        </w:rPr>
        <w:t>40-18</w:t>
      </w:r>
      <w:r w:rsidR="00ED3996">
        <w:rPr>
          <w:rFonts w:hint="cs"/>
          <w:b/>
          <w:bCs/>
          <w:rtl/>
        </w:rPr>
        <w:t xml:space="preserve"> בשנת 2009</w:t>
      </w:r>
      <w:r w:rsidRPr="00BC2177">
        <w:rPr>
          <w:rFonts w:hint="cs"/>
          <w:b/>
          <w:bCs/>
          <w:rtl/>
        </w:rPr>
        <w:t xml:space="preserve"> היה קנביס</w:t>
      </w:r>
      <w:r w:rsidRPr="00BC2177">
        <w:rPr>
          <w:rFonts w:hint="cs"/>
          <w:rtl/>
        </w:rPr>
        <w:t xml:space="preserve"> וזאת על-בסיס אומדן של כ- 173,858 עד 233,335 משתמשים (כ- 7.6%-10.2% מכלל אוכלוסייה זו</w:t>
      </w:r>
      <w:r w:rsidR="00722ED0">
        <w:rPr>
          <w:rFonts w:hint="cs"/>
          <w:rtl/>
        </w:rPr>
        <w:t xml:space="preserve"> בישראל</w:t>
      </w:r>
      <w:r w:rsidRPr="00BC2177">
        <w:rPr>
          <w:rFonts w:hint="cs"/>
          <w:rtl/>
        </w:rPr>
        <w:t>).</w:t>
      </w:r>
      <w:r>
        <w:rPr>
          <w:rStyle w:val="ab"/>
          <w:rtl/>
        </w:rPr>
        <w:footnoteReference w:id="9"/>
      </w:r>
      <w:r w:rsidRPr="00BC2177">
        <w:rPr>
          <w:rFonts w:hint="cs"/>
          <w:rtl/>
        </w:rPr>
        <w:t xml:space="preserve"> </w:t>
      </w:r>
      <w:r w:rsidRPr="00BC2177">
        <w:rPr>
          <w:rFonts w:hint="cs"/>
          <w:b/>
          <w:bCs/>
          <w:rtl/>
        </w:rPr>
        <w:t>73% מהמשיבים הבגירים בשנת 2009 צרכו "אי-פעם" משקה אלכוהולי כלשהו</w:t>
      </w:r>
      <w:r w:rsidRPr="00BC2177">
        <w:rPr>
          <w:rFonts w:hint="cs"/>
          <w:rtl/>
        </w:rPr>
        <w:t>, קרי כ-1.67 מיליון משתמשים.</w:t>
      </w:r>
      <w:r>
        <w:rPr>
          <w:rStyle w:val="ab"/>
          <w:rtl/>
        </w:rPr>
        <w:footnoteReference w:id="10"/>
      </w:r>
    </w:p>
    <w:p w:rsidR="00686F6A" w:rsidRDefault="00686F6A" w:rsidP="00DC2DB0">
      <w:pPr>
        <w:pStyle w:val="a2"/>
        <w:numPr>
          <w:ilvl w:val="0"/>
          <w:numId w:val="23"/>
        </w:numPr>
      </w:pPr>
      <w:r w:rsidRPr="00BC2177">
        <w:rPr>
          <w:rFonts w:hint="cs"/>
          <w:rtl/>
        </w:rPr>
        <w:t>בהתייחס לנוער לומד, מדווחת הרשות</w:t>
      </w:r>
      <w:r w:rsidRPr="00BC2177">
        <w:rPr>
          <w:rStyle w:val="ab"/>
          <w:rtl/>
        </w:rPr>
        <w:footnoteReference w:id="11"/>
      </w:r>
      <w:r w:rsidR="00722ED0">
        <w:rPr>
          <w:rFonts w:hint="cs"/>
          <w:rtl/>
        </w:rPr>
        <w:t xml:space="preserve"> </w:t>
      </w:r>
      <w:r w:rsidRPr="00BC2177">
        <w:rPr>
          <w:rFonts w:hint="cs"/>
          <w:rtl/>
        </w:rPr>
        <w:t xml:space="preserve">כי </w:t>
      </w:r>
      <w:r w:rsidRPr="00BC2177">
        <w:rPr>
          <w:rFonts w:hint="cs"/>
          <w:b/>
          <w:bCs/>
          <w:rtl/>
        </w:rPr>
        <w:t xml:space="preserve">בשנת 2011 היה קנביס החומר השכיח ביותר בשימוש בקרב תלמידי כיתות י'-י"ב </w:t>
      </w:r>
      <w:r w:rsidRPr="00BC2177">
        <w:rPr>
          <w:rFonts w:hint="cs"/>
          <w:rtl/>
        </w:rPr>
        <w:t xml:space="preserve">בבתי-ספר המפוקחים על-ידי משרד החינוך, עם 5.9% </w:t>
      </w:r>
      <w:r w:rsidRPr="00BC2177">
        <w:rPr>
          <w:rFonts w:hint="cs"/>
          <w:rtl/>
        </w:rPr>
        <w:lastRenderedPageBreak/>
        <w:t>משתמשים.</w:t>
      </w:r>
      <w:r>
        <w:rPr>
          <w:rStyle w:val="ab"/>
          <w:rtl/>
        </w:rPr>
        <w:footnoteReference w:id="12"/>
      </w:r>
      <w:r w:rsidRPr="009A2979">
        <w:rPr>
          <w:rFonts w:hint="cs"/>
          <w:b/>
          <w:bCs/>
          <w:rtl/>
        </w:rPr>
        <w:t xml:space="preserve"> 24.2% מקרב תלמידי כיתות ו', ח', י'-י"ב שהשתתפו במחקר דיווחו כי שתו משקה אלכוהולי, שלא למטרות דת, בחודש שקדם לסקר, ו- 19.7% כי השתכרו אי-פעם</w:t>
      </w:r>
      <w:r>
        <w:rPr>
          <w:rFonts w:hint="cs"/>
          <w:b/>
          <w:bCs/>
          <w:rtl/>
        </w:rPr>
        <w:t>.</w:t>
      </w:r>
      <w:r>
        <w:rPr>
          <w:rStyle w:val="ab"/>
          <w:b/>
          <w:bCs/>
          <w:rtl/>
        </w:rPr>
        <w:footnoteReference w:id="13"/>
      </w:r>
      <w:r w:rsidRPr="00BC2177">
        <w:rPr>
          <w:rFonts w:hint="cs"/>
          <w:rtl/>
        </w:rPr>
        <w:t xml:space="preserve"> </w:t>
      </w:r>
    </w:p>
    <w:p w:rsidR="00387B85" w:rsidRPr="00C10101" w:rsidRDefault="00387B85" w:rsidP="00DC2DB0">
      <w:pPr>
        <w:pStyle w:val="a2"/>
        <w:numPr>
          <w:ilvl w:val="0"/>
          <w:numId w:val="23"/>
        </w:numPr>
        <w:spacing w:line="360" w:lineRule="auto"/>
        <w:rPr>
          <w:b/>
          <w:bCs/>
        </w:rPr>
      </w:pPr>
      <w:r>
        <w:rPr>
          <w:rFonts w:hint="cs"/>
          <w:rtl/>
        </w:rPr>
        <w:t>הן הרשות הלאומית למלחמה בסמים ובאלכוהול</w:t>
      </w:r>
      <w:r w:rsidRPr="00BB6388">
        <w:rPr>
          <w:rStyle w:val="ab"/>
          <w:rtl/>
        </w:rPr>
        <w:footnoteReference w:id="14"/>
      </w:r>
      <w:r>
        <w:rPr>
          <w:rFonts w:hint="cs"/>
          <w:rtl/>
        </w:rPr>
        <w:t xml:space="preserve"> והן משרד החינוך</w:t>
      </w:r>
      <w:r w:rsidRPr="00BB6388">
        <w:rPr>
          <w:rStyle w:val="ab"/>
          <w:rtl/>
        </w:rPr>
        <w:footnoteReference w:id="15"/>
      </w:r>
      <w:r>
        <w:rPr>
          <w:rFonts w:hint="cs"/>
          <w:rtl/>
        </w:rPr>
        <w:t xml:space="preserve"> ציינו במכתבם כי אחד האתגרים המרכזיים לעבודתם הוא </w:t>
      </w:r>
      <w:r w:rsidRPr="00F8277A">
        <w:rPr>
          <w:rFonts w:hint="cs"/>
          <w:b/>
          <w:bCs/>
          <w:rtl/>
        </w:rPr>
        <w:t>הנורמה התרבותית החזקה בישראל התומכת בשתיית אלכוהול, גם עבור קטינים</w:t>
      </w:r>
      <w:r>
        <w:rPr>
          <w:rFonts w:hint="cs"/>
          <w:rtl/>
        </w:rPr>
        <w:t xml:space="preserve">. </w:t>
      </w:r>
    </w:p>
    <w:p w:rsidR="00387B85" w:rsidRDefault="00387B85" w:rsidP="00DC2DB0">
      <w:pPr>
        <w:pStyle w:val="a2"/>
        <w:numPr>
          <w:ilvl w:val="0"/>
          <w:numId w:val="23"/>
        </w:numPr>
      </w:pPr>
      <w:r>
        <w:rPr>
          <w:rFonts w:hint="cs"/>
          <w:rtl/>
        </w:rPr>
        <w:t>בנוסף, ציין משרד החינוך</w:t>
      </w:r>
      <w:r w:rsidRPr="00BB6388">
        <w:rPr>
          <w:rStyle w:val="ab"/>
          <w:rtl/>
        </w:rPr>
        <w:footnoteReference w:id="16"/>
      </w:r>
      <w:r>
        <w:rPr>
          <w:rFonts w:hint="cs"/>
          <w:rtl/>
        </w:rPr>
        <w:t xml:space="preserve"> גם כי </w:t>
      </w:r>
      <w:r w:rsidRPr="00DC0E1C">
        <w:rPr>
          <w:rFonts w:hint="cs"/>
          <w:b/>
          <w:bCs/>
          <w:rtl/>
        </w:rPr>
        <w:t>הגידול במספר הילדים החיים מתחת לקו העוני במקביל לחשיפה מתמשכת לאיומים ביטחוניים</w:t>
      </w:r>
      <w:r>
        <w:rPr>
          <w:rFonts w:hint="cs"/>
          <w:rtl/>
        </w:rPr>
        <w:t xml:space="preserve">, </w:t>
      </w:r>
      <w:r w:rsidRPr="001B1368">
        <w:rPr>
          <w:rFonts w:hint="cs"/>
          <w:b/>
          <w:bCs/>
          <w:rtl/>
        </w:rPr>
        <w:t>מגדיל את מספר הילדים החשופים לתחושות דחק ומצבי סיכון, המובילים בתורם להגברת הסיכון לשימוש בחומרים פסיכואקטיביים</w:t>
      </w:r>
      <w:r>
        <w:rPr>
          <w:rFonts w:hint="cs"/>
          <w:rtl/>
        </w:rPr>
        <w:t>.</w:t>
      </w:r>
    </w:p>
    <w:p w:rsidR="008E53E7" w:rsidRPr="008E53E7" w:rsidRDefault="0088434D" w:rsidP="008E53E7">
      <w:pPr>
        <w:pStyle w:val="a2"/>
        <w:rPr>
          <w:b/>
          <w:bCs/>
          <w:rtl/>
        </w:rPr>
      </w:pPr>
      <w:r>
        <w:rPr>
          <w:rFonts w:hint="cs"/>
          <w:b/>
          <w:bCs/>
          <w:rtl/>
        </w:rPr>
        <w:t>טיפול מוסדות בריאות ורווחה בנפגעי סמים</w:t>
      </w:r>
    </w:p>
    <w:p w:rsidR="00686F6A" w:rsidRDefault="00686F6A" w:rsidP="00DC2DB0">
      <w:pPr>
        <w:pStyle w:val="a2"/>
        <w:numPr>
          <w:ilvl w:val="0"/>
          <w:numId w:val="23"/>
        </w:numPr>
        <w:spacing w:line="360" w:lineRule="auto"/>
        <w:rPr>
          <w:rtl/>
        </w:rPr>
      </w:pPr>
      <w:r w:rsidRPr="00BB6388">
        <w:rPr>
          <w:rFonts w:hint="cs"/>
          <w:b/>
          <w:bCs/>
          <w:rtl/>
        </w:rPr>
        <w:t xml:space="preserve">בשנת 2014 אובחנו 1,872 איש במחלקות לרפואה דחופה בבתי-חולים (חדרי מיון) ברחבי הארץ כסובלים מבעיות בריאותיות על-רקע של צריכת </w:t>
      </w:r>
      <w:r w:rsidRPr="00BB6388">
        <w:rPr>
          <w:rFonts w:hint="eastAsia"/>
          <w:b/>
          <w:bCs/>
          <w:u w:val="single"/>
          <w:rtl/>
        </w:rPr>
        <w:t>סמים</w:t>
      </w:r>
      <w:r w:rsidRPr="00BB6388">
        <w:rPr>
          <w:rFonts w:hint="cs"/>
          <w:b/>
          <w:bCs/>
          <w:rtl/>
        </w:rPr>
        <w:t>, ומתוכם  310</w:t>
      </w:r>
      <w:r>
        <w:rPr>
          <w:rFonts w:hint="cs"/>
          <w:b/>
          <w:bCs/>
          <w:rtl/>
        </w:rPr>
        <w:t xml:space="preserve"> מטופלים</w:t>
      </w:r>
      <w:r w:rsidRPr="00BB6388">
        <w:rPr>
          <w:rFonts w:hint="cs"/>
          <w:b/>
          <w:bCs/>
          <w:rtl/>
        </w:rPr>
        <w:t>, שהם 16.5%, אושפזו.</w:t>
      </w:r>
      <w:r w:rsidRPr="00BB6388">
        <w:rPr>
          <w:rStyle w:val="ab"/>
          <w:rtl/>
        </w:rPr>
        <w:footnoteReference w:id="17"/>
      </w:r>
      <w:r w:rsidRPr="00BB6388">
        <w:rPr>
          <w:rFonts w:hint="cs"/>
          <w:b/>
          <w:bCs/>
          <w:rtl/>
        </w:rPr>
        <w:t xml:space="preserve"> </w:t>
      </w:r>
      <w:r w:rsidRPr="00142E6D">
        <w:rPr>
          <w:rFonts w:hint="cs"/>
          <w:b/>
          <w:bCs/>
          <w:rtl/>
        </w:rPr>
        <w:t>באותה השנה</w:t>
      </w:r>
      <w:r w:rsidRPr="00BB6388">
        <w:rPr>
          <w:rFonts w:hint="cs"/>
          <w:rtl/>
        </w:rPr>
        <w:t xml:space="preserve"> </w:t>
      </w:r>
      <w:r w:rsidRPr="00BB6388">
        <w:rPr>
          <w:rFonts w:hint="cs"/>
          <w:b/>
          <w:bCs/>
          <w:rtl/>
        </w:rPr>
        <w:t xml:space="preserve">אובחנו באותן המחלקות גם 5,107 </w:t>
      </w:r>
      <w:r>
        <w:rPr>
          <w:rFonts w:hint="cs"/>
          <w:b/>
          <w:bCs/>
          <w:rtl/>
        </w:rPr>
        <w:t>איש</w:t>
      </w:r>
      <w:r w:rsidRPr="00BB6388">
        <w:rPr>
          <w:rFonts w:hint="cs"/>
          <w:b/>
          <w:bCs/>
          <w:rtl/>
        </w:rPr>
        <w:t xml:space="preserve"> על רקע של בעיות בריאות כתוצאה מצריכת </w:t>
      </w:r>
      <w:r w:rsidRPr="00BB6388">
        <w:rPr>
          <w:rFonts w:hint="eastAsia"/>
          <w:b/>
          <w:bCs/>
          <w:u w:val="single"/>
          <w:rtl/>
        </w:rPr>
        <w:t>אלכוהול</w:t>
      </w:r>
      <w:r>
        <w:rPr>
          <w:rFonts w:hint="cs"/>
          <w:b/>
          <w:bCs/>
          <w:rtl/>
        </w:rPr>
        <w:t>, מתוכם</w:t>
      </w:r>
      <w:r w:rsidRPr="00BB6388">
        <w:rPr>
          <w:rFonts w:hint="cs"/>
          <w:b/>
          <w:bCs/>
          <w:rtl/>
        </w:rPr>
        <w:t xml:space="preserve"> 548</w:t>
      </w:r>
      <w:r>
        <w:rPr>
          <w:rFonts w:hint="cs"/>
          <w:b/>
          <w:bCs/>
          <w:rtl/>
        </w:rPr>
        <w:t xml:space="preserve"> מטופלים</w:t>
      </w:r>
      <w:r w:rsidR="00CE0B47">
        <w:rPr>
          <w:rFonts w:hint="cs"/>
          <w:b/>
          <w:bCs/>
          <w:rtl/>
        </w:rPr>
        <w:t>, שהם</w:t>
      </w:r>
      <w:r w:rsidRPr="00BB6388">
        <w:rPr>
          <w:rFonts w:hint="cs"/>
          <w:b/>
          <w:bCs/>
          <w:rtl/>
        </w:rPr>
        <w:t xml:space="preserve"> 10.7%, אושפזו.</w:t>
      </w:r>
      <w:r w:rsidRPr="00BB6388">
        <w:rPr>
          <w:rStyle w:val="ab"/>
          <w:rtl/>
        </w:rPr>
        <w:footnoteReference w:id="18"/>
      </w:r>
      <w:r w:rsidRPr="00BB6388">
        <w:rPr>
          <w:rFonts w:hint="cs"/>
          <w:b/>
          <w:bCs/>
          <w:rtl/>
        </w:rPr>
        <w:t xml:space="preserve"> </w:t>
      </w:r>
      <w:r w:rsidRPr="00BB6388">
        <w:rPr>
          <w:rFonts w:hint="cs"/>
          <w:rtl/>
        </w:rPr>
        <w:t xml:space="preserve">מספרים אלו אינם כוללים מאובחנים ומאושפזים הסובלים מתחלואה כפולה, דהיינו חולים הסובלים בו-זמנית הן מהתמכרות </w:t>
      </w:r>
      <w:r>
        <w:rPr>
          <w:rFonts w:hint="cs"/>
          <w:rtl/>
        </w:rPr>
        <w:t>לחומר פסיכואקטיבי והן ממחלת נפש.</w:t>
      </w:r>
      <w:r>
        <w:rPr>
          <w:rStyle w:val="ab"/>
          <w:rtl/>
        </w:rPr>
        <w:footnoteReference w:id="19"/>
      </w:r>
    </w:p>
    <w:p w:rsidR="00686F6A" w:rsidRPr="0065686F" w:rsidRDefault="00686F6A" w:rsidP="00203E17">
      <w:pPr>
        <w:pStyle w:val="a2"/>
        <w:numPr>
          <w:ilvl w:val="0"/>
          <w:numId w:val="23"/>
        </w:numPr>
        <w:spacing w:line="360" w:lineRule="auto"/>
      </w:pPr>
      <w:r w:rsidRPr="00BB6388">
        <w:rPr>
          <w:rFonts w:hint="cs"/>
          <w:rtl/>
        </w:rPr>
        <w:t xml:space="preserve">במסגרת </w:t>
      </w:r>
      <w:r w:rsidRPr="00701B69">
        <w:rPr>
          <w:rFonts w:hint="cs"/>
          <w:b/>
          <w:bCs/>
          <w:rtl/>
        </w:rPr>
        <w:t>הרפורמה בבריאות הנפש</w:t>
      </w:r>
      <w:r w:rsidRPr="00BB6388">
        <w:rPr>
          <w:rFonts w:hint="cs"/>
          <w:rtl/>
        </w:rPr>
        <w:t>, אמורים להיות מועברים החל מה- 1 ביולי 2015 שירותי האשפוז והשירותים האמבולטוריים בתחום בריאות הנפש</w:t>
      </w:r>
      <w:r>
        <w:rPr>
          <w:rFonts w:hint="cs"/>
          <w:rtl/>
        </w:rPr>
        <w:t xml:space="preserve"> ממשרד הבריאות אל </w:t>
      </w:r>
      <w:r w:rsidRPr="00BB6388">
        <w:rPr>
          <w:rFonts w:hint="cs"/>
          <w:rtl/>
        </w:rPr>
        <w:t xml:space="preserve">אחריות קופות החולים. עם זאת, </w:t>
      </w:r>
      <w:r w:rsidRPr="00775D06">
        <w:rPr>
          <w:rFonts w:hint="cs"/>
          <w:b/>
          <w:bCs/>
          <w:rtl/>
        </w:rPr>
        <w:t>מספר שירותים ובכללם</w:t>
      </w:r>
      <w:r w:rsidRPr="00BB6388">
        <w:rPr>
          <w:rFonts w:hint="cs"/>
          <w:b/>
          <w:bCs/>
          <w:rtl/>
        </w:rPr>
        <w:t xml:space="preserve"> סל שירותי בריאות הנפש </w:t>
      </w:r>
      <w:r w:rsidRPr="00BB6388">
        <w:rPr>
          <w:rFonts w:hint="cs"/>
          <w:b/>
          <w:bCs/>
          <w:u w:val="single"/>
          <w:rtl/>
        </w:rPr>
        <w:t>לגמילה</w:t>
      </w:r>
      <w:r w:rsidRPr="00BB6388">
        <w:rPr>
          <w:rFonts w:hint="cs"/>
          <w:b/>
          <w:bCs/>
          <w:rtl/>
        </w:rPr>
        <w:t xml:space="preserve"> (הכולל שירותי אשפוז שירותים אמבולטוריים ושירותי גמילה ביתית) יישארו באחריות משרד הבריאות.</w:t>
      </w:r>
      <w:r w:rsidRPr="00BB6388">
        <w:rPr>
          <w:rStyle w:val="ab"/>
          <w:rtl/>
        </w:rPr>
        <w:footnoteReference w:id="20"/>
      </w:r>
      <w:r>
        <w:rPr>
          <w:rFonts w:hint="cs"/>
          <w:b/>
          <w:bCs/>
          <w:rtl/>
        </w:rPr>
        <w:t xml:space="preserve"> </w:t>
      </w:r>
      <w:r>
        <w:rPr>
          <w:rFonts w:hint="cs"/>
          <w:rtl/>
        </w:rPr>
        <w:t>חלוקה זו</w:t>
      </w:r>
      <w:r w:rsidRPr="00BB6388">
        <w:rPr>
          <w:rFonts w:hint="cs"/>
          <w:rtl/>
        </w:rPr>
        <w:t xml:space="preserve"> מעלה שאלות בנוגע להתמודדות מערכת הב</w:t>
      </w:r>
      <w:r>
        <w:rPr>
          <w:rFonts w:hint="cs"/>
          <w:rtl/>
        </w:rPr>
        <w:t>ריאות עם מקרים של תחלואה כפולה,</w:t>
      </w:r>
      <w:r w:rsidRPr="00BB6388">
        <w:rPr>
          <w:rFonts w:hint="cs"/>
          <w:rtl/>
        </w:rPr>
        <w:t xml:space="preserve"> </w:t>
      </w:r>
      <w:r w:rsidR="00B74782">
        <w:rPr>
          <w:rFonts w:hint="cs"/>
          <w:rtl/>
        </w:rPr>
        <w:t>שבהם, כאמור, סובלים החולים</w:t>
      </w:r>
      <w:r w:rsidRPr="00BB6388">
        <w:rPr>
          <w:rFonts w:hint="cs"/>
          <w:rtl/>
        </w:rPr>
        <w:t xml:space="preserve"> הן מהתמכרות והן </w:t>
      </w:r>
      <w:r w:rsidRPr="0065686F">
        <w:rPr>
          <w:rFonts w:hint="cs"/>
          <w:rtl/>
        </w:rPr>
        <w:t>ממחלת נפש.</w:t>
      </w:r>
      <w:r w:rsidRPr="0065686F">
        <w:rPr>
          <w:rStyle w:val="ab"/>
          <w:rtl/>
        </w:rPr>
        <w:footnoteReference w:id="21"/>
      </w:r>
      <w:r w:rsidRPr="0065686F">
        <w:rPr>
          <w:rFonts w:hint="cs"/>
          <w:rtl/>
        </w:rPr>
        <w:t xml:space="preserve"> על-פי משרד הבריאות </w:t>
      </w:r>
      <w:r w:rsidRPr="0065686F">
        <w:rPr>
          <w:rFonts w:hint="cs"/>
          <w:b/>
          <w:bCs/>
          <w:rtl/>
        </w:rPr>
        <w:t>נמצאים כיום</w:t>
      </w:r>
      <w:r w:rsidRPr="0065686F">
        <w:rPr>
          <w:rFonts w:hint="cs"/>
          <w:rtl/>
        </w:rPr>
        <w:t xml:space="preserve"> </w:t>
      </w:r>
      <w:r w:rsidRPr="0065686F">
        <w:rPr>
          <w:rFonts w:hint="cs"/>
          <w:b/>
          <w:bCs/>
          <w:rtl/>
        </w:rPr>
        <w:t xml:space="preserve">תחת פיקוח המחלקה לטיפול בהתמכרויות שבמשרד הבריאות </w:t>
      </w:r>
      <w:r w:rsidR="0090322B" w:rsidRPr="0065686F">
        <w:rPr>
          <w:rFonts w:hint="cs"/>
          <w:b/>
          <w:bCs/>
          <w:rtl/>
        </w:rPr>
        <w:t>58</w:t>
      </w:r>
      <w:r w:rsidRPr="0065686F">
        <w:rPr>
          <w:rFonts w:hint="cs"/>
          <w:b/>
          <w:bCs/>
          <w:rtl/>
        </w:rPr>
        <w:t xml:space="preserve"> מוסדות לטיפול במכורים לסמים ואלכוהול</w:t>
      </w:r>
      <w:r w:rsidR="00C77253" w:rsidRPr="0065686F">
        <w:rPr>
          <w:rFonts w:hint="cs"/>
          <w:b/>
          <w:bCs/>
          <w:rtl/>
        </w:rPr>
        <w:t xml:space="preserve">, מתוכם 15 </w:t>
      </w:r>
      <w:r w:rsidR="00C77253" w:rsidRPr="0065686F">
        <w:rPr>
          <w:rFonts w:ascii="Arial" w:hAnsi="Arial" w:hint="cs"/>
          <w:b/>
          <w:bCs/>
          <w:rtl/>
        </w:rPr>
        <w:t>נמצאים</w:t>
      </w:r>
      <w:r w:rsidR="00C77253" w:rsidRPr="0065686F">
        <w:rPr>
          <w:rFonts w:hint="cs"/>
          <w:b/>
          <w:bCs/>
          <w:rtl/>
        </w:rPr>
        <w:t xml:space="preserve"> </w:t>
      </w:r>
      <w:r w:rsidR="00C77253" w:rsidRPr="0065686F">
        <w:rPr>
          <w:rFonts w:ascii="Arial" w:hAnsi="Arial" w:hint="cs"/>
          <w:b/>
          <w:bCs/>
          <w:rtl/>
        </w:rPr>
        <w:t>בבעלות</w:t>
      </w:r>
      <w:r w:rsidR="00C77253" w:rsidRPr="0065686F">
        <w:rPr>
          <w:rFonts w:hint="cs"/>
          <w:b/>
          <w:bCs/>
          <w:rtl/>
        </w:rPr>
        <w:t xml:space="preserve"> </w:t>
      </w:r>
      <w:r w:rsidR="00C77253" w:rsidRPr="0065686F">
        <w:rPr>
          <w:rFonts w:ascii="Arial" w:hAnsi="Arial" w:hint="cs"/>
          <w:b/>
          <w:bCs/>
          <w:rtl/>
        </w:rPr>
        <w:t>ציבורית</w:t>
      </w:r>
      <w:r w:rsidR="00C77253" w:rsidRPr="0065686F">
        <w:rPr>
          <w:rFonts w:hint="cs"/>
          <w:b/>
          <w:bCs/>
          <w:rtl/>
        </w:rPr>
        <w:t xml:space="preserve">, 16 </w:t>
      </w:r>
      <w:r w:rsidR="00203E17" w:rsidRPr="0065686F">
        <w:rPr>
          <w:rFonts w:ascii="Arial" w:hAnsi="Arial" w:hint="cs"/>
          <w:b/>
          <w:bCs/>
          <w:rtl/>
        </w:rPr>
        <w:t xml:space="preserve"> הם מלכ"רים</w:t>
      </w:r>
      <w:r w:rsidR="00C77253" w:rsidRPr="0065686F">
        <w:rPr>
          <w:rFonts w:hint="cs"/>
          <w:b/>
          <w:bCs/>
          <w:rtl/>
        </w:rPr>
        <w:t xml:space="preserve">, </w:t>
      </w:r>
      <w:r w:rsidR="00C77253" w:rsidRPr="0065686F">
        <w:rPr>
          <w:rFonts w:ascii="Arial" w:hAnsi="Arial" w:hint="cs"/>
          <w:b/>
          <w:bCs/>
          <w:rtl/>
        </w:rPr>
        <w:t>ו</w:t>
      </w:r>
      <w:r w:rsidR="00C77253" w:rsidRPr="0065686F">
        <w:rPr>
          <w:rFonts w:hint="cs"/>
          <w:b/>
          <w:bCs/>
          <w:rtl/>
        </w:rPr>
        <w:t xml:space="preserve">- 27 </w:t>
      </w:r>
      <w:r w:rsidR="00C77253" w:rsidRPr="0065686F">
        <w:rPr>
          <w:rFonts w:ascii="Arial" w:hAnsi="Arial" w:hint="cs"/>
          <w:b/>
          <w:bCs/>
          <w:rtl/>
        </w:rPr>
        <w:t>בבבעלות</w:t>
      </w:r>
      <w:r w:rsidR="00C77253" w:rsidRPr="0065686F">
        <w:rPr>
          <w:rFonts w:hint="cs"/>
          <w:b/>
          <w:bCs/>
          <w:rtl/>
        </w:rPr>
        <w:t xml:space="preserve"> </w:t>
      </w:r>
      <w:r w:rsidR="00C77253" w:rsidRPr="0065686F">
        <w:rPr>
          <w:rFonts w:ascii="Arial" w:hAnsi="Arial" w:hint="cs"/>
          <w:b/>
          <w:bCs/>
          <w:rtl/>
        </w:rPr>
        <w:t>פרטית</w:t>
      </w:r>
      <w:r w:rsidRPr="0065686F">
        <w:rPr>
          <w:rFonts w:hint="cs"/>
          <w:rtl/>
        </w:rPr>
        <w:t>.</w:t>
      </w:r>
      <w:r w:rsidRPr="0065686F">
        <w:rPr>
          <w:rStyle w:val="ab"/>
          <w:rtl/>
        </w:rPr>
        <w:footnoteReference w:id="22"/>
      </w:r>
      <w:r w:rsidRPr="0065686F">
        <w:rPr>
          <w:rFonts w:hint="cs"/>
          <w:rtl/>
        </w:rPr>
        <w:t xml:space="preserve"> </w:t>
      </w:r>
    </w:p>
    <w:p w:rsidR="00686F6A" w:rsidRDefault="00686F6A" w:rsidP="00DC2DB0">
      <w:pPr>
        <w:pStyle w:val="a2"/>
        <w:numPr>
          <w:ilvl w:val="0"/>
          <w:numId w:val="23"/>
        </w:numPr>
        <w:spacing w:line="360" w:lineRule="auto"/>
      </w:pPr>
      <w:r>
        <w:rPr>
          <w:rFonts w:hint="cs"/>
          <w:rtl/>
        </w:rPr>
        <w:t>משרד הרווחה והשירותים החברתיים, האמון על הטיפול הפסיכוסוציאלי בנפגעי סמים ואלכוהול</w:t>
      </w:r>
      <w:r w:rsidR="000C1AAD">
        <w:rPr>
          <w:rFonts w:hint="cs"/>
          <w:rtl/>
        </w:rPr>
        <w:t>,</w:t>
      </w:r>
      <w:r>
        <w:rPr>
          <w:rFonts w:hint="cs"/>
          <w:rtl/>
        </w:rPr>
        <w:t xml:space="preserve"> מעריך כי </w:t>
      </w:r>
      <w:r w:rsidR="000C1AAD" w:rsidRPr="000C1AAD">
        <w:rPr>
          <w:rFonts w:hint="cs"/>
          <w:b/>
          <w:bCs/>
          <w:rtl/>
        </w:rPr>
        <w:t xml:space="preserve">נכון לאפריל 2015 </w:t>
      </w:r>
      <w:r w:rsidRPr="000C1AAD">
        <w:rPr>
          <w:rFonts w:hint="cs"/>
          <w:b/>
          <w:bCs/>
          <w:rtl/>
        </w:rPr>
        <w:t>מספר</w:t>
      </w:r>
      <w:r w:rsidRPr="00163965">
        <w:rPr>
          <w:rFonts w:hint="cs"/>
          <w:b/>
          <w:bCs/>
          <w:rtl/>
        </w:rPr>
        <w:t xml:space="preserve"> המטופלים במחלקות לשירותים חברתיים ברשויות המקומיות עומד על כ- 20,526 נפגעי סמים ואלכוהול</w:t>
      </w:r>
      <w:r>
        <w:rPr>
          <w:rFonts w:hint="cs"/>
          <w:rtl/>
        </w:rPr>
        <w:t>.</w:t>
      </w:r>
      <w:r w:rsidRPr="00BB6388">
        <w:rPr>
          <w:rStyle w:val="ab"/>
          <w:rtl/>
        </w:rPr>
        <w:footnoteReference w:id="23"/>
      </w:r>
      <w:r>
        <w:rPr>
          <w:rStyle w:val="aa"/>
          <w:rFonts w:hint="cs"/>
          <w:rtl/>
        </w:rPr>
        <w:t xml:space="preserve"> </w:t>
      </w:r>
      <w:r w:rsidRPr="00163965">
        <w:rPr>
          <w:rFonts w:hint="cs"/>
          <w:b/>
          <w:bCs/>
          <w:rtl/>
        </w:rPr>
        <w:t>זוהי הערכת חסר</w:t>
      </w:r>
      <w:r w:rsidRPr="00163965">
        <w:rPr>
          <w:rFonts w:hint="cs"/>
          <w:rtl/>
        </w:rPr>
        <w:t xml:space="preserve"> מא</w:t>
      </w:r>
      <w:r w:rsidR="000C1AAD">
        <w:rPr>
          <w:rFonts w:hint="cs"/>
          <w:rtl/>
        </w:rPr>
        <w:t xml:space="preserve">חר והיא אינה כוללת </w:t>
      </w:r>
      <w:r w:rsidRPr="00163965">
        <w:rPr>
          <w:rFonts w:hint="cs"/>
          <w:rtl/>
        </w:rPr>
        <w:t>מטופלים שטרם הוזנו למערכת נתוני היסוד של המשרד</w:t>
      </w:r>
      <w:r w:rsidR="000C1AAD">
        <w:rPr>
          <w:rFonts w:hint="cs"/>
          <w:rtl/>
        </w:rPr>
        <w:t>, שמספרם נאמד בכ- 2,000</w:t>
      </w:r>
      <w:r w:rsidRPr="00163965">
        <w:rPr>
          <w:rFonts w:hint="cs"/>
          <w:rtl/>
        </w:rPr>
        <w:t>.</w:t>
      </w:r>
      <w:r>
        <w:rPr>
          <w:rStyle w:val="ab"/>
          <w:rtl/>
        </w:rPr>
        <w:footnoteReference w:id="24"/>
      </w:r>
      <w:r>
        <w:rPr>
          <w:rFonts w:hint="cs"/>
          <w:rtl/>
        </w:rPr>
        <w:t xml:space="preserve"> </w:t>
      </w:r>
    </w:p>
    <w:p w:rsidR="00686F6A" w:rsidRDefault="000C1AAD" w:rsidP="002F70E5">
      <w:pPr>
        <w:pStyle w:val="a2"/>
        <w:numPr>
          <w:ilvl w:val="0"/>
          <w:numId w:val="23"/>
        </w:numPr>
        <w:spacing w:line="360" w:lineRule="auto"/>
        <w:rPr>
          <w:rtl/>
        </w:rPr>
      </w:pPr>
      <w:r>
        <w:rPr>
          <w:rFonts w:hint="cs"/>
          <w:rtl/>
        </w:rPr>
        <w:t>נתוני משרד הבריאות</w:t>
      </w:r>
      <w:r w:rsidR="00CE0B47">
        <w:rPr>
          <w:rFonts w:hint="cs"/>
          <w:rtl/>
        </w:rPr>
        <w:t xml:space="preserve"> בדבר מספר המוסדות לטיפול במכורי</w:t>
      </w:r>
      <w:r>
        <w:rPr>
          <w:rFonts w:hint="cs"/>
          <w:rtl/>
        </w:rPr>
        <w:t>ם שתחת פיקוח</w:t>
      </w:r>
      <w:r w:rsidR="0093763D">
        <w:rPr>
          <w:rFonts w:hint="cs"/>
          <w:rtl/>
        </w:rPr>
        <w:t>ו</w:t>
      </w:r>
      <w:r w:rsidR="002F70E5">
        <w:rPr>
          <w:rFonts w:hint="cs"/>
          <w:rtl/>
        </w:rPr>
        <w:t xml:space="preserve"> </w:t>
      </w:r>
      <w:r>
        <w:rPr>
          <w:rFonts w:hint="cs"/>
          <w:rtl/>
        </w:rPr>
        <w:t>ונתוני משרד הרווחה והשירותים החברתיים בדבר מספר המטופלים בשירות</w:t>
      </w:r>
      <w:r w:rsidR="00686F6A" w:rsidRPr="00BB6388">
        <w:rPr>
          <w:rFonts w:hint="cs"/>
          <w:rtl/>
        </w:rPr>
        <w:t xml:space="preserve"> אינם עונים על השאלה </w:t>
      </w:r>
      <w:r w:rsidR="00686F6A" w:rsidRPr="00BB6388">
        <w:rPr>
          <w:rFonts w:hint="cs"/>
          <w:b/>
          <w:bCs/>
          <w:rtl/>
        </w:rPr>
        <w:t xml:space="preserve">האם </w:t>
      </w:r>
      <w:r w:rsidR="00BD7C87">
        <w:rPr>
          <w:rFonts w:hint="cs"/>
          <w:b/>
          <w:bCs/>
          <w:rtl/>
        </w:rPr>
        <w:t>השירותים הקיימים</w:t>
      </w:r>
      <w:r w:rsidR="00686F6A" w:rsidRPr="00BB6388">
        <w:rPr>
          <w:rFonts w:hint="cs"/>
          <w:b/>
          <w:bCs/>
          <w:rtl/>
        </w:rPr>
        <w:t xml:space="preserve"> עונ</w:t>
      </w:r>
      <w:r w:rsidR="00BD7C87">
        <w:rPr>
          <w:rFonts w:hint="cs"/>
          <w:b/>
          <w:bCs/>
          <w:rtl/>
        </w:rPr>
        <w:t>ים</w:t>
      </w:r>
      <w:r w:rsidR="00686F6A" w:rsidRPr="00BB6388">
        <w:rPr>
          <w:rFonts w:hint="cs"/>
          <w:b/>
          <w:bCs/>
          <w:rtl/>
        </w:rPr>
        <w:t xml:space="preserve"> על הצרכים</w:t>
      </w:r>
      <w:r w:rsidR="00686F6A" w:rsidRPr="00BB6388">
        <w:rPr>
          <w:rFonts w:hint="cs"/>
          <w:rtl/>
        </w:rPr>
        <w:t>; מערכות הבריאות והרווחה אינן תרות באופן אקטיבי (</w:t>
      </w:r>
      <w:r w:rsidR="00686F6A" w:rsidRPr="00BB6388">
        <w:rPr>
          <w:sz w:val="20"/>
          <w:szCs w:val="20"/>
        </w:rPr>
        <w:t>Reaching Out</w:t>
      </w:r>
      <w:r w:rsidR="00686F6A" w:rsidRPr="00BB6388">
        <w:rPr>
          <w:rFonts w:hint="cs"/>
          <w:rtl/>
        </w:rPr>
        <w:t xml:space="preserve">) אחר מכורים בניסיון לשכנעם להיגמל. לפיכך, </w:t>
      </w:r>
      <w:r w:rsidR="00686F6A" w:rsidRPr="00BB6388">
        <w:rPr>
          <w:rFonts w:hint="cs"/>
          <w:b/>
          <w:bCs/>
          <w:rtl/>
        </w:rPr>
        <w:t>אין נתונים על מספר הזקוקים לטיפול גמילה ואי-אפשר לאמוד את הביקוש לשירות זה בישראל אל מול ההיצע</w:t>
      </w:r>
      <w:r w:rsidR="00686F6A" w:rsidRPr="00BB6388">
        <w:rPr>
          <w:rFonts w:hint="cs"/>
          <w:rtl/>
        </w:rPr>
        <w:t>.</w:t>
      </w:r>
    </w:p>
    <w:p w:rsidR="00686F6A" w:rsidRDefault="00CE0B47" w:rsidP="00933166">
      <w:pPr>
        <w:pStyle w:val="a2"/>
        <w:spacing w:line="360" w:lineRule="auto"/>
        <w:rPr>
          <w:b/>
          <w:bCs/>
          <w:rtl/>
        </w:rPr>
      </w:pPr>
      <w:r>
        <w:rPr>
          <w:rFonts w:hint="cs"/>
          <w:b/>
          <w:bCs/>
          <w:rtl/>
        </w:rPr>
        <w:t>שימוש ב</w:t>
      </w:r>
      <w:r w:rsidR="00686F6A">
        <w:rPr>
          <w:rFonts w:hint="cs"/>
          <w:b/>
          <w:bCs/>
          <w:rtl/>
        </w:rPr>
        <w:t>קנביס למטרות רפואיות:</w:t>
      </w:r>
      <w:r w:rsidR="00686F6A" w:rsidRPr="00BD7C87">
        <w:rPr>
          <w:rStyle w:val="ab"/>
          <w:rtl/>
        </w:rPr>
        <w:footnoteReference w:id="25"/>
      </w:r>
    </w:p>
    <w:p w:rsidR="00387B85" w:rsidRDefault="00686F6A" w:rsidP="00DC2DB0">
      <w:pPr>
        <w:pStyle w:val="a2"/>
        <w:numPr>
          <w:ilvl w:val="0"/>
          <w:numId w:val="27"/>
        </w:numPr>
        <w:spacing w:line="360" w:lineRule="auto"/>
        <w:rPr>
          <w:rtl/>
        </w:rPr>
      </w:pPr>
      <w:r>
        <w:rPr>
          <w:rFonts w:hint="cs"/>
          <w:b/>
          <w:bCs/>
          <w:rtl/>
        </w:rPr>
        <w:t>משרד הבריאות הוא ה</w:t>
      </w:r>
      <w:r w:rsidRPr="003C2D76">
        <w:rPr>
          <w:rFonts w:hint="cs"/>
          <w:b/>
          <w:bCs/>
          <w:rtl/>
        </w:rPr>
        <w:t>סוכנות הממשלתית בכל הנוגע לפיקוח ולהסדרת הטיפול בקנביס למטרות רפואיות ולמחקר</w:t>
      </w:r>
      <w:r>
        <w:rPr>
          <w:rFonts w:hint="cs"/>
          <w:rtl/>
        </w:rPr>
        <w:t>.</w:t>
      </w:r>
      <w:r>
        <w:rPr>
          <w:rStyle w:val="ab"/>
          <w:rtl/>
        </w:rPr>
        <w:footnoteReference w:id="26"/>
      </w:r>
      <w:r>
        <w:rPr>
          <w:rStyle w:val="aa"/>
          <w:rFonts w:hint="cs"/>
          <w:rtl/>
        </w:rPr>
        <w:t xml:space="preserve"> </w:t>
      </w:r>
      <w:r w:rsidRPr="008337EC">
        <w:rPr>
          <w:rFonts w:hint="cs"/>
          <w:rtl/>
        </w:rPr>
        <w:t xml:space="preserve">היחידה לקנביס רפואי (יק"ר) </w:t>
      </w:r>
      <w:r>
        <w:rPr>
          <w:rFonts w:hint="cs"/>
          <w:rtl/>
        </w:rPr>
        <w:t xml:space="preserve">במשרד הבריאות </w:t>
      </w:r>
      <w:r w:rsidRPr="008337EC">
        <w:rPr>
          <w:rFonts w:hint="cs"/>
          <w:rtl/>
        </w:rPr>
        <w:t>הוקמה ב- 2013</w:t>
      </w:r>
      <w:r>
        <w:rPr>
          <w:rStyle w:val="ab"/>
          <w:rtl/>
        </w:rPr>
        <w:footnoteReference w:id="27"/>
      </w:r>
      <w:r w:rsidRPr="008337EC">
        <w:rPr>
          <w:rFonts w:hint="cs"/>
          <w:rtl/>
        </w:rPr>
        <w:t xml:space="preserve"> </w:t>
      </w:r>
      <w:r>
        <w:rPr>
          <w:rFonts w:hint="cs"/>
          <w:rtl/>
        </w:rPr>
        <w:t xml:space="preserve">ומאז פעלה, יחד עם גורמים נוספים, לאסדרת התחום. </w:t>
      </w:r>
    </w:p>
    <w:p w:rsidR="00933166" w:rsidRDefault="008803C1" w:rsidP="0093763D">
      <w:pPr>
        <w:pStyle w:val="a2"/>
        <w:numPr>
          <w:ilvl w:val="0"/>
          <w:numId w:val="27"/>
        </w:numPr>
        <w:spacing w:line="360" w:lineRule="auto"/>
        <w:rPr>
          <w:b/>
          <w:bCs/>
        </w:rPr>
      </w:pPr>
      <w:r w:rsidRPr="008803C1">
        <w:rPr>
          <w:rFonts w:hint="cs"/>
          <w:rtl/>
        </w:rPr>
        <w:t>נכון ל- 19 במרץ 2015</w:t>
      </w:r>
      <w:r w:rsidRPr="007F338B">
        <w:rPr>
          <w:rFonts w:hint="cs"/>
          <w:b/>
          <w:bCs/>
          <w:rtl/>
        </w:rPr>
        <w:t xml:space="preserve"> </w:t>
      </w:r>
      <w:r w:rsidR="0093763D">
        <w:rPr>
          <w:rFonts w:hint="cs"/>
          <w:b/>
          <w:bCs/>
          <w:rtl/>
        </w:rPr>
        <w:t>היו</w:t>
      </w:r>
      <w:r w:rsidR="0093763D" w:rsidRPr="008803C1">
        <w:rPr>
          <w:rFonts w:hint="cs"/>
          <w:b/>
          <w:bCs/>
          <w:rtl/>
        </w:rPr>
        <w:t xml:space="preserve"> </w:t>
      </w:r>
      <w:r w:rsidR="00686F6A" w:rsidRPr="008803C1">
        <w:rPr>
          <w:rFonts w:hint="cs"/>
          <w:b/>
          <w:bCs/>
          <w:rtl/>
        </w:rPr>
        <w:t xml:space="preserve">בישראל 36 רופאים </w:t>
      </w:r>
      <w:r w:rsidRPr="008803C1">
        <w:rPr>
          <w:rFonts w:hint="cs"/>
          <w:b/>
          <w:bCs/>
          <w:rtl/>
        </w:rPr>
        <w:t>"מנהלים"</w:t>
      </w:r>
      <w:r>
        <w:rPr>
          <w:rFonts w:hint="cs"/>
          <w:rtl/>
        </w:rPr>
        <w:t xml:space="preserve"> </w:t>
      </w:r>
      <w:r w:rsidR="00686F6A">
        <w:rPr>
          <w:rFonts w:hint="cs"/>
          <w:rtl/>
        </w:rPr>
        <w:t xml:space="preserve">המורשים על-ידי משרד הבריאות לאשר המלצות של רופאים מטפלים בדבר מתן רישיון למטופל לשימוש </w:t>
      </w:r>
      <w:r>
        <w:rPr>
          <w:rFonts w:hint="cs"/>
          <w:rtl/>
        </w:rPr>
        <w:t>בקנביס למטרות רפואיות</w:t>
      </w:r>
      <w:r w:rsidR="00686F6A">
        <w:rPr>
          <w:rFonts w:hint="cs"/>
          <w:rtl/>
        </w:rPr>
        <w:t>.</w:t>
      </w:r>
      <w:r w:rsidR="00686F6A">
        <w:rPr>
          <w:rStyle w:val="ab"/>
          <w:rtl/>
        </w:rPr>
        <w:footnoteReference w:id="28"/>
      </w:r>
      <w:r w:rsidR="00686F6A">
        <w:rPr>
          <w:rFonts w:hint="cs"/>
          <w:rtl/>
        </w:rPr>
        <w:t xml:space="preserve"> </w:t>
      </w:r>
    </w:p>
    <w:p w:rsidR="00933166" w:rsidRDefault="0014087F" w:rsidP="00DC2DB0">
      <w:pPr>
        <w:pStyle w:val="a2"/>
        <w:numPr>
          <w:ilvl w:val="0"/>
          <w:numId w:val="27"/>
        </w:numPr>
        <w:spacing w:line="360" w:lineRule="auto"/>
        <w:rPr>
          <w:rStyle w:val="aa"/>
          <w:b/>
          <w:bCs/>
          <w:lang w:eastAsia="en-US"/>
        </w:rPr>
      </w:pPr>
      <w:r>
        <w:rPr>
          <w:rFonts w:hint="cs"/>
          <w:rtl/>
        </w:rPr>
        <w:t>הערכת</w:t>
      </w:r>
      <w:r w:rsidR="00686F6A">
        <w:rPr>
          <w:rFonts w:hint="cs"/>
          <w:rtl/>
        </w:rPr>
        <w:t xml:space="preserve"> משרד הבריאות</w:t>
      </w:r>
      <w:r>
        <w:rPr>
          <w:rFonts w:hint="cs"/>
          <w:rtl/>
        </w:rPr>
        <w:t xml:space="preserve"> </w:t>
      </w:r>
      <w:r w:rsidR="008803C1">
        <w:rPr>
          <w:rFonts w:hint="cs"/>
          <w:rtl/>
        </w:rPr>
        <w:t>לתאריך זה היא גם כי</w:t>
      </w:r>
      <w:r w:rsidR="00686F6A" w:rsidRPr="00933166">
        <w:rPr>
          <w:rFonts w:hint="cs"/>
          <w:b/>
          <w:bCs/>
          <w:rtl/>
        </w:rPr>
        <w:t xml:space="preserve"> בישראל</w:t>
      </w:r>
      <w:r w:rsidR="00662F0F" w:rsidRPr="00933166">
        <w:rPr>
          <w:rFonts w:hint="cs"/>
          <w:b/>
          <w:bCs/>
          <w:rtl/>
        </w:rPr>
        <w:t xml:space="preserve"> ישנם</w:t>
      </w:r>
      <w:r w:rsidR="00686F6A">
        <w:rPr>
          <w:rFonts w:hint="cs"/>
          <w:rtl/>
        </w:rPr>
        <w:t xml:space="preserve"> </w:t>
      </w:r>
      <w:r w:rsidR="00686F6A" w:rsidRPr="00933166">
        <w:rPr>
          <w:rFonts w:hint="cs"/>
          <w:b/>
          <w:bCs/>
          <w:rtl/>
        </w:rPr>
        <w:t>21,393 רישיונות בתוקף לשימוש בקנביס למטרות רפואיות</w:t>
      </w:r>
      <w:r w:rsidR="00686F6A">
        <w:rPr>
          <w:rFonts w:hint="cs"/>
          <w:rtl/>
        </w:rPr>
        <w:t>.</w:t>
      </w:r>
      <w:r w:rsidR="00686F6A">
        <w:rPr>
          <w:rStyle w:val="ab"/>
          <w:noProof/>
          <w:rtl/>
        </w:rPr>
        <w:footnoteReference w:id="29"/>
      </w:r>
      <w:r w:rsidR="00686F6A">
        <w:rPr>
          <w:rFonts w:hint="cs"/>
          <w:rtl/>
        </w:rPr>
        <w:t xml:space="preserve"> </w:t>
      </w:r>
      <w:r w:rsidRPr="00933166">
        <w:rPr>
          <w:rFonts w:hint="cs"/>
          <w:b/>
          <w:bCs/>
          <w:rtl/>
        </w:rPr>
        <w:t xml:space="preserve">זוהי הערכה בלבד </w:t>
      </w:r>
      <w:r>
        <w:rPr>
          <w:rFonts w:hint="cs"/>
          <w:rtl/>
        </w:rPr>
        <w:t xml:space="preserve">מאחר ואין בידי משרד הבריאות את </w:t>
      </w:r>
      <w:r w:rsidR="00662F0F">
        <w:rPr>
          <w:rFonts w:hint="cs"/>
          <w:rtl/>
        </w:rPr>
        <w:t>המספר</w:t>
      </w:r>
      <w:r>
        <w:rPr>
          <w:rFonts w:hint="cs"/>
          <w:rtl/>
        </w:rPr>
        <w:t xml:space="preserve"> </w:t>
      </w:r>
      <w:r w:rsidR="00662F0F">
        <w:rPr>
          <w:rFonts w:hint="cs"/>
          <w:rtl/>
        </w:rPr>
        <w:t xml:space="preserve">המדויק של </w:t>
      </w:r>
      <w:r w:rsidR="00686F6A">
        <w:rPr>
          <w:rFonts w:hint="cs"/>
          <w:rtl/>
        </w:rPr>
        <w:t>הרישיונות שניתנו על-ידי רופאים אונקולוגיים בבתי-החולים.</w:t>
      </w:r>
      <w:r w:rsidR="00686F6A">
        <w:rPr>
          <w:rStyle w:val="ab"/>
          <w:rtl/>
        </w:rPr>
        <w:footnoteReference w:id="30"/>
      </w:r>
      <w:r w:rsidR="00BD7C87">
        <w:rPr>
          <w:rStyle w:val="aa"/>
          <w:rFonts w:hint="cs"/>
          <w:rtl/>
        </w:rPr>
        <w:t xml:space="preserve"> </w:t>
      </w:r>
      <w:r w:rsidR="007A6443">
        <w:rPr>
          <w:rFonts w:hint="cs"/>
          <w:rtl/>
        </w:rPr>
        <w:t xml:space="preserve">השוואה בין מספר ההיתרים החדשים לשימוש בקנביס למטרות רפואיות שאושרו בינואר 2015 ובין אלו שאושרו בתקופה המקבילה ב- 2014, מעלה כי </w:t>
      </w:r>
      <w:r w:rsidR="007A6443" w:rsidRPr="00933166">
        <w:rPr>
          <w:rFonts w:hint="cs"/>
          <w:b/>
          <w:bCs/>
          <w:rtl/>
        </w:rPr>
        <w:t xml:space="preserve">בעוד שמספרית אכן גדל מספר ההיתרים החדשים שהוענקו בינואר 2015 בהשוואה לינואר 2014, 273 לעומת 266, הרי ששיעורם מתוך כלל הבקשות שהוגשו </w:t>
      </w:r>
      <w:r w:rsidR="007A6443" w:rsidRPr="00933166">
        <w:rPr>
          <w:b/>
          <w:bCs/>
          <w:rtl/>
        </w:rPr>
        <w:t>–</w:t>
      </w:r>
      <w:r w:rsidR="007A6443" w:rsidRPr="00933166">
        <w:rPr>
          <w:rFonts w:hint="cs"/>
          <w:b/>
          <w:bCs/>
          <w:rtl/>
        </w:rPr>
        <w:t xml:space="preserve"> ירד, 55% מכלל הבקשות שהוגשו אושרו בינואר 2015 לעומת 70% מכלל הבקשות שהוגשו בינואר 2014.</w:t>
      </w:r>
      <w:r w:rsidR="007A6443">
        <w:rPr>
          <w:rStyle w:val="ab"/>
          <w:rtl/>
        </w:rPr>
        <w:footnoteReference w:id="31"/>
      </w:r>
    </w:p>
    <w:p w:rsidR="00933166" w:rsidRDefault="00686F6A" w:rsidP="00DC2DB0">
      <w:pPr>
        <w:pStyle w:val="a2"/>
        <w:numPr>
          <w:ilvl w:val="0"/>
          <w:numId w:val="27"/>
        </w:numPr>
        <w:spacing w:line="360" w:lineRule="auto"/>
        <w:rPr>
          <w:b/>
          <w:bCs/>
        </w:rPr>
      </w:pPr>
      <w:r w:rsidRPr="003E048F">
        <w:rPr>
          <w:rFonts w:hint="cs"/>
          <w:rtl/>
        </w:rPr>
        <w:t xml:space="preserve">משרד הבריאות </w:t>
      </w:r>
      <w:r>
        <w:rPr>
          <w:rFonts w:hint="cs"/>
          <w:rtl/>
        </w:rPr>
        <w:t xml:space="preserve">מוסר גם כי </w:t>
      </w:r>
      <w:r w:rsidRPr="00933166">
        <w:rPr>
          <w:rFonts w:hint="cs"/>
          <w:b/>
          <w:bCs/>
          <w:rtl/>
        </w:rPr>
        <w:t xml:space="preserve">מחיר מוצר קנביס למטרות רפואיות לחודש אחיד לכלל המטופלים, ועומד על 370 ₪ , </w:t>
      </w:r>
      <w:r w:rsidRPr="00037DFE">
        <w:rPr>
          <w:rFonts w:hint="cs"/>
          <w:rtl/>
        </w:rPr>
        <w:t>ללא קשר למשקל או סוג המוצר</w:t>
      </w:r>
      <w:r>
        <w:rPr>
          <w:rFonts w:hint="cs"/>
          <w:rtl/>
        </w:rPr>
        <w:t>.</w:t>
      </w:r>
      <w:r>
        <w:rPr>
          <w:rStyle w:val="ab"/>
          <w:rtl/>
        </w:rPr>
        <w:footnoteReference w:id="32"/>
      </w:r>
      <w:r>
        <w:rPr>
          <w:rFonts w:hint="cs"/>
          <w:rtl/>
        </w:rPr>
        <w:t xml:space="preserve">  </w:t>
      </w:r>
    </w:p>
    <w:p w:rsidR="00686F6A" w:rsidRDefault="00686F6A" w:rsidP="0088434D">
      <w:pPr>
        <w:pStyle w:val="a2"/>
        <w:spacing w:line="360" w:lineRule="auto"/>
      </w:pPr>
      <w:r w:rsidRPr="000D5952">
        <w:rPr>
          <w:rFonts w:hint="cs"/>
          <w:b/>
          <w:bCs/>
          <w:rtl/>
        </w:rPr>
        <w:t>תופעת 'סמי הפיצוציות'</w:t>
      </w:r>
    </w:p>
    <w:p w:rsidR="00686F6A" w:rsidRDefault="008724F0" w:rsidP="00DC2DB0">
      <w:pPr>
        <w:pStyle w:val="a2"/>
        <w:numPr>
          <w:ilvl w:val="0"/>
          <w:numId w:val="24"/>
        </w:numPr>
        <w:spacing w:line="360" w:lineRule="auto"/>
        <w:rPr>
          <w:rtl/>
        </w:rPr>
      </w:pPr>
      <w:r w:rsidRPr="00D44B21">
        <w:rPr>
          <w:rFonts w:hint="cs"/>
          <w:rtl/>
        </w:rPr>
        <w:t xml:space="preserve">'סמי פיצוציות' הוא הכינוי בישראל </w:t>
      </w:r>
      <w:r w:rsidRPr="00D44B21">
        <w:rPr>
          <w:rtl/>
        </w:rPr>
        <w:t>לסמים סינתטיים (כימיים) אשר נמכרים לעתים בפיצוציות בתור "סמים חוקיים" או "תחליפי סם"</w:t>
      </w:r>
      <w:r>
        <w:rPr>
          <w:rFonts w:hint="cs"/>
          <w:rtl/>
        </w:rPr>
        <w:t>.</w:t>
      </w:r>
      <w:r>
        <w:rPr>
          <w:rStyle w:val="ab"/>
          <w:rtl/>
        </w:rPr>
        <w:footnoteReference w:id="33"/>
      </w:r>
      <w:r>
        <w:rPr>
          <w:rFonts w:hint="cs"/>
          <w:rtl/>
        </w:rPr>
        <w:t xml:space="preserve"> </w:t>
      </w:r>
      <w:r w:rsidR="00686F6A">
        <w:rPr>
          <w:rFonts w:hint="cs"/>
          <w:rtl/>
        </w:rPr>
        <w:t xml:space="preserve">באוגוסט 2013 נכנס לתוקפו </w:t>
      </w:r>
      <w:r w:rsidR="00686F6A" w:rsidRPr="006C70A9">
        <w:rPr>
          <w:rFonts w:hint="cs"/>
          <w:b/>
          <w:bCs/>
          <w:rtl/>
        </w:rPr>
        <w:t>חוק המאבק בתופעת השימוש בחומרים מְסַכְּניִם, התשע"ג-2013</w:t>
      </w:r>
      <w:r w:rsidR="00686F6A">
        <w:rPr>
          <w:rFonts w:hint="cs"/>
          <w:rtl/>
        </w:rPr>
        <w:t>,</w:t>
      </w:r>
      <w:r w:rsidR="00686F6A" w:rsidRPr="00BB6388">
        <w:rPr>
          <w:rStyle w:val="ab"/>
          <w:rtl/>
        </w:rPr>
        <w:footnoteReference w:id="34"/>
      </w:r>
      <w:r w:rsidR="00872A0E">
        <w:rPr>
          <w:rFonts w:hint="cs"/>
          <w:rtl/>
        </w:rPr>
        <w:t xml:space="preserve"> </w:t>
      </w:r>
      <w:r w:rsidR="00686F6A" w:rsidRPr="00B97C6D">
        <w:rPr>
          <w:rFonts w:hint="cs"/>
          <w:rtl/>
        </w:rPr>
        <w:t>שמטרתו היא מתן מענה לתופעת השיווק והשימוש בחומרים בעלי השפעות מזיקות, כדוגמת 'סמי הפיצוציות',  המיוצרים ומופצים באופן גלוי מאחר והם אינם כלולים בפקודת הסמים המסוכנים [נוסח חדש], התשל</w:t>
      </w:r>
      <w:r w:rsidR="00686F6A">
        <w:rPr>
          <w:rFonts w:hint="cs"/>
          <w:rtl/>
        </w:rPr>
        <w:t>"ג-1973.</w:t>
      </w:r>
      <w:r w:rsidR="00686F6A" w:rsidRPr="00BB6388">
        <w:rPr>
          <w:rStyle w:val="ab"/>
          <w:rtl/>
        </w:rPr>
        <w:footnoteReference w:id="35"/>
      </w:r>
      <w:r w:rsidR="00686F6A">
        <w:rPr>
          <w:rStyle w:val="ab"/>
          <w:rFonts w:hint="cs"/>
          <w:rtl/>
        </w:rPr>
        <w:t xml:space="preserve"> </w:t>
      </w:r>
    </w:p>
    <w:p w:rsidR="00686F6A" w:rsidRDefault="00686F6A" w:rsidP="007A6443">
      <w:pPr>
        <w:pStyle w:val="a2"/>
        <w:numPr>
          <w:ilvl w:val="0"/>
          <w:numId w:val="24"/>
        </w:numPr>
        <w:spacing w:line="360" w:lineRule="auto"/>
        <w:rPr>
          <w:rtl/>
        </w:rPr>
      </w:pPr>
      <w:r>
        <w:rPr>
          <w:rFonts w:hint="cs"/>
          <w:rtl/>
        </w:rPr>
        <w:t>החוק מאפשר למשרד הבריאות, בשיתוף גורמים נוספים, נוהל הכרזה מזורז של חומר החשוד כמסכן</w:t>
      </w:r>
      <w:r w:rsidR="000751EC">
        <w:rPr>
          <w:rFonts w:hint="cs"/>
          <w:rtl/>
        </w:rPr>
        <w:t>,</w:t>
      </w:r>
      <w:r>
        <w:rPr>
          <w:rFonts w:hint="cs"/>
          <w:rtl/>
        </w:rPr>
        <w:t xml:space="preserve"> כ'חומר אסור בהפצה' ולפעול להגדרתו של אותו החומר כסם מסוכן.</w:t>
      </w:r>
      <w:r w:rsidRPr="00BB6388">
        <w:rPr>
          <w:rStyle w:val="ab"/>
          <w:rtl/>
        </w:rPr>
        <w:footnoteReference w:id="36"/>
      </w:r>
      <w:r>
        <w:rPr>
          <w:rFonts w:hint="cs"/>
          <w:rtl/>
        </w:rPr>
        <w:t xml:space="preserve"> במסגרת חוק חדש זה, </w:t>
      </w:r>
      <w:r w:rsidRPr="005A6922">
        <w:rPr>
          <w:rFonts w:hint="cs"/>
          <w:b/>
          <w:bCs/>
          <w:rtl/>
        </w:rPr>
        <w:t>הוכרזו בין החודשים אוגוסט 2013 למרץ 2015</w:t>
      </w:r>
      <w:r>
        <w:rPr>
          <w:rFonts w:hint="cs"/>
          <w:rtl/>
        </w:rPr>
        <w:t xml:space="preserve"> </w:t>
      </w:r>
      <w:r w:rsidRPr="00BB6388">
        <w:rPr>
          <w:rFonts w:hint="cs"/>
          <w:b/>
          <w:bCs/>
          <w:rtl/>
        </w:rPr>
        <w:t>(סה"כ כ- 20 חודשים) 60 חומרים או משפחות חומרים כחומרים אסורים בהפצה</w:t>
      </w:r>
      <w:r>
        <w:rPr>
          <w:rFonts w:hint="cs"/>
          <w:b/>
          <w:bCs/>
          <w:rtl/>
        </w:rPr>
        <w:t>.</w:t>
      </w:r>
      <w:r w:rsidR="000B4888">
        <w:rPr>
          <w:rStyle w:val="ab"/>
          <w:rtl/>
        </w:rPr>
        <w:footnoteReference w:id="37"/>
      </w:r>
      <w:r>
        <w:rPr>
          <w:rFonts w:hint="cs"/>
          <w:b/>
          <w:bCs/>
          <w:rtl/>
        </w:rPr>
        <w:t xml:space="preserve"> </w:t>
      </w:r>
      <w:r>
        <w:rPr>
          <w:rFonts w:hint="cs"/>
          <w:rtl/>
        </w:rPr>
        <w:t xml:space="preserve">50 מתוכם הוכנסו עד כה גם לתוספת שבפקודת </w:t>
      </w:r>
      <w:r w:rsidRPr="00BB6388">
        <w:rPr>
          <w:rFonts w:hint="cs"/>
          <w:rtl/>
        </w:rPr>
        <w:t>פקודת הסמים המסוכנים [נוסח חדש], התשל"ג-1973</w:t>
      </w:r>
      <w:r>
        <w:rPr>
          <w:rFonts w:hint="cs"/>
          <w:rtl/>
        </w:rPr>
        <w:t>.</w:t>
      </w:r>
      <w:r>
        <w:rPr>
          <w:rStyle w:val="ab"/>
          <w:rtl/>
        </w:rPr>
        <w:footnoteReference w:id="38"/>
      </w:r>
      <w:r>
        <w:rPr>
          <w:rFonts w:hint="cs"/>
          <w:rtl/>
        </w:rPr>
        <w:t xml:space="preserve"> </w:t>
      </w:r>
      <w:r w:rsidRPr="00BB6388">
        <w:rPr>
          <w:rFonts w:hint="eastAsia"/>
          <w:rtl/>
        </w:rPr>
        <w:t>בנוסף</w:t>
      </w:r>
      <w:r w:rsidRPr="00BB6388">
        <w:rPr>
          <w:rtl/>
        </w:rPr>
        <w:t>,</w:t>
      </w:r>
      <w:r w:rsidRPr="00BB6388">
        <w:rPr>
          <w:b/>
          <w:bCs/>
          <w:rtl/>
        </w:rPr>
        <w:t xml:space="preserve"> מאז כניסת החוק לתוקפו נידונו גם 21 חומרים שהוחלט שלא להכריזם כאסורים בהפצה</w:t>
      </w:r>
      <w:r w:rsidRPr="00BB6388">
        <w:rPr>
          <w:rtl/>
        </w:rPr>
        <w:t>.</w:t>
      </w:r>
      <w:r w:rsidRPr="00BB6388">
        <w:rPr>
          <w:rStyle w:val="ab"/>
          <w:rtl/>
        </w:rPr>
        <w:footnoteReference w:id="39"/>
      </w:r>
    </w:p>
    <w:p w:rsidR="00686F6A" w:rsidRDefault="00686F6A" w:rsidP="005137DF">
      <w:pPr>
        <w:pStyle w:val="a2"/>
        <w:numPr>
          <w:ilvl w:val="0"/>
          <w:numId w:val="24"/>
        </w:numPr>
        <w:spacing w:line="360" w:lineRule="auto"/>
        <w:ind w:right="14"/>
        <w:rPr>
          <w:rtl/>
        </w:rPr>
      </w:pPr>
      <w:r>
        <w:rPr>
          <w:rFonts w:hint="cs"/>
          <w:rtl/>
        </w:rPr>
        <w:t>משטרת ישראל</w:t>
      </w:r>
      <w:r w:rsidR="000B4888">
        <w:rPr>
          <w:rFonts w:hint="cs"/>
          <w:rtl/>
        </w:rPr>
        <w:t xml:space="preserve"> מעריכה כי </w:t>
      </w:r>
      <w:r w:rsidRPr="00BB6388">
        <w:rPr>
          <w:rFonts w:hint="cs"/>
          <w:rtl/>
        </w:rPr>
        <w:t>עיקר השימוש בסמי פיצוציות</w:t>
      </w:r>
      <w:r w:rsidR="000B4888" w:rsidRPr="000B4888">
        <w:rPr>
          <w:rFonts w:hint="cs"/>
          <w:rtl/>
        </w:rPr>
        <w:t xml:space="preserve"> </w:t>
      </w:r>
      <w:r w:rsidR="000B4888" w:rsidRPr="00BB6388">
        <w:rPr>
          <w:rFonts w:hint="cs"/>
          <w:rtl/>
        </w:rPr>
        <w:t>נעשה על-ידי נוער וצעירים</w:t>
      </w:r>
      <w:r w:rsidR="000B4888">
        <w:rPr>
          <w:rFonts w:hint="cs"/>
          <w:rtl/>
        </w:rPr>
        <w:t>, ולאור זאת היא מדווחת כי ע</w:t>
      </w:r>
      <w:r w:rsidRPr="00BB6388">
        <w:rPr>
          <w:rFonts w:hint="cs"/>
          <w:rtl/>
        </w:rPr>
        <w:t>ד תח</w:t>
      </w:r>
      <w:r w:rsidR="000751EC">
        <w:rPr>
          <w:rFonts w:hint="cs"/>
          <w:rtl/>
        </w:rPr>
        <w:t>י</w:t>
      </w:r>
      <w:r w:rsidRPr="00BB6388">
        <w:rPr>
          <w:rFonts w:hint="cs"/>
          <w:rtl/>
        </w:rPr>
        <w:t xml:space="preserve">לתו של חוק זה, ב- 13 באוגוסט 2013, </w:t>
      </w:r>
      <w:r w:rsidR="007D4E35">
        <w:rPr>
          <w:rFonts w:hint="cs"/>
          <w:rtl/>
        </w:rPr>
        <w:t xml:space="preserve">היא נקטה </w:t>
      </w:r>
      <w:r w:rsidRPr="00BB6388">
        <w:rPr>
          <w:rFonts w:hint="cs"/>
          <w:rtl/>
        </w:rPr>
        <w:t>במדיניות שלא לעצור חשודים או נאשמים בעבירות הקשורות בסמים אלו אלא להסתפק בחלופת מעצר.</w:t>
      </w:r>
      <w:r w:rsidRPr="00BB6388">
        <w:rPr>
          <w:rStyle w:val="ab"/>
          <w:rtl/>
        </w:rPr>
        <w:footnoteReference w:id="40"/>
      </w:r>
      <w:r w:rsidRPr="00BB6388">
        <w:rPr>
          <w:rFonts w:hint="cs"/>
          <w:rtl/>
        </w:rPr>
        <w:t xml:space="preserve"> החקיקה </w:t>
      </w:r>
      <w:r w:rsidR="002D6490">
        <w:rPr>
          <w:rFonts w:hint="cs"/>
          <w:rtl/>
        </w:rPr>
        <w:t xml:space="preserve">האחרונה </w:t>
      </w:r>
      <w:r w:rsidRPr="00BB6388">
        <w:rPr>
          <w:rFonts w:hint="cs"/>
          <w:rtl/>
        </w:rPr>
        <w:t>הרחיבה את סמכויות המשטרה בתחום החיפוש, התפיסה וההשמדה של חומרים מסכנים או החשודים ככאלה.</w:t>
      </w:r>
      <w:r w:rsidRPr="00BB6388">
        <w:rPr>
          <w:rStyle w:val="ab"/>
          <w:rtl/>
        </w:rPr>
        <w:footnoteReference w:id="41"/>
      </w:r>
      <w:r w:rsidRPr="00BB6388">
        <w:rPr>
          <w:rFonts w:hint="cs"/>
          <w:rtl/>
        </w:rPr>
        <w:t xml:space="preserve"> לאור זאת מתמקדת המשטרה כעת בפעילות  כנגד יבואני, יצרני ומפיצי החומרים המסכנים</w:t>
      </w:r>
      <w:r>
        <w:rPr>
          <w:rFonts w:hint="cs"/>
          <w:rtl/>
        </w:rPr>
        <w:t>.</w:t>
      </w:r>
      <w:r>
        <w:rPr>
          <w:rStyle w:val="ab"/>
          <w:rtl/>
        </w:rPr>
        <w:footnoteReference w:id="42"/>
      </w:r>
      <w:r>
        <w:rPr>
          <w:rFonts w:hint="cs"/>
          <w:rtl/>
        </w:rPr>
        <w:t xml:space="preserve"> בעקבות פעילות משטרתית </w:t>
      </w:r>
      <w:r w:rsidRPr="00C361D7">
        <w:rPr>
          <w:rFonts w:hint="cs"/>
          <w:b/>
          <w:bCs/>
          <w:rtl/>
        </w:rPr>
        <w:t>בשנת 2014 הוגשו במסגרת חוק זה 309 כתבי אישום</w:t>
      </w:r>
      <w:r>
        <w:rPr>
          <w:rFonts w:hint="cs"/>
          <w:rtl/>
        </w:rPr>
        <w:t>.</w:t>
      </w:r>
      <w:r w:rsidRPr="00BB6388">
        <w:rPr>
          <w:rStyle w:val="ab"/>
          <w:rtl/>
        </w:rPr>
        <w:footnoteReference w:id="43"/>
      </w:r>
      <w:r>
        <w:rPr>
          <w:rFonts w:hint="cs"/>
          <w:rtl/>
        </w:rPr>
        <w:t xml:space="preserve"> </w:t>
      </w:r>
      <w:r w:rsidR="00C361D7">
        <w:rPr>
          <w:rFonts w:hint="cs"/>
          <w:rtl/>
        </w:rPr>
        <w:t xml:space="preserve"> </w:t>
      </w:r>
      <w:r w:rsidR="007D4E35" w:rsidRPr="007D4E35">
        <w:rPr>
          <w:rFonts w:hint="cs"/>
          <w:rtl/>
        </w:rPr>
        <w:t xml:space="preserve">יצויין כי </w:t>
      </w:r>
      <w:r w:rsidR="007D4E35" w:rsidRPr="007D4E35">
        <w:rPr>
          <w:rFonts w:hint="eastAsia"/>
          <w:rtl/>
        </w:rPr>
        <w:t>סמכויות</w:t>
      </w:r>
      <w:r w:rsidR="007D4E35" w:rsidRPr="007D4E35">
        <w:rPr>
          <w:rtl/>
        </w:rPr>
        <w:t xml:space="preserve"> </w:t>
      </w:r>
      <w:r w:rsidR="007D4E35" w:rsidRPr="007D4E35">
        <w:rPr>
          <w:rFonts w:hint="eastAsia"/>
          <w:rtl/>
        </w:rPr>
        <w:t>התפיסה</w:t>
      </w:r>
      <w:r w:rsidR="007D4E35" w:rsidRPr="007D4E35">
        <w:rPr>
          <w:rtl/>
        </w:rPr>
        <w:t xml:space="preserve"> </w:t>
      </w:r>
      <w:r w:rsidR="007D4E35" w:rsidRPr="007D4E35">
        <w:rPr>
          <w:rFonts w:hint="eastAsia"/>
          <w:rtl/>
        </w:rPr>
        <w:t>וההשמדה</w:t>
      </w:r>
      <w:r w:rsidR="007D4E35" w:rsidRPr="007D4E35">
        <w:rPr>
          <w:rtl/>
        </w:rPr>
        <w:t xml:space="preserve"> </w:t>
      </w:r>
      <w:r w:rsidR="007D4E35" w:rsidRPr="007D4E35">
        <w:rPr>
          <w:rFonts w:hint="eastAsia"/>
          <w:rtl/>
        </w:rPr>
        <w:t>שהוקנו</w:t>
      </w:r>
      <w:r w:rsidR="007D4E35" w:rsidRPr="007D4E35">
        <w:rPr>
          <w:rtl/>
        </w:rPr>
        <w:t xml:space="preserve"> </w:t>
      </w:r>
      <w:r w:rsidR="007D4E35" w:rsidRPr="007D4E35">
        <w:rPr>
          <w:rFonts w:hint="eastAsia"/>
          <w:rtl/>
        </w:rPr>
        <w:t>למשטרה</w:t>
      </w:r>
      <w:r w:rsidR="007D4E35" w:rsidRPr="007D4E35">
        <w:rPr>
          <w:rtl/>
        </w:rPr>
        <w:t xml:space="preserve"> </w:t>
      </w:r>
      <w:r w:rsidR="007D4E35" w:rsidRPr="007D4E35">
        <w:rPr>
          <w:rFonts w:hint="eastAsia"/>
          <w:rtl/>
        </w:rPr>
        <w:t>במסגרת</w:t>
      </w:r>
      <w:r w:rsidR="007D4E35" w:rsidRPr="007D4E35">
        <w:rPr>
          <w:rtl/>
        </w:rPr>
        <w:t xml:space="preserve"> </w:t>
      </w:r>
      <w:r w:rsidR="007D4E35" w:rsidRPr="007D4E35">
        <w:rPr>
          <w:rFonts w:hint="cs"/>
          <w:rtl/>
        </w:rPr>
        <w:t>זו</w:t>
      </w:r>
      <w:r w:rsidR="007D4E35" w:rsidRPr="007D4E35">
        <w:rPr>
          <w:rtl/>
        </w:rPr>
        <w:t xml:space="preserve"> </w:t>
      </w:r>
      <w:r w:rsidR="007D4E35" w:rsidRPr="007D4E35">
        <w:rPr>
          <w:rFonts w:hint="eastAsia"/>
          <w:rtl/>
        </w:rPr>
        <w:t>ה</w:t>
      </w:r>
      <w:r w:rsidR="005137DF">
        <w:rPr>
          <w:rFonts w:hint="cs"/>
          <w:rtl/>
        </w:rPr>
        <w:t xml:space="preserve">ן </w:t>
      </w:r>
      <w:r w:rsidR="007D4E35" w:rsidRPr="007D4E35">
        <w:rPr>
          <w:rFonts w:hint="eastAsia"/>
          <w:rtl/>
        </w:rPr>
        <w:t>בגדר</w:t>
      </w:r>
      <w:r w:rsidR="007D4E35" w:rsidRPr="007D4E35">
        <w:rPr>
          <w:rtl/>
        </w:rPr>
        <w:t xml:space="preserve"> </w:t>
      </w:r>
      <w:r w:rsidR="007D4E35" w:rsidRPr="00C361D7">
        <w:rPr>
          <w:rFonts w:hint="eastAsia"/>
          <w:b/>
          <w:bCs/>
          <w:rtl/>
        </w:rPr>
        <w:t>הוראת</w:t>
      </w:r>
      <w:r w:rsidR="007D4E35" w:rsidRPr="00C361D7">
        <w:rPr>
          <w:b/>
          <w:bCs/>
          <w:rtl/>
        </w:rPr>
        <w:t xml:space="preserve"> </w:t>
      </w:r>
      <w:r w:rsidR="007D4E35" w:rsidRPr="00C361D7">
        <w:rPr>
          <w:rFonts w:hint="eastAsia"/>
          <w:b/>
          <w:bCs/>
          <w:rtl/>
        </w:rPr>
        <w:t>שעה</w:t>
      </w:r>
      <w:r w:rsidR="007D4E35" w:rsidRPr="00C361D7">
        <w:rPr>
          <w:b/>
          <w:bCs/>
          <w:rtl/>
        </w:rPr>
        <w:t xml:space="preserve"> </w:t>
      </w:r>
      <w:r w:rsidR="007D4E35" w:rsidRPr="00C361D7">
        <w:rPr>
          <w:rFonts w:hint="eastAsia"/>
          <w:b/>
          <w:bCs/>
          <w:rtl/>
        </w:rPr>
        <w:t>לשלוש</w:t>
      </w:r>
      <w:r w:rsidR="007D4E35" w:rsidRPr="00C361D7">
        <w:rPr>
          <w:b/>
          <w:bCs/>
          <w:rtl/>
        </w:rPr>
        <w:t xml:space="preserve"> </w:t>
      </w:r>
      <w:r w:rsidR="007D4E35" w:rsidRPr="00C361D7">
        <w:rPr>
          <w:rFonts w:hint="eastAsia"/>
          <w:b/>
          <w:bCs/>
          <w:rtl/>
        </w:rPr>
        <w:t>שנים</w:t>
      </w:r>
      <w:r w:rsidR="007D4E35" w:rsidRPr="00C361D7">
        <w:rPr>
          <w:rFonts w:hint="cs"/>
          <w:b/>
          <w:bCs/>
          <w:rtl/>
        </w:rPr>
        <w:t xml:space="preserve"> בלבד</w:t>
      </w:r>
      <w:r w:rsidR="007D4E35">
        <w:rPr>
          <w:rFonts w:hint="cs"/>
          <w:rtl/>
        </w:rPr>
        <w:t>.</w:t>
      </w:r>
      <w:r w:rsidR="007D4E35">
        <w:rPr>
          <w:rStyle w:val="ab"/>
          <w:rtl/>
        </w:rPr>
        <w:footnoteReference w:id="44"/>
      </w:r>
      <w:r w:rsidR="002D6490">
        <w:rPr>
          <w:rFonts w:hint="cs"/>
          <w:rtl/>
        </w:rPr>
        <w:t xml:space="preserve"> </w:t>
      </w:r>
      <w:r>
        <w:rPr>
          <w:rFonts w:hint="cs"/>
          <w:rtl/>
        </w:rPr>
        <w:t>משטרת ישראל מציינת גם כי החוק עבר ללא מסגרת תקציבית.</w:t>
      </w:r>
      <w:r w:rsidRPr="00FD2784">
        <w:rPr>
          <w:rStyle w:val="ab"/>
          <w:rtl/>
        </w:rPr>
        <w:t xml:space="preserve"> </w:t>
      </w:r>
      <w:r w:rsidRPr="00BB6388">
        <w:rPr>
          <w:rStyle w:val="ab"/>
          <w:rtl/>
        </w:rPr>
        <w:footnoteReference w:id="45"/>
      </w:r>
    </w:p>
    <w:p w:rsidR="00C563E2" w:rsidRDefault="00686F6A" w:rsidP="00C563E2">
      <w:pPr>
        <w:pStyle w:val="a2"/>
        <w:spacing w:line="360" w:lineRule="auto"/>
        <w:rPr>
          <w:rtl/>
        </w:rPr>
      </w:pPr>
      <w:r w:rsidRPr="000D5952">
        <w:rPr>
          <w:rFonts w:hint="cs"/>
          <w:b/>
          <w:bCs/>
          <w:rtl/>
        </w:rPr>
        <w:t>המאבק הלאומי בשתיית אלכוהול לשכרה</w:t>
      </w:r>
    </w:p>
    <w:p w:rsidR="00686F6A" w:rsidRDefault="00686F6A" w:rsidP="00DC2DB0">
      <w:pPr>
        <w:pStyle w:val="a2"/>
        <w:numPr>
          <w:ilvl w:val="0"/>
          <w:numId w:val="25"/>
        </w:numPr>
        <w:spacing w:line="360" w:lineRule="auto"/>
        <w:rPr>
          <w:rtl/>
        </w:rPr>
      </w:pPr>
      <w:r w:rsidRPr="00BB6388">
        <w:rPr>
          <w:rFonts w:hint="cs"/>
          <w:b/>
          <w:bCs/>
          <w:rtl/>
        </w:rPr>
        <w:t>התוכנית הלאומית לצמצום הצריכה המופרזת של אלכוהול ולצמצום נזקיו</w:t>
      </w:r>
      <w:r>
        <w:rPr>
          <w:rFonts w:hint="cs"/>
          <w:b/>
          <w:bCs/>
          <w:rtl/>
        </w:rPr>
        <w:t xml:space="preserve">, </w:t>
      </w:r>
      <w:r w:rsidRPr="000A2EB7">
        <w:rPr>
          <w:rFonts w:hint="cs"/>
          <w:rtl/>
        </w:rPr>
        <w:t>שעשתה את צעדיה הראשונים ב- 2009</w:t>
      </w:r>
      <w:r>
        <w:rPr>
          <w:rFonts w:hint="cs"/>
          <w:b/>
          <w:bCs/>
          <w:rtl/>
        </w:rPr>
        <w:t xml:space="preserve">, </w:t>
      </w:r>
      <w:r>
        <w:rPr>
          <w:rFonts w:hint="cs"/>
          <w:rtl/>
        </w:rPr>
        <w:t>הוארכה לאחרונה עד 2017.</w:t>
      </w:r>
      <w:r w:rsidRPr="00BB6388">
        <w:rPr>
          <w:rStyle w:val="ab"/>
          <w:rtl/>
        </w:rPr>
        <w:footnoteReference w:id="46"/>
      </w:r>
      <w:r>
        <w:rPr>
          <w:rFonts w:hint="cs"/>
          <w:rtl/>
        </w:rPr>
        <w:t xml:space="preserve"> הרשות הלאומית למלחמה בסמים ובאלכוהול, האמונה על תאום התוכנית ברחבי הארץ</w:t>
      </w:r>
      <w:r w:rsidRPr="00FA434C">
        <w:rPr>
          <w:rFonts w:hint="cs"/>
          <w:rtl/>
        </w:rPr>
        <w:t xml:space="preserve">, </w:t>
      </w:r>
      <w:r>
        <w:rPr>
          <w:rFonts w:hint="cs"/>
          <w:rtl/>
        </w:rPr>
        <w:t xml:space="preserve">קבעה </w:t>
      </w:r>
      <w:r w:rsidRPr="00FA434C">
        <w:rPr>
          <w:rFonts w:hint="cs"/>
          <w:rtl/>
        </w:rPr>
        <w:t xml:space="preserve">כי נתוניה מראים </w:t>
      </w:r>
      <w:r w:rsidRPr="006C5550">
        <w:rPr>
          <w:rFonts w:hint="cs"/>
          <w:b/>
          <w:bCs/>
          <w:rtl/>
        </w:rPr>
        <w:t>בלימה של מגמת העלייה בצריכת האלכוהול</w:t>
      </w:r>
      <w:r>
        <w:rPr>
          <w:rFonts w:hint="cs"/>
          <w:rtl/>
        </w:rPr>
        <w:t xml:space="preserve"> </w:t>
      </w:r>
      <w:r w:rsidRPr="00FA434C">
        <w:rPr>
          <w:rFonts w:hint="cs"/>
          <w:rtl/>
        </w:rPr>
        <w:t xml:space="preserve">בעקבות </w:t>
      </w:r>
      <w:r>
        <w:rPr>
          <w:rFonts w:hint="cs"/>
          <w:rtl/>
        </w:rPr>
        <w:t>פעילות זו</w:t>
      </w:r>
      <w:r w:rsidRPr="00FA434C">
        <w:rPr>
          <w:rFonts w:hint="cs"/>
          <w:rtl/>
        </w:rPr>
        <w:t>.</w:t>
      </w:r>
      <w:r w:rsidRPr="00BB6388">
        <w:rPr>
          <w:rStyle w:val="ab"/>
          <w:rtl/>
        </w:rPr>
        <w:footnoteReference w:id="47"/>
      </w:r>
      <w:r w:rsidRPr="00FA434C">
        <w:rPr>
          <w:rFonts w:hint="cs"/>
          <w:rtl/>
        </w:rPr>
        <w:t xml:space="preserve"> </w:t>
      </w:r>
      <w:r w:rsidRPr="006C5550">
        <w:rPr>
          <w:rFonts w:hint="cs"/>
          <w:b/>
          <w:bCs/>
          <w:rtl/>
        </w:rPr>
        <w:t xml:space="preserve">למרכז המחקר והמידע </w:t>
      </w:r>
      <w:r w:rsidR="000751EC">
        <w:rPr>
          <w:rFonts w:hint="cs"/>
          <w:b/>
          <w:bCs/>
          <w:rtl/>
        </w:rPr>
        <w:t xml:space="preserve">של הכנסת </w:t>
      </w:r>
      <w:r w:rsidRPr="006C5550">
        <w:rPr>
          <w:rFonts w:hint="cs"/>
          <w:b/>
          <w:bCs/>
          <w:rtl/>
        </w:rPr>
        <w:t>לא ידוע על אילו נתונים הסתמכה הרשות בקביעתה</w:t>
      </w:r>
      <w:r w:rsidRPr="00FA434C">
        <w:rPr>
          <w:rFonts w:hint="cs"/>
          <w:rtl/>
        </w:rPr>
        <w:t xml:space="preserve"> בדבר מגמת עלייה או בדבר בלימתה של צריכת האלכוהול בעקבות מאמצי התכנית הלאומית.</w:t>
      </w:r>
      <w:r>
        <w:rPr>
          <w:rStyle w:val="ab"/>
          <w:rtl/>
        </w:rPr>
        <w:footnoteReference w:id="48"/>
      </w:r>
      <w:r w:rsidRPr="00FA434C">
        <w:rPr>
          <w:rFonts w:hint="cs"/>
          <w:rtl/>
        </w:rPr>
        <w:t xml:space="preserve"> </w:t>
      </w:r>
    </w:p>
    <w:p w:rsidR="00686F6A" w:rsidRDefault="00686F6A" w:rsidP="00C361D7">
      <w:pPr>
        <w:pStyle w:val="a2"/>
        <w:numPr>
          <w:ilvl w:val="0"/>
          <w:numId w:val="25"/>
        </w:numPr>
        <w:spacing w:line="360" w:lineRule="auto"/>
        <w:rPr>
          <w:rtl/>
        </w:rPr>
      </w:pPr>
      <w:r w:rsidRPr="00684A08">
        <w:rPr>
          <w:rFonts w:hint="cs"/>
          <w:rtl/>
        </w:rPr>
        <w:t xml:space="preserve">במסגרת </w:t>
      </w:r>
      <w:r w:rsidR="00684A08" w:rsidRPr="00684A08">
        <w:rPr>
          <w:rFonts w:hint="cs"/>
          <w:rtl/>
        </w:rPr>
        <w:t xml:space="preserve">המאבק הלאומי בשכרות </w:t>
      </w:r>
      <w:r w:rsidRPr="00684A08">
        <w:rPr>
          <w:rFonts w:hint="cs"/>
          <w:rtl/>
        </w:rPr>
        <w:t>נחקקו שני חוקים:</w:t>
      </w:r>
      <w:r w:rsidRPr="00E57BE8">
        <w:rPr>
          <w:rFonts w:hint="cs"/>
          <w:b/>
          <w:bCs/>
          <w:rtl/>
        </w:rPr>
        <w:t xml:space="preserve"> </w:t>
      </w:r>
      <w:r w:rsidR="004F56F3" w:rsidRPr="00AA1A65">
        <w:rPr>
          <w:rFonts w:hint="eastAsia"/>
          <w:b/>
          <w:bCs/>
          <w:rtl/>
        </w:rPr>
        <w:t>חוק</w:t>
      </w:r>
      <w:r w:rsidR="004F56F3" w:rsidRPr="00AA1A65">
        <w:rPr>
          <w:b/>
          <w:bCs/>
          <w:rtl/>
        </w:rPr>
        <w:t xml:space="preserve"> </w:t>
      </w:r>
      <w:r w:rsidR="004F56F3" w:rsidRPr="00AA1A65">
        <w:rPr>
          <w:rFonts w:hint="eastAsia"/>
          <w:b/>
          <w:bCs/>
          <w:rtl/>
        </w:rPr>
        <w:t>המאבק</w:t>
      </w:r>
      <w:r w:rsidR="004F56F3" w:rsidRPr="00AA1A65">
        <w:rPr>
          <w:b/>
          <w:bCs/>
          <w:rtl/>
        </w:rPr>
        <w:t xml:space="preserve"> </w:t>
      </w:r>
      <w:r w:rsidR="004F56F3" w:rsidRPr="00AA1A65">
        <w:rPr>
          <w:rFonts w:hint="eastAsia"/>
          <w:b/>
          <w:bCs/>
          <w:rtl/>
        </w:rPr>
        <w:t>בתופעת</w:t>
      </w:r>
      <w:r w:rsidR="004F56F3" w:rsidRPr="00AA1A65">
        <w:rPr>
          <w:b/>
          <w:bCs/>
          <w:rtl/>
        </w:rPr>
        <w:t xml:space="preserve"> </w:t>
      </w:r>
      <w:r w:rsidR="004F56F3" w:rsidRPr="00AA1A65">
        <w:rPr>
          <w:rFonts w:hint="eastAsia"/>
          <w:b/>
          <w:bCs/>
          <w:rtl/>
        </w:rPr>
        <w:t>השכרות</w:t>
      </w:r>
      <w:r w:rsidR="004F56F3" w:rsidRPr="00AA1A65">
        <w:rPr>
          <w:b/>
          <w:bCs/>
          <w:rtl/>
        </w:rPr>
        <w:t xml:space="preserve">, </w:t>
      </w:r>
      <w:r w:rsidR="004F56F3" w:rsidRPr="00AA1A65">
        <w:rPr>
          <w:rFonts w:hint="eastAsia"/>
          <w:b/>
          <w:bCs/>
          <w:rtl/>
        </w:rPr>
        <w:t>התש</w:t>
      </w:r>
      <w:r w:rsidR="004F56F3" w:rsidRPr="00AA1A65">
        <w:rPr>
          <w:b/>
          <w:bCs/>
          <w:rtl/>
        </w:rPr>
        <w:t>"ע-2010</w:t>
      </w:r>
      <w:r>
        <w:rPr>
          <w:rFonts w:hint="cs"/>
          <w:rtl/>
        </w:rPr>
        <w:t>,</w:t>
      </w:r>
      <w:r w:rsidRPr="00BB6388">
        <w:rPr>
          <w:rStyle w:val="ab"/>
          <w:rtl/>
        </w:rPr>
        <w:footnoteReference w:id="49"/>
      </w:r>
      <w:r>
        <w:rPr>
          <w:rFonts w:hint="cs"/>
          <w:rtl/>
        </w:rPr>
        <w:t xml:space="preserve"> המעניק לשוטר סמכות</w:t>
      </w:r>
      <w:r w:rsidR="00C361D7">
        <w:rPr>
          <w:rFonts w:hint="cs"/>
          <w:rtl/>
        </w:rPr>
        <w:t xml:space="preserve"> תפיסה והשמדה של משקה משכר; ו</w:t>
      </w:r>
      <w:r w:rsidRPr="002D290D">
        <w:rPr>
          <w:b/>
          <w:bCs/>
          <w:rtl/>
        </w:rPr>
        <w:t>חוק הגבלת הפרסומת והשיווק של משקאות אלכוהוליים, התשע"ב</w:t>
      </w:r>
      <w:r w:rsidRPr="002D290D">
        <w:rPr>
          <w:rFonts w:hint="cs"/>
          <w:b/>
          <w:bCs/>
          <w:rtl/>
        </w:rPr>
        <w:t>-</w:t>
      </w:r>
      <w:r w:rsidRPr="002D290D">
        <w:rPr>
          <w:b/>
          <w:bCs/>
          <w:rtl/>
        </w:rPr>
        <w:t>2012</w:t>
      </w:r>
      <w:r w:rsidRPr="002D290D">
        <w:rPr>
          <w:rFonts w:hint="cs"/>
          <w:b/>
          <w:bCs/>
          <w:rtl/>
        </w:rPr>
        <w:t>,</w:t>
      </w:r>
      <w:r w:rsidRPr="00BB6388">
        <w:rPr>
          <w:rStyle w:val="ab"/>
          <w:rtl/>
        </w:rPr>
        <w:footnoteReference w:id="50"/>
      </w:r>
      <w:r w:rsidRPr="002D290D">
        <w:rPr>
          <w:rFonts w:hint="cs"/>
          <w:b/>
          <w:bCs/>
          <w:rtl/>
        </w:rPr>
        <w:t xml:space="preserve"> </w:t>
      </w:r>
      <w:r>
        <w:rPr>
          <w:rFonts w:hint="cs"/>
          <w:rtl/>
        </w:rPr>
        <w:t xml:space="preserve">המתווה סייגים לפרסום משקאות אלכוהוליים וכן קובע חובת פרסום אזהרה על משקאות אלו. </w:t>
      </w:r>
      <w:r w:rsidR="00753C98">
        <w:rPr>
          <w:rFonts w:hint="cs"/>
          <w:rtl/>
        </w:rPr>
        <w:t>האגף לאכיפה ופיקוח במשרד הבריאות אמון על אכיפתו של חוק זה.</w:t>
      </w:r>
    </w:p>
    <w:p w:rsidR="00686F6A" w:rsidRDefault="00AA1A65" w:rsidP="00DC2DB0">
      <w:pPr>
        <w:pStyle w:val="a2"/>
        <w:numPr>
          <w:ilvl w:val="0"/>
          <w:numId w:val="25"/>
        </w:numPr>
        <w:spacing w:line="360" w:lineRule="auto"/>
        <w:ind w:right="14"/>
      </w:pPr>
      <w:r>
        <w:rPr>
          <w:rFonts w:hint="cs"/>
          <w:rtl/>
        </w:rPr>
        <w:t>ה</w:t>
      </w:r>
      <w:r w:rsidR="00686F6A">
        <w:rPr>
          <w:rFonts w:hint="cs"/>
          <w:rtl/>
        </w:rPr>
        <w:t xml:space="preserve">משרד </w:t>
      </w:r>
      <w:r>
        <w:rPr>
          <w:rFonts w:hint="cs"/>
          <w:rtl/>
        </w:rPr>
        <w:t xml:space="preserve">לבטחון </w:t>
      </w:r>
      <w:r w:rsidR="00686F6A">
        <w:rPr>
          <w:rFonts w:hint="cs"/>
          <w:rtl/>
        </w:rPr>
        <w:t>הפנים קובע כי בשנים האחרונות חל שיפור משמעותי בהתמודדות המשטרה עם תופעת השכרות.</w:t>
      </w:r>
      <w:r w:rsidR="00686F6A" w:rsidRPr="00BB6388">
        <w:rPr>
          <w:rStyle w:val="ab"/>
          <w:rtl/>
        </w:rPr>
        <w:footnoteReference w:id="51"/>
      </w:r>
      <w:r w:rsidR="00686F6A">
        <w:rPr>
          <w:rStyle w:val="aa"/>
          <w:rFonts w:hint="cs"/>
          <w:rtl/>
        </w:rPr>
        <w:t xml:space="preserve"> </w:t>
      </w:r>
      <w:r w:rsidR="00686F6A" w:rsidRPr="002F3509">
        <w:rPr>
          <w:rFonts w:hint="cs"/>
          <w:b/>
          <w:bCs/>
          <w:rtl/>
        </w:rPr>
        <w:t>בשנת 2014 נפתחו במשטרת ישראל 1,908 תיקים בגין עבירות של איסור, מכירה ואספקת משקה משכר לקטינים; 1,071 תיקים נגנזו; הוגשו כתבי אישום ב- 715 תיקים (בגין עבירה 193א לחוק העונשין); והוטלו 158 גזרי דין (בגין עבירה 193א לחוק העונשין), מתוכם 59 נדונו ללא הרשעה</w:t>
      </w:r>
      <w:r w:rsidR="00686F6A" w:rsidRPr="00BB6388">
        <w:rPr>
          <w:rFonts w:hint="cs"/>
          <w:rtl/>
        </w:rPr>
        <w:t>.</w:t>
      </w:r>
    </w:p>
    <w:p w:rsidR="00686F6A" w:rsidRDefault="00686F6A" w:rsidP="0088434D">
      <w:pPr>
        <w:pStyle w:val="a2"/>
        <w:spacing w:line="360" w:lineRule="auto"/>
        <w:rPr>
          <w:b/>
          <w:bCs/>
        </w:rPr>
      </w:pPr>
      <w:r>
        <w:rPr>
          <w:rFonts w:hint="cs"/>
          <w:b/>
          <w:bCs/>
          <w:rtl/>
        </w:rPr>
        <w:t>הברחות סמים ואלכוהול</w:t>
      </w:r>
    </w:p>
    <w:p w:rsidR="00686F6A" w:rsidRDefault="00686F6A" w:rsidP="00185688">
      <w:pPr>
        <w:pStyle w:val="a2"/>
        <w:numPr>
          <w:ilvl w:val="0"/>
          <w:numId w:val="26"/>
        </w:numPr>
        <w:spacing w:line="360" w:lineRule="auto"/>
        <w:ind w:right="14"/>
        <w:rPr>
          <w:b/>
          <w:bCs/>
          <w:rtl/>
        </w:rPr>
      </w:pPr>
      <w:r>
        <w:rPr>
          <w:rFonts w:hint="cs"/>
          <w:rtl/>
        </w:rPr>
        <w:t xml:space="preserve">ממשלת ישראל </w:t>
      </w:r>
      <w:r w:rsidR="00763CF0">
        <w:rPr>
          <w:rFonts w:hint="cs"/>
          <w:rtl/>
        </w:rPr>
        <w:t xml:space="preserve">קבעה ב- 1994 </w:t>
      </w:r>
      <w:r>
        <w:rPr>
          <w:rFonts w:hint="cs"/>
          <w:rtl/>
        </w:rPr>
        <w:t xml:space="preserve">את הקמתה של יחידה למלחמה בסמים באגף המכס שברשות המיסים </w:t>
      </w:r>
      <w:r w:rsidR="00242972">
        <w:rPr>
          <w:rFonts w:hint="cs"/>
          <w:rtl/>
        </w:rPr>
        <w:t>שב</w:t>
      </w:r>
      <w:r>
        <w:rPr>
          <w:rFonts w:hint="cs"/>
          <w:rtl/>
        </w:rPr>
        <w:t>משרד האוצר.</w:t>
      </w:r>
      <w:r w:rsidRPr="00BB6388">
        <w:rPr>
          <w:rStyle w:val="ab"/>
          <w:rtl/>
        </w:rPr>
        <w:footnoteReference w:id="52"/>
      </w:r>
      <w:r>
        <w:rPr>
          <w:rStyle w:val="aa"/>
          <w:rFonts w:hint="cs"/>
          <w:rtl/>
        </w:rPr>
        <w:t xml:space="preserve"> </w:t>
      </w:r>
      <w:r w:rsidRPr="00C60B00">
        <w:rPr>
          <w:rFonts w:hint="cs"/>
          <w:rtl/>
        </w:rPr>
        <w:t>בעקבות שינויים מבניים בשנים 1999 ו- 2002</w:t>
      </w:r>
      <w:r>
        <w:rPr>
          <w:rFonts w:hint="cs"/>
          <w:rtl/>
        </w:rPr>
        <w:t xml:space="preserve"> </w:t>
      </w:r>
      <w:r w:rsidRPr="00C60B00">
        <w:rPr>
          <w:rFonts w:hint="cs"/>
          <w:rtl/>
        </w:rPr>
        <w:t xml:space="preserve">אוחדה פעילות מדורי הסמים עם פעילות מדורי המכס </w:t>
      </w:r>
      <w:r w:rsidRPr="0065686F">
        <w:rPr>
          <w:rFonts w:hint="cs"/>
          <w:rtl/>
        </w:rPr>
        <w:t>האחרים</w:t>
      </w:r>
      <w:r w:rsidR="00EE2298" w:rsidRPr="0065686F">
        <w:rPr>
          <w:rFonts w:hint="cs"/>
          <w:rtl/>
        </w:rPr>
        <w:t xml:space="preserve"> ל</w:t>
      </w:r>
      <w:r w:rsidR="005137DF" w:rsidRPr="0065686F">
        <w:rPr>
          <w:rFonts w:hint="cs"/>
          <w:rtl/>
        </w:rPr>
        <w:t>'יחידות הסמים והמכס' (להלן- יס"מ)</w:t>
      </w:r>
      <w:r w:rsidRPr="0065686F">
        <w:rPr>
          <w:rFonts w:hint="cs"/>
          <w:rtl/>
        </w:rPr>
        <w:t>. מבקר</w:t>
      </w:r>
      <w:r w:rsidRPr="00C60B00">
        <w:rPr>
          <w:rFonts w:hint="cs"/>
          <w:rtl/>
        </w:rPr>
        <w:t xml:space="preserve"> המדינה</w:t>
      </w:r>
      <w:r w:rsidR="00EE2298">
        <w:rPr>
          <w:rFonts w:hint="cs"/>
          <w:rtl/>
        </w:rPr>
        <w:t xml:space="preserve"> קבע בדו"ח משנת 2009</w:t>
      </w:r>
      <w:r w:rsidRPr="00C60B00">
        <w:rPr>
          <w:rFonts w:hint="cs"/>
          <w:rtl/>
        </w:rPr>
        <w:t xml:space="preserve"> כי </w:t>
      </w:r>
      <w:r w:rsidRPr="00C60B00">
        <w:rPr>
          <w:rFonts w:hint="cs"/>
          <w:b/>
          <w:bCs/>
          <w:rtl/>
        </w:rPr>
        <w:t xml:space="preserve">כתולדה משינויים אלו הפך המאבק בהברחות סמים למשימה משנית </w:t>
      </w:r>
      <w:r w:rsidRPr="00BB6388">
        <w:rPr>
          <w:rFonts w:hint="cs"/>
          <w:b/>
          <w:bCs/>
          <w:rtl/>
        </w:rPr>
        <w:t>בלבד, דבר שהוביל להפחתה בתפיסות הברחות הסמים</w:t>
      </w:r>
      <w:r w:rsidRPr="00BB6388">
        <w:rPr>
          <w:rFonts w:hint="cs"/>
          <w:rtl/>
        </w:rPr>
        <w:t>.</w:t>
      </w:r>
      <w:r w:rsidRPr="00BB6388">
        <w:rPr>
          <w:rStyle w:val="ab"/>
          <w:rtl/>
        </w:rPr>
        <w:footnoteReference w:id="53"/>
      </w:r>
      <w:r>
        <w:rPr>
          <w:rFonts w:hint="cs"/>
          <w:rtl/>
        </w:rPr>
        <w:t xml:space="preserve"> </w:t>
      </w:r>
      <w:r w:rsidRPr="00BB6388">
        <w:rPr>
          <w:rFonts w:hint="cs"/>
          <w:rtl/>
        </w:rPr>
        <w:t xml:space="preserve">רשות המיסים </w:t>
      </w:r>
      <w:r>
        <w:rPr>
          <w:rFonts w:hint="cs"/>
          <w:rtl/>
        </w:rPr>
        <w:t xml:space="preserve">הבהירה </w:t>
      </w:r>
      <w:r w:rsidRPr="00BB6388">
        <w:rPr>
          <w:rFonts w:hint="cs"/>
          <w:rtl/>
        </w:rPr>
        <w:t>כי מבנה היס"מ</w:t>
      </w:r>
      <w:r w:rsidR="005137DF">
        <w:rPr>
          <w:rFonts w:hint="cs"/>
          <w:rtl/>
        </w:rPr>
        <w:t xml:space="preserve">, </w:t>
      </w:r>
      <w:r w:rsidRPr="00BB6388">
        <w:rPr>
          <w:rFonts w:hint="cs"/>
          <w:rtl/>
        </w:rPr>
        <w:t>על היקף משימותיו המגוונות, הוא גם המבנה הקיים כיום.</w:t>
      </w:r>
      <w:r w:rsidRPr="00BB6388">
        <w:rPr>
          <w:rStyle w:val="ab"/>
          <w:rtl/>
        </w:rPr>
        <w:footnoteReference w:id="54"/>
      </w:r>
      <w:r>
        <w:rPr>
          <w:rFonts w:hint="cs"/>
          <w:rtl/>
        </w:rPr>
        <w:t xml:space="preserve"> </w:t>
      </w:r>
      <w:r w:rsidRPr="00BB6388">
        <w:rPr>
          <w:rFonts w:hint="cs"/>
          <w:b/>
          <w:bCs/>
          <w:rtl/>
        </w:rPr>
        <w:t>סך א</w:t>
      </w:r>
      <w:r>
        <w:rPr>
          <w:rFonts w:hint="cs"/>
          <w:b/>
          <w:bCs/>
          <w:rtl/>
        </w:rPr>
        <w:t>י</w:t>
      </w:r>
      <w:r w:rsidRPr="00BB6388">
        <w:rPr>
          <w:rFonts w:hint="cs"/>
          <w:b/>
          <w:bCs/>
          <w:rtl/>
        </w:rPr>
        <w:t>רועי תפיסות הסמים של היס"מ לשנת 2013 עמדו על 1,397, וב- 2014 על 1,266.</w:t>
      </w:r>
      <w:r w:rsidRPr="001B1368">
        <w:rPr>
          <w:rStyle w:val="ab"/>
          <w:rtl/>
        </w:rPr>
        <w:footnoteReference w:id="55"/>
      </w:r>
    </w:p>
    <w:p w:rsidR="00387B85" w:rsidRPr="004B5C5A" w:rsidRDefault="00C563E2" w:rsidP="00387B85">
      <w:pPr>
        <w:pStyle w:val="a2"/>
        <w:spacing w:line="360" w:lineRule="auto"/>
        <w:ind w:right="14"/>
        <w:rPr>
          <w:b/>
          <w:bCs/>
        </w:rPr>
      </w:pPr>
      <w:r>
        <w:rPr>
          <w:rFonts w:hint="cs"/>
          <w:b/>
          <w:bCs/>
          <w:rtl/>
        </w:rPr>
        <w:t>גופים שפעילותם נסקרת במסמך</w:t>
      </w:r>
    </w:p>
    <w:p w:rsidR="00686F6A" w:rsidRDefault="00686F6A" w:rsidP="00F05979">
      <w:pPr>
        <w:pStyle w:val="a2"/>
        <w:spacing w:line="360" w:lineRule="auto"/>
      </w:pPr>
      <w:r w:rsidRPr="00BB6388">
        <w:rPr>
          <w:rFonts w:hint="cs"/>
          <w:b/>
          <w:bCs/>
          <w:rtl/>
        </w:rPr>
        <w:t>ישנם גופים רבים העוסקים בתחום</w:t>
      </w:r>
      <w:r>
        <w:rPr>
          <w:rFonts w:hint="cs"/>
          <w:b/>
          <w:bCs/>
          <w:rtl/>
        </w:rPr>
        <w:t xml:space="preserve"> הסמים והאלכוהול בישראל</w:t>
      </w:r>
      <w:r w:rsidRPr="00BB6388">
        <w:rPr>
          <w:rFonts w:hint="cs"/>
          <w:b/>
          <w:bCs/>
          <w:rtl/>
        </w:rPr>
        <w:t>, ועבודתם שלובה זה בזה</w:t>
      </w:r>
      <w:r w:rsidRPr="00BB6388">
        <w:rPr>
          <w:rFonts w:hint="cs"/>
          <w:rtl/>
        </w:rPr>
        <w:t>.</w:t>
      </w:r>
      <w:r>
        <w:rPr>
          <w:rFonts w:hint="cs"/>
          <w:b/>
          <w:bCs/>
          <w:rtl/>
        </w:rPr>
        <w:t xml:space="preserve"> </w:t>
      </w:r>
      <w:r>
        <w:rPr>
          <w:rFonts w:hint="cs"/>
          <w:rtl/>
        </w:rPr>
        <w:t xml:space="preserve">פרק </w:t>
      </w:r>
      <w:r w:rsidR="00F05979">
        <w:rPr>
          <w:rFonts w:hint="cs"/>
          <w:rtl/>
        </w:rPr>
        <w:t xml:space="preserve">3 </w:t>
      </w:r>
      <w:r>
        <w:rPr>
          <w:rFonts w:hint="cs"/>
          <w:rtl/>
        </w:rPr>
        <w:t>במסמך סוקר את פעילות הגופים הבאים:</w:t>
      </w:r>
    </w:p>
    <w:p w:rsidR="00686F6A" w:rsidRPr="00BB6388" w:rsidRDefault="00686F6A" w:rsidP="00DC2DB0">
      <w:pPr>
        <w:pStyle w:val="a2"/>
        <w:numPr>
          <w:ilvl w:val="0"/>
          <w:numId w:val="26"/>
        </w:numPr>
        <w:spacing w:line="360" w:lineRule="auto"/>
        <w:rPr>
          <w:b/>
          <w:bCs/>
        </w:rPr>
      </w:pPr>
      <w:r w:rsidRPr="00BB6388">
        <w:rPr>
          <w:rFonts w:hint="cs"/>
          <w:b/>
          <w:bCs/>
          <w:rtl/>
        </w:rPr>
        <w:t>הוועדה המיוחדת של הכנסת למאבק בנגעי הסמים והאלכוהול</w:t>
      </w:r>
    </w:p>
    <w:p w:rsidR="00686F6A" w:rsidRPr="00BB6388" w:rsidRDefault="00686F6A" w:rsidP="00DC2DB0">
      <w:pPr>
        <w:pStyle w:val="a2"/>
        <w:numPr>
          <w:ilvl w:val="0"/>
          <w:numId w:val="26"/>
        </w:numPr>
        <w:spacing w:line="360" w:lineRule="auto"/>
        <w:rPr>
          <w:b/>
          <w:bCs/>
          <w:rtl/>
        </w:rPr>
      </w:pPr>
      <w:r w:rsidRPr="00BB6388">
        <w:rPr>
          <w:rFonts w:hint="cs"/>
          <w:b/>
          <w:bCs/>
          <w:rtl/>
        </w:rPr>
        <w:t>המשרד לביטחון הפנים</w:t>
      </w:r>
      <w:r>
        <w:rPr>
          <w:rFonts w:hint="cs"/>
          <w:b/>
          <w:bCs/>
          <w:rtl/>
        </w:rPr>
        <w:t xml:space="preserve">: </w:t>
      </w:r>
      <w:r w:rsidRPr="004C62CB">
        <w:rPr>
          <w:rFonts w:hint="cs"/>
          <w:rtl/>
        </w:rPr>
        <w:t>הרשות הלאומית למלחמה בסמים ואלכוהול; התוכנית הלאומית לצמצום הצריכה המופרזת של אלכוהול ולצמצום נזקיו; משטרת ישראל; והתכנית עיר ללא אלימות</w:t>
      </w:r>
      <w:r w:rsidRPr="00BB6388">
        <w:rPr>
          <w:rFonts w:hint="cs"/>
          <w:rtl/>
        </w:rPr>
        <w:t>.</w:t>
      </w:r>
      <w:r>
        <w:rPr>
          <w:rFonts w:hint="cs"/>
          <w:rtl/>
        </w:rPr>
        <w:t xml:space="preserve"> </w:t>
      </w:r>
    </w:p>
    <w:p w:rsidR="00686F6A" w:rsidRPr="00BB6388" w:rsidRDefault="00686F6A" w:rsidP="00DC2DB0">
      <w:pPr>
        <w:pStyle w:val="a2"/>
        <w:numPr>
          <w:ilvl w:val="0"/>
          <w:numId w:val="26"/>
        </w:numPr>
        <w:spacing w:line="360" w:lineRule="auto"/>
      </w:pPr>
      <w:r w:rsidRPr="00BB6388">
        <w:rPr>
          <w:rFonts w:hint="cs"/>
          <w:b/>
          <w:bCs/>
          <w:rtl/>
        </w:rPr>
        <w:t>יחידת סמים ומכס (יס"מ)</w:t>
      </w:r>
      <w:r>
        <w:rPr>
          <w:rFonts w:hint="cs"/>
          <w:rtl/>
        </w:rPr>
        <w:t xml:space="preserve"> שברשות המיסים, משרד האוצר.</w:t>
      </w:r>
    </w:p>
    <w:p w:rsidR="00686F6A" w:rsidRPr="00BB6388" w:rsidRDefault="00686F6A" w:rsidP="00DC2DB0">
      <w:pPr>
        <w:pStyle w:val="a2"/>
        <w:numPr>
          <w:ilvl w:val="0"/>
          <w:numId w:val="26"/>
        </w:numPr>
        <w:spacing w:line="360" w:lineRule="auto"/>
      </w:pPr>
      <w:r w:rsidRPr="00517F91">
        <w:rPr>
          <w:rFonts w:hint="cs"/>
          <w:b/>
          <w:bCs/>
          <w:rtl/>
        </w:rPr>
        <w:t>משרד הבריאות</w:t>
      </w:r>
      <w:r>
        <w:rPr>
          <w:rFonts w:hint="cs"/>
          <w:b/>
          <w:bCs/>
          <w:rtl/>
        </w:rPr>
        <w:t xml:space="preserve">: </w:t>
      </w:r>
      <w:r w:rsidRPr="009871F6">
        <w:rPr>
          <w:rFonts w:hint="cs"/>
          <w:rtl/>
        </w:rPr>
        <w:t>המחלקה לטיפול בהתמכרויות; המחלקה למאבק בפשע פרמַצֶבְטִי שבאגף לאכיפה ופיקוח; אגף הרוקחות; היחידה לקנביס רפואי (יק"ר).</w:t>
      </w:r>
    </w:p>
    <w:p w:rsidR="00686F6A" w:rsidRPr="00BB6388" w:rsidRDefault="00686F6A" w:rsidP="00DC2DB0">
      <w:pPr>
        <w:pStyle w:val="a2"/>
        <w:numPr>
          <w:ilvl w:val="0"/>
          <w:numId w:val="26"/>
        </w:numPr>
        <w:spacing w:line="360" w:lineRule="auto"/>
      </w:pPr>
      <w:r w:rsidRPr="00BB6388">
        <w:rPr>
          <w:rFonts w:hint="cs"/>
          <w:b/>
          <w:bCs/>
          <w:rtl/>
        </w:rPr>
        <w:t>משרד הרווחה והשירותים החברתיים</w:t>
      </w:r>
      <w:r>
        <w:rPr>
          <w:rFonts w:hint="cs"/>
          <w:b/>
          <w:bCs/>
          <w:rtl/>
        </w:rPr>
        <w:t xml:space="preserve">: </w:t>
      </w:r>
      <w:r w:rsidRPr="009871F6">
        <w:rPr>
          <w:rFonts w:hint="cs"/>
          <w:rtl/>
        </w:rPr>
        <w:t>השירות לטיפול בהתמכרויות; התוכנית הלאומית לילדים ובני-נוער בסיכון.</w:t>
      </w:r>
    </w:p>
    <w:p w:rsidR="0045234B" w:rsidRDefault="00686F6A" w:rsidP="00826966">
      <w:pPr>
        <w:pStyle w:val="a2"/>
        <w:numPr>
          <w:ilvl w:val="0"/>
          <w:numId w:val="26"/>
        </w:numPr>
        <w:spacing w:line="360" w:lineRule="auto"/>
        <w:rPr>
          <w:rtl/>
        </w:rPr>
      </w:pPr>
      <w:r w:rsidRPr="00BB6388">
        <w:rPr>
          <w:rFonts w:hint="cs"/>
          <w:b/>
          <w:bCs/>
          <w:rtl/>
        </w:rPr>
        <w:t>משרד החינוך</w:t>
      </w:r>
      <w:r>
        <w:rPr>
          <w:rFonts w:hint="cs"/>
          <w:b/>
          <w:bCs/>
          <w:rtl/>
        </w:rPr>
        <w:t xml:space="preserve">: </w:t>
      </w:r>
      <w:r w:rsidRPr="00BB6388">
        <w:rPr>
          <w:rFonts w:hint="cs"/>
          <w:rtl/>
        </w:rPr>
        <w:t xml:space="preserve">היחידה למניעת סמים, אלכוהול </w:t>
      </w:r>
      <w:r w:rsidRPr="00DF63C7">
        <w:rPr>
          <w:rFonts w:hint="cs"/>
          <w:rtl/>
        </w:rPr>
        <w:t>וטבק; האגף הקהילתי חברתי;</w:t>
      </w:r>
      <w:r>
        <w:rPr>
          <w:rFonts w:hint="cs"/>
          <w:b/>
          <w:bCs/>
          <w:rtl/>
        </w:rPr>
        <w:t xml:space="preserve"> </w:t>
      </w:r>
      <w:r w:rsidRPr="00826966">
        <w:rPr>
          <w:rFonts w:hint="cs"/>
          <w:rtl/>
        </w:rPr>
        <w:t xml:space="preserve"> </w:t>
      </w:r>
      <w:r w:rsidR="00826966" w:rsidRPr="00826966">
        <w:rPr>
          <w:rFonts w:hint="cs"/>
          <w:rtl/>
        </w:rPr>
        <w:t>ו</w:t>
      </w:r>
      <w:r w:rsidRPr="00826966">
        <w:rPr>
          <w:rFonts w:hint="cs"/>
          <w:rtl/>
        </w:rPr>
        <w:t>האגף</w:t>
      </w:r>
      <w:r>
        <w:rPr>
          <w:rFonts w:hint="cs"/>
          <w:rtl/>
        </w:rPr>
        <w:t xml:space="preserve"> לקידום נוער</w:t>
      </w:r>
      <w:r w:rsidR="00826966">
        <w:rPr>
          <w:rFonts w:hint="cs"/>
          <w:rtl/>
        </w:rPr>
        <w:t>.</w:t>
      </w:r>
    </w:p>
    <w:p w:rsidR="0045234B" w:rsidRDefault="0045234B">
      <w:pPr>
        <w:bidi w:val="0"/>
        <w:spacing w:before="0" w:after="0" w:line="240" w:lineRule="auto"/>
        <w:jc w:val="left"/>
        <w:rPr>
          <w:lang w:eastAsia="en-US"/>
        </w:rPr>
      </w:pPr>
      <w:r>
        <w:rPr>
          <w:rtl/>
        </w:rPr>
        <w:br w:type="page"/>
      </w:r>
    </w:p>
    <w:p w:rsidR="00F774BD" w:rsidRPr="00BB6388" w:rsidRDefault="00286B44" w:rsidP="00286B44">
      <w:pPr>
        <w:pStyle w:val="10"/>
        <w:rPr>
          <w:rtl/>
        </w:rPr>
      </w:pPr>
      <w:bookmarkStart w:id="21" w:name="_Toc419959692"/>
      <w:bookmarkStart w:id="22" w:name="_Toc419963017"/>
      <w:bookmarkStart w:id="23" w:name="_Toc419963263"/>
      <w:bookmarkStart w:id="24" w:name="_Toc421697030"/>
      <w:bookmarkStart w:id="25" w:name="_Toc418585104"/>
      <w:bookmarkStart w:id="26" w:name="_Toc419054673"/>
      <w:bookmarkStart w:id="27" w:name="_Toc418585087"/>
      <w:bookmarkStart w:id="28" w:name="_Toc419054660"/>
      <w:bookmarkStart w:id="29" w:name="_Toc418585064"/>
      <w:bookmarkStart w:id="30" w:name="_Toc419054650"/>
      <w:bookmarkEnd w:id="19"/>
      <w:r>
        <w:rPr>
          <w:rFonts w:hint="cs"/>
          <w:rtl/>
        </w:rPr>
        <w:t xml:space="preserve">נתוני רקע: </w:t>
      </w:r>
      <w:r w:rsidR="00A84B70" w:rsidRPr="00BB6388">
        <w:rPr>
          <w:rFonts w:hint="cs"/>
          <w:rtl/>
        </w:rPr>
        <w:t xml:space="preserve">השימוש </w:t>
      </w:r>
      <w:r>
        <w:rPr>
          <w:rFonts w:hint="cs"/>
          <w:rtl/>
        </w:rPr>
        <w:t>בסמים ובאלכוהול</w:t>
      </w:r>
      <w:r w:rsidR="00A84B70" w:rsidRPr="00BB6388">
        <w:rPr>
          <w:rFonts w:hint="cs"/>
          <w:rtl/>
        </w:rPr>
        <w:t xml:space="preserve"> בעולם ובישראל</w:t>
      </w:r>
      <w:bookmarkEnd w:id="21"/>
      <w:bookmarkEnd w:id="22"/>
      <w:bookmarkEnd w:id="23"/>
      <w:bookmarkEnd w:id="24"/>
    </w:p>
    <w:p w:rsidR="00385606" w:rsidRPr="00BB6388" w:rsidRDefault="00385606" w:rsidP="00B10C1D">
      <w:pPr>
        <w:pStyle w:val="a2"/>
        <w:rPr>
          <w:rtl/>
        </w:rPr>
      </w:pPr>
      <w:r w:rsidRPr="00BB7C15">
        <w:rPr>
          <w:rFonts w:hint="cs"/>
          <w:b/>
          <w:bCs/>
          <w:rtl/>
        </w:rPr>
        <w:t>בעוד שגם סמים וגם אלכוהול מהווים חומרים פסיכואקטיביים, היקף ודפוסי השימוש בהם שונים</w:t>
      </w:r>
      <w:r w:rsidRPr="00BB6388">
        <w:rPr>
          <w:rFonts w:hint="cs"/>
          <w:rtl/>
        </w:rPr>
        <w:t>. צריכת אלכוהול, שהיא חוקית בעבור בגירים בישראל,  נפוצה בהרבה מצריכת סמים, גם בקרב תלמידי בתי-הספר. דפוסי שכיחות דומים עולים גם מנתוני משרד הבריאות</w:t>
      </w:r>
      <w:r>
        <w:rPr>
          <w:rFonts w:hint="cs"/>
          <w:rtl/>
        </w:rPr>
        <w:t xml:space="preserve"> לשנת 2014</w:t>
      </w:r>
      <w:r w:rsidRPr="00BB6388">
        <w:rPr>
          <w:rFonts w:hint="cs"/>
          <w:rtl/>
        </w:rPr>
        <w:t xml:space="preserve"> בדבר פניות לחדרי המיון</w:t>
      </w:r>
      <w:r>
        <w:rPr>
          <w:rFonts w:hint="cs"/>
          <w:rtl/>
        </w:rPr>
        <w:t>. בו-בזמן, נראה כי שכיחות האשפוז בשנה זו בשל צריכת סמים גבוהה יותר מזו של צריכת אלכוהול</w:t>
      </w:r>
      <w:r w:rsidRPr="00BB6388">
        <w:rPr>
          <w:rFonts w:hint="cs"/>
          <w:rtl/>
        </w:rPr>
        <w:t xml:space="preserve">. </w:t>
      </w:r>
      <w:r>
        <w:rPr>
          <w:rFonts w:hint="cs"/>
          <w:rtl/>
        </w:rPr>
        <w:t>עם זאת</w:t>
      </w:r>
      <w:r w:rsidRPr="00BB6388">
        <w:rPr>
          <w:rFonts w:hint="cs"/>
          <w:rtl/>
        </w:rPr>
        <w:t xml:space="preserve">, </w:t>
      </w:r>
      <w:r w:rsidRPr="008F0D15">
        <w:rPr>
          <w:rFonts w:hint="cs"/>
          <w:b/>
          <w:bCs/>
          <w:rtl/>
        </w:rPr>
        <w:t>יש לסייג את הנתונים שהוצגו עד כה</w:t>
      </w:r>
      <w:r w:rsidRPr="00BB6388">
        <w:rPr>
          <w:rFonts w:hint="cs"/>
          <w:rtl/>
        </w:rPr>
        <w:t xml:space="preserve">: קיים קושי לקבוע האם היקף השימוש בסמים ובאלכוהול בישראל עליו דווח במסגרת המסמך הנוכחי דומה לדפוסים שנצפו ברחבי העולם; עד כמה הנתונים הקיימים בעבור החברה הישראלית משקפים באופן מלא את התנהגות הציבור בארץ בפועל (בשל ההיבטים הלא-חוקיים בצריכת החומרים </w:t>
      </w:r>
      <w:r>
        <w:rPr>
          <w:rFonts w:hint="cs"/>
          <w:rtl/>
        </w:rPr>
        <w:t>ו</w:t>
      </w:r>
      <w:r w:rsidRPr="00BB6388">
        <w:rPr>
          <w:rFonts w:hint="cs"/>
          <w:rtl/>
        </w:rPr>
        <w:t>שאלות מתודולוגיות</w:t>
      </w:r>
      <w:r>
        <w:rPr>
          <w:rFonts w:hint="cs"/>
          <w:rtl/>
        </w:rPr>
        <w:t xml:space="preserve"> נוספות שנסקרו במהלך המסמך</w:t>
      </w:r>
      <w:r w:rsidRPr="00BB6388">
        <w:rPr>
          <w:rFonts w:hint="cs"/>
          <w:rtl/>
        </w:rPr>
        <w:t>); וכן עד כמה הנתונים, שחלקם נאספו עוד ב- 2009, משקפים את היקפה ודפוסיה של התנהגות זו כיום.</w:t>
      </w:r>
    </w:p>
    <w:p w:rsidR="007B1923" w:rsidRPr="00BB6388" w:rsidRDefault="007B1923" w:rsidP="007B1923">
      <w:pPr>
        <w:pStyle w:val="2"/>
        <w:rPr>
          <w:rtl/>
        </w:rPr>
      </w:pPr>
      <w:bookmarkStart w:id="31" w:name="_Toc421697031"/>
      <w:r>
        <w:rPr>
          <w:rFonts w:hint="cs"/>
          <w:rtl/>
        </w:rPr>
        <w:t>הערות מתודולוגיות</w:t>
      </w:r>
      <w:bookmarkEnd w:id="31"/>
    </w:p>
    <w:p w:rsidR="007B1923" w:rsidRDefault="006B12AB" w:rsidP="00421026">
      <w:pPr>
        <w:pStyle w:val="a2"/>
        <w:spacing w:line="360" w:lineRule="auto"/>
        <w:rPr>
          <w:rtl/>
        </w:rPr>
      </w:pPr>
      <w:r>
        <w:rPr>
          <w:rFonts w:hint="cs"/>
          <w:rtl/>
        </w:rPr>
        <w:t xml:space="preserve">ישנן מספר נקודות מתודולוגיות שיש להתייחס אליהן בעת קריאת וניתוח נתונים </w:t>
      </w:r>
      <w:r w:rsidR="00421026">
        <w:rPr>
          <w:rFonts w:hint="cs"/>
          <w:rtl/>
        </w:rPr>
        <w:t>המתארים את</w:t>
      </w:r>
      <w:r>
        <w:rPr>
          <w:rFonts w:hint="cs"/>
          <w:rtl/>
        </w:rPr>
        <w:t xml:space="preserve"> תופעת השימוש בחומרים פסיכואקטיביים.</w:t>
      </w:r>
    </w:p>
    <w:p w:rsidR="007B1923" w:rsidRPr="00BB6388" w:rsidRDefault="007B1923" w:rsidP="00A50D1F">
      <w:pPr>
        <w:pStyle w:val="a2"/>
        <w:spacing w:line="360" w:lineRule="auto"/>
        <w:rPr>
          <w:rtl/>
        </w:rPr>
      </w:pPr>
      <w:r w:rsidRPr="00BB6388">
        <w:rPr>
          <w:rFonts w:hint="cs"/>
          <w:rtl/>
        </w:rPr>
        <w:t xml:space="preserve">ראשית, צריכת חומרים </w:t>
      </w:r>
      <w:r>
        <w:rPr>
          <w:rFonts w:hint="cs"/>
          <w:rtl/>
        </w:rPr>
        <w:t>פסיכואקטיביים</w:t>
      </w:r>
      <w:r w:rsidRPr="00BB6388">
        <w:rPr>
          <w:rFonts w:hint="cs"/>
          <w:rtl/>
        </w:rPr>
        <w:t xml:space="preserve"> שלא תחת פיקוח המדינה (כגון מתן היתרי מכירה או מרשמים רפואיים) מוגדרת </w:t>
      </w:r>
      <w:r>
        <w:rPr>
          <w:rFonts w:hint="cs"/>
          <w:rtl/>
        </w:rPr>
        <w:t>לעיתים מזומנות</w:t>
      </w:r>
      <w:r w:rsidRPr="00BB6388">
        <w:rPr>
          <w:rFonts w:hint="cs"/>
          <w:rtl/>
        </w:rPr>
        <w:t xml:space="preserve"> כלא-חוקית. דוגמא לכך בישראל היא רכישת אלכוהול על-ידי קטינים או צריכת סמים </w:t>
      </w:r>
      <w:r>
        <w:rPr>
          <w:rFonts w:hint="cs"/>
          <w:rtl/>
        </w:rPr>
        <w:t>שנקבעו</w:t>
      </w:r>
      <w:r w:rsidRPr="00BB6388">
        <w:rPr>
          <w:rFonts w:hint="cs"/>
          <w:rtl/>
        </w:rPr>
        <w:t xml:space="preserve"> כאסורים</w:t>
      </w:r>
      <w:r>
        <w:rPr>
          <w:rFonts w:hint="cs"/>
          <w:rtl/>
        </w:rPr>
        <w:t xml:space="preserve"> במסגרת פקודת </w:t>
      </w:r>
      <w:r w:rsidR="00A50D1F">
        <w:rPr>
          <w:rFonts w:hint="cs"/>
          <w:rtl/>
        </w:rPr>
        <w:t>ה</w:t>
      </w:r>
      <w:r>
        <w:rPr>
          <w:rFonts w:hint="cs"/>
          <w:rtl/>
        </w:rPr>
        <w:t>סמים המסוכנים [נוסח חדש], התשל"ז-1973</w:t>
      </w:r>
      <w:r w:rsidRPr="00BB6388">
        <w:rPr>
          <w:rFonts w:hint="cs"/>
          <w:rtl/>
        </w:rPr>
        <w:t xml:space="preserve">. </w:t>
      </w:r>
      <w:r w:rsidRPr="00BB6388">
        <w:rPr>
          <w:rFonts w:hint="cs"/>
          <w:b/>
          <w:bCs/>
          <w:rtl/>
        </w:rPr>
        <w:t>אלו העושים שימוש לא-חוקי בחומרים פסיכואקטיביים, ובכלל זאת צריכה או סחר</w:t>
      </w:r>
      <w:r w:rsidRPr="00BB6388">
        <w:rPr>
          <w:b/>
          <w:bCs/>
          <w:rtl/>
        </w:rPr>
        <w:t xml:space="preserve">, </w:t>
      </w:r>
      <w:r w:rsidRPr="00BB6388">
        <w:rPr>
          <w:rFonts w:hint="eastAsia"/>
          <w:b/>
          <w:bCs/>
          <w:rtl/>
        </w:rPr>
        <w:t>נוטים</w:t>
      </w:r>
      <w:r w:rsidRPr="00BB6388">
        <w:rPr>
          <w:b/>
          <w:bCs/>
          <w:rtl/>
        </w:rPr>
        <w:t xml:space="preserve"> </w:t>
      </w:r>
      <w:r w:rsidRPr="00BB6388">
        <w:rPr>
          <w:rFonts w:hint="eastAsia"/>
          <w:b/>
          <w:bCs/>
          <w:rtl/>
        </w:rPr>
        <w:t>להסתיר</w:t>
      </w:r>
      <w:r w:rsidRPr="00BB6388">
        <w:rPr>
          <w:b/>
          <w:bCs/>
          <w:rtl/>
        </w:rPr>
        <w:t xml:space="preserve"> </w:t>
      </w:r>
      <w:r w:rsidRPr="00BB6388">
        <w:rPr>
          <w:rFonts w:hint="cs"/>
          <w:b/>
          <w:bCs/>
          <w:rtl/>
        </w:rPr>
        <w:t>את פעילותם בתחום</w:t>
      </w:r>
      <w:r w:rsidRPr="00BB6388">
        <w:rPr>
          <w:rFonts w:hint="cs"/>
          <w:rtl/>
        </w:rPr>
        <w:t xml:space="preserve">. </w:t>
      </w:r>
      <w:r w:rsidRPr="00BB6388">
        <w:rPr>
          <w:rFonts w:hint="eastAsia"/>
          <w:b/>
          <w:bCs/>
          <w:rtl/>
        </w:rPr>
        <w:t>הדבר</w:t>
      </w:r>
      <w:r w:rsidRPr="00BB6388">
        <w:rPr>
          <w:b/>
          <w:bCs/>
          <w:rtl/>
        </w:rPr>
        <w:t xml:space="preserve"> מקשה על </w:t>
      </w:r>
      <w:r w:rsidRPr="00BB6388">
        <w:rPr>
          <w:rFonts w:hint="eastAsia"/>
          <w:b/>
          <w:bCs/>
          <w:rtl/>
        </w:rPr>
        <w:t>איסוף</w:t>
      </w:r>
      <w:r w:rsidRPr="00BB6388">
        <w:rPr>
          <w:b/>
          <w:bCs/>
          <w:rtl/>
        </w:rPr>
        <w:t xml:space="preserve"> הנתונים </w:t>
      </w:r>
      <w:r w:rsidRPr="00BB6388">
        <w:rPr>
          <w:rFonts w:hint="eastAsia"/>
          <w:b/>
          <w:bCs/>
          <w:rtl/>
        </w:rPr>
        <w:t>המדוייקים</w:t>
      </w:r>
      <w:r w:rsidRPr="00BB6388">
        <w:rPr>
          <w:rFonts w:hint="cs"/>
          <w:rtl/>
        </w:rPr>
        <w:t xml:space="preserve"> בדבר מספר משתמשים, עסקאות מסחר, כמויות נסחרות וכמויות בשימוש אישי</w:t>
      </w:r>
      <w:r w:rsidRPr="00BB6388">
        <w:rPr>
          <w:rtl/>
        </w:rPr>
        <w:t xml:space="preserve">, </w:t>
      </w:r>
      <w:r w:rsidRPr="00BB6388">
        <w:rPr>
          <w:rFonts w:hint="eastAsia"/>
          <w:rtl/>
        </w:rPr>
        <w:t>ומוביל</w:t>
      </w:r>
      <w:r w:rsidRPr="00BB6388">
        <w:rPr>
          <w:rtl/>
        </w:rPr>
        <w:t xml:space="preserve"> </w:t>
      </w:r>
      <w:r w:rsidRPr="00BB6388">
        <w:rPr>
          <w:rFonts w:hint="eastAsia"/>
          <w:rtl/>
        </w:rPr>
        <w:t>לעיתים</w:t>
      </w:r>
      <w:r w:rsidRPr="00BB6388">
        <w:rPr>
          <w:rtl/>
        </w:rPr>
        <w:t xml:space="preserve"> </w:t>
      </w:r>
      <w:r w:rsidRPr="00BB6388">
        <w:rPr>
          <w:rFonts w:hint="eastAsia"/>
          <w:rtl/>
        </w:rPr>
        <w:t>להסתמכות</w:t>
      </w:r>
      <w:r w:rsidRPr="00BB6388">
        <w:rPr>
          <w:rtl/>
        </w:rPr>
        <w:t xml:space="preserve"> </w:t>
      </w:r>
      <w:r w:rsidRPr="00BB6388">
        <w:rPr>
          <w:rFonts w:hint="eastAsia"/>
          <w:rtl/>
        </w:rPr>
        <w:t>על</w:t>
      </w:r>
      <w:r w:rsidRPr="00BB6388">
        <w:rPr>
          <w:rtl/>
        </w:rPr>
        <w:t xml:space="preserve"> </w:t>
      </w:r>
      <w:r w:rsidRPr="00BB6388">
        <w:rPr>
          <w:rFonts w:hint="eastAsia"/>
          <w:rtl/>
        </w:rPr>
        <w:t>הערכות</w:t>
      </w:r>
      <w:r w:rsidRPr="00BB6388">
        <w:rPr>
          <w:rtl/>
        </w:rPr>
        <w:t xml:space="preserve"> </w:t>
      </w:r>
      <w:r w:rsidRPr="00BB6388">
        <w:rPr>
          <w:rFonts w:hint="eastAsia"/>
          <w:rtl/>
        </w:rPr>
        <w:t>בלבד</w:t>
      </w:r>
      <w:r w:rsidRPr="00BB6388">
        <w:rPr>
          <w:rtl/>
        </w:rPr>
        <w:t xml:space="preserve">, </w:t>
      </w:r>
      <w:r w:rsidRPr="00BB6388">
        <w:rPr>
          <w:rFonts w:hint="eastAsia"/>
          <w:rtl/>
        </w:rPr>
        <w:t>או</w:t>
      </w:r>
      <w:r w:rsidRPr="00BB6388">
        <w:rPr>
          <w:rtl/>
        </w:rPr>
        <w:t xml:space="preserve"> </w:t>
      </w:r>
      <w:r w:rsidRPr="00BB6388">
        <w:rPr>
          <w:rFonts w:hint="eastAsia"/>
          <w:rtl/>
        </w:rPr>
        <w:t>על</w:t>
      </w:r>
      <w:r w:rsidRPr="00BB6388">
        <w:rPr>
          <w:rtl/>
        </w:rPr>
        <w:t xml:space="preserve"> </w:t>
      </w:r>
      <w:r w:rsidRPr="00BB6388">
        <w:rPr>
          <w:rFonts w:hint="eastAsia"/>
          <w:rtl/>
        </w:rPr>
        <w:t>הערכות</w:t>
      </w:r>
      <w:r w:rsidRPr="00BB6388">
        <w:rPr>
          <w:rtl/>
        </w:rPr>
        <w:t xml:space="preserve"> </w:t>
      </w:r>
      <w:r w:rsidRPr="00BB6388">
        <w:rPr>
          <w:rFonts w:hint="eastAsia"/>
          <w:rtl/>
        </w:rPr>
        <w:t>הכולל</w:t>
      </w:r>
      <w:r w:rsidR="00A50D1F">
        <w:rPr>
          <w:rFonts w:hint="cs"/>
          <w:rtl/>
        </w:rPr>
        <w:t xml:space="preserve">ות </w:t>
      </w:r>
      <w:r w:rsidRPr="00BB6388">
        <w:rPr>
          <w:rtl/>
        </w:rPr>
        <w:t xml:space="preserve"> </w:t>
      </w:r>
      <w:r w:rsidRPr="00BB6388">
        <w:rPr>
          <w:rFonts w:hint="eastAsia"/>
          <w:rtl/>
        </w:rPr>
        <w:t>טווחים</w:t>
      </w:r>
      <w:r w:rsidRPr="00BB6388">
        <w:rPr>
          <w:rtl/>
        </w:rPr>
        <w:t xml:space="preserve"> </w:t>
      </w:r>
      <w:r w:rsidRPr="00BB6388">
        <w:rPr>
          <w:rFonts w:hint="eastAsia"/>
          <w:rtl/>
        </w:rPr>
        <w:t>רחבים</w:t>
      </w:r>
      <w:r w:rsidRPr="00BB6388">
        <w:rPr>
          <w:rtl/>
        </w:rPr>
        <w:t xml:space="preserve"> </w:t>
      </w:r>
      <w:r w:rsidRPr="00BB6388">
        <w:rPr>
          <w:rFonts w:hint="eastAsia"/>
          <w:rtl/>
        </w:rPr>
        <w:t>מאוד</w:t>
      </w:r>
      <w:r w:rsidRPr="00BB6388">
        <w:rPr>
          <w:rtl/>
        </w:rPr>
        <w:t xml:space="preserve"> </w:t>
      </w:r>
      <w:r w:rsidRPr="00BB6388">
        <w:rPr>
          <w:rFonts w:hint="eastAsia"/>
          <w:rtl/>
        </w:rPr>
        <w:t>בין</w:t>
      </w:r>
      <w:r w:rsidRPr="00BB6388">
        <w:rPr>
          <w:rtl/>
        </w:rPr>
        <w:t xml:space="preserve"> </w:t>
      </w:r>
      <w:r w:rsidRPr="00BB6388">
        <w:rPr>
          <w:rFonts w:hint="eastAsia"/>
          <w:rtl/>
        </w:rPr>
        <w:t>ערכי</w:t>
      </w:r>
      <w:r w:rsidRPr="00BB6388">
        <w:rPr>
          <w:rtl/>
        </w:rPr>
        <w:t xml:space="preserve"> </w:t>
      </w:r>
      <w:r w:rsidRPr="00BB6388">
        <w:rPr>
          <w:rFonts w:hint="eastAsia"/>
          <w:rtl/>
        </w:rPr>
        <w:t>המינימום</w:t>
      </w:r>
      <w:r w:rsidRPr="00BB6388">
        <w:rPr>
          <w:rtl/>
        </w:rPr>
        <w:t xml:space="preserve"> </w:t>
      </w:r>
      <w:r w:rsidRPr="00BB6388">
        <w:rPr>
          <w:rFonts w:hint="eastAsia"/>
          <w:rtl/>
        </w:rPr>
        <w:t>והמקסימום</w:t>
      </w:r>
      <w:r w:rsidRPr="00BB6388">
        <w:rPr>
          <w:rtl/>
        </w:rPr>
        <w:t xml:space="preserve">, </w:t>
      </w:r>
      <w:r w:rsidRPr="00BB6388">
        <w:rPr>
          <w:rFonts w:hint="eastAsia"/>
          <w:rtl/>
        </w:rPr>
        <w:t>בבניית</w:t>
      </w:r>
      <w:r w:rsidRPr="00BB6388">
        <w:rPr>
          <w:rtl/>
        </w:rPr>
        <w:t xml:space="preserve"> </w:t>
      </w:r>
      <w:r w:rsidRPr="00BB6388">
        <w:rPr>
          <w:rFonts w:hint="eastAsia"/>
          <w:rtl/>
        </w:rPr>
        <w:t>תוכניות</w:t>
      </w:r>
      <w:r w:rsidRPr="00BB6388">
        <w:rPr>
          <w:rtl/>
        </w:rPr>
        <w:t xml:space="preserve"> </w:t>
      </w:r>
      <w:r w:rsidRPr="00BB6388">
        <w:rPr>
          <w:rFonts w:hint="eastAsia"/>
          <w:rtl/>
        </w:rPr>
        <w:t>מדיניות</w:t>
      </w:r>
      <w:r w:rsidRPr="00BB6388">
        <w:rPr>
          <w:rtl/>
        </w:rPr>
        <w:t xml:space="preserve"> </w:t>
      </w:r>
      <w:r w:rsidRPr="00BB6388">
        <w:rPr>
          <w:rFonts w:hint="eastAsia"/>
          <w:rtl/>
        </w:rPr>
        <w:t>בתחום</w:t>
      </w:r>
      <w:r w:rsidRPr="00BB6388">
        <w:rPr>
          <w:rtl/>
        </w:rPr>
        <w:t>.</w:t>
      </w:r>
    </w:p>
    <w:p w:rsidR="007B1923" w:rsidRPr="00BB6388" w:rsidRDefault="007B1923" w:rsidP="00A50D1F">
      <w:pPr>
        <w:pStyle w:val="a2"/>
        <w:spacing w:line="360" w:lineRule="auto"/>
        <w:rPr>
          <w:rtl/>
        </w:rPr>
      </w:pPr>
      <w:r w:rsidRPr="00BB6388">
        <w:rPr>
          <w:rFonts w:hint="eastAsia"/>
          <w:rtl/>
        </w:rPr>
        <w:t>שנית</w:t>
      </w:r>
      <w:r w:rsidRPr="00BB6388">
        <w:rPr>
          <w:rtl/>
        </w:rPr>
        <w:t xml:space="preserve">, </w:t>
      </w:r>
      <w:r w:rsidRPr="00BB6388">
        <w:rPr>
          <w:rFonts w:hint="cs"/>
          <w:b/>
          <w:bCs/>
          <w:rtl/>
        </w:rPr>
        <w:t>ישנם המשתמשים ביותר מסוג סם אחד</w:t>
      </w:r>
      <w:r w:rsidRPr="00BB6388">
        <w:rPr>
          <w:rFonts w:hint="cs"/>
          <w:rtl/>
        </w:rPr>
        <w:t xml:space="preserve"> (בין אם לחיזוק ההשפעה, סתירת ההשפעה של החומר הקודם שנצרך, או מעבר לשימוש בחומר אחר). </w:t>
      </w:r>
      <w:r w:rsidRPr="00BB6388">
        <w:rPr>
          <w:rFonts w:hint="cs"/>
          <w:b/>
          <w:bCs/>
          <w:rtl/>
        </w:rPr>
        <w:t>הדבר מוביל ל'ספירה כפולה' של אותו המשתמש תחת קטגוריות סם שונות</w:t>
      </w:r>
      <w:r w:rsidRPr="00BB6388">
        <w:rPr>
          <w:rFonts w:hint="cs"/>
          <w:rtl/>
        </w:rPr>
        <w:t>, ומכאן לקושי בהערכת סך המשתמשים בסמים בעולם או במדינה מסויימת.</w:t>
      </w:r>
    </w:p>
    <w:p w:rsidR="007B1923" w:rsidRDefault="007B1923" w:rsidP="007B1923">
      <w:pPr>
        <w:pStyle w:val="a2"/>
        <w:spacing w:line="360" w:lineRule="auto"/>
        <w:rPr>
          <w:b/>
          <w:bCs/>
          <w:rtl/>
        </w:rPr>
      </w:pPr>
      <w:r w:rsidRPr="00BB6388">
        <w:rPr>
          <w:rFonts w:hint="cs"/>
          <w:rtl/>
        </w:rPr>
        <w:t xml:space="preserve">שלישית, </w:t>
      </w:r>
      <w:r w:rsidRPr="00BB6388">
        <w:rPr>
          <w:rFonts w:hint="cs"/>
          <w:b/>
          <w:bCs/>
          <w:rtl/>
        </w:rPr>
        <w:t>קיימת שונות בין הארגונים השונים בתחום בהתייחס לנתונים אותם הם אוספים ואופן עיבודם והצגתם</w:t>
      </w:r>
      <w:r w:rsidRPr="00BB6388">
        <w:rPr>
          <w:rFonts w:hint="cs"/>
          <w:rtl/>
        </w:rPr>
        <w:t xml:space="preserve">. </w:t>
      </w:r>
      <w:r w:rsidRPr="00BB6388">
        <w:rPr>
          <w:rFonts w:hint="eastAsia"/>
          <w:rtl/>
        </w:rPr>
        <w:t>שונות</w:t>
      </w:r>
      <w:r w:rsidRPr="00BB6388">
        <w:rPr>
          <w:rtl/>
        </w:rPr>
        <w:t xml:space="preserve"> זו מתבטאת </w:t>
      </w:r>
      <w:r w:rsidRPr="00BB6388">
        <w:rPr>
          <w:rFonts w:hint="eastAsia"/>
          <w:rtl/>
        </w:rPr>
        <w:t>במקורות</w:t>
      </w:r>
      <w:r w:rsidRPr="00BB6388">
        <w:rPr>
          <w:rtl/>
        </w:rPr>
        <w:t xml:space="preserve"> המידע </w:t>
      </w:r>
      <w:r w:rsidRPr="00BB6388">
        <w:rPr>
          <w:rFonts w:hint="cs"/>
          <w:rtl/>
        </w:rPr>
        <w:t xml:space="preserve">עליהם נסמך כל ארגון, </w:t>
      </w:r>
      <w:r w:rsidRPr="00BB6388">
        <w:rPr>
          <w:rFonts w:hint="eastAsia"/>
          <w:rtl/>
        </w:rPr>
        <w:t>ב</w:t>
      </w:r>
      <w:r w:rsidRPr="00BB6388">
        <w:rPr>
          <w:rFonts w:hint="cs"/>
          <w:rtl/>
        </w:rPr>
        <w:t>סוג ה</w:t>
      </w:r>
      <w:r w:rsidRPr="00BB6388">
        <w:rPr>
          <w:rFonts w:hint="eastAsia"/>
          <w:rtl/>
        </w:rPr>
        <w:t>נתונים</w:t>
      </w:r>
      <w:r w:rsidRPr="00BB6388">
        <w:rPr>
          <w:rFonts w:hint="cs"/>
          <w:rtl/>
        </w:rPr>
        <w:t xml:space="preserve"> אותם אוסף הארגון, </w:t>
      </w:r>
      <w:r w:rsidRPr="00BB6388">
        <w:rPr>
          <w:rFonts w:hint="eastAsia"/>
          <w:rtl/>
        </w:rPr>
        <w:t>באופן</w:t>
      </w:r>
      <w:r w:rsidRPr="00BB6388">
        <w:rPr>
          <w:rtl/>
        </w:rPr>
        <w:t xml:space="preserve"> </w:t>
      </w:r>
      <w:r w:rsidRPr="00BB6388">
        <w:rPr>
          <w:rFonts w:hint="eastAsia"/>
          <w:rtl/>
        </w:rPr>
        <w:t>עיבוד</w:t>
      </w:r>
      <w:r w:rsidRPr="00BB6388">
        <w:rPr>
          <w:rtl/>
        </w:rPr>
        <w:t xml:space="preserve"> </w:t>
      </w:r>
      <w:r w:rsidRPr="00BB6388">
        <w:rPr>
          <w:rFonts w:hint="eastAsia"/>
          <w:rtl/>
        </w:rPr>
        <w:t>הנתונים</w:t>
      </w:r>
      <w:r w:rsidRPr="00BB6388">
        <w:rPr>
          <w:rFonts w:hint="cs"/>
          <w:rtl/>
        </w:rPr>
        <w:t>, ו</w:t>
      </w:r>
      <w:r w:rsidRPr="00BB6388">
        <w:rPr>
          <w:rFonts w:hint="eastAsia"/>
          <w:rtl/>
        </w:rPr>
        <w:t>באופן</w:t>
      </w:r>
      <w:r w:rsidRPr="00BB6388">
        <w:rPr>
          <w:rtl/>
        </w:rPr>
        <w:t xml:space="preserve"> </w:t>
      </w:r>
      <w:r w:rsidRPr="00BB6388">
        <w:rPr>
          <w:rFonts w:hint="eastAsia"/>
          <w:rtl/>
        </w:rPr>
        <w:t>הצגתם</w:t>
      </w:r>
      <w:r w:rsidRPr="00BB6388">
        <w:rPr>
          <w:rFonts w:hint="cs"/>
          <w:rtl/>
        </w:rPr>
        <w:t xml:space="preserve">. כפי שניתן יהיה לראות בהמשך המסמך, </w:t>
      </w:r>
      <w:r w:rsidRPr="00BB6388">
        <w:rPr>
          <w:rFonts w:hint="cs"/>
          <w:b/>
          <w:bCs/>
          <w:rtl/>
        </w:rPr>
        <w:t xml:space="preserve">הדבר מקשה על השוואה בין נתונים שיוצרו על-ידי ארגונים שונים, </w:t>
      </w:r>
      <w:r>
        <w:rPr>
          <w:rFonts w:hint="cs"/>
          <w:b/>
          <w:bCs/>
          <w:rtl/>
        </w:rPr>
        <w:t xml:space="preserve">ובכלל זאת השוואה בין הנעשה בתחום </w:t>
      </w:r>
      <w:r w:rsidRPr="00BB6388">
        <w:rPr>
          <w:rFonts w:hint="cs"/>
          <w:b/>
          <w:bCs/>
          <w:rtl/>
        </w:rPr>
        <w:t xml:space="preserve">בעולם ובארץ, ומכאן שעל הצלבתם של הנתונים, בדיקת עקביותם, איתור מגמות או יצירתה של תמונת-על </w:t>
      </w:r>
      <w:r>
        <w:rPr>
          <w:rFonts w:hint="cs"/>
          <w:b/>
          <w:bCs/>
          <w:rtl/>
        </w:rPr>
        <w:t>של נושא זה</w:t>
      </w:r>
      <w:r w:rsidRPr="00BB6388">
        <w:rPr>
          <w:rFonts w:hint="cs"/>
          <w:b/>
          <w:bCs/>
          <w:rtl/>
        </w:rPr>
        <w:t>.</w:t>
      </w:r>
    </w:p>
    <w:p w:rsidR="002F6757" w:rsidRDefault="00421026" w:rsidP="00421026">
      <w:pPr>
        <w:pStyle w:val="a2"/>
        <w:spacing w:line="360" w:lineRule="auto"/>
        <w:rPr>
          <w:rtl/>
        </w:rPr>
      </w:pPr>
      <w:r>
        <w:rPr>
          <w:rFonts w:hint="cs"/>
          <w:rtl/>
        </w:rPr>
        <w:t xml:space="preserve">בהתייחס לישראל, </w:t>
      </w:r>
      <w:r w:rsidR="002F6757" w:rsidRPr="00BB6388">
        <w:rPr>
          <w:rFonts w:hint="cs"/>
          <w:b/>
          <w:bCs/>
          <w:rtl/>
        </w:rPr>
        <w:t xml:space="preserve">מקור הנתונים הרשמיים המרכזי (ולעיתים היחיד) בדבר היקף ודפוסי השימוש בסמים ובאלכוהול היא הרשות הלאומית למלחמה בסמים ואלכוהול (להלן </w:t>
      </w:r>
      <w:r w:rsidR="002F6757" w:rsidRPr="00BB6388">
        <w:rPr>
          <w:b/>
          <w:bCs/>
          <w:rtl/>
        </w:rPr>
        <w:t>–</w:t>
      </w:r>
      <w:r w:rsidR="002F6757" w:rsidRPr="00BB6388">
        <w:rPr>
          <w:rFonts w:hint="cs"/>
          <w:b/>
          <w:bCs/>
          <w:rtl/>
        </w:rPr>
        <w:t xml:space="preserve"> הרשות)</w:t>
      </w:r>
      <w:r w:rsidR="002F6757" w:rsidRPr="00BB6388">
        <w:rPr>
          <w:rFonts w:hint="cs"/>
          <w:rtl/>
        </w:rPr>
        <w:t xml:space="preserve">. </w:t>
      </w:r>
      <w:r w:rsidR="005C616D">
        <w:rPr>
          <w:rFonts w:hint="cs"/>
          <w:rtl/>
        </w:rPr>
        <w:t xml:space="preserve">נוסף על כך, </w:t>
      </w:r>
      <w:r w:rsidR="002F6757" w:rsidRPr="00BB6388">
        <w:rPr>
          <w:rFonts w:hint="cs"/>
          <w:rtl/>
        </w:rPr>
        <w:t xml:space="preserve">הרשות בסקריה בוחנת אוכלוסיות ואוספת נתונים שאינם </w:t>
      </w:r>
      <w:r w:rsidR="00A50D1F">
        <w:rPr>
          <w:rFonts w:hint="cs"/>
          <w:rtl/>
        </w:rPr>
        <w:t xml:space="preserve">בהכרח </w:t>
      </w:r>
      <w:r w:rsidR="002F6757" w:rsidRPr="00BB6388">
        <w:rPr>
          <w:rFonts w:hint="cs"/>
          <w:rtl/>
        </w:rPr>
        <w:t xml:space="preserve">תואמים את עבודתם של ארגונים בינלאומיים בנושא, כפי שיפורט להלן. בשל כך, </w:t>
      </w:r>
      <w:r w:rsidR="002F6757" w:rsidRPr="00BB6388">
        <w:rPr>
          <w:rFonts w:hint="cs"/>
          <w:b/>
          <w:bCs/>
          <w:rtl/>
        </w:rPr>
        <w:t xml:space="preserve">אין בידינו האפשרות להצליב או לאמת ממקורות נוספים את הנתונים שיוצגו </w:t>
      </w:r>
      <w:r w:rsidR="009F3F75">
        <w:rPr>
          <w:rFonts w:hint="cs"/>
          <w:b/>
          <w:bCs/>
          <w:rtl/>
        </w:rPr>
        <w:t>בפרק הנוכחי</w:t>
      </w:r>
      <w:r w:rsidR="00A16E32">
        <w:rPr>
          <w:rFonts w:hint="cs"/>
          <w:b/>
          <w:bCs/>
          <w:rtl/>
        </w:rPr>
        <w:t xml:space="preserve"> בנוגע להיקף ודפוסי השימוש בסמים ובאלכוהול בישראל</w:t>
      </w:r>
      <w:r w:rsidR="002F6757" w:rsidRPr="00BB6388">
        <w:rPr>
          <w:rFonts w:hint="cs"/>
          <w:rtl/>
        </w:rPr>
        <w:t xml:space="preserve">. </w:t>
      </w:r>
    </w:p>
    <w:p w:rsidR="00013DA5" w:rsidRDefault="00013DA5" w:rsidP="00421026">
      <w:pPr>
        <w:pStyle w:val="a2"/>
        <w:spacing w:line="360" w:lineRule="auto"/>
        <w:rPr>
          <w:rtl/>
        </w:rPr>
      </w:pPr>
    </w:p>
    <w:p w:rsidR="00D11090" w:rsidRPr="00BB6388" w:rsidRDefault="005721A6" w:rsidP="005721A6">
      <w:pPr>
        <w:pStyle w:val="2"/>
        <w:rPr>
          <w:rtl/>
        </w:rPr>
      </w:pPr>
      <w:bookmarkStart w:id="32" w:name="_Toc418585065"/>
      <w:bookmarkStart w:id="33" w:name="_Toc419054651"/>
      <w:bookmarkStart w:id="34" w:name="_Toc419959693"/>
      <w:bookmarkStart w:id="35" w:name="_Toc419963018"/>
      <w:bookmarkStart w:id="36" w:name="_Toc419963264"/>
      <w:bookmarkStart w:id="37" w:name="_Toc421697032"/>
      <w:r>
        <w:rPr>
          <w:rFonts w:hint="cs"/>
          <w:rtl/>
        </w:rPr>
        <w:t>השימוש בסמים בעולם ובישראל</w:t>
      </w:r>
      <w:bookmarkStart w:id="38" w:name="_Toc418585066"/>
      <w:bookmarkStart w:id="39" w:name="_Toc419054652"/>
      <w:bookmarkStart w:id="40" w:name="_Toc419959694"/>
      <w:bookmarkStart w:id="41" w:name="_Toc419963019"/>
      <w:bookmarkEnd w:id="32"/>
      <w:bookmarkEnd w:id="33"/>
      <w:bookmarkEnd w:id="34"/>
      <w:bookmarkEnd w:id="35"/>
      <w:bookmarkEnd w:id="36"/>
      <w:bookmarkEnd w:id="37"/>
    </w:p>
    <w:p w:rsidR="00B176B0" w:rsidRPr="00BB6388" w:rsidRDefault="00A84B70" w:rsidP="00B176B0">
      <w:pPr>
        <w:pStyle w:val="3"/>
        <w:rPr>
          <w:rtl/>
        </w:rPr>
      </w:pPr>
      <w:bookmarkStart w:id="42" w:name="_Toc419963265"/>
      <w:bookmarkStart w:id="43" w:name="_Toc421697033"/>
      <w:r w:rsidRPr="00BB6388">
        <w:rPr>
          <w:rFonts w:hint="cs"/>
          <w:rtl/>
        </w:rPr>
        <w:t>היקף השימוש בסמים בעולם</w:t>
      </w:r>
      <w:bookmarkEnd w:id="38"/>
      <w:bookmarkEnd w:id="39"/>
      <w:bookmarkEnd w:id="40"/>
      <w:bookmarkEnd w:id="41"/>
      <w:bookmarkEnd w:id="42"/>
      <w:bookmarkEnd w:id="43"/>
      <w:r w:rsidRPr="00BB6388">
        <w:rPr>
          <w:rFonts w:hint="cs"/>
          <w:rtl/>
        </w:rPr>
        <w:t xml:space="preserve"> </w:t>
      </w:r>
    </w:p>
    <w:p w:rsidR="00A84B70" w:rsidRDefault="00A84B70" w:rsidP="00B176B0">
      <w:pPr>
        <w:pStyle w:val="a2"/>
        <w:rPr>
          <w:rtl/>
        </w:rPr>
      </w:pPr>
      <w:r w:rsidRPr="00BB6388">
        <w:rPr>
          <w:rFonts w:hint="cs"/>
          <w:rtl/>
        </w:rPr>
        <w:t>משרד האו"ם לנושאי סמים ופשיעה (</w:t>
      </w:r>
      <w:r w:rsidRPr="00B176B0">
        <w:rPr>
          <w:sz w:val="20"/>
          <w:szCs w:val="20"/>
        </w:rPr>
        <w:t>United Nation Office on Drugs and Crimes - UNODC</w:t>
      </w:r>
      <w:r w:rsidRPr="00BB6388">
        <w:rPr>
          <w:rFonts w:hint="cs"/>
          <w:rtl/>
        </w:rPr>
        <w:t xml:space="preserve">) מעריך בדין-וחשבון השנתי העדכני ביותר של המשרד כי </w:t>
      </w:r>
      <w:r w:rsidRPr="00B176B0">
        <w:rPr>
          <w:rFonts w:hint="cs"/>
          <w:b/>
          <w:bCs/>
          <w:rtl/>
        </w:rPr>
        <w:t xml:space="preserve">בין 162 מיליון ל-324 מיליון בני-אדם, שהם כ-7.0%-3.5% מהאוכלוסייה הבוגרת בעולם (גילאי 64-15), </w:t>
      </w:r>
      <w:r w:rsidR="00142FEE" w:rsidRPr="00B176B0">
        <w:rPr>
          <w:rFonts w:hint="cs"/>
          <w:b/>
          <w:bCs/>
          <w:rtl/>
        </w:rPr>
        <w:t xml:space="preserve">עשו </w:t>
      </w:r>
      <w:r w:rsidR="00142FEE" w:rsidRPr="00B176B0">
        <w:rPr>
          <w:rFonts w:hint="cs"/>
          <w:b/>
          <w:bCs/>
          <w:u w:val="single"/>
          <w:rtl/>
        </w:rPr>
        <w:t>שימוש לא חוקי</w:t>
      </w:r>
      <w:r w:rsidR="00142FEE" w:rsidRPr="00B176B0">
        <w:rPr>
          <w:rFonts w:hint="cs"/>
          <w:b/>
          <w:bCs/>
          <w:rtl/>
        </w:rPr>
        <w:t xml:space="preserve"> בסם</w:t>
      </w:r>
      <w:r w:rsidRPr="00BB6388">
        <w:rPr>
          <w:rStyle w:val="ab"/>
          <w:b/>
          <w:bCs/>
          <w:rtl/>
        </w:rPr>
        <w:footnoteReference w:id="56"/>
      </w:r>
      <w:r w:rsidRPr="00B176B0">
        <w:rPr>
          <w:rFonts w:hint="cs"/>
          <w:b/>
          <w:bCs/>
          <w:rtl/>
        </w:rPr>
        <w:t xml:space="preserve"> פעם אחת לפחות במהלך שנת 2012</w:t>
      </w:r>
      <w:r w:rsidRPr="00BB6388">
        <w:rPr>
          <w:rFonts w:hint="cs"/>
          <w:rtl/>
        </w:rPr>
        <w:t>.</w:t>
      </w:r>
      <w:r w:rsidRPr="00BB6388">
        <w:rPr>
          <w:rStyle w:val="ab"/>
          <w:rtl/>
        </w:rPr>
        <w:footnoteReference w:id="57"/>
      </w:r>
      <w:r w:rsidRPr="00BB6388">
        <w:rPr>
          <w:rFonts w:hint="cs"/>
          <w:rtl/>
        </w:rPr>
        <w:t xml:space="preserve"> יש לזכור כי בנוסף לאוכלוסייה העושה שימוש לא חוקי בסמים ישנה גם אוכלוסייה המשתמשת בסמים באופן חוקי, לצרכים רפואיים למשל, וזאת תחת החקיקה השונה בכל מדינה ואזור. טבלה מס' 1 מציגה את נתוני </w:t>
      </w:r>
      <w:r w:rsidRPr="00BB6388">
        <w:t>UNODC</w:t>
      </w:r>
      <w:r w:rsidRPr="00BB6388">
        <w:rPr>
          <w:rFonts w:hint="cs"/>
          <w:rtl/>
        </w:rPr>
        <w:t xml:space="preserve"> בדבר מספר המשתמשים באופן לא חוקי בסמים באוכלוסייה הבוגרת בעולם (גילאי 15 עד 64) בסוגי סמים שונים, לשנת 2012. </w:t>
      </w:r>
    </w:p>
    <w:p w:rsidR="00A84B70" w:rsidRPr="00BB6388" w:rsidRDefault="006C678C" w:rsidP="00322CAF">
      <w:pPr>
        <w:pStyle w:val="af2"/>
        <w:jc w:val="center"/>
        <w:rPr>
          <w:rtl/>
        </w:rPr>
      </w:pPr>
      <w:r w:rsidRPr="006C678C">
        <w:rPr>
          <w:sz w:val="24"/>
          <w:szCs w:val="24"/>
          <w:rtl/>
        </w:rPr>
        <w:t xml:space="preserve">טבלה </w:t>
      </w:r>
      <w:r w:rsidR="00F3448E" w:rsidRPr="006C678C">
        <w:rPr>
          <w:sz w:val="24"/>
          <w:szCs w:val="24"/>
          <w:rtl/>
        </w:rPr>
        <w:fldChar w:fldCharType="begin"/>
      </w:r>
      <w:r w:rsidRPr="006C678C">
        <w:rPr>
          <w:sz w:val="24"/>
          <w:szCs w:val="24"/>
          <w:rtl/>
        </w:rPr>
        <w:instrText xml:space="preserve"> </w:instrText>
      </w:r>
      <w:r w:rsidRPr="006C678C">
        <w:rPr>
          <w:sz w:val="24"/>
          <w:szCs w:val="24"/>
        </w:rPr>
        <w:instrText>SEQ</w:instrText>
      </w:r>
      <w:r w:rsidRPr="006C678C">
        <w:rPr>
          <w:sz w:val="24"/>
          <w:szCs w:val="24"/>
          <w:rtl/>
        </w:rPr>
        <w:instrText xml:space="preserve"> טבלה \* </w:instrText>
      </w:r>
      <w:r w:rsidRPr="006C678C">
        <w:rPr>
          <w:sz w:val="24"/>
          <w:szCs w:val="24"/>
        </w:rPr>
        <w:instrText>ARABIC</w:instrText>
      </w:r>
      <w:r w:rsidRPr="006C678C">
        <w:rPr>
          <w:sz w:val="24"/>
          <w:szCs w:val="24"/>
          <w:rtl/>
        </w:rPr>
        <w:instrText xml:space="preserve"> </w:instrText>
      </w:r>
      <w:r w:rsidR="00F3448E" w:rsidRPr="006C678C">
        <w:rPr>
          <w:sz w:val="24"/>
          <w:szCs w:val="24"/>
          <w:rtl/>
        </w:rPr>
        <w:fldChar w:fldCharType="separate"/>
      </w:r>
      <w:r w:rsidR="007347AB">
        <w:rPr>
          <w:noProof/>
          <w:sz w:val="24"/>
          <w:szCs w:val="24"/>
          <w:rtl/>
        </w:rPr>
        <w:t>1</w:t>
      </w:r>
      <w:r w:rsidR="00F3448E" w:rsidRPr="006C678C">
        <w:rPr>
          <w:sz w:val="24"/>
          <w:szCs w:val="24"/>
          <w:rtl/>
        </w:rPr>
        <w:fldChar w:fldCharType="end"/>
      </w:r>
      <w:r w:rsidRPr="006C678C">
        <w:rPr>
          <w:rFonts w:hint="cs"/>
          <w:sz w:val="24"/>
          <w:szCs w:val="24"/>
          <w:rtl/>
        </w:rPr>
        <w:t xml:space="preserve">: </w:t>
      </w:r>
      <w:r w:rsidRPr="006C678C">
        <w:rPr>
          <w:rFonts w:hint="eastAsia"/>
          <w:sz w:val="24"/>
          <w:szCs w:val="24"/>
          <w:rtl/>
        </w:rPr>
        <w:t>מספר</w:t>
      </w:r>
      <w:r w:rsidRPr="006C678C">
        <w:rPr>
          <w:sz w:val="24"/>
          <w:szCs w:val="24"/>
          <w:rtl/>
        </w:rPr>
        <w:t xml:space="preserve"> </w:t>
      </w:r>
      <w:r w:rsidRPr="006C678C">
        <w:rPr>
          <w:rFonts w:hint="eastAsia"/>
          <w:sz w:val="24"/>
          <w:szCs w:val="24"/>
          <w:rtl/>
        </w:rPr>
        <w:t>המשתמשים</w:t>
      </w:r>
      <w:r w:rsidRPr="006C678C">
        <w:rPr>
          <w:sz w:val="24"/>
          <w:szCs w:val="24"/>
          <w:rtl/>
        </w:rPr>
        <w:t xml:space="preserve"> </w:t>
      </w:r>
      <w:r w:rsidRPr="006C678C">
        <w:rPr>
          <w:rFonts w:hint="eastAsia"/>
          <w:sz w:val="24"/>
          <w:szCs w:val="24"/>
          <w:rtl/>
        </w:rPr>
        <w:t>בסמים</w:t>
      </w:r>
      <w:r w:rsidRPr="006C678C">
        <w:rPr>
          <w:sz w:val="24"/>
          <w:szCs w:val="24"/>
          <w:rtl/>
        </w:rPr>
        <w:t xml:space="preserve"> </w:t>
      </w:r>
      <w:r w:rsidRPr="006C678C">
        <w:rPr>
          <w:rFonts w:hint="eastAsia"/>
          <w:sz w:val="24"/>
          <w:szCs w:val="24"/>
          <w:rtl/>
        </w:rPr>
        <w:t>באופן</w:t>
      </w:r>
      <w:r w:rsidRPr="006C678C">
        <w:rPr>
          <w:sz w:val="24"/>
          <w:szCs w:val="24"/>
          <w:rtl/>
        </w:rPr>
        <w:t xml:space="preserve"> </w:t>
      </w:r>
      <w:r w:rsidRPr="006C678C">
        <w:rPr>
          <w:rFonts w:hint="eastAsia"/>
          <w:sz w:val="24"/>
          <w:szCs w:val="24"/>
          <w:rtl/>
        </w:rPr>
        <w:t>לא</w:t>
      </w:r>
      <w:r w:rsidRPr="006C678C">
        <w:rPr>
          <w:sz w:val="24"/>
          <w:szCs w:val="24"/>
          <w:rtl/>
        </w:rPr>
        <w:t xml:space="preserve"> </w:t>
      </w:r>
      <w:r w:rsidRPr="006C678C">
        <w:rPr>
          <w:rFonts w:hint="eastAsia"/>
          <w:sz w:val="24"/>
          <w:szCs w:val="24"/>
          <w:rtl/>
        </w:rPr>
        <w:t>חוקי</w:t>
      </w:r>
      <w:r w:rsidRPr="006C678C">
        <w:rPr>
          <w:sz w:val="24"/>
          <w:szCs w:val="24"/>
          <w:rtl/>
        </w:rPr>
        <w:t xml:space="preserve"> </w:t>
      </w:r>
      <w:r w:rsidRPr="006C678C">
        <w:rPr>
          <w:rFonts w:hint="eastAsia"/>
          <w:sz w:val="24"/>
          <w:szCs w:val="24"/>
          <w:rtl/>
        </w:rPr>
        <w:t>באוכלוסייה</w:t>
      </w:r>
      <w:r w:rsidRPr="006C678C">
        <w:rPr>
          <w:sz w:val="24"/>
          <w:szCs w:val="24"/>
          <w:rtl/>
        </w:rPr>
        <w:t xml:space="preserve"> </w:t>
      </w:r>
      <w:r w:rsidRPr="006C678C">
        <w:rPr>
          <w:rFonts w:hint="eastAsia"/>
          <w:sz w:val="24"/>
          <w:szCs w:val="24"/>
          <w:rtl/>
        </w:rPr>
        <w:t>הבוגרת</w:t>
      </w:r>
      <w:r w:rsidRPr="006C678C">
        <w:rPr>
          <w:sz w:val="24"/>
          <w:szCs w:val="24"/>
          <w:rtl/>
        </w:rPr>
        <w:t xml:space="preserve"> </w:t>
      </w:r>
      <w:r w:rsidRPr="006C678C">
        <w:rPr>
          <w:rFonts w:hint="eastAsia"/>
          <w:sz w:val="24"/>
          <w:szCs w:val="24"/>
          <w:rtl/>
        </w:rPr>
        <w:t>בעולם</w:t>
      </w:r>
      <w:r w:rsidRPr="006C678C">
        <w:rPr>
          <w:sz w:val="24"/>
          <w:szCs w:val="24"/>
          <w:rtl/>
        </w:rPr>
        <w:t xml:space="preserve"> (</w:t>
      </w:r>
      <w:r w:rsidRPr="006C678C">
        <w:rPr>
          <w:rFonts w:hint="eastAsia"/>
          <w:sz w:val="24"/>
          <w:szCs w:val="24"/>
          <w:rtl/>
        </w:rPr>
        <w:t>גילאי</w:t>
      </w:r>
      <w:r w:rsidRPr="006C678C">
        <w:rPr>
          <w:sz w:val="24"/>
          <w:szCs w:val="24"/>
          <w:rtl/>
        </w:rPr>
        <w:t xml:space="preserve"> 64-15) </w:t>
      </w:r>
      <w:r w:rsidRPr="006C678C">
        <w:rPr>
          <w:rFonts w:hint="eastAsia"/>
          <w:sz w:val="24"/>
          <w:szCs w:val="24"/>
          <w:rtl/>
        </w:rPr>
        <w:t>בסוגי</w:t>
      </w:r>
      <w:r w:rsidRPr="006C678C">
        <w:rPr>
          <w:sz w:val="24"/>
          <w:szCs w:val="24"/>
          <w:rtl/>
        </w:rPr>
        <w:t xml:space="preserve"> </w:t>
      </w:r>
      <w:r w:rsidRPr="006C678C">
        <w:rPr>
          <w:rFonts w:hint="eastAsia"/>
          <w:sz w:val="24"/>
          <w:szCs w:val="24"/>
          <w:rtl/>
        </w:rPr>
        <w:t>סמים</w:t>
      </w:r>
      <w:r w:rsidRPr="006C678C">
        <w:rPr>
          <w:sz w:val="24"/>
          <w:szCs w:val="24"/>
          <w:rtl/>
        </w:rPr>
        <w:t xml:space="preserve"> </w:t>
      </w:r>
      <w:r w:rsidRPr="006C678C">
        <w:rPr>
          <w:rFonts w:hint="eastAsia"/>
          <w:sz w:val="24"/>
          <w:szCs w:val="24"/>
          <w:rtl/>
        </w:rPr>
        <w:t>שונים</w:t>
      </w:r>
      <w:r w:rsidRPr="006C678C">
        <w:rPr>
          <w:sz w:val="24"/>
          <w:szCs w:val="24"/>
          <w:rtl/>
        </w:rPr>
        <w:t xml:space="preserve">, </w:t>
      </w:r>
      <w:r w:rsidRPr="006C678C">
        <w:rPr>
          <w:rFonts w:hint="eastAsia"/>
          <w:sz w:val="24"/>
          <w:szCs w:val="24"/>
          <w:rtl/>
        </w:rPr>
        <w:t>בשנת</w:t>
      </w:r>
      <w:r w:rsidRPr="006C678C">
        <w:rPr>
          <w:rFonts w:hint="cs"/>
          <w:sz w:val="24"/>
          <w:szCs w:val="24"/>
          <w:rtl/>
        </w:rPr>
        <w:t xml:space="preserve"> </w:t>
      </w:r>
      <w:r w:rsidRPr="006C678C">
        <w:rPr>
          <w:sz w:val="24"/>
          <w:szCs w:val="24"/>
          <w:rtl/>
        </w:rPr>
        <w:t>2012</w:t>
      </w:r>
      <w:bookmarkStart w:id="44" w:name="_Toc418585068"/>
      <w:bookmarkStart w:id="45" w:name="_Toc419963020"/>
      <w:r w:rsidR="00A84B70" w:rsidRPr="00BB6388">
        <w:rPr>
          <w:rStyle w:val="ab"/>
          <w:b w:val="0"/>
          <w:bCs w:val="0"/>
          <w:rtl/>
        </w:rPr>
        <w:footnoteReference w:id="58"/>
      </w:r>
      <w:bookmarkEnd w:id="44"/>
      <w:bookmarkEnd w:id="45"/>
    </w:p>
    <w:tbl>
      <w:tblPr>
        <w:tblStyle w:val="afff5"/>
        <w:bidiVisual/>
        <w:tblW w:w="0" w:type="auto"/>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2596"/>
        <w:gridCol w:w="2356"/>
        <w:gridCol w:w="3406"/>
      </w:tblGrid>
      <w:tr w:rsidR="00A84B70" w:rsidRPr="001D3A72" w:rsidTr="002F70E5">
        <w:trPr>
          <w:tblCellSpacing w:w="20" w:type="dxa"/>
          <w:jc w:val="center"/>
        </w:trPr>
        <w:tc>
          <w:tcPr>
            <w:tcW w:w="2536" w:type="dxa"/>
            <w:shd w:val="clear" w:color="auto" w:fill="auto"/>
          </w:tcPr>
          <w:p w:rsidR="00A84B70" w:rsidRPr="001D3A72" w:rsidRDefault="00A84B70" w:rsidP="001D3A72">
            <w:pPr>
              <w:pStyle w:val="a2"/>
              <w:spacing w:before="60" w:after="0" w:line="240" w:lineRule="auto"/>
              <w:rPr>
                <w:sz w:val="22"/>
                <w:szCs w:val="22"/>
                <w:rtl/>
              </w:rPr>
            </w:pPr>
            <w:r w:rsidRPr="001D3A72">
              <w:rPr>
                <w:rFonts w:hint="cs"/>
                <w:sz w:val="22"/>
                <w:szCs w:val="22"/>
                <w:rtl/>
              </w:rPr>
              <w:t>סוג הסם</w:t>
            </w:r>
          </w:p>
        </w:tc>
        <w:tc>
          <w:tcPr>
            <w:tcW w:w="2316" w:type="dxa"/>
            <w:shd w:val="clear" w:color="auto" w:fill="auto"/>
            <w:vAlign w:val="center"/>
          </w:tcPr>
          <w:p w:rsidR="00A84B70" w:rsidRPr="001D3A72" w:rsidRDefault="00A84B70" w:rsidP="00EE094E">
            <w:pPr>
              <w:pStyle w:val="a2"/>
              <w:spacing w:before="60" w:after="0" w:line="240" w:lineRule="auto"/>
              <w:jc w:val="center"/>
              <w:rPr>
                <w:sz w:val="22"/>
                <w:szCs w:val="22"/>
                <w:rtl/>
              </w:rPr>
            </w:pPr>
            <w:r w:rsidRPr="001D3A72">
              <w:rPr>
                <w:rFonts w:hint="cs"/>
                <w:sz w:val="22"/>
                <w:szCs w:val="22"/>
                <w:rtl/>
              </w:rPr>
              <w:t>שכיחות השימוש בעולם</w:t>
            </w:r>
          </w:p>
        </w:tc>
        <w:tc>
          <w:tcPr>
            <w:tcW w:w="3346" w:type="dxa"/>
            <w:shd w:val="clear" w:color="auto" w:fill="auto"/>
            <w:vAlign w:val="center"/>
          </w:tcPr>
          <w:p w:rsidR="00A84B70" w:rsidRPr="001D3A72" w:rsidRDefault="00A84B70" w:rsidP="00EE094E">
            <w:pPr>
              <w:pStyle w:val="a2"/>
              <w:spacing w:before="60" w:after="0" w:line="240" w:lineRule="auto"/>
              <w:jc w:val="center"/>
              <w:rPr>
                <w:sz w:val="22"/>
                <w:szCs w:val="22"/>
                <w:rtl/>
              </w:rPr>
            </w:pPr>
            <w:r w:rsidRPr="001D3A72">
              <w:rPr>
                <w:rFonts w:hint="cs"/>
                <w:sz w:val="22"/>
                <w:szCs w:val="22"/>
                <w:rtl/>
              </w:rPr>
              <w:t>אומדן מס' המשתמשים באוכלוסייה</w:t>
            </w:r>
          </w:p>
        </w:tc>
      </w:tr>
      <w:tr w:rsidR="00A84B70" w:rsidRPr="001D3A72" w:rsidTr="002F70E5">
        <w:trPr>
          <w:tblCellSpacing w:w="20" w:type="dxa"/>
          <w:jc w:val="center"/>
        </w:trPr>
        <w:tc>
          <w:tcPr>
            <w:tcW w:w="2536" w:type="dxa"/>
            <w:shd w:val="clear" w:color="auto" w:fill="auto"/>
          </w:tcPr>
          <w:p w:rsidR="00A84B70" w:rsidRPr="001D3A72" w:rsidRDefault="00A84B70" w:rsidP="001D3A72">
            <w:pPr>
              <w:pStyle w:val="a2"/>
              <w:spacing w:before="60" w:after="0" w:line="240" w:lineRule="auto"/>
              <w:rPr>
                <w:sz w:val="22"/>
                <w:szCs w:val="22"/>
                <w:rtl/>
              </w:rPr>
            </w:pPr>
            <w:r w:rsidRPr="001D3A72">
              <w:rPr>
                <w:rFonts w:hint="cs"/>
                <w:sz w:val="22"/>
                <w:szCs w:val="22"/>
                <w:rtl/>
              </w:rPr>
              <w:t>קנביס</w:t>
            </w:r>
          </w:p>
        </w:tc>
        <w:tc>
          <w:tcPr>
            <w:tcW w:w="2316" w:type="dxa"/>
            <w:shd w:val="clear" w:color="auto" w:fill="auto"/>
            <w:vAlign w:val="center"/>
          </w:tcPr>
          <w:p w:rsidR="00A84B70" w:rsidRPr="001D3A72" w:rsidRDefault="00A84B70" w:rsidP="00EE094E">
            <w:pPr>
              <w:pStyle w:val="a2"/>
              <w:spacing w:before="60" w:after="0" w:line="240" w:lineRule="auto"/>
              <w:jc w:val="center"/>
              <w:rPr>
                <w:sz w:val="22"/>
                <w:szCs w:val="22"/>
                <w:rtl/>
              </w:rPr>
            </w:pPr>
            <w:r w:rsidRPr="001D3A72">
              <w:rPr>
                <w:rFonts w:hint="cs"/>
                <w:sz w:val="22"/>
                <w:szCs w:val="22"/>
                <w:rtl/>
              </w:rPr>
              <w:t>4.9%-2.4%</w:t>
            </w:r>
          </w:p>
        </w:tc>
        <w:tc>
          <w:tcPr>
            <w:tcW w:w="3346" w:type="dxa"/>
            <w:shd w:val="clear" w:color="auto" w:fill="auto"/>
            <w:vAlign w:val="center"/>
          </w:tcPr>
          <w:p w:rsidR="00A84B70" w:rsidRPr="001D3A72" w:rsidRDefault="00A84B70" w:rsidP="00EE094E">
            <w:pPr>
              <w:pStyle w:val="a2"/>
              <w:spacing w:before="60" w:after="0" w:line="240" w:lineRule="auto"/>
              <w:jc w:val="center"/>
              <w:rPr>
                <w:sz w:val="22"/>
                <w:szCs w:val="22"/>
                <w:rtl/>
              </w:rPr>
            </w:pPr>
            <w:r w:rsidRPr="001D3A72">
              <w:rPr>
                <w:rFonts w:hint="cs"/>
                <w:sz w:val="22"/>
                <w:szCs w:val="22"/>
                <w:rtl/>
              </w:rPr>
              <w:t>227.3-125.3 מיליון</w:t>
            </w:r>
          </w:p>
        </w:tc>
      </w:tr>
      <w:tr w:rsidR="00A84B70" w:rsidRPr="001D3A72" w:rsidTr="002F70E5">
        <w:trPr>
          <w:tblCellSpacing w:w="20" w:type="dxa"/>
          <w:jc w:val="center"/>
        </w:trPr>
        <w:tc>
          <w:tcPr>
            <w:tcW w:w="2536" w:type="dxa"/>
            <w:shd w:val="clear" w:color="auto" w:fill="auto"/>
          </w:tcPr>
          <w:p w:rsidR="00A84B70" w:rsidRPr="001D3A72" w:rsidRDefault="00A84B70" w:rsidP="001D3A72">
            <w:pPr>
              <w:pStyle w:val="a2"/>
              <w:spacing w:before="60" w:after="0" w:line="240" w:lineRule="auto"/>
              <w:rPr>
                <w:sz w:val="22"/>
                <w:szCs w:val="22"/>
                <w:rtl/>
              </w:rPr>
            </w:pPr>
            <w:r w:rsidRPr="001D3A72">
              <w:rPr>
                <w:rFonts w:hint="cs"/>
                <w:sz w:val="22"/>
                <w:szCs w:val="22"/>
                <w:rtl/>
              </w:rPr>
              <w:t xml:space="preserve">סמים סינתטיים ממריצים </w:t>
            </w:r>
          </w:p>
          <w:p w:rsidR="00A84B70" w:rsidRPr="001D3A72" w:rsidRDefault="00A84B70" w:rsidP="001D3A72">
            <w:pPr>
              <w:pStyle w:val="a2"/>
              <w:spacing w:before="60" w:after="0" w:line="240" w:lineRule="auto"/>
              <w:rPr>
                <w:sz w:val="22"/>
                <w:szCs w:val="22"/>
                <w:rtl/>
              </w:rPr>
            </w:pPr>
            <w:r w:rsidRPr="001D3A72">
              <w:rPr>
                <w:rFonts w:hint="cs"/>
                <w:sz w:val="22"/>
                <w:szCs w:val="22"/>
                <w:rtl/>
              </w:rPr>
              <w:t>(לא כולל אקסטזי)</w:t>
            </w:r>
          </w:p>
        </w:tc>
        <w:tc>
          <w:tcPr>
            <w:tcW w:w="2316" w:type="dxa"/>
            <w:shd w:val="clear" w:color="auto" w:fill="auto"/>
            <w:vAlign w:val="center"/>
          </w:tcPr>
          <w:p w:rsidR="00A84B70" w:rsidRPr="001D3A72" w:rsidRDefault="00A84B70" w:rsidP="00EE094E">
            <w:pPr>
              <w:pStyle w:val="a2"/>
              <w:spacing w:before="60" w:after="0" w:line="240" w:lineRule="auto"/>
              <w:jc w:val="center"/>
              <w:rPr>
                <w:sz w:val="22"/>
                <w:szCs w:val="22"/>
                <w:rtl/>
              </w:rPr>
            </w:pPr>
            <w:r w:rsidRPr="001D3A72">
              <w:rPr>
                <w:rFonts w:hint="cs"/>
                <w:sz w:val="22"/>
                <w:szCs w:val="22"/>
                <w:rtl/>
              </w:rPr>
              <w:t>1.2%-0.3%</w:t>
            </w:r>
          </w:p>
        </w:tc>
        <w:tc>
          <w:tcPr>
            <w:tcW w:w="3346" w:type="dxa"/>
            <w:shd w:val="clear" w:color="auto" w:fill="auto"/>
            <w:vAlign w:val="center"/>
          </w:tcPr>
          <w:p w:rsidR="00A84B70" w:rsidRPr="001D3A72" w:rsidDel="008712DC" w:rsidRDefault="00A84B70" w:rsidP="00EE094E">
            <w:pPr>
              <w:pStyle w:val="a2"/>
              <w:spacing w:before="60" w:after="0" w:line="240" w:lineRule="auto"/>
              <w:jc w:val="center"/>
              <w:rPr>
                <w:sz w:val="22"/>
                <w:szCs w:val="22"/>
                <w:rtl/>
              </w:rPr>
            </w:pPr>
            <w:r w:rsidRPr="001D3A72">
              <w:rPr>
                <w:rFonts w:hint="cs"/>
                <w:sz w:val="22"/>
                <w:szCs w:val="22"/>
                <w:rtl/>
              </w:rPr>
              <w:t>55-14 מיליון</w:t>
            </w:r>
          </w:p>
        </w:tc>
      </w:tr>
      <w:tr w:rsidR="00A84B70" w:rsidRPr="001D3A72" w:rsidTr="002F70E5">
        <w:trPr>
          <w:tblCellSpacing w:w="20" w:type="dxa"/>
          <w:jc w:val="center"/>
        </w:trPr>
        <w:tc>
          <w:tcPr>
            <w:tcW w:w="2536" w:type="dxa"/>
            <w:shd w:val="clear" w:color="auto" w:fill="auto"/>
          </w:tcPr>
          <w:p w:rsidR="00A84B70" w:rsidRPr="001D3A72" w:rsidRDefault="00A84B70" w:rsidP="001D3A72">
            <w:pPr>
              <w:pStyle w:val="a2"/>
              <w:spacing w:before="60" w:after="0" w:line="240" w:lineRule="auto"/>
              <w:rPr>
                <w:sz w:val="22"/>
                <w:szCs w:val="22"/>
                <w:rtl/>
              </w:rPr>
            </w:pPr>
            <w:r w:rsidRPr="001D3A72">
              <w:rPr>
                <w:rFonts w:hint="cs"/>
                <w:sz w:val="22"/>
                <w:szCs w:val="22"/>
                <w:rtl/>
              </w:rPr>
              <w:t>אקסטזי</w:t>
            </w:r>
          </w:p>
        </w:tc>
        <w:tc>
          <w:tcPr>
            <w:tcW w:w="2316" w:type="dxa"/>
            <w:shd w:val="clear" w:color="auto" w:fill="auto"/>
            <w:vAlign w:val="center"/>
          </w:tcPr>
          <w:p w:rsidR="00A84B70" w:rsidRPr="001D3A72" w:rsidRDefault="00A84B70" w:rsidP="00EE094E">
            <w:pPr>
              <w:pStyle w:val="a2"/>
              <w:spacing w:before="60" w:after="0" w:line="240" w:lineRule="auto"/>
              <w:jc w:val="center"/>
              <w:rPr>
                <w:sz w:val="22"/>
                <w:szCs w:val="22"/>
                <w:rtl/>
              </w:rPr>
            </w:pPr>
            <w:r w:rsidRPr="001D3A72">
              <w:rPr>
                <w:rFonts w:hint="cs"/>
                <w:sz w:val="22"/>
                <w:szCs w:val="22"/>
                <w:rtl/>
              </w:rPr>
              <w:t>0.6%-0.2%</w:t>
            </w:r>
          </w:p>
        </w:tc>
        <w:tc>
          <w:tcPr>
            <w:tcW w:w="3346" w:type="dxa"/>
            <w:shd w:val="clear" w:color="auto" w:fill="auto"/>
            <w:vAlign w:val="center"/>
          </w:tcPr>
          <w:p w:rsidR="00A84B70" w:rsidRPr="001D3A72" w:rsidDel="008712DC" w:rsidRDefault="00A84B70" w:rsidP="00EE094E">
            <w:pPr>
              <w:pStyle w:val="a2"/>
              <w:spacing w:before="60" w:after="0" w:line="240" w:lineRule="auto"/>
              <w:jc w:val="center"/>
              <w:rPr>
                <w:sz w:val="22"/>
                <w:szCs w:val="22"/>
                <w:rtl/>
              </w:rPr>
            </w:pPr>
            <w:r w:rsidRPr="001D3A72">
              <w:rPr>
                <w:rFonts w:hint="cs"/>
                <w:sz w:val="22"/>
                <w:szCs w:val="22"/>
                <w:rtl/>
              </w:rPr>
              <w:t>28-9 מיליון</w:t>
            </w:r>
          </w:p>
        </w:tc>
      </w:tr>
      <w:tr w:rsidR="00A84B70" w:rsidRPr="001D3A72" w:rsidTr="002F70E5">
        <w:trPr>
          <w:tblCellSpacing w:w="20" w:type="dxa"/>
          <w:jc w:val="center"/>
        </w:trPr>
        <w:tc>
          <w:tcPr>
            <w:tcW w:w="2536" w:type="dxa"/>
            <w:shd w:val="clear" w:color="auto" w:fill="auto"/>
          </w:tcPr>
          <w:p w:rsidR="00A84B70" w:rsidRPr="001D3A72" w:rsidRDefault="00A84B70" w:rsidP="001D3A72">
            <w:pPr>
              <w:pStyle w:val="a2"/>
              <w:spacing w:before="60" w:after="0" w:line="240" w:lineRule="auto"/>
              <w:rPr>
                <w:sz w:val="22"/>
                <w:szCs w:val="22"/>
                <w:rtl/>
              </w:rPr>
            </w:pPr>
            <w:r w:rsidRPr="001D3A72">
              <w:rPr>
                <w:rFonts w:hint="cs"/>
                <w:sz w:val="22"/>
                <w:szCs w:val="22"/>
                <w:rtl/>
              </w:rPr>
              <w:t>סמים טבעיים משככים</w:t>
            </w:r>
          </w:p>
          <w:p w:rsidR="00A84B70" w:rsidRPr="001D3A72" w:rsidRDefault="00A84B70" w:rsidP="001D3A72">
            <w:pPr>
              <w:pStyle w:val="a2"/>
              <w:spacing w:before="60" w:after="0" w:line="240" w:lineRule="auto"/>
              <w:rPr>
                <w:sz w:val="22"/>
                <w:szCs w:val="22"/>
                <w:rtl/>
              </w:rPr>
            </w:pPr>
            <w:r w:rsidRPr="001D3A72">
              <w:rPr>
                <w:rFonts w:hint="cs"/>
                <w:sz w:val="22"/>
                <w:szCs w:val="22"/>
                <w:rtl/>
              </w:rPr>
              <w:t>(אופיאדים)</w:t>
            </w:r>
          </w:p>
        </w:tc>
        <w:tc>
          <w:tcPr>
            <w:tcW w:w="2316" w:type="dxa"/>
            <w:shd w:val="clear" w:color="auto" w:fill="auto"/>
            <w:vAlign w:val="center"/>
          </w:tcPr>
          <w:p w:rsidR="00A84B70" w:rsidRPr="001D3A72" w:rsidRDefault="00A84B70" w:rsidP="00EE094E">
            <w:pPr>
              <w:pStyle w:val="a2"/>
              <w:spacing w:before="60" w:after="0" w:line="240" w:lineRule="auto"/>
              <w:jc w:val="center"/>
              <w:rPr>
                <w:sz w:val="22"/>
                <w:szCs w:val="22"/>
                <w:rtl/>
              </w:rPr>
            </w:pPr>
            <w:r w:rsidRPr="001D3A72">
              <w:rPr>
                <w:rFonts w:hint="cs"/>
                <w:sz w:val="22"/>
                <w:szCs w:val="22"/>
                <w:rtl/>
              </w:rPr>
              <w:t>0.8%-0.6%</w:t>
            </w:r>
          </w:p>
        </w:tc>
        <w:tc>
          <w:tcPr>
            <w:tcW w:w="3346" w:type="dxa"/>
            <w:shd w:val="clear" w:color="auto" w:fill="auto"/>
            <w:vAlign w:val="center"/>
          </w:tcPr>
          <w:p w:rsidR="00A84B70" w:rsidRPr="001D3A72" w:rsidRDefault="00A84B70" w:rsidP="00EE094E">
            <w:pPr>
              <w:pStyle w:val="a2"/>
              <w:spacing w:before="60" w:after="0" w:line="240" w:lineRule="auto"/>
              <w:jc w:val="center"/>
              <w:rPr>
                <w:sz w:val="22"/>
                <w:szCs w:val="22"/>
                <w:rtl/>
              </w:rPr>
            </w:pPr>
            <w:r w:rsidRPr="001D3A72">
              <w:rPr>
                <w:rFonts w:hint="cs"/>
                <w:sz w:val="22"/>
                <w:szCs w:val="22"/>
                <w:rtl/>
              </w:rPr>
              <w:t>38.2-28.6 מיליון</w:t>
            </w:r>
          </w:p>
        </w:tc>
      </w:tr>
      <w:tr w:rsidR="00A84B70" w:rsidRPr="001D3A72" w:rsidTr="002F70E5">
        <w:trPr>
          <w:tblCellSpacing w:w="20" w:type="dxa"/>
          <w:jc w:val="center"/>
        </w:trPr>
        <w:tc>
          <w:tcPr>
            <w:tcW w:w="2536" w:type="dxa"/>
            <w:shd w:val="clear" w:color="auto" w:fill="auto"/>
          </w:tcPr>
          <w:p w:rsidR="00A84B70" w:rsidRPr="001D3A72" w:rsidRDefault="00A84B70" w:rsidP="001D3A72">
            <w:pPr>
              <w:pStyle w:val="a2"/>
              <w:spacing w:before="60" w:after="0" w:line="240" w:lineRule="auto"/>
              <w:rPr>
                <w:sz w:val="22"/>
                <w:szCs w:val="22"/>
                <w:rtl/>
              </w:rPr>
            </w:pPr>
            <w:r w:rsidRPr="001D3A72">
              <w:rPr>
                <w:rFonts w:hint="cs"/>
                <w:sz w:val="22"/>
                <w:szCs w:val="22"/>
                <w:rtl/>
              </w:rPr>
              <w:t>סמים סינתטיים משככים</w:t>
            </w:r>
          </w:p>
          <w:p w:rsidR="00A84B70" w:rsidRPr="001D3A72" w:rsidRDefault="00A84B70" w:rsidP="00A03744">
            <w:pPr>
              <w:pStyle w:val="a2"/>
              <w:spacing w:before="60" w:after="0" w:line="240" w:lineRule="auto"/>
              <w:rPr>
                <w:sz w:val="22"/>
                <w:szCs w:val="22"/>
                <w:rtl/>
              </w:rPr>
            </w:pPr>
            <w:r w:rsidRPr="001D3A72">
              <w:rPr>
                <w:rFonts w:hint="cs"/>
                <w:sz w:val="22"/>
                <w:szCs w:val="22"/>
                <w:rtl/>
              </w:rPr>
              <w:t>(אופיאטים)</w:t>
            </w:r>
          </w:p>
        </w:tc>
        <w:tc>
          <w:tcPr>
            <w:tcW w:w="2316" w:type="dxa"/>
            <w:shd w:val="clear" w:color="auto" w:fill="auto"/>
            <w:vAlign w:val="center"/>
          </w:tcPr>
          <w:p w:rsidR="00A84B70" w:rsidRPr="001D3A72" w:rsidRDefault="00A84B70" w:rsidP="00EE094E">
            <w:pPr>
              <w:pStyle w:val="a2"/>
              <w:spacing w:before="60" w:after="0" w:line="240" w:lineRule="auto"/>
              <w:jc w:val="center"/>
              <w:rPr>
                <w:sz w:val="22"/>
                <w:szCs w:val="22"/>
                <w:rtl/>
              </w:rPr>
            </w:pPr>
            <w:r w:rsidRPr="001D3A72">
              <w:rPr>
                <w:rFonts w:hint="cs"/>
                <w:sz w:val="22"/>
                <w:szCs w:val="22"/>
                <w:rtl/>
              </w:rPr>
              <w:t>0.4%-0.3%</w:t>
            </w:r>
          </w:p>
        </w:tc>
        <w:tc>
          <w:tcPr>
            <w:tcW w:w="3346" w:type="dxa"/>
            <w:shd w:val="clear" w:color="auto" w:fill="auto"/>
            <w:vAlign w:val="center"/>
          </w:tcPr>
          <w:p w:rsidR="00A84B70" w:rsidRPr="001D3A72" w:rsidRDefault="00A84B70" w:rsidP="00EE094E">
            <w:pPr>
              <w:pStyle w:val="a2"/>
              <w:spacing w:before="60" w:after="0" w:line="240" w:lineRule="auto"/>
              <w:jc w:val="center"/>
              <w:rPr>
                <w:sz w:val="22"/>
                <w:szCs w:val="22"/>
                <w:rtl/>
              </w:rPr>
            </w:pPr>
            <w:r w:rsidRPr="001D3A72">
              <w:rPr>
                <w:rFonts w:hint="cs"/>
                <w:sz w:val="22"/>
                <w:szCs w:val="22"/>
                <w:rtl/>
              </w:rPr>
              <w:t>20-13 מיליון</w:t>
            </w:r>
          </w:p>
        </w:tc>
      </w:tr>
      <w:tr w:rsidR="00A84B70" w:rsidRPr="001D3A72" w:rsidTr="002F70E5">
        <w:trPr>
          <w:tblCellSpacing w:w="20" w:type="dxa"/>
          <w:jc w:val="center"/>
        </w:trPr>
        <w:tc>
          <w:tcPr>
            <w:tcW w:w="2536" w:type="dxa"/>
            <w:shd w:val="clear" w:color="auto" w:fill="auto"/>
          </w:tcPr>
          <w:p w:rsidR="00A84B70" w:rsidRPr="001D3A72" w:rsidRDefault="00A84B70" w:rsidP="001D3A72">
            <w:pPr>
              <w:pStyle w:val="a2"/>
              <w:spacing w:before="60" w:after="0" w:line="240" w:lineRule="auto"/>
              <w:rPr>
                <w:sz w:val="22"/>
                <w:szCs w:val="22"/>
                <w:rtl/>
              </w:rPr>
            </w:pPr>
            <w:r w:rsidRPr="001D3A72">
              <w:rPr>
                <w:rFonts w:hint="cs"/>
                <w:sz w:val="22"/>
                <w:szCs w:val="22"/>
                <w:rtl/>
              </w:rPr>
              <w:t>קוקאין</w:t>
            </w:r>
          </w:p>
        </w:tc>
        <w:tc>
          <w:tcPr>
            <w:tcW w:w="2316" w:type="dxa"/>
            <w:shd w:val="clear" w:color="auto" w:fill="auto"/>
            <w:vAlign w:val="center"/>
          </w:tcPr>
          <w:p w:rsidR="00A84B70" w:rsidRPr="001D3A72" w:rsidRDefault="00A84B70" w:rsidP="00EE094E">
            <w:pPr>
              <w:pStyle w:val="a2"/>
              <w:spacing w:before="60" w:after="0" w:line="240" w:lineRule="auto"/>
              <w:jc w:val="center"/>
              <w:rPr>
                <w:sz w:val="22"/>
                <w:szCs w:val="22"/>
                <w:rtl/>
              </w:rPr>
            </w:pPr>
            <w:r w:rsidRPr="001D3A72">
              <w:rPr>
                <w:rFonts w:hint="cs"/>
                <w:sz w:val="22"/>
                <w:szCs w:val="22"/>
                <w:rtl/>
              </w:rPr>
              <w:t>0.5%-0.3%</w:t>
            </w:r>
          </w:p>
        </w:tc>
        <w:tc>
          <w:tcPr>
            <w:tcW w:w="3346" w:type="dxa"/>
            <w:shd w:val="clear" w:color="auto" w:fill="auto"/>
            <w:vAlign w:val="center"/>
          </w:tcPr>
          <w:p w:rsidR="00A84B70" w:rsidRPr="001D3A72" w:rsidRDefault="00A84B70" w:rsidP="00EE094E">
            <w:pPr>
              <w:pStyle w:val="a2"/>
              <w:spacing w:before="60" w:after="0" w:line="240" w:lineRule="auto"/>
              <w:jc w:val="center"/>
              <w:rPr>
                <w:sz w:val="22"/>
                <w:szCs w:val="22"/>
                <w:rtl/>
              </w:rPr>
            </w:pPr>
            <w:r w:rsidRPr="001D3A72">
              <w:rPr>
                <w:rFonts w:hint="cs"/>
                <w:sz w:val="22"/>
                <w:szCs w:val="22"/>
                <w:rtl/>
              </w:rPr>
              <w:t>21-14 מיליון</w:t>
            </w:r>
          </w:p>
        </w:tc>
      </w:tr>
    </w:tbl>
    <w:p w:rsidR="00A84B70" w:rsidRPr="00BB6388" w:rsidRDefault="00A84B70" w:rsidP="00BB6388">
      <w:pPr>
        <w:pStyle w:val="a2"/>
        <w:spacing w:line="360" w:lineRule="auto"/>
        <w:rPr>
          <w:rtl/>
        </w:rPr>
      </w:pPr>
      <w:r w:rsidRPr="009F3F75">
        <w:rPr>
          <w:rFonts w:hint="cs"/>
          <w:b/>
          <w:bCs/>
          <w:rtl/>
        </w:rPr>
        <w:t xml:space="preserve">טווחי ההערכות המספריות של </w:t>
      </w:r>
      <w:r w:rsidRPr="009F3F75">
        <w:rPr>
          <w:b/>
          <w:bCs/>
        </w:rPr>
        <w:t>UNODC</w:t>
      </w:r>
      <w:r w:rsidRPr="009F3F75">
        <w:rPr>
          <w:rFonts w:hint="cs"/>
          <w:b/>
          <w:bCs/>
          <w:rtl/>
        </w:rPr>
        <w:t>, כפי שניתן לראות בטבלה לעיל, גדולים מאוד</w:t>
      </w:r>
      <w:r w:rsidRPr="00BB6388">
        <w:rPr>
          <w:rFonts w:hint="cs"/>
          <w:rtl/>
        </w:rPr>
        <w:t xml:space="preserve">. הדבר נובע מהעברת נתונים חלקיים בלבד על-ידי המדינות החברות, מהעובדה כי הנושא רווי בדעות קדומות וכאמור גם במגבלות טכניות המקשות  על איסוף הנתונים, וכי מדובר באוכלוסיה שהיא 'סמויה' </w:t>
      </w:r>
      <w:r w:rsidRPr="00BB6388">
        <w:rPr>
          <w:rtl/>
        </w:rPr>
        <w:t>–</w:t>
      </w:r>
      <w:r w:rsidRPr="00BB6388">
        <w:rPr>
          <w:rFonts w:hint="cs"/>
          <w:rtl/>
        </w:rPr>
        <w:t xml:space="preserve"> עיקר פעולתה אינו גלוי וציבורי. דברים אלו משפיעים על אמינות, איכות ויכולת ההשוואה של הנתונים, ונתוני המדינות השונות עוברים סטנדרטיזציה לצורך הצגתם במסגרת דו"חות המשרד.</w:t>
      </w:r>
      <w:r w:rsidRPr="00BB6388">
        <w:rPr>
          <w:rStyle w:val="ab"/>
          <w:rtl/>
        </w:rPr>
        <w:footnoteReference w:id="59"/>
      </w:r>
    </w:p>
    <w:p w:rsidR="00A84B70" w:rsidRPr="00BB6388" w:rsidRDefault="00A84B70" w:rsidP="00785A23">
      <w:pPr>
        <w:pStyle w:val="a2"/>
        <w:spacing w:line="360" w:lineRule="auto"/>
        <w:rPr>
          <w:rtl/>
        </w:rPr>
      </w:pPr>
      <w:r w:rsidRPr="00BB6388">
        <w:rPr>
          <w:rFonts w:hint="cs"/>
          <w:rtl/>
        </w:rPr>
        <w:t xml:space="preserve">נתוני </w:t>
      </w:r>
      <w:r w:rsidRPr="00BB6388">
        <w:t>UNODC</w:t>
      </w:r>
      <w:r w:rsidRPr="00BB6388">
        <w:rPr>
          <w:rFonts w:hint="cs"/>
          <w:rtl/>
        </w:rPr>
        <w:t xml:space="preserve"> קובעים כי </w:t>
      </w:r>
      <w:r w:rsidRPr="00BB6388">
        <w:rPr>
          <w:rFonts w:hint="cs"/>
          <w:b/>
          <w:bCs/>
          <w:rtl/>
        </w:rPr>
        <w:t xml:space="preserve">קנביס, המשמש בין השאר לייצור מריחואנה וחשיש, הוא </w:t>
      </w:r>
      <w:r w:rsidR="00785A23" w:rsidRPr="00BB6388">
        <w:rPr>
          <w:rFonts w:hint="cs"/>
          <w:b/>
          <w:bCs/>
          <w:rtl/>
        </w:rPr>
        <w:t xml:space="preserve"> </w:t>
      </w:r>
      <w:r w:rsidRPr="00BB6388">
        <w:rPr>
          <w:rFonts w:hint="cs"/>
          <w:b/>
          <w:bCs/>
          <w:rtl/>
        </w:rPr>
        <w:t>הסם הפופולרי ביותר לצריכה לא חוקית בעולם בשנת 2012</w:t>
      </w:r>
      <w:r w:rsidRPr="00BB6388">
        <w:rPr>
          <w:rFonts w:hint="cs"/>
          <w:rtl/>
        </w:rPr>
        <w:t>, ומספר המשתמשים בו</w:t>
      </w:r>
      <w:r w:rsidRPr="00BB6388">
        <w:t xml:space="preserve"> </w:t>
      </w:r>
      <w:r w:rsidRPr="00BB6388">
        <w:rPr>
          <w:rFonts w:hint="cs"/>
          <w:rtl/>
        </w:rPr>
        <w:t xml:space="preserve">נע בין 125.3 מיליון ל-227 מיליון בני-אדם. </w:t>
      </w:r>
    </w:p>
    <w:p w:rsidR="00DE1335" w:rsidRPr="00BB6388" w:rsidRDefault="00A84B70" w:rsidP="00BB6388">
      <w:pPr>
        <w:pStyle w:val="a2"/>
        <w:spacing w:line="360" w:lineRule="auto"/>
      </w:pPr>
      <w:r w:rsidRPr="00BB6388">
        <w:rPr>
          <w:rFonts w:hint="cs"/>
          <w:b/>
          <w:bCs/>
          <w:rtl/>
        </w:rPr>
        <w:t>קבוצת הסמים השנייה בשכיחות השימוש הלא-חוקית שלה באותה השנה היא קבוצת הסמים הסינתטיים הממריצים</w:t>
      </w:r>
      <w:r w:rsidRPr="00BB6388">
        <w:rPr>
          <w:rFonts w:hint="cs"/>
          <w:rtl/>
        </w:rPr>
        <w:t>, בה נכללים סמים כחגיגת, יאבה</w:t>
      </w:r>
      <w:r w:rsidR="00A506B0">
        <w:rPr>
          <w:rFonts w:hint="cs"/>
          <w:rtl/>
        </w:rPr>
        <w:t xml:space="preserve"> (</w:t>
      </w:r>
      <w:r w:rsidR="00A506B0">
        <w:t>YA-BA</w:t>
      </w:r>
      <w:r w:rsidR="00A506B0">
        <w:rPr>
          <w:rFonts w:hint="cs"/>
          <w:rtl/>
        </w:rPr>
        <w:t>)</w:t>
      </w:r>
      <w:r w:rsidRPr="00BB6388">
        <w:rPr>
          <w:rFonts w:hint="cs"/>
          <w:rtl/>
        </w:rPr>
        <w:t xml:space="preserve"> ו"סמי פיצוציות"</w:t>
      </w:r>
      <w:r w:rsidRPr="00BB6388">
        <w:rPr>
          <w:rStyle w:val="ab"/>
          <w:rtl/>
        </w:rPr>
        <w:footnoteReference w:id="60"/>
      </w:r>
      <w:r w:rsidRPr="00BB6388">
        <w:rPr>
          <w:rFonts w:hint="cs"/>
          <w:rtl/>
        </w:rPr>
        <w:t xml:space="preserve"> אחרים, ומוערך כי מספר המשתמשים בה נע בין 14 ל- 55 מיליון משתמשים בשנת 2012. אקסטזי שייך אף הוא לקטגוריה זו, ומוערך כי 9 עד 28 מיליון איש ברחבי העולם השתמשו בו לפחות פעם אחת בשנת 2012.</w:t>
      </w:r>
    </w:p>
    <w:p w:rsidR="00A84B70" w:rsidRPr="00BB6388" w:rsidRDefault="00A84B70" w:rsidP="00BB6388">
      <w:pPr>
        <w:pStyle w:val="a2"/>
        <w:spacing w:line="360" w:lineRule="auto"/>
        <w:rPr>
          <w:rtl/>
        </w:rPr>
      </w:pPr>
      <w:r w:rsidRPr="00BB6388">
        <w:rPr>
          <w:rFonts w:hint="cs"/>
          <w:b/>
          <w:bCs/>
          <w:rtl/>
        </w:rPr>
        <w:t>סמים שמקורם טבעי והשפעתם משככת, כדוגמת הרואין ומורפין, הידועים גם כ'אופיאדים',  הם הסמים שמספר המשתמשים בהם באופן לא חוקי הוא השלישי בגודלו</w:t>
      </w:r>
      <w:r w:rsidRPr="00BB6388">
        <w:rPr>
          <w:rFonts w:hint="cs"/>
          <w:rtl/>
        </w:rPr>
        <w:t xml:space="preserve">, בין 28.6 ל- 38.2 מיליון בני-אדם ברחבי העולם. </w:t>
      </w:r>
    </w:p>
    <w:p w:rsidR="00A84B70" w:rsidRPr="00BB6388" w:rsidRDefault="00A84B70" w:rsidP="00BB6388">
      <w:pPr>
        <w:pStyle w:val="a2"/>
        <w:spacing w:line="360" w:lineRule="auto"/>
        <w:rPr>
          <w:rtl/>
        </w:rPr>
      </w:pPr>
      <w:r w:rsidRPr="00BB6388">
        <w:rPr>
          <w:rFonts w:hint="cs"/>
          <w:rtl/>
        </w:rPr>
        <w:t>המרכז האירופי לניטור סמים והתמכרות לסמים (</w:t>
      </w:r>
      <w:r w:rsidRPr="00BB6388">
        <w:rPr>
          <w:sz w:val="20"/>
          <w:szCs w:val="20"/>
        </w:rPr>
        <w:t>European Monitoring Center for Drugs and Drug Addiction - EMCDDA</w:t>
      </w:r>
      <w:r w:rsidRPr="00BB6388">
        <w:rPr>
          <w:rFonts w:hint="cs"/>
          <w:rtl/>
        </w:rPr>
        <w:t>ׂ) מפרסם דין וחשבון שנתי על השימוש בסמים שונים ברחבי אירופה.</w:t>
      </w:r>
      <w:r w:rsidRPr="00BB6388">
        <w:rPr>
          <w:rStyle w:val="ab"/>
          <w:rtl/>
        </w:rPr>
        <w:footnoteReference w:id="61"/>
      </w:r>
      <w:r w:rsidRPr="00BB6388">
        <w:rPr>
          <w:rFonts w:hint="cs"/>
          <w:rtl/>
        </w:rPr>
        <w:t xml:space="preserve">  לפי הדו"ח האחרון משנת 2014, המדווח על נתונים משנת 2012, מעריך הארגון כי </w:t>
      </w:r>
      <w:r w:rsidRPr="00BB6388">
        <w:rPr>
          <w:rFonts w:hint="cs"/>
          <w:b/>
          <w:bCs/>
          <w:rtl/>
        </w:rPr>
        <w:t>כמעט רבע מאוכלוסיית האיחוד האירופי, שהיא מעט למעלה מ- 80 מיליון בגירים (גילאי 15 עד 64),  השתמשה בסם באופן לא-חוקי לפחות פעם אחת בחייהם</w:t>
      </w:r>
      <w:r w:rsidRPr="00BB6388">
        <w:rPr>
          <w:rFonts w:hint="cs"/>
          <w:rtl/>
        </w:rPr>
        <w:t>.</w:t>
      </w:r>
      <w:r w:rsidRPr="00BB6388">
        <w:rPr>
          <w:rStyle w:val="ab"/>
          <w:rtl/>
        </w:rPr>
        <w:footnoteReference w:id="62"/>
      </w:r>
      <w:r w:rsidRPr="00BB6388">
        <w:rPr>
          <w:rFonts w:hint="cs"/>
          <w:rtl/>
        </w:rPr>
        <w:t xml:space="preserve"> שכיחות השימוש בקרב בגירים באירופה שונה משמעותית בין המדינות השונות, משליש מהבוגרים בדנמרק, צרפת ובריטניה, ועד פחות מעשרה אחוזים מהבוגרים בבולגריה, יוון, קפריסין, הונגריה, פורטוגל, רומניה וטורקיה.</w:t>
      </w:r>
      <w:r w:rsidRPr="00BB6388">
        <w:rPr>
          <w:rStyle w:val="ab"/>
          <w:rtl/>
        </w:rPr>
        <w:footnoteReference w:id="63"/>
      </w:r>
    </w:p>
    <w:p w:rsidR="0052355A" w:rsidRPr="00BB6388" w:rsidRDefault="00A84B70" w:rsidP="0052355A">
      <w:pPr>
        <w:pStyle w:val="3"/>
        <w:rPr>
          <w:rtl/>
        </w:rPr>
      </w:pPr>
      <w:bookmarkStart w:id="46" w:name="_Toc418585072"/>
      <w:bookmarkStart w:id="47" w:name="_Toc419054653"/>
      <w:bookmarkStart w:id="48" w:name="_Toc419959695"/>
      <w:bookmarkStart w:id="49" w:name="_Toc419963021"/>
      <w:bookmarkStart w:id="50" w:name="_Toc419963266"/>
      <w:bookmarkStart w:id="51" w:name="_Toc421697034"/>
      <w:r w:rsidRPr="00BB6388">
        <w:rPr>
          <w:rFonts w:hint="cs"/>
          <w:rtl/>
        </w:rPr>
        <w:t>היקף השימוש בסמים בישראל</w:t>
      </w:r>
      <w:bookmarkStart w:id="52" w:name="_Toc418585073"/>
      <w:bookmarkStart w:id="53" w:name="_Toc419963022"/>
      <w:bookmarkEnd w:id="46"/>
      <w:bookmarkEnd w:id="47"/>
      <w:bookmarkEnd w:id="48"/>
      <w:bookmarkEnd w:id="49"/>
      <w:bookmarkEnd w:id="50"/>
      <w:bookmarkEnd w:id="51"/>
    </w:p>
    <w:p w:rsidR="00A84B70" w:rsidRPr="00BB6388" w:rsidRDefault="00A84B70" w:rsidP="00DA024B">
      <w:pPr>
        <w:pStyle w:val="4"/>
      </w:pPr>
      <w:r w:rsidRPr="00BB6388">
        <w:rPr>
          <w:rFonts w:hint="cs"/>
          <w:rtl/>
        </w:rPr>
        <w:t>היקף השימוש בסמים בקרב האוכלוסיי</w:t>
      </w:r>
      <w:r w:rsidRPr="00BB6388">
        <w:rPr>
          <w:rFonts w:hint="eastAsia"/>
          <w:rtl/>
        </w:rPr>
        <w:t>ה</w:t>
      </w:r>
      <w:r w:rsidRPr="00BB6388">
        <w:rPr>
          <w:rFonts w:hint="cs"/>
          <w:rtl/>
        </w:rPr>
        <w:t xml:space="preserve"> הבוגרת בישראל</w:t>
      </w:r>
      <w:bookmarkEnd w:id="52"/>
      <w:bookmarkEnd w:id="53"/>
    </w:p>
    <w:p w:rsidR="00A84B70" w:rsidRPr="00BB6388" w:rsidRDefault="00A84B70" w:rsidP="00DA024B">
      <w:pPr>
        <w:pStyle w:val="a2"/>
        <w:spacing w:before="0" w:after="0" w:line="360" w:lineRule="auto"/>
        <w:rPr>
          <w:rtl/>
        </w:rPr>
      </w:pPr>
      <w:r w:rsidRPr="00BB6388">
        <w:rPr>
          <w:rFonts w:hint="cs"/>
          <w:b/>
          <w:bCs/>
          <w:rtl/>
        </w:rPr>
        <w:t>הנתונים העדכניים ביותר</w:t>
      </w:r>
      <w:r w:rsidRPr="00BB6388">
        <w:rPr>
          <w:rFonts w:hint="cs"/>
          <w:rtl/>
        </w:rPr>
        <w:t xml:space="preserve"> של הרשות</w:t>
      </w:r>
      <w:r w:rsidR="0081225A" w:rsidRPr="00BB6388">
        <w:rPr>
          <w:rFonts w:hint="cs"/>
          <w:rtl/>
        </w:rPr>
        <w:t xml:space="preserve"> הלאומית למלחמה בסמים ובאלכוהול (להלן </w:t>
      </w:r>
      <w:r w:rsidR="0081225A" w:rsidRPr="00BB6388">
        <w:rPr>
          <w:rtl/>
        </w:rPr>
        <w:t>–</w:t>
      </w:r>
      <w:r w:rsidR="0081225A" w:rsidRPr="00BB6388">
        <w:rPr>
          <w:rFonts w:hint="cs"/>
          <w:rtl/>
        </w:rPr>
        <w:t xml:space="preserve"> הרשות)</w:t>
      </w:r>
      <w:r w:rsidRPr="00BB6388">
        <w:rPr>
          <w:rFonts w:hint="cs"/>
          <w:rtl/>
        </w:rPr>
        <w:t xml:space="preserve"> בנוגע להיקף השימוש בסמים בקרב האוכלוסייה הבוגרת בישראל </w:t>
      </w:r>
      <w:r w:rsidR="009115F6" w:rsidRPr="00BB6388">
        <w:rPr>
          <w:rFonts w:hint="cs"/>
          <w:rtl/>
        </w:rPr>
        <w:t>הם</w:t>
      </w:r>
      <w:r w:rsidR="00C72354" w:rsidRPr="00BB6388">
        <w:rPr>
          <w:rFonts w:hint="cs"/>
          <w:rtl/>
        </w:rPr>
        <w:t xml:space="preserve"> מ</w:t>
      </w:r>
      <w:r w:rsidRPr="00BB6388">
        <w:rPr>
          <w:rFonts w:hint="cs"/>
          <w:rtl/>
        </w:rPr>
        <w:t xml:space="preserve">סקר אפידמיולוגי שנערך בשנת </w:t>
      </w:r>
      <w:r w:rsidR="00C72354" w:rsidRPr="00BB6388">
        <w:rPr>
          <w:rFonts w:hint="cs"/>
          <w:b/>
          <w:bCs/>
          <w:rtl/>
        </w:rPr>
        <w:t>2009</w:t>
      </w:r>
      <w:r w:rsidRPr="00BB6388">
        <w:rPr>
          <w:rFonts w:hint="cs"/>
          <w:rtl/>
        </w:rPr>
        <w:t>.</w:t>
      </w:r>
      <w:r w:rsidR="00DA024B" w:rsidRPr="00BB6388">
        <w:rPr>
          <w:rStyle w:val="ab"/>
        </w:rPr>
        <w:footnoteReference w:id="64"/>
      </w:r>
      <w:r w:rsidRPr="00BB6388">
        <w:rPr>
          <w:rFonts w:hint="cs"/>
          <w:rtl/>
        </w:rPr>
        <w:t xml:space="preserve"> יש לציין כי </w:t>
      </w:r>
      <w:r w:rsidRPr="00BB6388">
        <w:rPr>
          <w:rFonts w:hint="cs"/>
          <w:b/>
          <w:bCs/>
          <w:rtl/>
        </w:rPr>
        <w:t xml:space="preserve">סקר האוכלוסייה הבוגרת </w:t>
      </w:r>
      <w:r w:rsidR="00DA024B">
        <w:rPr>
          <w:rFonts w:hint="cs"/>
          <w:b/>
          <w:bCs/>
          <w:rtl/>
        </w:rPr>
        <w:t xml:space="preserve">בישראל </w:t>
      </w:r>
      <w:r w:rsidRPr="00BB6388">
        <w:rPr>
          <w:rFonts w:hint="cs"/>
          <w:b/>
          <w:bCs/>
          <w:rtl/>
        </w:rPr>
        <w:t xml:space="preserve">מודד את השימוש בסמים בקרב בני 40-18 בלבד, </w:t>
      </w:r>
      <w:r w:rsidRPr="00BB6388">
        <w:rPr>
          <w:rFonts w:hint="cs"/>
          <w:rtl/>
        </w:rPr>
        <w:t xml:space="preserve">וזאת בניגוד למחקרי האו"ם, ארגון הבריאות העולמי והאיחוד האירופי שהוצגו לעיל, המגדירים את האוכלוסייה הבגירה ככזו שגילאיה הם בין 15 ל- 64 או 65. לאור זאת </w:t>
      </w:r>
      <w:r w:rsidRPr="00BB6388">
        <w:rPr>
          <w:rFonts w:hint="cs"/>
          <w:b/>
          <w:bCs/>
          <w:rtl/>
        </w:rPr>
        <w:t>לא ניתן לבצע השוואה בין נתוני הרשות העוסקים בשימוש בסמים בישראל ובין הנתונים שהוצגו בדבר היקף השימוש העולמי</w:t>
      </w:r>
      <w:r w:rsidRPr="00BB6388">
        <w:rPr>
          <w:rFonts w:hint="cs"/>
          <w:rtl/>
        </w:rPr>
        <w:t>.</w:t>
      </w:r>
    </w:p>
    <w:p w:rsidR="00A84B70" w:rsidRPr="00BB6388" w:rsidRDefault="00A84B70" w:rsidP="00BB6388">
      <w:pPr>
        <w:pStyle w:val="a2"/>
        <w:spacing w:before="0" w:after="0" w:line="360" w:lineRule="auto"/>
        <w:rPr>
          <w:rtl/>
        </w:rPr>
      </w:pPr>
    </w:p>
    <w:p w:rsidR="00A84B70" w:rsidRPr="00BB6388" w:rsidRDefault="00A84B70" w:rsidP="00450322">
      <w:pPr>
        <w:pStyle w:val="a2"/>
        <w:spacing w:before="0" w:after="0" w:line="360" w:lineRule="auto"/>
        <w:rPr>
          <w:rtl/>
        </w:rPr>
      </w:pPr>
      <w:r w:rsidRPr="00BB6388">
        <w:rPr>
          <w:rFonts w:hint="cs"/>
          <w:b/>
          <w:bCs/>
          <w:rtl/>
        </w:rPr>
        <w:t>11.42% מק</w:t>
      </w:r>
      <w:r w:rsidRPr="002067BF">
        <w:rPr>
          <w:rFonts w:hint="cs"/>
          <w:b/>
          <w:bCs/>
          <w:rtl/>
        </w:rPr>
        <w:t xml:space="preserve">רב </w:t>
      </w:r>
      <w:r w:rsidR="002067BF" w:rsidRPr="002067BF">
        <w:rPr>
          <w:rFonts w:hint="cs"/>
          <w:b/>
          <w:bCs/>
          <w:rtl/>
        </w:rPr>
        <w:t xml:space="preserve">4,657 </w:t>
      </w:r>
      <w:r w:rsidRPr="00BB6388">
        <w:rPr>
          <w:rFonts w:hint="cs"/>
          <w:b/>
          <w:bCs/>
          <w:rtl/>
        </w:rPr>
        <w:t xml:space="preserve">בני ה- </w:t>
      </w:r>
      <w:r w:rsidR="008221B8">
        <w:rPr>
          <w:rFonts w:hint="cs"/>
          <w:b/>
          <w:bCs/>
          <w:rtl/>
        </w:rPr>
        <w:t>40-18</w:t>
      </w:r>
      <w:r w:rsidRPr="00BB6388">
        <w:rPr>
          <w:rFonts w:hint="cs"/>
          <w:b/>
          <w:bCs/>
          <w:rtl/>
        </w:rPr>
        <w:t xml:space="preserve"> שהשיבו לסקר</w:t>
      </w:r>
      <w:r w:rsidR="00130E09">
        <w:rPr>
          <w:rFonts w:hint="cs"/>
          <w:b/>
          <w:bCs/>
          <w:rtl/>
        </w:rPr>
        <w:t xml:space="preserve"> </w:t>
      </w:r>
      <w:r w:rsidRPr="00BB6388">
        <w:rPr>
          <w:rFonts w:hint="cs"/>
          <w:b/>
          <w:bCs/>
          <w:rtl/>
        </w:rPr>
        <w:t>דיווחו כי עשו שימוש לא-חוקי כלשהו בסמים במהלך 12 החודשים האחרונים</w:t>
      </w:r>
      <w:r w:rsidRPr="00BB6388">
        <w:rPr>
          <w:rFonts w:hint="cs"/>
          <w:rtl/>
        </w:rPr>
        <w:t xml:space="preserve">. החלתו של ממצא זה על כלל האוכלוסייה בישראל בגילאים אלו (שנאמדה על-ידי עורכי הסקר בכ- 2,287,600 נפשות בגילאי </w:t>
      </w:r>
      <w:r w:rsidR="008221B8">
        <w:rPr>
          <w:rFonts w:hint="cs"/>
          <w:rtl/>
        </w:rPr>
        <w:t>40-18</w:t>
      </w:r>
      <w:r w:rsidRPr="00BB6388">
        <w:rPr>
          <w:rFonts w:hint="cs"/>
          <w:rtl/>
        </w:rPr>
        <w:t>), וזאת מתוך הנחה כי המדגם בסקר הינו  מדגם מייצג, מעלה אומדן של כ- 261,244 נפשות בגירות. טבלה 2 מציגה את אומדן היקף השימוש, בטווחי מינימום ומקסימום, במספר סמים שונים כפי שעלו מהסקר.</w:t>
      </w:r>
    </w:p>
    <w:p w:rsidR="00A84B70" w:rsidRDefault="00092A25" w:rsidP="00322CAF">
      <w:pPr>
        <w:pStyle w:val="af2"/>
        <w:jc w:val="center"/>
        <w:rPr>
          <w:rtl/>
        </w:rPr>
      </w:pPr>
      <w:bookmarkStart w:id="54" w:name="_Toc419963023"/>
      <w:bookmarkStart w:id="55" w:name="_Toc418585074"/>
      <w:r w:rsidRPr="00092A25">
        <w:rPr>
          <w:sz w:val="24"/>
          <w:szCs w:val="24"/>
          <w:rtl/>
        </w:rPr>
        <w:t xml:space="preserve">טבלה </w:t>
      </w:r>
      <w:r w:rsidR="00F3448E" w:rsidRPr="00092A25">
        <w:rPr>
          <w:sz w:val="24"/>
          <w:szCs w:val="24"/>
          <w:rtl/>
        </w:rPr>
        <w:fldChar w:fldCharType="begin"/>
      </w:r>
      <w:r w:rsidRPr="00092A25">
        <w:rPr>
          <w:sz w:val="24"/>
          <w:szCs w:val="24"/>
          <w:rtl/>
        </w:rPr>
        <w:instrText xml:space="preserve"> </w:instrText>
      </w:r>
      <w:r w:rsidRPr="00092A25">
        <w:rPr>
          <w:sz w:val="24"/>
          <w:szCs w:val="24"/>
        </w:rPr>
        <w:instrText>SEQ</w:instrText>
      </w:r>
      <w:r w:rsidRPr="00092A25">
        <w:rPr>
          <w:sz w:val="24"/>
          <w:szCs w:val="24"/>
          <w:rtl/>
        </w:rPr>
        <w:instrText xml:space="preserve"> טבלה \* </w:instrText>
      </w:r>
      <w:r w:rsidRPr="00092A25">
        <w:rPr>
          <w:sz w:val="24"/>
          <w:szCs w:val="24"/>
        </w:rPr>
        <w:instrText>ARABIC</w:instrText>
      </w:r>
      <w:r w:rsidRPr="00092A25">
        <w:rPr>
          <w:sz w:val="24"/>
          <w:szCs w:val="24"/>
          <w:rtl/>
        </w:rPr>
        <w:instrText xml:space="preserve"> </w:instrText>
      </w:r>
      <w:r w:rsidR="00F3448E" w:rsidRPr="00092A25">
        <w:rPr>
          <w:sz w:val="24"/>
          <w:szCs w:val="24"/>
          <w:rtl/>
        </w:rPr>
        <w:fldChar w:fldCharType="separate"/>
      </w:r>
      <w:r w:rsidR="007347AB">
        <w:rPr>
          <w:noProof/>
          <w:sz w:val="24"/>
          <w:szCs w:val="24"/>
          <w:rtl/>
        </w:rPr>
        <w:t>2</w:t>
      </w:r>
      <w:r w:rsidR="00F3448E" w:rsidRPr="00092A25">
        <w:rPr>
          <w:sz w:val="24"/>
          <w:szCs w:val="24"/>
          <w:rtl/>
        </w:rPr>
        <w:fldChar w:fldCharType="end"/>
      </w:r>
      <w:r w:rsidRPr="00092A25">
        <w:rPr>
          <w:rFonts w:hint="cs"/>
          <w:sz w:val="24"/>
          <w:szCs w:val="24"/>
          <w:rtl/>
        </w:rPr>
        <w:t>:</w:t>
      </w:r>
      <w:bookmarkStart w:id="56" w:name="_Toc419963024"/>
      <w:bookmarkEnd w:id="54"/>
      <w:r w:rsidR="00322CAF">
        <w:rPr>
          <w:rFonts w:hint="cs"/>
          <w:noProof/>
          <w:sz w:val="24"/>
          <w:szCs w:val="24"/>
          <w:rtl/>
        </w:rPr>
        <w:t xml:space="preserve"> </w:t>
      </w:r>
      <w:r w:rsidR="00C82C56">
        <w:rPr>
          <w:rFonts w:hint="cs"/>
          <w:noProof/>
          <w:sz w:val="24"/>
          <w:szCs w:val="24"/>
          <w:rtl/>
        </w:rPr>
        <w:t xml:space="preserve">אומדן </w:t>
      </w:r>
      <w:r w:rsidR="00A84B70" w:rsidRPr="00092A25">
        <w:rPr>
          <w:rFonts w:hint="eastAsia"/>
          <w:noProof/>
          <w:sz w:val="24"/>
          <w:szCs w:val="24"/>
          <w:rtl/>
        </w:rPr>
        <w:t>מספר</w:t>
      </w:r>
      <w:r w:rsidR="00A84B70" w:rsidRPr="00092A25">
        <w:rPr>
          <w:noProof/>
          <w:sz w:val="24"/>
          <w:szCs w:val="24"/>
          <w:rtl/>
        </w:rPr>
        <w:t xml:space="preserve"> </w:t>
      </w:r>
      <w:r w:rsidR="00A84B70" w:rsidRPr="00092A25">
        <w:rPr>
          <w:rFonts w:hint="eastAsia"/>
          <w:noProof/>
          <w:sz w:val="24"/>
          <w:szCs w:val="24"/>
          <w:rtl/>
        </w:rPr>
        <w:t>המשתמשים</w:t>
      </w:r>
      <w:r w:rsidR="00A84B70" w:rsidRPr="00092A25">
        <w:rPr>
          <w:noProof/>
          <w:sz w:val="24"/>
          <w:szCs w:val="24"/>
          <w:rtl/>
        </w:rPr>
        <w:t xml:space="preserve"> </w:t>
      </w:r>
      <w:r w:rsidR="00A84B70" w:rsidRPr="00092A25">
        <w:rPr>
          <w:rFonts w:hint="eastAsia"/>
          <w:noProof/>
          <w:sz w:val="24"/>
          <w:szCs w:val="24"/>
          <w:rtl/>
        </w:rPr>
        <w:t>בסמים</w:t>
      </w:r>
      <w:r w:rsidR="00A84B70" w:rsidRPr="00092A25">
        <w:rPr>
          <w:noProof/>
          <w:sz w:val="24"/>
          <w:szCs w:val="24"/>
          <w:rtl/>
        </w:rPr>
        <w:t xml:space="preserve"> </w:t>
      </w:r>
      <w:r w:rsidR="00A84B70" w:rsidRPr="00092A25">
        <w:rPr>
          <w:rFonts w:hint="eastAsia"/>
          <w:noProof/>
          <w:sz w:val="24"/>
          <w:szCs w:val="24"/>
          <w:rtl/>
        </w:rPr>
        <w:t>נבחרים</w:t>
      </w:r>
      <w:r w:rsidR="00A84B70" w:rsidRPr="00092A25">
        <w:rPr>
          <w:noProof/>
          <w:sz w:val="24"/>
          <w:szCs w:val="24"/>
          <w:rtl/>
        </w:rPr>
        <w:t xml:space="preserve"> </w:t>
      </w:r>
      <w:r w:rsidR="00A84B70" w:rsidRPr="00092A25">
        <w:rPr>
          <w:rFonts w:hint="eastAsia"/>
          <w:noProof/>
          <w:sz w:val="24"/>
          <w:szCs w:val="24"/>
          <w:rtl/>
        </w:rPr>
        <w:t>באוכלוסייה</w:t>
      </w:r>
      <w:r w:rsidR="00A84B70" w:rsidRPr="00092A25">
        <w:rPr>
          <w:noProof/>
          <w:sz w:val="24"/>
          <w:szCs w:val="24"/>
          <w:rtl/>
        </w:rPr>
        <w:t xml:space="preserve"> </w:t>
      </w:r>
      <w:r w:rsidR="00A84B70" w:rsidRPr="00092A25">
        <w:rPr>
          <w:rFonts w:hint="eastAsia"/>
          <w:noProof/>
          <w:sz w:val="24"/>
          <w:szCs w:val="24"/>
          <w:rtl/>
        </w:rPr>
        <w:t>הבוגרת</w:t>
      </w:r>
      <w:r w:rsidR="00A84B70" w:rsidRPr="00092A25">
        <w:rPr>
          <w:noProof/>
          <w:sz w:val="24"/>
          <w:szCs w:val="24"/>
          <w:rtl/>
        </w:rPr>
        <w:t xml:space="preserve"> </w:t>
      </w:r>
      <w:r w:rsidR="00A84B70" w:rsidRPr="00092A25">
        <w:rPr>
          <w:rFonts w:hint="eastAsia"/>
          <w:noProof/>
          <w:sz w:val="24"/>
          <w:szCs w:val="24"/>
          <w:rtl/>
        </w:rPr>
        <w:t>בישראל</w:t>
      </w:r>
      <w:r w:rsidR="00A84B70" w:rsidRPr="00092A25">
        <w:rPr>
          <w:noProof/>
          <w:sz w:val="24"/>
          <w:szCs w:val="24"/>
          <w:rtl/>
        </w:rPr>
        <w:t xml:space="preserve"> (</w:t>
      </w:r>
      <w:r w:rsidR="00A84B70" w:rsidRPr="00092A25">
        <w:rPr>
          <w:rFonts w:hint="cs"/>
          <w:noProof/>
          <w:sz w:val="24"/>
          <w:szCs w:val="24"/>
          <w:rtl/>
        </w:rPr>
        <w:t xml:space="preserve">גילאי </w:t>
      </w:r>
      <w:r w:rsidR="00A84B70" w:rsidRPr="00092A25">
        <w:rPr>
          <w:noProof/>
          <w:sz w:val="24"/>
          <w:szCs w:val="24"/>
          <w:rtl/>
        </w:rPr>
        <w:t xml:space="preserve">40-18), </w:t>
      </w:r>
      <w:r w:rsidR="00A84B70" w:rsidRPr="00092A25">
        <w:rPr>
          <w:rFonts w:hint="eastAsia"/>
          <w:noProof/>
          <w:sz w:val="24"/>
          <w:szCs w:val="24"/>
          <w:rtl/>
        </w:rPr>
        <w:t>בשנת</w:t>
      </w:r>
      <w:r w:rsidR="00A84B70" w:rsidRPr="00092A25">
        <w:rPr>
          <w:noProof/>
          <w:sz w:val="24"/>
          <w:szCs w:val="24"/>
          <w:rtl/>
        </w:rPr>
        <w:t xml:space="preserve"> </w:t>
      </w:r>
      <w:r w:rsidR="00C72354" w:rsidRPr="00092A25">
        <w:rPr>
          <w:noProof/>
          <w:sz w:val="24"/>
          <w:szCs w:val="24"/>
          <w:rtl/>
        </w:rPr>
        <w:t>200</w:t>
      </w:r>
      <w:r w:rsidR="00C72354" w:rsidRPr="00092A25">
        <w:rPr>
          <w:rFonts w:hint="cs"/>
          <w:noProof/>
          <w:sz w:val="24"/>
          <w:szCs w:val="24"/>
          <w:rtl/>
        </w:rPr>
        <w:t>9</w:t>
      </w:r>
      <w:r w:rsidR="00A84B70" w:rsidRPr="00BB6388">
        <w:rPr>
          <w:rStyle w:val="ab"/>
          <w:b w:val="0"/>
          <w:bCs w:val="0"/>
          <w:rtl/>
        </w:rPr>
        <w:footnoteReference w:id="65"/>
      </w:r>
      <w:bookmarkEnd w:id="55"/>
      <w:bookmarkEnd w:id="56"/>
    </w:p>
    <w:tbl>
      <w:tblPr>
        <w:tblStyle w:val="afff5"/>
        <w:bidiVisual/>
        <w:tblW w:w="0" w:type="auto"/>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1760"/>
        <w:gridCol w:w="1037"/>
        <w:gridCol w:w="1165"/>
        <w:gridCol w:w="1208"/>
        <w:gridCol w:w="1218"/>
      </w:tblGrid>
      <w:tr w:rsidR="00CC1DE9" w:rsidRPr="001D3A72" w:rsidTr="00D15C78">
        <w:trPr>
          <w:tblCellSpacing w:w="20" w:type="dxa"/>
          <w:jc w:val="center"/>
        </w:trPr>
        <w:tc>
          <w:tcPr>
            <w:tcW w:w="1700" w:type="dxa"/>
            <w:vMerge w:val="restart"/>
            <w:shd w:val="clear" w:color="auto" w:fill="auto"/>
          </w:tcPr>
          <w:p w:rsidR="00CC1DE9" w:rsidRPr="001D3A72" w:rsidRDefault="00CC1DE9" w:rsidP="001D3A72">
            <w:pPr>
              <w:pStyle w:val="a2"/>
              <w:spacing w:before="60" w:after="0" w:line="240" w:lineRule="auto"/>
              <w:rPr>
                <w:sz w:val="22"/>
                <w:szCs w:val="22"/>
                <w:rtl/>
              </w:rPr>
            </w:pPr>
            <w:r w:rsidRPr="001D3A72">
              <w:rPr>
                <w:rFonts w:hint="cs"/>
                <w:sz w:val="22"/>
                <w:szCs w:val="22"/>
                <w:rtl/>
              </w:rPr>
              <w:t>סוג הסם</w:t>
            </w:r>
          </w:p>
        </w:tc>
        <w:tc>
          <w:tcPr>
            <w:tcW w:w="2162" w:type="dxa"/>
            <w:gridSpan w:val="2"/>
            <w:shd w:val="clear" w:color="auto" w:fill="auto"/>
          </w:tcPr>
          <w:p w:rsidR="00CC1DE9" w:rsidRDefault="00CC1DE9" w:rsidP="00CC1DE9">
            <w:pPr>
              <w:pStyle w:val="a2"/>
              <w:spacing w:before="60" w:after="0" w:line="240" w:lineRule="auto"/>
              <w:jc w:val="center"/>
              <w:rPr>
                <w:sz w:val="22"/>
                <w:szCs w:val="22"/>
                <w:rtl/>
              </w:rPr>
            </w:pPr>
            <w:r w:rsidRPr="001D3A72">
              <w:rPr>
                <w:rFonts w:hint="cs"/>
                <w:sz w:val="22"/>
                <w:szCs w:val="22"/>
                <w:rtl/>
              </w:rPr>
              <w:t>שכיחות השימוש בישראל</w:t>
            </w:r>
          </w:p>
          <w:p w:rsidR="00E03764" w:rsidRPr="001D3A72" w:rsidRDefault="00E03764" w:rsidP="00CC1DE9">
            <w:pPr>
              <w:pStyle w:val="a2"/>
              <w:spacing w:before="60" w:after="0" w:line="240" w:lineRule="auto"/>
              <w:jc w:val="center"/>
              <w:rPr>
                <w:sz w:val="22"/>
                <w:szCs w:val="22"/>
                <w:rtl/>
              </w:rPr>
            </w:pPr>
            <w:r>
              <w:rPr>
                <w:rFonts w:hint="cs"/>
                <w:sz w:val="22"/>
                <w:szCs w:val="22"/>
                <w:rtl/>
              </w:rPr>
              <w:t>(באחוזים)</w:t>
            </w:r>
          </w:p>
        </w:tc>
        <w:tc>
          <w:tcPr>
            <w:tcW w:w="2366" w:type="dxa"/>
            <w:gridSpan w:val="2"/>
            <w:shd w:val="clear" w:color="auto" w:fill="auto"/>
          </w:tcPr>
          <w:p w:rsidR="00CC1DE9" w:rsidRDefault="00CC1DE9" w:rsidP="00CC1DE9">
            <w:pPr>
              <w:pStyle w:val="a2"/>
              <w:spacing w:before="60" w:after="0" w:line="240" w:lineRule="auto"/>
              <w:jc w:val="center"/>
              <w:rPr>
                <w:sz w:val="22"/>
                <w:szCs w:val="22"/>
                <w:rtl/>
              </w:rPr>
            </w:pPr>
            <w:r w:rsidRPr="001D3A72">
              <w:rPr>
                <w:rFonts w:hint="cs"/>
                <w:sz w:val="22"/>
                <w:szCs w:val="22"/>
                <w:rtl/>
              </w:rPr>
              <w:t>מס' המשתמשים באוכלוסייה</w:t>
            </w:r>
          </w:p>
          <w:p w:rsidR="00E03764" w:rsidRPr="001D3A72" w:rsidRDefault="00E03764" w:rsidP="00CC1DE9">
            <w:pPr>
              <w:pStyle w:val="a2"/>
              <w:spacing w:before="60" w:after="0" w:line="240" w:lineRule="auto"/>
              <w:jc w:val="center"/>
              <w:rPr>
                <w:sz w:val="22"/>
                <w:szCs w:val="22"/>
                <w:rtl/>
              </w:rPr>
            </w:pPr>
            <w:r>
              <w:rPr>
                <w:rFonts w:hint="cs"/>
                <w:sz w:val="22"/>
                <w:szCs w:val="22"/>
                <w:rtl/>
              </w:rPr>
              <w:t>(במספרים מוחלטים)</w:t>
            </w:r>
          </w:p>
        </w:tc>
      </w:tr>
      <w:tr w:rsidR="00CC1DE9" w:rsidRPr="001D3A72" w:rsidTr="00D15C78">
        <w:trPr>
          <w:tblCellSpacing w:w="20" w:type="dxa"/>
          <w:jc w:val="center"/>
        </w:trPr>
        <w:tc>
          <w:tcPr>
            <w:tcW w:w="1700" w:type="dxa"/>
            <w:vMerge/>
            <w:shd w:val="clear" w:color="auto" w:fill="auto"/>
          </w:tcPr>
          <w:p w:rsidR="00CC1DE9" w:rsidRPr="001D3A72" w:rsidRDefault="00CC1DE9" w:rsidP="001D3A72">
            <w:pPr>
              <w:pStyle w:val="a2"/>
              <w:spacing w:before="60" w:after="0" w:line="240" w:lineRule="auto"/>
              <w:rPr>
                <w:sz w:val="22"/>
                <w:szCs w:val="22"/>
                <w:rtl/>
              </w:rPr>
            </w:pPr>
          </w:p>
        </w:tc>
        <w:tc>
          <w:tcPr>
            <w:tcW w:w="997" w:type="dxa"/>
            <w:tcBorders>
              <w:right w:val="outset" w:sz="6" w:space="0" w:color="auto"/>
            </w:tcBorders>
            <w:shd w:val="clear" w:color="auto" w:fill="auto"/>
          </w:tcPr>
          <w:p w:rsidR="00CC1DE9" w:rsidRPr="001D3A72" w:rsidRDefault="00CC1DE9" w:rsidP="00CC1DE9">
            <w:pPr>
              <w:pStyle w:val="a2"/>
              <w:spacing w:before="60" w:after="0" w:line="240" w:lineRule="auto"/>
              <w:jc w:val="center"/>
              <w:rPr>
                <w:sz w:val="22"/>
                <w:szCs w:val="22"/>
                <w:rtl/>
              </w:rPr>
            </w:pPr>
            <w:r w:rsidRPr="001D3A72">
              <w:rPr>
                <w:rFonts w:hint="cs"/>
                <w:sz w:val="22"/>
                <w:szCs w:val="22"/>
                <w:rtl/>
              </w:rPr>
              <w:t>אמדן מינימום</w:t>
            </w:r>
          </w:p>
        </w:tc>
        <w:tc>
          <w:tcPr>
            <w:tcW w:w="1125" w:type="dxa"/>
            <w:tcBorders>
              <w:left w:val="outset" w:sz="6" w:space="0" w:color="auto"/>
            </w:tcBorders>
            <w:shd w:val="clear" w:color="auto" w:fill="auto"/>
          </w:tcPr>
          <w:p w:rsidR="00CC1DE9" w:rsidRPr="001D3A72" w:rsidRDefault="00CC1DE9" w:rsidP="00CC1DE9">
            <w:pPr>
              <w:pStyle w:val="a2"/>
              <w:spacing w:before="60" w:after="0" w:line="240" w:lineRule="auto"/>
              <w:jc w:val="center"/>
              <w:rPr>
                <w:sz w:val="22"/>
                <w:szCs w:val="22"/>
                <w:rtl/>
              </w:rPr>
            </w:pPr>
            <w:r w:rsidRPr="001D3A72">
              <w:rPr>
                <w:rFonts w:hint="cs"/>
                <w:sz w:val="22"/>
                <w:szCs w:val="22"/>
                <w:rtl/>
              </w:rPr>
              <w:t>אמדן מקסימום</w:t>
            </w:r>
          </w:p>
        </w:tc>
        <w:tc>
          <w:tcPr>
            <w:tcW w:w="1168" w:type="dxa"/>
            <w:tcBorders>
              <w:right w:val="outset" w:sz="6" w:space="0" w:color="auto"/>
            </w:tcBorders>
            <w:shd w:val="clear" w:color="auto" w:fill="auto"/>
          </w:tcPr>
          <w:p w:rsidR="00CC1DE9" w:rsidRPr="001D3A72" w:rsidRDefault="00CC1DE9" w:rsidP="00CC1DE9">
            <w:pPr>
              <w:pStyle w:val="a2"/>
              <w:spacing w:before="60" w:after="0" w:line="240" w:lineRule="auto"/>
              <w:jc w:val="center"/>
              <w:rPr>
                <w:sz w:val="22"/>
                <w:szCs w:val="22"/>
                <w:rtl/>
              </w:rPr>
            </w:pPr>
            <w:r w:rsidRPr="001D3A72">
              <w:rPr>
                <w:rFonts w:hint="cs"/>
                <w:sz w:val="22"/>
                <w:szCs w:val="22"/>
                <w:rtl/>
              </w:rPr>
              <w:t>אמדן מינימום</w:t>
            </w:r>
          </w:p>
        </w:tc>
        <w:tc>
          <w:tcPr>
            <w:tcW w:w="1158" w:type="dxa"/>
            <w:tcBorders>
              <w:left w:val="outset" w:sz="6" w:space="0" w:color="auto"/>
            </w:tcBorders>
            <w:shd w:val="clear" w:color="auto" w:fill="auto"/>
          </w:tcPr>
          <w:p w:rsidR="00CC1DE9" w:rsidRPr="001D3A72" w:rsidRDefault="00CC1DE9" w:rsidP="00CC1DE9">
            <w:pPr>
              <w:pStyle w:val="a2"/>
              <w:spacing w:before="60" w:after="0" w:line="240" w:lineRule="auto"/>
              <w:jc w:val="center"/>
              <w:rPr>
                <w:sz w:val="22"/>
                <w:szCs w:val="22"/>
                <w:rtl/>
              </w:rPr>
            </w:pPr>
            <w:r w:rsidRPr="001D3A72">
              <w:rPr>
                <w:rFonts w:hint="cs"/>
                <w:sz w:val="22"/>
                <w:szCs w:val="22"/>
                <w:rtl/>
              </w:rPr>
              <w:t>אמדן מקסימום</w:t>
            </w:r>
          </w:p>
        </w:tc>
      </w:tr>
      <w:tr w:rsidR="00D15C78" w:rsidRPr="001D3A72" w:rsidTr="00D15C78">
        <w:trPr>
          <w:tblCellSpacing w:w="20" w:type="dxa"/>
          <w:jc w:val="center"/>
        </w:trPr>
        <w:tc>
          <w:tcPr>
            <w:tcW w:w="1700" w:type="dxa"/>
            <w:shd w:val="clear" w:color="auto" w:fill="auto"/>
          </w:tcPr>
          <w:p w:rsidR="00D15C78" w:rsidRPr="001D3A72" w:rsidRDefault="00D15C78" w:rsidP="001D3A72">
            <w:pPr>
              <w:pStyle w:val="a2"/>
              <w:spacing w:before="60" w:after="0" w:line="240" w:lineRule="auto"/>
              <w:rPr>
                <w:sz w:val="22"/>
                <w:szCs w:val="22"/>
                <w:rtl/>
              </w:rPr>
            </w:pPr>
            <w:r w:rsidRPr="001D3A72">
              <w:rPr>
                <w:rFonts w:hint="cs"/>
                <w:sz w:val="22"/>
                <w:szCs w:val="22"/>
                <w:rtl/>
              </w:rPr>
              <w:t>קנביס</w:t>
            </w:r>
          </w:p>
        </w:tc>
        <w:tc>
          <w:tcPr>
            <w:tcW w:w="997" w:type="dxa"/>
            <w:tcBorders>
              <w:right w:val="outset" w:sz="6" w:space="0" w:color="auto"/>
            </w:tcBorders>
            <w:shd w:val="clear" w:color="auto" w:fill="auto"/>
            <w:vAlign w:val="center"/>
          </w:tcPr>
          <w:p w:rsidR="00D15C78" w:rsidRPr="001D3A72" w:rsidRDefault="00D15C78" w:rsidP="00E03764">
            <w:pPr>
              <w:spacing w:before="60" w:after="0" w:line="240" w:lineRule="auto"/>
              <w:jc w:val="center"/>
              <w:rPr>
                <w:sz w:val="22"/>
                <w:szCs w:val="22"/>
              </w:rPr>
            </w:pPr>
            <w:r w:rsidRPr="001D3A72">
              <w:rPr>
                <w:sz w:val="22"/>
                <w:szCs w:val="22"/>
              </w:rPr>
              <w:t>7.6</w:t>
            </w:r>
          </w:p>
        </w:tc>
        <w:tc>
          <w:tcPr>
            <w:tcW w:w="1125" w:type="dxa"/>
            <w:tcBorders>
              <w:left w:val="outset" w:sz="6" w:space="0" w:color="auto"/>
            </w:tcBorders>
            <w:shd w:val="clear" w:color="auto" w:fill="auto"/>
            <w:vAlign w:val="center"/>
          </w:tcPr>
          <w:p w:rsidR="00D15C78" w:rsidRPr="001D3A72" w:rsidRDefault="00D15C78" w:rsidP="00E03764">
            <w:pPr>
              <w:spacing w:before="60" w:after="0" w:line="240" w:lineRule="auto"/>
              <w:jc w:val="center"/>
              <w:rPr>
                <w:sz w:val="22"/>
                <w:szCs w:val="22"/>
              </w:rPr>
            </w:pPr>
            <w:r w:rsidRPr="001D3A72">
              <w:rPr>
                <w:sz w:val="22"/>
                <w:szCs w:val="22"/>
              </w:rPr>
              <w:t>10.2</w:t>
            </w:r>
          </w:p>
        </w:tc>
        <w:tc>
          <w:tcPr>
            <w:tcW w:w="1168" w:type="dxa"/>
            <w:tcBorders>
              <w:right w:val="outset" w:sz="6" w:space="0" w:color="auto"/>
            </w:tcBorders>
            <w:shd w:val="clear" w:color="auto" w:fill="auto"/>
            <w:vAlign w:val="center"/>
          </w:tcPr>
          <w:p w:rsidR="00D15C78" w:rsidRDefault="00D15C78">
            <w:pPr>
              <w:jc w:val="center"/>
              <w:rPr>
                <w:color w:val="000000"/>
                <w:sz w:val="22"/>
                <w:szCs w:val="22"/>
              </w:rPr>
            </w:pPr>
            <w:r>
              <w:rPr>
                <w:color w:val="000000"/>
                <w:sz w:val="22"/>
                <w:szCs w:val="22"/>
              </w:rPr>
              <w:t>173,858</w:t>
            </w:r>
          </w:p>
        </w:tc>
        <w:tc>
          <w:tcPr>
            <w:tcW w:w="1158" w:type="dxa"/>
            <w:tcBorders>
              <w:left w:val="outset" w:sz="6" w:space="0" w:color="auto"/>
            </w:tcBorders>
            <w:shd w:val="clear" w:color="auto" w:fill="auto"/>
            <w:vAlign w:val="center"/>
          </w:tcPr>
          <w:p w:rsidR="00D15C78" w:rsidRDefault="00D15C78">
            <w:pPr>
              <w:jc w:val="center"/>
              <w:rPr>
                <w:color w:val="000000"/>
                <w:sz w:val="22"/>
                <w:szCs w:val="22"/>
              </w:rPr>
            </w:pPr>
            <w:r>
              <w:rPr>
                <w:color w:val="000000"/>
                <w:sz w:val="22"/>
                <w:szCs w:val="22"/>
              </w:rPr>
              <w:t>233,335</w:t>
            </w:r>
          </w:p>
        </w:tc>
      </w:tr>
      <w:tr w:rsidR="00D15C78" w:rsidRPr="001D3A72" w:rsidTr="00D15C78">
        <w:trPr>
          <w:tblCellSpacing w:w="20" w:type="dxa"/>
          <w:jc w:val="center"/>
        </w:trPr>
        <w:tc>
          <w:tcPr>
            <w:tcW w:w="1700" w:type="dxa"/>
            <w:shd w:val="clear" w:color="auto" w:fill="auto"/>
          </w:tcPr>
          <w:p w:rsidR="00D15C78" w:rsidRPr="001D3A72" w:rsidRDefault="00D15C78" w:rsidP="001D3A72">
            <w:pPr>
              <w:pStyle w:val="a2"/>
              <w:spacing w:before="60" w:after="0" w:line="240" w:lineRule="auto"/>
              <w:rPr>
                <w:sz w:val="22"/>
                <w:szCs w:val="22"/>
                <w:rtl/>
              </w:rPr>
            </w:pPr>
            <w:r w:rsidRPr="001D3A72">
              <w:rPr>
                <w:rFonts w:hint="cs"/>
                <w:sz w:val="22"/>
                <w:szCs w:val="22"/>
                <w:rtl/>
              </w:rPr>
              <w:t>חגיגת</w:t>
            </w:r>
          </w:p>
        </w:tc>
        <w:tc>
          <w:tcPr>
            <w:tcW w:w="997" w:type="dxa"/>
            <w:tcBorders>
              <w:right w:val="outset" w:sz="6" w:space="0" w:color="auto"/>
            </w:tcBorders>
            <w:shd w:val="clear" w:color="auto" w:fill="auto"/>
            <w:vAlign w:val="center"/>
          </w:tcPr>
          <w:p w:rsidR="00D15C78" w:rsidRPr="001D3A72" w:rsidRDefault="00D15C78" w:rsidP="00E03764">
            <w:pPr>
              <w:spacing w:before="60" w:after="0" w:line="240" w:lineRule="auto"/>
              <w:jc w:val="center"/>
              <w:rPr>
                <w:sz w:val="22"/>
                <w:szCs w:val="22"/>
              </w:rPr>
            </w:pPr>
            <w:r w:rsidRPr="001D3A72">
              <w:rPr>
                <w:sz w:val="22"/>
                <w:szCs w:val="22"/>
              </w:rPr>
              <w:t>3.7</w:t>
            </w:r>
          </w:p>
        </w:tc>
        <w:tc>
          <w:tcPr>
            <w:tcW w:w="1125" w:type="dxa"/>
            <w:tcBorders>
              <w:left w:val="outset" w:sz="6" w:space="0" w:color="auto"/>
            </w:tcBorders>
            <w:shd w:val="clear" w:color="auto" w:fill="auto"/>
            <w:vAlign w:val="center"/>
          </w:tcPr>
          <w:p w:rsidR="00D15C78" w:rsidRPr="001D3A72" w:rsidRDefault="00D15C78" w:rsidP="00E03764">
            <w:pPr>
              <w:spacing w:before="60" w:after="0" w:line="240" w:lineRule="auto"/>
              <w:jc w:val="center"/>
              <w:rPr>
                <w:sz w:val="22"/>
                <w:szCs w:val="22"/>
              </w:rPr>
            </w:pPr>
            <w:r w:rsidRPr="001D3A72">
              <w:rPr>
                <w:sz w:val="22"/>
                <w:szCs w:val="22"/>
              </w:rPr>
              <w:t>5.3</w:t>
            </w:r>
          </w:p>
        </w:tc>
        <w:tc>
          <w:tcPr>
            <w:tcW w:w="1168" w:type="dxa"/>
            <w:tcBorders>
              <w:right w:val="outset" w:sz="6" w:space="0" w:color="auto"/>
            </w:tcBorders>
            <w:shd w:val="clear" w:color="auto" w:fill="auto"/>
            <w:vAlign w:val="center"/>
          </w:tcPr>
          <w:p w:rsidR="00D15C78" w:rsidRDefault="00D15C78">
            <w:pPr>
              <w:jc w:val="center"/>
              <w:rPr>
                <w:color w:val="000000"/>
                <w:sz w:val="22"/>
                <w:szCs w:val="22"/>
              </w:rPr>
            </w:pPr>
            <w:r>
              <w:rPr>
                <w:color w:val="000000"/>
                <w:sz w:val="22"/>
                <w:szCs w:val="22"/>
              </w:rPr>
              <w:t>84,641</w:t>
            </w:r>
          </w:p>
        </w:tc>
        <w:tc>
          <w:tcPr>
            <w:tcW w:w="1158" w:type="dxa"/>
            <w:tcBorders>
              <w:left w:val="outset" w:sz="6" w:space="0" w:color="auto"/>
            </w:tcBorders>
            <w:shd w:val="clear" w:color="auto" w:fill="auto"/>
            <w:vAlign w:val="center"/>
          </w:tcPr>
          <w:p w:rsidR="00D15C78" w:rsidRDefault="00D15C78">
            <w:pPr>
              <w:jc w:val="center"/>
              <w:rPr>
                <w:color w:val="000000"/>
                <w:sz w:val="22"/>
                <w:szCs w:val="22"/>
              </w:rPr>
            </w:pPr>
            <w:r>
              <w:rPr>
                <w:color w:val="000000"/>
                <w:sz w:val="22"/>
                <w:szCs w:val="22"/>
              </w:rPr>
              <w:t>121,243</w:t>
            </w:r>
          </w:p>
        </w:tc>
      </w:tr>
      <w:tr w:rsidR="00D15C78" w:rsidRPr="001D3A72" w:rsidTr="00D15C78">
        <w:trPr>
          <w:tblCellSpacing w:w="20" w:type="dxa"/>
          <w:jc w:val="center"/>
        </w:trPr>
        <w:tc>
          <w:tcPr>
            <w:tcW w:w="1700" w:type="dxa"/>
            <w:shd w:val="clear" w:color="auto" w:fill="auto"/>
          </w:tcPr>
          <w:p w:rsidR="00D15C78" w:rsidRPr="001D3A72" w:rsidRDefault="00D15C78" w:rsidP="001D3A72">
            <w:pPr>
              <w:pStyle w:val="a2"/>
              <w:spacing w:before="60" w:after="0" w:line="240" w:lineRule="auto"/>
              <w:rPr>
                <w:sz w:val="22"/>
                <w:szCs w:val="22"/>
                <w:rtl/>
              </w:rPr>
            </w:pPr>
            <w:r w:rsidRPr="001D3A72">
              <w:rPr>
                <w:rFonts w:hint="cs"/>
                <w:sz w:val="22"/>
                <w:szCs w:val="22"/>
                <w:rtl/>
              </w:rPr>
              <w:t>תרופות מרשם</w:t>
            </w:r>
          </w:p>
          <w:p w:rsidR="00D15C78" w:rsidRPr="001D3A72" w:rsidRDefault="00D15C78" w:rsidP="001D3A72">
            <w:pPr>
              <w:pStyle w:val="a2"/>
              <w:spacing w:before="60" w:after="0" w:line="240" w:lineRule="auto"/>
              <w:rPr>
                <w:sz w:val="22"/>
                <w:szCs w:val="22"/>
                <w:rtl/>
              </w:rPr>
            </w:pPr>
            <w:r w:rsidRPr="001D3A72">
              <w:rPr>
                <w:rFonts w:hint="cs"/>
                <w:sz w:val="22"/>
                <w:szCs w:val="22"/>
                <w:rtl/>
              </w:rPr>
              <w:t>(שימוש לא חוקי)</w:t>
            </w:r>
          </w:p>
        </w:tc>
        <w:tc>
          <w:tcPr>
            <w:tcW w:w="997" w:type="dxa"/>
            <w:tcBorders>
              <w:right w:val="outset" w:sz="6" w:space="0" w:color="auto"/>
            </w:tcBorders>
            <w:shd w:val="clear" w:color="auto" w:fill="auto"/>
            <w:vAlign w:val="center"/>
          </w:tcPr>
          <w:p w:rsidR="00D15C78" w:rsidRPr="001D3A72" w:rsidRDefault="00D15C78" w:rsidP="00E03764">
            <w:pPr>
              <w:spacing w:before="60" w:after="0" w:line="240" w:lineRule="auto"/>
              <w:jc w:val="center"/>
              <w:rPr>
                <w:sz w:val="22"/>
                <w:szCs w:val="22"/>
              </w:rPr>
            </w:pPr>
            <w:r w:rsidRPr="001D3A72">
              <w:rPr>
                <w:sz w:val="22"/>
                <w:szCs w:val="22"/>
              </w:rPr>
              <w:t>2.6</w:t>
            </w:r>
          </w:p>
        </w:tc>
        <w:tc>
          <w:tcPr>
            <w:tcW w:w="1125" w:type="dxa"/>
            <w:tcBorders>
              <w:left w:val="outset" w:sz="6" w:space="0" w:color="auto"/>
            </w:tcBorders>
            <w:shd w:val="clear" w:color="auto" w:fill="auto"/>
            <w:vAlign w:val="center"/>
          </w:tcPr>
          <w:p w:rsidR="00D15C78" w:rsidRPr="001D3A72" w:rsidRDefault="00D15C78" w:rsidP="00E03764">
            <w:pPr>
              <w:spacing w:before="60" w:after="0" w:line="240" w:lineRule="auto"/>
              <w:jc w:val="center"/>
              <w:rPr>
                <w:sz w:val="22"/>
                <w:szCs w:val="22"/>
              </w:rPr>
            </w:pPr>
            <w:r w:rsidRPr="001D3A72">
              <w:rPr>
                <w:sz w:val="22"/>
                <w:szCs w:val="22"/>
              </w:rPr>
              <w:t>4.1</w:t>
            </w:r>
          </w:p>
        </w:tc>
        <w:tc>
          <w:tcPr>
            <w:tcW w:w="1168" w:type="dxa"/>
            <w:tcBorders>
              <w:right w:val="outset" w:sz="6" w:space="0" w:color="auto"/>
            </w:tcBorders>
            <w:shd w:val="clear" w:color="auto" w:fill="auto"/>
            <w:vAlign w:val="center"/>
          </w:tcPr>
          <w:p w:rsidR="00D15C78" w:rsidRDefault="00D15C78">
            <w:pPr>
              <w:jc w:val="center"/>
              <w:rPr>
                <w:color w:val="000000"/>
                <w:sz w:val="22"/>
                <w:szCs w:val="22"/>
              </w:rPr>
            </w:pPr>
            <w:r>
              <w:rPr>
                <w:color w:val="000000"/>
                <w:sz w:val="22"/>
                <w:szCs w:val="22"/>
              </w:rPr>
              <w:t>59,478</w:t>
            </w:r>
          </w:p>
        </w:tc>
        <w:tc>
          <w:tcPr>
            <w:tcW w:w="1158" w:type="dxa"/>
            <w:tcBorders>
              <w:left w:val="outset" w:sz="6" w:space="0" w:color="auto"/>
            </w:tcBorders>
            <w:shd w:val="clear" w:color="auto" w:fill="auto"/>
            <w:vAlign w:val="center"/>
          </w:tcPr>
          <w:p w:rsidR="00D15C78" w:rsidRDefault="00D15C78">
            <w:pPr>
              <w:jc w:val="center"/>
              <w:rPr>
                <w:color w:val="000000"/>
                <w:sz w:val="22"/>
                <w:szCs w:val="22"/>
              </w:rPr>
            </w:pPr>
            <w:r>
              <w:rPr>
                <w:color w:val="000000"/>
                <w:sz w:val="22"/>
                <w:szCs w:val="22"/>
              </w:rPr>
              <w:t>93,792</w:t>
            </w:r>
          </w:p>
        </w:tc>
      </w:tr>
      <w:tr w:rsidR="00D15C78" w:rsidRPr="001D3A72" w:rsidTr="00D15C78">
        <w:trPr>
          <w:tblCellSpacing w:w="20" w:type="dxa"/>
          <w:jc w:val="center"/>
        </w:trPr>
        <w:tc>
          <w:tcPr>
            <w:tcW w:w="1700" w:type="dxa"/>
            <w:shd w:val="clear" w:color="auto" w:fill="auto"/>
          </w:tcPr>
          <w:p w:rsidR="00D15C78" w:rsidRPr="001D3A72" w:rsidRDefault="00D15C78" w:rsidP="001D3A72">
            <w:pPr>
              <w:pStyle w:val="a2"/>
              <w:spacing w:before="60" w:after="0" w:line="240" w:lineRule="auto"/>
              <w:rPr>
                <w:sz w:val="22"/>
                <w:szCs w:val="22"/>
                <w:rtl/>
              </w:rPr>
            </w:pPr>
            <w:r w:rsidRPr="001D3A72">
              <w:rPr>
                <w:rFonts w:hint="cs"/>
                <w:sz w:val="22"/>
                <w:szCs w:val="22"/>
                <w:rtl/>
              </w:rPr>
              <w:t>ל.ס.ד.</w:t>
            </w:r>
          </w:p>
        </w:tc>
        <w:tc>
          <w:tcPr>
            <w:tcW w:w="997" w:type="dxa"/>
            <w:tcBorders>
              <w:right w:val="outset" w:sz="6" w:space="0" w:color="auto"/>
            </w:tcBorders>
            <w:shd w:val="clear" w:color="auto" w:fill="auto"/>
            <w:vAlign w:val="center"/>
          </w:tcPr>
          <w:p w:rsidR="00D15C78" w:rsidRPr="001D3A72" w:rsidRDefault="00D15C78" w:rsidP="00E03764">
            <w:pPr>
              <w:spacing w:before="60" w:after="0" w:line="240" w:lineRule="auto"/>
              <w:jc w:val="center"/>
              <w:rPr>
                <w:sz w:val="22"/>
                <w:szCs w:val="22"/>
              </w:rPr>
            </w:pPr>
            <w:r w:rsidRPr="001D3A72">
              <w:rPr>
                <w:sz w:val="22"/>
                <w:szCs w:val="22"/>
              </w:rPr>
              <w:t>0.6</w:t>
            </w:r>
          </w:p>
        </w:tc>
        <w:tc>
          <w:tcPr>
            <w:tcW w:w="1125" w:type="dxa"/>
            <w:tcBorders>
              <w:left w:val="outset" w:sz="6" w:space="0" w:color="auto"/>
            </w:tcBorders>
            <w:shd w:val="clear" w:color="auto" w:fill="auto"/>
            <w:vAlign w:val="center"/>
          </w:tcPr>
          <w:p w:rsidR="00D15C78" w:rsidRPr="001D3A72" w:rsidRDefault="00D15C78" w:rsidP="00E03764">
            <w:pPr>
              <w:spacing w:before="60" w:after="0" w:line="240" w:lineRule="auto"/>
              <w:jc w:val="center"/>
              <w:rPr>
                <w:sz w:val="22"/>
                <w:szCs w:val="22"/>
              </w:rPr>
            </w:pPr>
            <w:r w:rsidRPr="001D3A72">
              <w:rPr>
                <w:sz w:val="22"/>
                <w:szCs w:val="22"/>
              </w:rPr>
              <w:t>1.5</w:t>
            </w:r>
          </w:p>
        </w:tc>
        <w:tc>
          <w:tcPr>
            <w:tcW w:w="1168" w:type="dxa"/>
            <w:tcBorders>
              <w:right w:val="outset" w:sz="6" w:space="0" w:color="auto"/>
            </w:tcBorders>
            <w:shd w:val="clear" w:color="auto" w:fill="auto"/>
            <w:vAlign w:val="center"/>
          </w:tcPr>
          <w:p w:rsidR="00D15C78" w:rsidRDefault="00D15C78" w:rsidP="00325292">
            <w:pPr>
              <w:jc w:val="center"/>
              <w:rPr>
                <w:color w:val="000000"/>
                <w:sz w:val="22"/>
                <w:szCs w:val="22"/>
              </w:rPr>
            </w:pPr>
            <w:r>
              <w:rPr>
                <w:color w:val="000000"/>
                <w:sz w:val="22"/>
                <w:szCs w:val="22"/>
              </w:rPr>
              <w:t>13,726</w:t>
            </w:r>
          </w:p>
        </w:tc>
        <w:tc>
          <w:tcPr>
            <w:tcW w:w="1158" w:type="dxa"/>
            <w:tcBorders>
              <w:left w:val="outset" w:sz="6" w:space="0" w:color="auto"/>
            </w:tcBorders>
            <w:shd w:val="clear" w:color="auto" w:fill="auto"/>
            <w:vAlign w:val="center"/>
          </w:tcPr>
          <w:p w:rsidR="00D15C78" w:rsidRDefault="00D15C78" w:rsidP="00325292">
            <w:pPr>
              <w:jc w:val="center"/>
              <w:rPr>
                <w:color w:val="000000"/>
                <w:sz w:val="22"/>
                <w:szCs w:val="22"/>
              </w:rPr>
            </w:pPr>
            <w:r>
              <w:rPr>
                <w:color w:val="000000"/>
                <w:sz w:val="22"/>
                <w:szCs w:val="22"/>
              </w:rPr>
              <w:t>34,314</w:t>
            </w:r>
          </w:p>
        </w:tc>
      </w:tr>
      <w:tr w:rsidR="00D15C78" w:rsidRPr="001D3A72" w:rsidTr="00D15C78">
        <w:trPr>
          <w:tblCellSpacing w:w="20" w:type="dxa"/>
          <w:jc w:val="center"/>
        </w:trPr>
        <w:tc>
          <w:tcPr>
            <w:tcW w:w="1700" w:type="dxa"/>
            <w:shd w:val="clear" w:color="auto" w:fill="auto"/>
          </w:tcPr>
          <w:p w:rsidR="00D15C78" w:rsidRPr="001D3A72" w:rsidRDefault="00D15C78" w:rsidP="001D3A72">
            <w:pPr>
              <w:pStyle w:val="a2"/>
              <w:spacing w:before="60" w:after="0" w:line="240" w:lineRule="auto"/>
              <w:rPr>
                <w:sz w:val="22"/>
                <w:szCs w:val="22"/>
                <w:rtl/>
              </w:rPr>
            </w:pPr>
            <w:r w:rsidRPr="001D3A72">
              <w:rPr>
                <w:rFonts w:hint="cs"/>
                <w:sz w:val="22"/>
                <w:szCs w:val="22"/>
                <w:rtl/>
              </w:rPr>
              <w:t>אקסטזי</w:t>
            </w:r>
          </w:p>
        </w:tc>
        <w:tc>
          <w:tcPr>
            <w:tcW w:w="997" w:type="dxa"/>
            <w:tcBorders>
              <w:right w:val="outset" w:sz="6" w:space="0" w:color="auto"/>
            </w:tcBorders>
            <w:shd w:val="clear" w:color="auto" w:fill="auto"/>
            <w:vAlign w:val="center"/>
          </w:tcPr>
          <w:p w:rsidR="00D15C78" w:rsidRPr="001D3A72" w:rsidRDefault="00D15C78" w:rsidP="00E03764">
            <w:pPr>
              <w:spacing w:before="60" w:after="0" w:line="240" w:lineRule="auto"/>
              <w:jc w:val="center"/>
              <w:rPr>
                <w:sz w:val="22"/>
                <w:szCs w:val="22"/>
              </w:rPr>
            </w:pPr>
            <w:r w:rsidRPr="001D3A72">
              <w:rPr>
                <w:sz w:val="22"/>
                <w:szCs w:val="22"/>
              </w:rPr>
              <w:t>0.7</w:t>
            </w:r>
          </w:p>
        </w:tc>
        <w:tc>
          <w:tcPr>
            <w:tcW w:w="1125" w:type="dxa"/>
            <w:tcBorders>
              <w:left w:val="outset" w:sz="6" w:space="0" w:color="auto"/>
            </w:tcBorders>
            <w:shd w:val="clear" w:color="auto" w:fill="auto"/>
            <w:vAlign w:val="center"/>
          </w:tcPr>
          <w:p w:rsidR="00D15C78" w:rsidRPr="001D3A72" w:rsidRDefault="00D15C78" w:rsidP="00E03764">
            <w:pPr>
              <w:spacing w:before="60" w:after="0" w:line="240" w:lineRule="auto"/>
              <w:jc w:val="center"/>
              <w:rPr>
                <w:sz w:val="22"/>
                <w:szCs w:val="22"/>
              </w:rPr>
            </w:pPr>
            <w:r w:rsidRPr="001D3A72">
              <w:rPr>
                <w:sz w:val="22"/>
                <w:szCs w:val="22"/>
              </w:rPr>
              <w:t>1.4</w:t>
            </w:r>
          </w:p>
        </w:tc>
        <w:tc>
          <w:tcPr>
            <w:tcW w:w="1168" w:type="dxa"/>
            <w:tcBorders>
              <w:right w:val="outset" w:sz="6" w:space="0" w:color="auto"/>
            </w:tcBorders>
            <w:shd w:val="clear" w:color="auto" w:fill="auto"/>
            <w:vAlign w:val="center"/>
          </w:tcPr>
          <w:p w:rsidR="00D15C78" w:rsidRDefault="00D15C78" w:rsidP="00325292">
            <w:pPr>
              <w:jc w:val="center"/>
              <w:rPr>
                <w:color w:val="000000"/>
                <w:sz w:val="22"/>
                <w:szCs w:val="22"/>
              </w:rPr>
            </w:pPr>
            <w:r>
              <w:rPr>
                <w:color w:val="000000"/>
                <w:sz w:val="22"/>
                <w:szCs w:val="22"/>
              </w:rPr>
              <w:t>16,013</w:t>
            </w:r>
          </w:p>
        </w:tc>
        <w:tc>
          <w:tcPr>
            <w:tcW w:w="1158" w:type="dxa"/>
            <w:tcBorders>
              <w:left w:val="outset" w:sz="6" w:space="0" w:color="auto"/>
            </w:tcBorders>
            <w:shd w:val="clear" w:color="auto" w:fill="auto"/>
            <w:vAlign w:val="center"/>
          </w:tcPr>
          <w:p w:rsidR="00D15C78" w:rsidRDefault="00D15C78" w:rsidP="00325292">
            <w:pPr>
              <w:jc w:val="center"/>
              <w:rPr>
                <w:color w:val="000000"/>
                <w:sz w:val="22"/>
                <w:szCs w:val="22"/>
              </w:rPr>
            </w:pPr>
            <w:r>
              <w:rPr>
                <w:color w:val="000000"/>
                <w:sz w:val="22"/>
                <w:szCs w:val="22"/>
              </w:rPr>
              <w:t>32,026</w:t>
            </w:r>
          </w:p>
        </w:tc>
      </w:tr>
      <w:tr w:rsidR="00D15C78" w:rsidRPr="001D3A72" w:rsidTr="00D15C78">
        <w:trPr>
          <w:tblCellSpacing w:w="20" w:type="dxa"/>
          <w:jc w:val="center"/>
        </w:trPr>
        <w:tc>
          <w:tcPr>
            <w:tcW w:w="1700" w:type="dxa"/>
            <w:shd w:val="clear" w:color="auto" w:fill="auto"/>
          </w:tcPr>
          <w:p w:rsidR="00D15C78" w:rsidRPr="001D3A72" w:rsidRDefault="00D15C78" w:rsidP="001D3A72">
            <w:pPr>
              <w:pStyle w:val="a2"/>
              <w:spacing w:before="60" w:after="0" w:line="240" w:lineRule="auto"/>
              <w:rPr>
                <w:sz w:val="22"/>
                <w:szCs w:val="22"/>
                <w:rtl/>
              </w:rPr>
            </w:pPr>
            <w:r w:rsidRPr="001D3A72">
              <w:rPr>
                <w:rFonts w:hint="cs"/>
                <w:sz w:val="22"/>
                <w:szCs w:val="22"/>
                <w:rtl/>
              </w:rPr>
              <w:t>קוקאין</w:t>
            </w:r>
          </w:p>
        </w:tc>
        <w:tc>
          <w:tcPr>
            <w:tcW w:w="997" w:type="dxa"/>
            <w:tcBorders>
              <w:right w:val="outset" w:sz="6" w:space="0" w:color="auto"/>
            </w:tcBorders>
            <w:shd w:val="clear" w:color="auto" w:fill="auto"/>
            <w:vAlign w:val="center"/>
          </w:tcPr>
          <w:p w:rsidR="00D15C78" w:rsidRPr="001D3A72" w:rsidRDefault="00D15C78" w:rsidP="00E03764">
            <w:pPr>
              <w:spacing w:before="60" w:after="0" w:line="240" w:lineRule="auto"/>
              <w:jc w:val="center"/>
              <w:rPr>
                <w:sz w:val="22"/>
                <w:szCs w:val="22"/>
              </w:rPr>
            </w:pPr>
            <w:r w:rsidRPr="001D3A72">
              <w:rPr>
                <w:sz w:val="22"/>
                <w:szCs w:val="22"/>
              </w:rPr>
              <w:t>0.6</w:t>
            </w:r>
          </w:p>
        </w:tc>
        <w:tc>
          <w:tcPr>
            <w:tcW w:w="1125" w:type="dxa"/>
            <w:tcBorders>
              <w:left w:val="outset" w:sz="6" w:space="0" w:color="auto"/>
            </w:tcBorders>
            <w:shd w:val="clear" w:color="auto" w:fill="auto"/>
            <w:vAlign w:val="center"/>
          </w:tcPr>
          <w:p w:rsidR="00D15C78" w:rsidRPr="001D3A72" w:rsidRDefault="00D15C78" w:rsidP="00E03764">
            <w:pPr>
              <w:spacing w:before="60" w:after="0" w:line="240" w:lineRule="auto"/>
              <w:jc w:val="center"/>
              <w:rPr>
                <w:sz w:val="22"/>
                <w:szCs w:val="22"/>
              </w:rPr>
            </w:pPr>
            <w:r w:rsidRPr="001D3A72">
              <w:rPr>
                <w:sz w:val="22"/>
                <w:szCs w:val="22"/>
              </w:rPr>
              <w:t>1.3</w:t>
            </w:r>
          </w:p>
        </w:tc>
        <w:tc>
          <w:tcPr>
            <w:tcW w:w="1168" w:type="dxa"/>
            <w:tcBorders>
              <w:right w:val="outset" w:sz="6" w:space="0" w:color="auto"/>
            </w:tcBorders>
            <w:shd w:val="clear" w:color="auto" w:fill="auto"/>
            <w:vAlign w:val="center"/>
          </w:tcPr>
          <w:p w:rsidR="00D15C78" w:rsidRDefault="00D15C78">
            <w:pPr>
              <w:jc w:val="center"/>
              <w:rPr>
                <w:color w:val="000000"/>
                <w:sz w:val="22"/>
                <w:szCs w:val="22"/>
              </w:rPr>
            </w:pPr>
            <w:r>
              <w:rPr>
                <w:color w:val="000000"/>
                <w:sz w:val="22"/>
                <w:szCs w:val="22"/>
              </w:rPr>
              <w:t>13,726</w:t>
            </w:r>
          </w:p>
        </w:tc>
        <w:tc>
          <w:tcPr>
            <w:tcW w:w="1158" w:type="dxa"/>
            <w:tcBorders>
              <w:left w:val="outset" w:sz="6" w:space="0" w:color="auto"/>
            </w:tcBorders>
            <w:shd w:val="clear" w:color="auto" w:fill="auto"/>
            <w:vAlign w:val="center"/>
          </w:tcPr>
          <w:p w:rsidR="00D15C78" w:rsidRDefault="00D15C78">
            <w:pPr>
              <w:jc w:val="center"/>
              <w:rPr>
                <w:color w:val="000000"/>
                <w:sz w:val="22"/>
                <w:szCs w:val="22"/>
              </w:rPr>
            </w:pPr>
            <w:r>
              <w:rPr>
                <w:color w:val="000000"/>
                <w:sz w:val="22"/>
                <w:szCs w:val="22"/>
              </w:rPr>
              <w:t>29,739</w:t>
            </w:r>
          </w:p>
        </w:tc>
      </w:tr>
    </w:tbl>
    <w:p w:rsidR="00A84B70" w:rsidRPr="00BB6388" w:rsidRDefault="00A84B70" w:rsidP="00BB6388">
      <w:pPr>
        <w:pStyle w:val="a2"/>
        <w:spacing w:before="0" w:after="0" w:line="360" w:lineRule="auto"/>
        <w:rPr>
          <w:rtl/>
        </w:rPr>
      </w:pPr>
    </w:p>
    <w:p w:rsidR="00A84B70" w:rsidRDefault="00A84B70" w:rsidP="00BB6388">
      <w:pPr>
        <w:pStyle w:val="a2"/>
        <w:spacing w:before="0" w:after="0" w:line="360" w:lineRule="auto"/>
        <w:rPr>
          <w:rtl/>
        </w:rPr>
      </w:pPr>
      <w:r w:rsidRPr="00BB6388">
        <w:rPr>
          <w:rFonts w:hint="cs"/>
          <w:rtl/>
        </w:rPr>
        <w:t xml:space="preserve">כפי שניתן לראות מהטבלה, </w:t>
      </w:r>
      <w:r w:rsidRPr="00BB6388">
        <w:rPr>
          <w:rFonts w:hint="cs"/>
          <w:b/>
          <w:bCs/>
          <w:rtl/>
        </w:rPr>
        <w:t xml:space="preserve">נכון לשנת </w:t>
      </w:r>
      <w:r w:rsidR="00C72354" w:rsidRPr="00BB6388">
        <w:rPr>
          <w:rFonts w:hint="cs"/>
          <w:b/>
          <w:bCs/>
          <w:rtl/>
        </w:rPr>
        <w:t>2009</w:t>
      </w:r>
      <w:r w:rsidRPr="00BB6388">
        <w:rPr>
          <w:rFonts w:hint="cs"/>
          <w:b/>
          <w:bCs/>
          <w:rtl/>
        </w:rPr>
        <w:t>, קנביס היה הסם הנפוץ ביותר בשימוש בקרב בני ה- 18 עד 40 בישראל, עם אמדן של כ- 173,858 עד 233,335 משתמשים (כ- 7.6%-10.2% מכלל אוכלוסיה זו).</w:t>
      </w:r>
      <w:r w:rsidRPr="00BB6388">
        <w:rPr>
          <w:rFonts w:hint="cs"/>
          <w:rtl/>
        </w:rPr>
        <w:t xml:space="preserve"> כאמור, לא קיימים נכון להיום נתונים עדכניים יותר בדבר היקף וסוג השימוש בסמים באוכלוסייה הבוגרת בישראל.</w:t>
      </w:r>
    </w:p>
    <w:p w:rsidR="007B5846" w:rsidRDefault="007B5846" w:rsidP="00BB6388">
      <w:pPr>
        <w:pStyle w:val="a2"/>
        <w:spacing w:before="0" w:after="0" w:line="360" w:lineRule="auto"/>
        <w:rPr>
          <w:rtl/>
        </w:rPr>
      </w:pPr>
    </w:p>
    <w:p w:rsidR="007B5846" w:rsidRPr="00BB6388" w:rsidRDefault="007B5846" w:rsidP="00BB6388">
      <w:pPr>
        <w:pStyle w:val="a2"/>
        <w:spacing w:before="0" w:after="0" w:line="360" w:lineRule="auto"/>
        <w:rPr>
          <w:rtl/>
        </w:rPr>
      </w:pPr>
    </w:p>
    <w:p w:rsidR="00A84B70" w:rsidRPr="00BB6388" w:rsidRDefault="00A84B70" w:rsidP="00BB6388">
      <w:pPr>
        <w:pStyle w:val="4"/>
        <w:rPr>
          <w:rtl/>
        </w:rPr>
      </w:pPr>
      <w:bookmarkStart w:id="57" w:name="_Toc419963025"/>
      <w:r w:rsidRPr="00BB6388">
        <w:rPr>
          <w:rFonts w:hint="cs"/>
          <w:rtl/>
        </w:rPr>
        <w:t>עמדות בוגרים בישראל כלפי שימוש בסמים</w:t>
      </w:r>
      <w:bookmarkEnd w:id="57"/>
    </w:p>
    <w:p w:rsidR="00A84B70" w:rsidRPr="00BB6388" w:rsidRDefault="00A84B70" w:rsidP="00BB6388">
      <w:pPr>
        <w:pStyle w:val="a2"/>
        <w:spacing w:before="0" w:after="0" w:line="360" w:lineRule="auto"/>
        <w:rPr>
          <w:rtl/>
        </w:rPr>
      </w:pPr>
      <w:r w:rsidRPr="00BB6388">
        <w:rPr>
          <w:rFonts w:hint="cs"/>
          <w:rtl/>
        </w:rPr>
        <w:t>בנוסף למחקרים האפידמיולוגיים, מבצעת הרשות גם מספר סקרים שנתיים המתבססים על מאגרי משיבים של חברות סקרים. מטרתם של סקרים אלו, המכונים סקרי 'יד על הדופק', היא בחינת הידע, העמדות והתפיסות בנוגע לשימוש בסמים ובאלכוהול בקרב אוכלוסיות שונות בישראל</w:t>
      </w:r>
      <w:r w:rsidRPr="005D1D18">
        <w:rPr>
          <w:rFonts w:hint="cs"/>
          <w:b/>
          <w:bCs/>
          <w:rtl/>
        </w:rPr>
        <w:t>. בסקר האחרון, שנערך ביוני 2014, הוגדרה אוכלוסיית הבוגרים כבני 40-22</w:t>
      </w:r>
      <w:r w:rsidRPr="00BB6388">
        <w:rPr>
          <w:rFonts w:hint="cs"/>
          <w:rtl/>
        </w:rPr>
        <w:t xml:space="preserve"> והיא מנתה 505 משיבים.</w:t>
      </w:r>
      <w:r w:rsidRPr="00BB6388">
        <w:rPr>
          <w:rStyle w:val="ab"/>
          <w:rtl/>
        </w:rPr>
        <w:footnoteReference w:id="66"/>
      </w:r>
      <w:r w:rsidRPr="00BB6388">
        <w:rPr>
          <w:rFonts w:hint="cs"/>
          <w:rtl/>
        </w:rPr>
        <w:t xml:space="preserve"> להלן מספר ממצאים מסקר זה:</w:t>
      </w:r>
    </w:p>
    <w:p w:rsidR="00A84B70" w:rsidRPr="0065686F" w:rsidRDefault="00A84B70" w:rsidP="000909E2">
      <w:pPr>
        <w:pStyle w:val="a2"/>
        <w:numPr>
          <w:ilvl w:val="0"/>
          <w:numId w:val="16"/>
        </w:numPr>
        <w:spacing w:before="0" w:after="0" w:line="360" w:lineRule="auto"/>
      </w:pPr>
      <w:r w:rsidRPr="00BB6388">
        <w:rPr>
          <w:rFonts w:hint="cs"/>
          <w:rtl/>
        </w:rPr>
        <w:t xml:space="preserve">בהתייחס </w:t>
      </w:r>
      <w:r w:rsidRPr="002067BF">
        <w:rPr>
          <w:rFonts w:hint="cs"/>
          <w:rtl/>
        </w:rPr>
        <w:t>לשאלה בדבר החמרת הענישה כלפי משתמשי וצרכני סמים</w:t>
      </w:r>
      <w:r w:rsidRPr="00BB6388">
        <w:rPr>
          <w:rFonts w:hint="cs"/>
          <w:rtl/>
        </w:rPr>
        <w:t xml:space="preserve">, עמדת 40% מהנשאלים הייתה כי הם בעד החמרת הענישה, 35% השיבו כי יש לחייב את המשתמשים לעבור טיפול, ו- 25% כי </w:t>
      </w:r>
      <w:r w:rsidR="00EE094E" w:rsidRPr="0065686F">
        <w:rPr>
          <w:rFonts w:hint="cs"/>
          <w:rtl/>
        </w:rPr>
        <w:t>'</w:t>
      </w:r>
      <w:r w:rsidRPr="0065686F">
        <w:rPr>
          <w:rFonts w:hint="cs"/>
          <w:rtl/>
        </w:rPr>
        <w:t xml:space="preserve">יש </w:t>
      </w:r>
      <w:r w:rsidRPr="0065686F">
        <w:rPr>
          <w:rFonts w:hint="eastAsia"/>
          <w:rtl/>
        </w:rPr>
        <w:t>לעזוב</w:t>
      </w:r>
      <w:r w:rsidRPr="0065686F">
        <w:rPr>
          <w:rtl/>
        </w:rPr>
        <w:t xml:space="preserve"> </w:t>
      </w:r>
      <w:r w:rsidRPr="0065686F">
        <w:rPr>
          <w:rFonts w:hint="eastAsia"/>
          <w:rtl/>
        </w:rPr>
        <w:t>את</w:t>
      </w:r>
      <w:r w:rsidRPr="0065686F">
        <w:rPr>
          <w:rtl/>
        </w:rPr>
        <w:t xml:space="preserve"> </w:t>
      </w:r>
      <w:r w:rsidRPr="0065686F">
        <w:rPr>
          <w:rFonts w:hint="eastAsia"/>
          <w:rtl/>
        </w:rPr>
        <w:t>המשתמשים</w:t>
      </w:r>
      <w:r w:rsidRPr="0065686F">
        <w:rPr>
          <w:rtl/>
        </w:rPr>
        <w:t xml:space="preserve"> </w:t>
      </w:r>
      <w:r w:rsidRPr="0065686F">
        <w:rPr>
          <w:rFonts w:hint="eastAsia"/>
          <w:rtl/>
        </w:rPr>
        <w:t>לנפשם</w:t>
      </w:r>
      <w:r w:rsidR="00EE094E" w:rsidRPr="0065686F">
        <w:rPr>
          <w:rFonts w:hint="cs"/>
          <w:rtl/>
        </w:rPr>
        <w:t>'</w:t>
      </w:r>
      <w:r w:rsidR="009F57BB" w:rsidRPr="0065686F">
        <w:rPr>
          <w:rFonts w:hint="cs"/>
          <w:rtl/>
        </w:rPr>
        <w:t xml:space="preserve">. </w:t>
      </w:r>
    </w:p>
    <w:p w:rsidR="00A84B70" w:rsidRPr="00BB6388" w:rsidRDefault="00A84B70" w:rsidP="00DC2DB0">
      <w:pPr>
        <w:pStyle w:val="a2"/>
        <w:numPr>
          <w:ilvl w:val="0"/>
          <w:numId w:val="16"/>
        </w:numPr>
        <w:spacing w:before="0" w:after="0" w:line="360" w:lineRule="auto"/>
      </w:pPr>
      <w:r w:rsidRPr="00BB6388">
        <w:rPr>
          <w:rFonts w:hint="cs"/>
          <w:rtl/>
        </w:rPr>
        <w:t>בנוגע לתפיסת הסיכון הכרוך בשימוש בסמים, מבחינת בריאות ותפקוד, הבחין הסקר בין שימוש במריחואנה ובין שימוש ב'סמי פיצוציות'. בהתייחס למריחואנה, 46% מבין המשיבים בגילאי 40-22 קבעו כי מדובר בסיכון גבוה מאוד או גבוה למדי, 21% כי מדובר בסיכון בינוני, ו- 32% כי מדובר בסיכון נמוך או כי לא קיים סיכון כלל.</w:t>
      </w:r>
      <w:r w:rsidRPr="00BB6388">
        <w:rPr>
          <w:rStyle w:val="ab"/>
          <w:rtl/>
        </w:rPr>
        <w:footnoteReference w:id="67"/>
      </w:r>
      <w:r w:rsidRPr="00BB6388">
        <w:rPr>
          <w:rFonts w:hint="cs"/>
          <w:rtl/>
        </w:rPr>
        <w:t xml:space="preserve"> הנתונים שונים מאוד באוכלוסייה זו בהתייחס ל'סמי פיצוציות': 92% מהמשיבים הביעו את התפיסה כי השימוש בסמים אלו כרוך בסיכון גבוה מאוד או גבוה למדי, 5% כי מדובר בסיכון בינוני, ו- 3% בלבד כי מדובר בסיכון נמוך או כי לא קיים סיכון כלל.</w:t>
      </w:r>
    </w:p>
    <w:p w:rsidR="00A84B70" w:rsidRPr="00BB6388" w:rsidRDefault="00A84B70" w:rsidP="00DC2DB0">
      <w:pPr>
        <w:pStyle w:val="a2"/>
        <w:numPr>
          <w:ilvl w:val="0"/>
          <w:numId w:val="16"/>
        </w:numPr>
        <w:spacing w:before="0" w:after="0" w:line="360" w:lineRule="auto"/>
        <w:rPr>
          <w:rtl/>
        </w:rPr>
      </w:pPr>
      <w:r w:rsidRPr="00BB6388">
        <w:rPr>
          <w:rFonts w:hint="cs"/>
          <w:rtl/>
        </w:rPr>
        <w:t xml:space="preserve"> 90% מהמבוגרים היו גם בעד סגירת פיצוציות המוכרות לקטינים אלכוהול או 'סמי פיצוציות'. </w:t>
      </w:r>
    </w:p>
    <w:p w:rsidR="00A84B70" w:rsidRPr="00BB6388" w:rsidRDefault="00A84B70" w:rsidP="00BB6388">
      <w:pPr>
        <w:pStyle w:val="4"/>
      </w:pPr>
      <w:bookmarkStart w:id="58" w:name="_Toc418585075"/>
      <w:bookmarkStart w:id="59" w:name="_Toc419963026"/>
      <w:r w:rsidRPr="00BB6388">
        <w:rPr>
          <w:rFonts w:hint="cs"/>
          <w:rtl/>
        </w:rPr>
        <w:t>היקף השימוש בסמים בקרב</w:t>
      </w:r>
      <w:bookmarkEnd w:id="58"/>
      <w:r w:rsidRPr="00BB6388">
        <w:rPr>
          <w:rFonts w:hint="cs"/>
          <w:rtl/>
        </w:rPr>
        <w:t xml:space="preserve"> נוער בישראל</w:t>
      </w:r>
      <w:bookmarkEnd w:id="59"/>
    </w:p>
    <w:p w:rsidR="00A84B70" w:rsidRPr="00BB6388" w:rsidRDefault="009115F6" w:rsidP="005D1D18">
      <w:pPr>
        <w:pStyle w:val="a2"/>
        <w:spacing w:line="360" w:lineRule="auto"/>
        <w:rPr>
          <w:rtl/>
        </w:rPr>
      </w:pPr>
      <w:r w:rsidRPr="00BB6388">
        <w:rPr>
          <w:rFonts w:hint="cs"/>
          <w:rtl/>
        </w:rPr>
        <w:t xml:space="preserve">בפרק זה יוצגו </w:t>
      </w:r>
      <w:r w:rsidR="00A84B70" w:rsidRPr="00BB6388">
        <w:rPr>
          <w:rFonts w:hint="cs"/>
          <w:rtl/>
        </w:rPr>
        <w:t xml:space="preserve">נתוני הרשות בנוגע לשימוש בסמים בקרב נוער בישראל </w:t>
      </w:r>
      <w:r w:rsidRPr="00BB6388">
        <w:rPr>
          <w:rFonts w:hint="cs"/>
          <w:rtl/>
        </w:rPr>
        <w:t>ה</w:t>
      </w:r>
      <w:r w:rsidR="00A84B70" w:rsidRPr="00BB6388">
        <w:rPr>
          <w:rFonts w:hint="cs"/>
          <w:rtl/>
        </w:rPr>
        <w:t xml:space="preserve">מתייחסים לכמה תתי-קבוצות באוכלוסיה זו: נתוני </w:t>
      </w:r>
      <w:r w:rsidR="00A84B70" w:rsidRPr="00BB6388">
        <w:rPr>
          <w:rFonts w:hint="cs"/>
          <w:b/>
          <w:bCs/>
          <w:rtl/>
        </w:rPr>
        <w:t>היקף שימוש עבור נוער הלומד בבתי-הספר</w:t>
      </w:r>
      <w:r w:rsidR="00A84B70" w:rsidRPr="00BB6388">
        <w:rPr>
          <w:rFonts w:hint="cs"/>
          <w:rtl/>
        </w:rPr>
        <w:t xml:space="preserve"> שבפיקוח משרד החינוך</w:t>
      </w:r>
      <w:r w:rsidR="00DD0733" w:rsidRPr="00BB6388">
        <w:rPr>
          <w:rFonts w:hint="cs"/>
          <w:rtl/>
        </w:rPr>
        <w:t>, עם נתונים עדכניים נכון ל- 2011</w:t>
      </w:r>
      <w:r w:rsidR="00A611DF" w:rsidRPr="00BB6388">
        <w:rPr>
          <w:rFonts w:hint="cs"/>
          <w:rtl/>
        </w:rPr>
        <w:t xml:space="preserve">; </w:t>
      </w:r>
      <w:r w:rsidR="00A84B70" w:rsidRPr="00BB6388">
        <w:rPr>
          <w:rFonts w:hint="cs"/>
          <w:rtl/>
        </w:rPr>
        <w:t xml:space="preserve">נתוני </w:t>
      </w:r>
      <w:r w:rsidR="00A84B70" w:rsidRPr="00BB6388">
        <w:rPr>
          <w:rFonts w:hint="cs"/>
          <w:b/>
          <w:bCs/>
          <w:rtl/>
        </w:rPr>
        <w:t>היקף שימוש עבור</w:t>
      </w:r>
      <w:r w:rsidR="00A84B70" w:rsidRPr="00BB6388">
        <w:rPr>
          <w:rFonts w:hint="cs"/>
          <w:rtl/>
        </w:rPr>
        <w:t xml:space="preserve"> </w:t>
      </w:r>
      <w:r w:rsidR="00A84B70" w:rsidRPr="00BB6388">
        <w:rPr>
          <w:rFonts w:hint="cs"/>
          <w:b/>
          <w:bCs/>
          <w:rtl/>
        </w:rPr>
        <w:t>נוער 'מנותק'</w:t>
      </w:r>
      <w:r w:rsidR="00DD0733" w:rsidRPr="00BB6388">
        <w:rPr>
          <w:rFonts w:hint="cs"/>
          <w:rtl/>
        </w:rPr>
        <w:t xml:space="preserve"> המטופל ביחידות לקידום נוער, עם נתונים עדכניים נכון ל- 2009</w:t>
      </w:r>
      <w:r w:rsidR="00A611DF" w:rsidRPr="00BB6388">
        <w:rPr>
          <w:rFonts w:hint="cs"/>
          <w:rtl/>
        </w:rPr>
        <w:t>; ו</w:t>
      </w:r>
      <w:r w:rsidR="00A84B70" w:rsidRPr="00BB6388">
        <w:rPr>
          <w:rFonts w:hint="cs"/>
          <w:rtl/>
        </w:rPr>
        <w:t xml:space="preserve">נתוני </w:t>
      </w:r>
      <w:r w:rsidR="00A84B70" w:rsidRPr="00BB6388">
        <w:rPr>
          <w:rFonts w:hint="cs"/>
          <w:b/>
          <w:bCs/>
          <w:rtl/>
        </w:rPr>
        <w:t>עמדות בקרב הנוער בכללו</w:t>
      </w:r>
      <w:r w:rsidR="00A84B70" w:rsidRPr="00BB6388">
        <w:rPr>
          <w:rFonts w:hint="cs"/>
          <w:rtl/>
        </w:rPr>
        <w:t xml:space="preserve"> בנוגע לשימוש בסמים</w:t>
      </w:r>
      <w:r w:rsidR="00A611DF" w:rsidRPr="00BB6388">
        <w:rPr>
          <w:rFonts w:hint="cs"/>
          <w:rtl/>
        </w:rPr>
        <w:t>, משנת 2014.</w:t>
      </w:r>
      <w:r w:rsidR="005D1D18">
        <w:rPr>
          <w:rFonts w:hint="cs"/>
          <w:rtl/>
        </w:rPr>
        <w:t xml:space="preserve"> כפי שניתן לראות, </w:t>
      </w:r>
      <w:r w:rsidR="005D1D18" w:rsidRPr="006A372A">
        <w:rPr>
          <w:rFonts w:hint="cs"/>
          <w:b/>
          <w:bCs/>
          <w:rtl/>
        </w:rPr>
        <w:t>מדובר בקבוצות בעלות מאפיינים שונים שנדגמו בנקודות זמן שונות, מה שמקשה על שרטוטה של תמונה משותפת וכללית בעבור 'נוער בישראל'</w:t>
      </w:r>
      <w:r w:rsidR="005D1D18">
        <w:rPr>
          <w:rFonts w:hint="cs"/>
          <w:rtl/>
        </w:rPr>
        <w:t>.</w:t>
      </w:r>
    </w:p>
    <w:p w:rsidR="00A84B70" w:rsidRPr="00BB6388" w:rsidRDefault="00A84B70" w:rsidP="00BB6388">
      <w:pPr>
        <w:pStyle w:val="a2"/>
        <w:spacing w:line="360" w:lineRule="auto"/>
        <w:rPr>
          <w:b/>
          <w:bCs/>
          <w:rtl/>
        </w:rPr>
      </w:pPr>
      <w:r w:rsidRPr="00BB6388">
        <w:rPr>
          <w:rFonts w:hint="cs"/>
          <w:b/>
          <w:bCs/>
          <w:rtl/>
        </w:rPr>
        <w:t>היקף שימוש בקרב נוער לומד</w:t>
      </w:r>
    </w:p>
    <w:p w:rsidR="00A84B70" w:rsidRPr="00BB6388" w:rsidRDefault="00A84B70" w:rsidP="00BB6388">
      <w:pPr>
        <w:pStyle w:val="a2"/>
        <w:spacing w:line="360" w:lineRule="auto"/>
        <w:rPr>
          <w:rtl/>
        </w:rPr>
      </w:pPr>
      <w:r w:rsidRPr="00BB6388">
        <w:rPr>
          <w:rFonts w:hint="cs"/>
          <w:b/>
          <w:bCs/>
          <w:rtl/>
        </w:rPr>
        <w:t>נתוני הרשות העדכניים ביותר בנוגע לשימוש בסמים בקרב תלמידי בתי-ספר בישראל הם משנת 2011</w:t>
      </w:r>
      <w:r w:rsidRPr="00BB6388">
        <w:rPr>
          <w:rFonts w:hint="cs"/>
          <w:rtl/>
        </w:rPr>
        <w:t>. הנתונים נאספו על-ידי הרשות בשיתוף בית-הספר לחינוך באוניברסיטת בר-אילן במסגרת סקר בינלאומי הנערך אחת לארבע שנים על-ידי ארגון הבריאות העולמי (</w:t>
      </w:r>
      <w:r w:rsidRPr="00BB6388">
        <w:t>HBSC</w:t>
      </w:r>
      <w:r w:rsidRPr="00BB6388">
        <w:rPr>
          <w:rFonts w:hint="cs"/>
          <w:rtl/>
        </w:rPr>
        <w:t>-</w:t>
      </w:r>
      <w:r w:rsidRPr="00BB6388">
        <w:t>WHO</w:t>
      </w:r>
      <w:r w:rsidRPr="00BB6388">
        <w:rPr>
          <w:rFonts w:hint="cs"/>
          <w:rtl/>
        </w:rPr>
        <w:t>), וזאת רק בבתי-ספר שהם בפיקוח משרד החינוך.</w:t>
      </w:r>
      <w:r w:rsidRPr="00BB6388">
        <w:rPr>
          <w:rStyle w:val="ab"/>
          <w:rtl/>
        </w:rPr>
        <w:footnoteReference w:id="68"/>
      </w:r>
      <w:r w:rsidRPr="00BB6388">
        <w:rPr>
          <w:rFonts w:hint="cs"/>
          <w:rtl/>
        </w:rPr>
        <w:t xml:space="preserve">  מטרת הסקר היא אומד</w:t>
      </w:r>
      <w:r w:rsidRPr="00BB6388">
        <w:rPr>
          <w:rFonts w:hint="eastAsia"/>
          <w:rtl/>
        </w:rPr>
        <w:t>ן</w:t>
      </w:r>
      <w:r w:rsidRPr="00BB6388">
        <w:rPr>
          <w:rFonts w:hint="cs"/>
          <w:rtl/>
        </w:rPr>
        <w:t xml:space="preserve"> דפוסי שימוש בחומרים פסיכואקטיביים, בירור תפיסות בקרב התלמידים בנוגע לשימוש בחומרים אלו, ואפיון קבוצות הנמצאות בסיכון לשימוש בהם. המחקר נערך בקרב תלמידי כיתות ו', ח', י', י"א ו- י"ב בבתי הספר הנמצאים בפיקוח משרד החינוך, אך שאלות בנוגע לסמים נשאלו רק בקרב תלמידי כיתות י'-י"ב, ובמקרים של סמים מסויימים רק בקרב תלמידי כיתות י"א-י"ב. </w:t>
      </w:r>
    </w:p>
    <w:p w:rsidR="00A84B70" w:rsidRPr="00BB6388" w:rsidRDefault="00A84B70" w:rsidP="005E2280">
      <w:pPr>
        <w:pStyle w:val="a2"/>
        <w:spacing w:line="360" w:lineRule="auto"/>
        <w:rPr>
          <w:rtl/>
        </w:rPr>
      </w:pPr>
      <w:r w:rsidRPr="00BB6388">
        <w:rPr>
          <w:rFonts w:hint="cs"/>
          <w:rtl/>
        </w:rPr>
        <w:t>כמחקר שנערך במסגרת בית-הספר, קבוצת בני-הנוער שאינה מגיעה יותר למסגרת זו</w:t>
      </w:r>
      <w:r w:rsidR="00F931C6" w:rsidRPr="00BB6388">
        <w:rPr>
          <w:rFonts w:hint="cs"/>
          <w:rtl/>
        </w:rPr>
        <w:t xml:space="preserve"> (מה שמכונה לעיתים 'נוער נושר' או 'נוער מנותק')</w:t>
      </w:r>
      <w:r w:rsidRPr="00BB6388">
        <w:rPr>
          <w:rFonts w:hint="cs"/>
          <w:rtl/>
        </w:rPr>
        <w:t>, ושעל-פי הערכות נטייתה להתנהגות מסוג זה (שימוש בחומרים פסיכואקטיביים) גבוהה יותר מהאוכלוסייה הנורמטיבית, אינה נכללת בו.</w:t>
      </w:r>
      <w:r w:rsidR="00A20B03" w:rsidRPr="00BB6388" w:rsidDel="00A20B03">
        <w:rPr>
          <w:rStyle w:val="ab"/>
          <w:rtl/>
        </w:rPr>
        <w:t xml:space="preserve"> </w:t>
      </w:r>
      <w:r w:rsidR="00A20B03" w:rsidRPr="00BB6388">
        <w:rPr>
          <w:rFonts w:hint="cs"/>
          <w:rtl/>
        </w:rPr>
        <w:t xml:space="preserve">עם זאת, מחקר משנת 2002 שבדק את הנושא </w:t>
      </w:r>
      <w:r w:rsidR="005E2280">
        <w:rPr>
          <w:rFonts w:hint="cs"/>
          <w:rtl/>
        </w:rPr>
        <w:t xml:space="preserve">טוען </w:t>
      </w:r>
      <w:r w:rsidR="00A20B03" w:rsidRPr="00BB6388">
        <w:rPr>
          <w:rFonts w:hint="cs"/>
          <w:rtl/>
        </w:rPr>
        <w:t>כי גם כאשר נעשים מאמצים לכלול אוכלוסיה זו בסקרים, מדדי ההתנהגות בסיכון משתנים באופן שולי בלבד.</w:t>
      </w:r>
      <w:r w:rsidR="00A20B03" w:rsidRPr="00BB6388">
        <w:rPr>
          <w:rStyle w:val="ab"/>
          <w:rtl/>
        </w:rPr>
        <w:footnoteReference w:id="69"/>
      </w:r>
    </w:p>
    <w:p w:rsidR="00A84B70" w:rsidRPr="00BB6388" w:rsidRDefault="00A84B70" w:rsidP="00BB6388">
      <w:pPr>
        <w:pStyle w:val="a2"/>
        <w:spacing w:line="360" w:lineRule="auto"/>
        <w:rPr>
          <w:rtl/>
        </w:rPr>
      </w:pPr>
      <w:r w:rsidRPr="00BB6388">
        <w:rPr>
          <w:rFonts w:hint="cs"/>
          <w:rtl/>
        </w:rPr>
        <w:t>טבלה מס' 3 מציגה נתונים בנוגע להיקף השימוש בסמים מסויימים לפחות פעם אחת במהלך 12 החודשים שקדמו לסקר, וזאת בקרב כ-</w:t>
      </w:r>
      <w:r w:rsidR="008F611F">
        <w:rPr>
          <w:rFonts w:hint="cs"/>
          <w:rtl/>
        </w:rPr>
        <w:t xml:space="preserve"> </w:t>
      </w:r>
      <w:r w:rsidRPr="00BB6388">
        <w:rPr>
          <w:rFonts w:hint="cs"/>
          <w:rtl/>
        </w:rPr>
        <w:t>3</w:t>
      </w:r>
      <w:r w:rsidR="008F611F">
        <w:rPr>
          <w:rFonts w:hint="cs"/>
          <w:rtl/>
        </w:rPr>
        <w:t>,</w:t>
      </w:r>
      <w:r w:rsidRPr="00BB6388">
        <w:rPr>
          <w:rFonts w:hint="cs"/>
          <w:rtl/>
        </w:rPr>
        <w:t>700 ת</w:t>
      </w:r>
      <w:r w:rsidR="00062D4B">
        <w:rPr>
          <w:rFonts w:hint="cs"/>
          <w:rtl/>
        </w:rPr>
        <w:t>למידי כיתות י'-י"ב שנדגמו במחקר.</w:t>
      </w:r>
    </w:p>
    <w:p w:rsidR="00A84B70" w:rsidRPr="00BB6388" w:rsidRDefault="00A84B70" w:rsidP="00322CAF">
      <w:pPr>
        <w:pStyle w:val="5"/>
        <w:spacing w:line="360" w:lineRule="auto"/>
        <w:rPr>
          <w:sz w:val="22"/>
          <w:szCs w:val="22"/>
          <w:rtl/>
        </w:rPr>
      </w:pPr>
      <w:bookmarkStart w:id="60" w:name="_Toc419963027"/>
      <w:r w:rsidRPr="00BB6388">
        <w:rPr>
          <w:rtl/>
        </w:rPr>
        <w:t xml:space="preserve">טבלה </w:t>
      </w:r>
      <w:r w:rsidR="00F3448E" w:rsidRPr="00BB6388">
        <w:rPr>
          <w:rtl/>
        </w:rPr>
        <w:fldChar w:fldCharType="begin"/>
      </w:r>
      <w:r w:rsidRPr="00BB6388">
        <w:rPr>
          <w:rtl/>
        </w:rPr>
        <w:instrText xml:space="preserve"> </w:instrText>
      </w:r>
      <w:r w:rsidRPr="00BB6388">
        <w:instrText>SEQ</w:instrText>
      </w:r>
      <w:r w:rsidRPr="00BB6388">
        <w:rPr>
          <w:rtl/>
        </w:rPr>
        <w:instrText xml:space="preserve"> טבלה \* </w:instrText>
      </w:r>
      <w:r w:rsidRPr="00BB6388">
        <w:instrText>ARABIC</w:instrText>
      </w:r>
      <w:r w:rsidRPr="00BB6388">
        <w:rPr>
          <w:rtl/>
        </w:rPr>
        <w:instrText xml:space="preserve"> </w:instrText>
      </w:r>
      <w:r w:rsidR="00F3448E" w:rsidRPr="00BB6388">
        <w:rPr>
          <w:rtl/>
        </w:rPr>
        <w:fldChar w:fldCharType="separate"/>
      </w:r>
      <w:r w:rsidR="007347AB">
        <w:rPr>
          <w:noProof/>
          <w:rtl/>
        </w:rPr>
        <w:t>3</w:t>
      </w:r>
      <w:r w:rsidR="00F3448E" w:rsidRPr="00BB6388">
        <w:rPr>
          <w:rtl/>
        </w:rPr>
        <w:fldChar w:fldCharType="end"/>
      </w:r>
      <w:r w:rsidRPr="00BB6388">
        <w:rPr>
          <w:rFonts w:hint="cs"/>
          <w:rtl/>
        </w:rPr>
        <w:t>:</w:t>
      </w:r>
      <w:bookmarkEnd w:id="60"/>
      <w:r w:rsidRPr="00BB6388">
        <w:rPr>
          <w:rFonts w:hint="cs"/>
          <w:rtl/>
        </w:rPr>
        <w:t xml:space="preserve"> </w:t>
      </w:r>
      <w:bookmarkStart w:id="61" w:name="_Toc419963028"/>
      <w:r w:rsidR="00CC6B2B" w:rsidRPr="00BB6388">
        <w:rPr>
          <w:rFonts w:hint="cs"/>
          <w:rtl/>
        </w:rPr>
        <w:t>שכיחות השימוש</w:t>
      </w:r>
      <w:r w:rsidRPr="00BB6388">
        <w:rPr>
          <w:rtl/>
        </w:rPr>
        <w:t xml:space="preserve"> </w:t>
      </w:r>
      <w:r w:rsidRPr="00BB6388">
        <w:rPr>
          <w:rFonts w:hint="eastAsia"/>
          <w:rtl/>
        </w:rPr>
        <w:t>בסמים</w:t>
      </w:r>
      <w:r w:rsidRPr="00BB6388">
        <w:rPr>
          <w:rtl/>
        </w:rPr>
        <w:t xml:space="preserve"> </w:t>
      </w:r>
      <w:r w:rsidRPr="00BB6388">
        <w:rPr>
          <w:rFonts w:hint="eastAsia"/>
          <w:rtl/>
        </w:rPr>
        <w:t>נבחרים</w:t>
      </w:r>
      <w:r w:rsidRPr="00BB6388">
        <w:rPr>
          <w:rtl/>
        </w:rPr>
        <w:t xml:space="preserve"> </w:t>
      </w:r>
      <w:r w:rsidR="00110FBD" w:rsidRPr="00BB6388">
        <w:rPr>
          <w:rFonts w:hint="cs"/>
          <w:rtl/>
        </w:rPr>
        <w:t>בקרב</w:t>
      </w:r>
      <w:r w:rsidR="00110FBD" w:rsidRPr="00BB6388">
        <w:rPr>
          <w:rtl/>
        </w:rPr>
        <w:t xml:space="preserve"> </w:t>
      </w:r>
      <w:r w:rsidRPr="00BB6388">
        <w:rPr>
          <w:rFonts w:hint="cs"/>
          <w:rtl/>
        </w:rPr>
        <w:t xml:space="preserve">נוער לומד </w:t>
      </w:r>
      <w:r w:rsidRPr="00BB6388">
        <w:rPr>
          <w:rFonts w:hint="eastAsia"/>
          <w:rtl/>
        </w:rPr>
        <w:t>בישראל</w:t>
      </w:r>
      <w:r w:rsidRPr="00BB6388">
        <w:rPr>
          <w:rtl/>
        </w:rPr>
        <w:t xml:space="preserve"> (</w:t>
      </w:r>
      <w:r w:rsidRPr="00BB6388">
        <w:rPr>
          <w:rFonts w:hint="eastAsia"/>
          <w:rtl/>
        </w:rPr>
        <w:t>כיתות</w:t>
      </w:r>
      <w:r w:rsidRPr="00BB6388">
        <w:rPr>
          <w:rtl/>
        </w:rPr>
        <w:t xml:space="preserve"> </w:t>
      </w:r>
      <w:r w:rsidRPr="00BB6388">
        <w:rPr>
          <w:rFonts w:hint="eastAsia"/>
          <w:rtl/>
        </w:rPr>
        <w:t>י</w:t>
      </w:r>
      <w:r w:rsidRPr="00BB6388">
        <w:rPr>
          <w:rtl/>
        </w:rPr>
        <w:t>'-</w:t>
      </w:r>
      <w:r w:rsidRPr="00BB6388">
        <w:rPr>
          <w:rFonts w:hint="eastAsia"/>
          <w:rtl/>
        </w:rPr>
        <w:t>י</w:t>
      </w:r>
      <w:r w:rsidRPr="00BB6388">
        <w:rPr>
          <w:rtl/>
        </w:rPr>
        <w:t>"</w:t>
      </w:r>
      <w:r w:rsidRPr="00BB6388">
        <w:rPr>
          <w:rFonts w:hint="eastAsia"/>
          <w:rtl/>
        </w:rPr>
        <w:t>ב</w:t>
      </w:r>
      <w:r w:rsidRPr="00BB6388">
        <w:rPr>
          <w:rtl/>
        </w:rPr>
        <w:t xml:space="preserve">), </w:t>
      </w:r>
      <w:r w:rsidRPr="00BB6388">
        <w:rPr>
          <w:rFonts w:hint="eastAsia"/>
          <w:rtl/>
        </w:rPr>
        <w:t>בשנת</w:t>
      </w:r>
      <w:r w:rsidRPr="00BB6388">
        <w:rPr>
          <w:rtl/>
        </w:rPr>
        <w:t xml:space="preserve"> 2011</w:t>
      </w:r>
      <w:bookmarkStart w:id="62" w:name="_Toc418585076"/>
      <w:r w:rsidRPr="00BB6388">
        <w:rPr>
          <w:rStyle w:val="ab"/>
          <w:b w:val="0"/>
          <w:bCs w:val="0"/>
          <w:sz w:val="22"/>
          <w:szCs w:val="22"/>
          <w:rtl/>
        </w:rPr>
        <w:footnoteReference w:id="70"/>
      </w:r>
      <w:bookmarkEnd w:id="61"/>
      <w:bookmarkEnd w:id="62"/>
    </w:p>
    <w:tbl>
      <w:tblPr>
        <w:tblStyle w:val="afff5"/>
        <w:bidiVisual/>
        <w:tblW w:w="0" w:type="auto"/>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4171"/>
        <w:gridCol w:w="3376"/>
      </w:tblGrid>
      <w:tr w:rsidR="00A72D50" w:rsidRPr="00CC1DE9" w:rsidTr="00CC1DE9">
        <w:trPr>
          <w:tblCellSpacing w:w="20" w:type="dxa"/>
          <w:jc w:val="center"/>
        </w:trPr>
        <w:tc>
          <w:tcPr>
            <w:tcW w:w="4111" w:type="dxa"/>
            <w:shd w:val="clear" w:color="auto" w:fill="auto"/>
          </w:tcPr>
          <w:p w:rsidR="00A72D50" w:rsidRPr="00CC1DE9" w:rsidRDefault="00A72D50" w:rsidP="00CC1DE9">
            <w:pPr>
              <w:pStyle w:val="a2"/>
              <w:spacing w:before="60" w:after="0" w:line="240" w:lineRule="auto"/>
              <w:rPr>
                <w:b/>
                <w:bCs/>
                <w:sz w:val="22"/>
                <w:szCs w:val="22"/>
                <w:rtl/>
              </w:rPr>
            </w:pPr>
            <w:r w:rsidRPr="00CC1DE9">
              <w:rPr>
                <w:rFonts w:hint="cs"/>
                <w:b/>
                <w:bCs/>
                <w:sz w:val="22"/>
                <w:szCs w:val="22"/>
                <w:rtl/>
              </w:rPr>
              <w:t>סוג הסם</w:t>
            </w:r>
          </w:p>
        </w:tc>
        <w:tc>
          <w:tcPr>
            <w:tcW w:w="3316" w:type="dxa"/>
            <w:shd w:val="clear" w:color="auto" w:fill="auto"/>
          </w:tcPr>
          <w:p w:rsidR="00A72D50" w:rsidRPr="00CC1DE9" w:rsidRDefault="00A72D50" w:rsidP="00CC1DE9">
            <w:pPr>
              <w:pStyle w:val="a2"/>
              <w:spacing w:before="60" w:after="0" w:line="240" w:lineRule="auto"/>
              <w:rPr>
                <w:b/>
                <w:bCs/>
                <w:sz w:val="22"/>
                <w:szCs w:val="22"/>
                <w:rtl/>
              </w:rPr>
            </w:pPr>
            <w:r w:rsidRPr="00CC1DE9">
              <w:rPr>
                <w:rFonts w:hint="cs"/>
                <w:b/>
                <w:bCs/>
                <w:sz w:val="22"/>
                <w:szCs w:val="22"/>
                <w:rtl/>
              </w:rPr>
              <w:t>שכיחות השימוש בקרב כיתות י'-י"ב</w:t>
            </w:r>
          </w:p>
        </w:tc>
      </w:tr>
      <w:tr w:rsidR="00A72D50" w:rsidRPr="00CC1DE9" w:rsidTr="00CC1DE9">
        <w:trPr>
          <w:tblCellSpacing w:w="20" w:type="dxa"/>
          <w:jc w:val="center"/>
        </w:trPr>
        <w:tc>
          <w:tcPr>
            <w:tcW w:w="4111" w:type="dxa"/>
            <w:shd w:val="clear" w:color="auto" w:fill="auto"/>
          </w:tcPr>
          <w:p w:rsidR="00A72D50" w:rsidRPr="00CC1DE9" w:rsidRDefault="00A72D50" w:rsidP="00CC1DE9">
            <w:pPr>
              <w:pStyle w:val="a2"/>
              <w:spacing w:before="60" w:after="0" w:line="240" w:lineRule="auto"/>
              <w:rPr>
                <w:sz w:val="22"/>
                <w:szCs w:val="22"/>
                <w:rtl/>
              </w:rPr>
            </w:pPr>
            <w:r w:rsidRPr="00CC1DE9">
              <w:rPr>
                <w:rFonts w:hint="cs"/>
                <w:sz w:val="22"/>
                <w:szCs w:val="22"/>
                <w:rtl/>
              </w:rPr>
              <w:t>קנביס</w:t>
            </w:r>
            <w:r w:rsidR="00F841A0" w:rsidRPr="00CC1DE9">
              <w:rPr>
                <w:rFonts w:hint="cs"/>
                <w:sz w:val="22"/>
                <w:szCs w:val="22"/>
                <w:rtl/>
              </w:rPr>
              <w:t xml:space="preserve"> </w:t>
            </w:r>
            <w:r w:rsidRPr="00CC1DE9">
              <w:rPr>
                <w:rFonts w:hint="cs"/>
                <w:sz w:val="22"/>
                <w:szCs w:val="22"/>
                <w:rtl/>
              </w:rPr>
              <w:t>(חשיש ומריחואנה)</w:t>
            </w:r>
          </w:p>
        </w:tc>
        <w:tc>
          <w:tcPr>
            <w:tcW w:w="3316" w:type="dxa"/>
            <w:shd w:val="clear" w:color="auto" w:fill="auto"/>
          </w:tcPr>
          <w:p w:rsidR="00A72D50" w:rsidRPr="00CC1DE9" w:rsidRDefault="00A72D50" w:rsidP="00CC1DE9">
            <w:pPr>
              <w:pStyle w:val="a2"/>
              <w:spacing w:before="60" w:after="0" w:line="240" w:lineRule="auto"/>
              <w:jc w:val="center"/>
              <w:rPr>
                <w:sz w:val="22"/>
                <w:szCs w:val="22"/>
                <w:rtl/>
              </w:rPr>
            </w:pPr>
            <w:r w:rsidRPr="00CC1DE9">
              <w:rPr>
                <w:rFonts w:hint="cs"/>
                <w:sz w:val="22"/>
                <w:szCs w:val="22"/>
                <w:rtl/>
              </w:rPr>
              <w:t>5.9%</w:t>
            </w:r>
          </w:p>
        </w:tc>
      </w:tr>
      <w:tr w:rsidR="00A72D50" w:rsidRPr="00CC1DE9" w:rsidTr="00CC1DE9">
        <w:trPr>
          <w:tblCellSpacing w:w="20" w:type="dxa"/>
          <w:jc w:val="center"/>
        </w:trPr>
        <w:tc>
          <w:tcPr>
            <w:tcW w:w="4111" w:type="dxa"/>
            <w:shd w:val="clear" w:color="auto" w:fill="auto"/>
          </w:tcPr>
          <w:p w:rsidR="00A72D50" w:rsidRPr="00CC1DE9" w:rsidRDefault="00A72D50" w:rsidP="00CC1DE9">
            <w:pPr>
              <w:pStyle w:val="a2"/>
              <w:spacing w:before="60" w:after="0" w:line="240" w:lineRule="auto"/>
              <w:rPr>
                <w:sz w:val="22"/>
                <w:szCs w:val="22"/>
                <w:rtl/>
              </w:rPr>
            </w:pPr>
            <w:r w:rsidRPr="00CC1DE9">
              <w:rPr>
                <w:rFonts w:hint="cs"/>
                <w:sz w:val="22"/>
                <w:szCs w:val="22"/>
                <w:rtl/>
              </w:rPr>
              <w:t>חומרים נדיפים</w:t>
            </w:r>
          </w:p>
        </w:tc>
        <w:tc>
          <w:tcPr>
            <w:tcW w:w="3316" w:type="dxa"/>
            <w:shd w:val="clear" w:color="auto" w:fill="auto"/>
          </w:tcPr>
          <w:p w:rsidR="00A72D50" w:rsidRPr="00CC1DE9" w:rsidRDefault="00A72D50" w:rsidP="00CC1DE9">
            <w:pPr>
              <w:pStyle w:val="a2"/>
              <w:spacing w:before="60" w:after="0" w:line="240" w:lineRule="auto"/>
              <w:jc w:val="center"/>
              <w:rPr>
                <w:sz w:val="22"/>
                <w:szCs w:val="22"/>
                <w:rtl/>
              </w:rPr>
            </w:pPr>
            <w:r w:rsidRPr="00CC1DE9">
              <w:rPr>
                <w:rFonts w:hint="cs"/>
                <w:sz w:val="22"/>
                <w:szCs w:val="22"/>
                <w:rtl/>
              </w:rPr>
              <w:t>5.3%</w:t>
            </w:r>
          </w:p>
        </w:tc>
      </w:tr>
      <w:tr w:rsidR="00A72D50" w:rsidRPr="00CC1DE9" w:rsidTr="00CC1DE9">
        <w:trPr>
          <w:tblCellSpacing w:w="20" w:type="dxa"/>
          <w:jc w:val="center"/>
        </w:trPr>
        <w:tc>
          <w:tcPr>
            <w:tcW w:w="4111" w:type="dxa"/>
            <w:shd w:val="clear" w:color="auto" w:fill="auto"/>
          </w:tcPr>
          <w:p w:rsidR="00A72D50" w:rsidRPr="00CC1DE9" w:rsidRDefault="00A72D50" w:rsidP="00CC1DE9">
            <w:pPr>
              <w:pStyle w:val="a2"/>
              <w:spacing w:before="60" w:after="0" w:line="240" w:lineRule="auto"/>
              <w:rPr>
                <w:sz w:val="22"/>
                <w:szCs w:val="22"/>
                <w:rtl/>
              </w:rPr>
            </w:pPr>
            <w:r w:rsidRPr="00CC1DE9">
              <w:rPr>
                <w:rFonts w:hint="cs"/>
                <w:sz w:val="22"/>
                <w:szCs w:val="22"/>
                <w:rtl/>
              </w:rPr>
              <w:t>תרופות מרשם</w:t>
            </w:r>
            <w:r w:rsidR="00F841A0" w:rsidRPr="00CC1DE9">
              <w:rPr>
                <w:rFonts w:hint="cs"/>
                <w:sz w:val="22"/>
                <w:szCs w:val="22"/>
                <w:rtl/>
              </w:rPr>
              <w:t xml:space="preserve"> </w:t>
            </w:r>
            <w:r w:rsidRPr="00CC1DE9">
              <w:rPr>
                <w:rFonts w:hint="cs"/>
                <w:sz w:val="22"/>
                <w:szCs w:val="22"/>
                <w:rtl/>
              </w:rPr>
              <w:t>(שימוש לא חוקי)</w:t>
            </w:r>
            <w:r w:rsidRPr="00CC1DE9">
              <w:rPr>
                <w:rStyle w:val="ab"/>
                <w:sz w:val="22"/>
                <w:szCs w:val="22"/>
                <w:rtl/>
              </w:rPr>
              <w:footnoteReference w:id="71"/>
            </w:r>
          </w:p>
        </w:tc>
        <w:tc>
          <w:tcPr>
            <w:tcW w:w="3316" w:type="dxa"/>
            <w:shd w:val="clear" w:color="auto" w:fill="auto"/>
          </w:tcPr>
          <w:p w:rsidR="00A72D50" w:rsidRPr="00CC1DE9" w:rsidRDefault="00A72D50" w:rsidP="00CC1DE9">
            <w:pPr>
              <w:pStyle w:val="a2"/>
              <w:spacing w:before="60" w:after="0" w:line="240" w:lineRule="auto"/>
              <w:jc w:val="center"/>
              <w:rPr>
                <w:sz w:val="22"/>
                <w:szCs w:val="22"/>
                <w:rtl/>
              </w:rPr>
            </w:pPr>
            <w:r w:rsidRPr="00CC1DE9">
              <w:rPr>
                <w:rFonts w:hint="cs"/>
                <w:sz w:val="22"/>
                <w:szCs w:val="22"/>
                <w:rtl/>
              </w:rPr>
              <w:t>4.6%</w:t>
            </w:r>
          </w:p>
        </w:tc>
      </w:tr>
      <w:tr w:rsidR="00A72D50" w:rsidRPr="00CC1DE9" w:rsidTr="00CC1DE9">
        <w:trPr>
          <w:tblCellSpacing w:w="20" w:type="dxa"/>
          <w:jc w:val="center"/>
        </w:trPr>
        <w:tc>
          <w:tcPr>
            <w:tcW w:w="4111" w:type="dxa"/>
            <w:shd w:val="clear" w:color="auto" w:fill="auto"/>
          </w:tcPr>
          <w:p w:rsidR="00A72D50" w:rsidRPr="00CC1DE9" w:rsidRDefault="00A72D50" w:rsidP="00CC1DE9">
            <w:pPr>
              <w:pStyle w:val="a2"/>
              <w:spacing w:before="60" w:after="0" w:line="240" w:lineRule="auto"/>
              <w:rPr>
                <w:sz w:val="22"/>
                <w:szCs w:val="22"/>
                <w:rtl/>
              </w:rPr>
            </w:pPr>
            <w:r w:rsidRPr="00CC1DE9">
              <w:rPr>
                <w:rFonts w:hint="cs"/>
                <w:sz w:val="22"/>
                <w:szCs w:val="22"/>
                <w:rtl/>
              </w:rPr>
              <w:t>חגיגת</w:t>
            </w:r>
          </w:p>
        </w:tc>
        <w:tc>
          <w:tcPr>
            <w:tcW w:w="3316" w:type="dxa"/>
            <w:shd w:val="clear" w:color="auto" w:fill="auto"/>
          </w:tcPr>
          <w:p w:rsidR="00A72D50" w:rsidRPr="00CC1DE9" w:rsidRDefault="00A72D50" w:rsidP="00CC1DE9">
            <w:pPr>
              <w:pStyle w:val="a2"/>
              <w:spacing w:before="60" w:after="0" w:line="240" w:lineRule="auto"/>
              <w:jc w:val="center"/>
              <w:rPr>
                <w:sz w:val="22"/>
                <w:szCs w:val="22"/>
                <w:rtl/>
              </w:rPr>
            </w:pPr>
            <w:r w:rsidRPr="00CC1DE9">
              <w:rPr>
                <w:rFonts w:hint="cs"/>
                <w:sz w:val="22"/>
                <w:szCs w:val="22"/>
                <w:rtl/>
              </w:rPr>
              <w:t>3.7%</w:t>
            </w:r>
          </w:p>
        </w:tc>
      </w:tr>
      <w:tr w:rsidR="00A72D50" w:rsidRPr="00CC1DE9" w:rsidTr="00CC1DE9">
        <w:trPr>
          <w:tblCellSpacing w:w="20" w:type="dxa"/>
          <w:jc w:val="center"/>
        </w:trPr>
        <w:tc>
          <w:tcPr>
            <w:tcW w:w="4111" w:type="dxa"/>
            <w:shd w:val="clear" w:color="auto" w:fill="auto"/>
          </w:tcPr>
          <w:p w:rsidR="00A72D50" w:rsidRPr="00CC1DE9" w:rsidRDefault="00A72D50" w:rsidP="00CC1DE9">
            <w:pPr>
              <w:pStyle w:val="a2"/>
              <w:spacing w:before="60" w:after="0" w:line="240" w:lineRule="auto"/>
              <w:rPr>
                <w:sz w:val="22"/>
                <w:szCs w:val="22"/>
                <w:rtl/>
              </w:rPr>
            </w:pPr>
            <w:r w:rsidRPr="00CC1DE9">
              <w:rPr>
                <w:rFonts w:hint="cs"/>
                <w:sz w:val="22"/>
                <w:szCs w:val="22"/>
                <w:rtl/>
              </w:rPr>
              <w:t>אקסטזי או ל.ס.ד.</w:t>
            </w:r>
          </w:p>
        </w:tc>
        <w:tc>
          <w:tcPr>
            <w:tcW w:w="3316" w:type="dxa"/>
            <w:shd w:val="clear" w:color="auto" w:fill="auto"/>
          </w:tcPr>
          <w:p w:rsidR="00A72D50" w:rsidRPr="00CC1DE9" w:rsidRDefault="00A72D50" w:rsidP="00CC1DE9">
            <w:pPr>
              <w:pStyle w:val="a2"/>
              <w:spacing w:before="60" w:after="0" w:line="240" w:lineRule="auto"/>
              <w:jc w:val="center"/>
              <w:rPr>
                <w:sz w:val="22"/>
                <w:szCs w:val="22"/>
                <w:rtl/>
              </w:rPr>
            </w:pPr>
            <w:r w:rsidRPr="00CC1DE9">
              <w:rPr>
                <w:rFonts w:hint="cs"/>
                <w:sz w:val="22"/>
                <w:szCs w:val="22"/>
                <w:rtl/>
              </w:rPr>
              <w:t>2.7%</w:t>
            </w:r>
          </w:p>
        </w:tc>
      </w:tr>
      <w:tr w:rsidR="00A72D50" w:rsidRPr="00CC1DE9" w:rsidTr="00CC1DE9">
        <w:trPr>
          <w:tblCellSpacing w:w="20" w:type="dxa"/>
          <w:jc w:val="center"/>
        </w:trPr>
        <w:tc>
          <w:tcPr>
            <w:tcW w:w="4111" w:type="dxa"/>
            <w:shd w:val="clear" w:color="auto" w:fill="auto"/>
          </w:tcPr>
          <w:p w:rsidR="00A72D50" w:rsidRPr="00CC1DE9" w:rsidRDefault="00A72D50" w:rsidP="00CC1DE9">
            <w:pPr>
              <w:pStyle w:val="a2"/>
              <w:spacing w:before="60" w:after="0" w:line="240" w:lineRule="auto"/>
              <w:rPr>
                <w:sz w:val="22"/>
                <w:szCs w:val="22"/>
                <w:rtl/>
              </w:rPr>
            </w:pPr>
            <w:r w:rsidRPr="00CC1DE9">
              <w:rPr>
                <w:rFonts w:hint="cs"/>
                <w:sz w:val="22"/>
                <w:szCs w:val="22"/>
                <w:rtl/>
              </w:rPr>
              <w:t>אופיום, הרואין, קוק פרסי, קראק או קוקאין</w:t>
            </w:r>
          </w:p>
        </w:tc>
        <w:tc>
          <w:tcPr>
            <w:tcW w:w="3316" w:type="dxa"/>
            <w:shd w:val="clear" w:color="auto" w:fill="auto"/>
          </w:tcPr>
          <w:p w:rsidR="00A72D50" w:rsidRPr="00CC1DE9" w:rsidRDefault="00A72D50" w:rsidP="00CC1DE9">
            <w:pPr>
              <w:pStyle w:val="a2"/>
              <w:spacing w:before="60" w:after="0" w:line="240" w:lineRule="auto"/>
              <w:jc w:val="center"/>
              <w:rPr>
                <w:sz w:val="22"/>
                <w:szCs w:val="22"/>
                <w:rtl/>
              </w:rPr>
            </w:pPr>
            <w:r w:rsidRPr="00CC1DE9">
              <w:rPr>
                <w:rFonts w:hint="cs"/>
                <w:sz w:val="22"/>
                <w:szCs w:val="22"/>
                <w:rtl/>
              </w:rPr>
              <w:t>2.6%</w:t>
            </w:r>
          </w:p>
        </w:tc>
      </w:tr>
    </w:tbl>
    <w:p w:rsidR="004D33D1" w:rsidRDefault="004D33D1" w:rsidP="00BB6388">
      <w:pPr>
        <w:pStyle w:val="a2"/>
        <w:spacing w:line="360" w:lineRule="auto"/>
        <w:rPr>
          <w:rtl/>
        </w:rPr>
      </w:pPr>
    </w:p>
    <w:p w:rsidR="00A84B70" w:rsidRPr="00BB6388" w:rsidRDefault="00A84B70" w:rsidP="00BB6388">
      <w:pPr>
        <w:pStyle w:val="a2"/>
        <w:spacing w:line="360" w:lineRule="auto"/>
        <w:rPr>
          <w:b/>
          <w:bCs/>
          <w:rtl/>
        </w:rPr>
      </w:pPr>
      <w:r w:rsidRPr="00BB6388">
        <w:rPr>
          <w:rFonts w:hint="cs"/>
          <w:rtl/>
        </w:rPr>
        <w:t xml:space="preserve">כפי שניתן לראות, היקף השימוש בקרב כיתות י'-י"ב בשנת </w:t>
      </w:r>
      <w:r w:rsidR="00FF5D2F" w:rsidRPr="00BB6388">
        <w:rPr>
          <w:rFonts w:hint="cs"/>
          <w:rtl/>
        </w:rPr>
        <w:t xml:space="preserve">2011 </w:t>
      </w:r>
      <w:r w:rsidRPr="00BB6388">
        <w:rPr>
          <w:rFonts w:hint="cs"/>
          <w:rtl/>
        </w:rPr>
        <w:t>בעבור כל אחד מהסמים המוצגים עומד על 2.6-5.9%.</w:t>
      </w:r>
      <w:r w:rsidR="00F841A0">
        <w:rPr>
          <w:rFonts w:hint="cs"/>
          <w:rtl/>
        </w:rPr>
        <w:t xml:space="preserve"> </w:t>
      </w:r>
      <w:r w:rsidRPr="00BB6388">
        <w:rPr>
          <w:rFonts w:hint="cs"/>
          <w:b/>
          <w:bCs/>
          <w:rtl/>
        </w:rPr>
        <w:t>עישון קנאביס והרחת חומרים נדיפים היו השכיחים ביותר בקרב בני-הנוער בכיתות י'-י"ב בשנה שקדמה לעריכת הסקר</w:t>
      </w:r>
      <w:r w:rsidRPr="00BB6388">
        <w:rPr>
          <w:rFonts w:hint="cs"/>
          <w:rtl/>
        </w:rPr>
        <w:t>, עם 5.9% ו- 5.3% בהתאמה</w:t>
      </w:r>
      <w:r w:rsidRPr="00BB6388">
        <w:rPr>
          <w:rFonts w:hint="cs"/>
          <w:b/>
          <w:bCs/>
          <w:rtl/>
        </w:rPr>
        <w:t>.</w:t>
      </w:r>
    </w:p>
    <w:p w:rsidR="00A84B70" w:rsidRPr="00BB6388" w:rsidRDefault="00A84B70" w:rsidP="00BB6388">
      <w:pPr>
        <w:pStyle w:val="a2"/>
        <w:spacing w:line="360" w:lineRule="auto"/>
        <w:rPr>
          <w:rtl/>
        </w:rPr>
      </w:pPr>
      <w:r w:rsidRPr="00BB6388">
        <w:rPr>
          <w:rFonts w:hint="cs"/>
          <w:rtl/>
        </w:rPr>
        <w:t>בנוסף, מקרב תלמידי כיתות י"א ו- י"ב בלבד, 3.5% העידו כי הם השתמשו ב'סם פיצוציות' (כגון 'מבסוטון') ב- 12 החודשים שקדמו לעריכת הסקר, 3.2% בגת, ו- 1.7% במתדון (אדולן).</w:t>
      </w:r>
    </w:p>
    <w:p w:rsidR="00763CF0" w:rsidRDefault="00763CF0" w:rsidP="00D270F0">
      <w:pPr>
        <w:pStyle w:val="4"/>
        <w:rPr>
          <w:sz w:val="24"/>
          <w:szCs w:val="24"/>
          <w:rtl/>
        </w:rPr>
      </w:pPr>
      <w:bookmarkStart w:id="63" w:name="_Toc419963029"/>
    </w:p>
    <w:p w:rsidR="00763CF0" w:rsidRDefault="00763CF0" w:rsidP="00D270F0">
      <w:pPr>
        <w:pStyle w:val="4"/>
        <w:rPr>
          <w:sz w:val="24"/>
          <w:szCs w:val="24"/>
          <w:rtl/>
        </w:rPr>
      </w:pPr>
    </w:p>
    <w:p w:rsidR="00A84B70" w:rsidRPr="00BB6388" w:rsidRDefault="00A84B70" w:rsidP="00D270F0">
      <w:pPr>
        <w:pStyle w:val="4"/>
        <w:rPr>
          <w:sz w:val="24"/>
          <w:szCs w:val="24"/>
          <w:rtl/>
        </w:rPr>
      </w:pPr>
      <w:r w:rsidRPr="00BB6388">
        <w:rPr>
          <w:rFonts w:hint="cs"/>
          <w:sz w:val="24"/>
          <w:szCs w:val="24"/>
          <w:rtl/>
        </w:rPr>
        <w:t>היקף השימוש בקרב נוער מנותק</w:t>
      </w:r>
      <w:r w:rsidR="00371B8F" w:rsidRPr="00BB6388">
        <w:rPr>
          <w:rFonts w:hint="cs"/>
          <w:sz w:val="24"/>
          <w:szCs w:val="24"/>
          <w:rtl/>
        </w:rPr>
        <w:t xml:space="preserve"> הנמצא בטיפול יחידות קידום נוער</w:t>
      </w:r>
      <w:bookmarkEnd w:id="63"/>
    </w:p>
    <w:p w:rsidR="00B604E3" w:rsidRPr="00BB6388" w:rsidRDefault="00B604E3" w:rsidP="00656413">
      <w:pPr>
        <w:pStyle w:val="4"/>
        <w:rPr>
          <w:b w:val="0"/>
          <w:bCs w:val="0"/>
          <w:sz w:val="24"/>
          <w:szCs w:val="24"/>
          <w:rtl/>
        </w:rPr>
      </w:pPr>
      <w:bookmarkStart w:id="64" w:name="_Toc419963030"/>
      <w:r w:rsidRPr="00BB6388">
        <w:rPr>
          <w:rFonts w:hint="cs"/>
          <w:sz w:val="24"/>
          <w:szCs w:val="24"/>
          <w:rtl/>
        </w:rPr>
        <w:t xml:space="preserve">הנתונים </w:t>
      </w:r>
      <w:r w:rsidR="00A72D50" w:rsidRPr="00BB6388">
        <w:rPr>
          <w:rFonts w:hint="cs"/>
          <w:sz w:val="24"/>
          <w:szCs w:val="24"/>
          <w:rtl/>
        </w:rPr>
        <w:t xml:space="preserve">העדכניים ביותר של הרשות </w:t>
      </w:r>
      <w:r w:rsidR="00D270F0">
        <w:rPr>
          <w:rFonts w:hint="cs"/>
          <w:sz w:val="24"/>
          <w:szCs w:val="24"/>
          <w:rtl/>
        </w:rPr>
        <w:t xml:space="preserve">הלאומית למלחמה בסמים ובאלכוהול </w:t>
      </w:r>
      <w:r w:rsidRPr="00BB6388">
        <w:rPr>
          <w:rFonts w:hint="cs"/>
          <w:sz w:val="24"/>
          <w:szCs w:val="24"/>
          <w:rtl/>
        </w:rPr>
        <w:t>בדבר היקף השימוש בחומרים פסיכואקטיביים בקרב נוער מנותק</w:t>
      </w:r>
      <w:r w:rsidR="00B00EA2" w:rsidRPr="00BB6388">
        <w:rPr>
          <w:rFonts w:hint="cs"/>
          <w:sz w:val="24"/>
          <w:szCs w:val="24"/>
          <w:rtl/>
        </w:rPr>
        <w:t>,</w:t>
      </w:r>
      <w:r w:rsidRPr="00BB6388">
        <w:rPr>
          <w:rFonts w:hint="cs"/>
          <w:sz w:val="24"/>
          <w:szCs w:val="24"/>
          <w:rtl/>
        </w:rPr>
        <w:t xml:space="preserve"> </w:t>
      </w:r>
      <w:r w:rsidR="00371B8F" w:rsidRPr="00BB6388">
        <w:rPr>
          <w:rFonts w:hint="cs"/>
          <w:sz w:val="24"/>
          <w:szCs w:val="24"/>
          <w:rtl/>
        </w:rPr>
        <w:t xml:space="preserve">הנמצא בטיפול יחידות קידום נוער </w:t>
      </w:r>
      <w:r w:rsidRPr="00BB6388">
        <w:rPr>
          <w:rFonts w:hint="cs"/>
          <w:sz w:val="24"/>
          <w:szCs w:val="24"/>
          <w:rtl/>
        </w:rPr>
        <w:t>בישראל</w:t>
      </w:r>
      <w:r w:rsidR="00B00EA2" w:rsidRPr="00BB6388">
        <w:rPr>
          <w:rFonts w:hint="cs"/>
          <w:sz w:val="24"/>
          <w:szCs w:val="24"/>
          <w:rtl/>
        </w:rPr>
        <w:t>,</w:t>
      </w:r>
      <w:r w:rsidRPr="00BB6388">
        <w:rPr>
          <w:rFonts w:hint="cs"/>
          <w:sz w:val="24"/>
          <w:szCs w:val="24"/>
          <w:rtl/>
        </w:rPr>
        <w:t xml:space="preserve"> נובעים מהסקר האפידמיולוגי שנערך בשנת </w:t>
      </w:r>
      <w:r w:rsidRPr="00BB6388">
        <w:rPr>
          <w:rFonts w:hint="cs"/>
          <w:sz w:val="24"/>
          <w:szCs w:val="24"/>
          <w:u w:val="single"/>
          <w:rtl/>
        </w:rPr>
        <w:t>2009</w:t>
      </w:r>
      <w:r w:rsidRPr="00BB6388">
        <w:rPr>
          <w:rFonts w:hint="cs"/>
          <w:b w:val="0"/>
          <w:bCs w:val="0"/>
          <w:sz w:val="24"/>
          <w:szCs w:val="24"/>
          <w:rtl/>
        </w:rPr>
        <w:t>,</w:t>
      </w:r>
      <w:r w:rsidR="00D270F0" w:rsidRPr="00D270F0">
        <w:rPr>
          <w:rStyle w:val="ab"/>
          <w:b w:val="0"/>
          <w:bCs w:val="0"/>
          <w:sz w:val="24"/>
          <w:szCs w:val="24"/>
        </w:rPr>
        <w:t xml:space="preserve"> </w:t>
      </w:r>
      <w:r w:rsidR="00D270F0" w:rsidRPr="00B20319">
        <w:rPr>
          <w:rStyle w:val="ab"/>
          <w:b w:val="0"/>
          <w:bCs w:val="0"/>
          <w:sz w:val="24"/>
          <w:szCs w:val="24"/>
        </w:rPr>
        <w:footnoteReference w:id="72"/>
      </w:r>
      <w:r w:rsidRPr="00BB6388">
        <w:rPr>
          <w:rFonts w:hint="cs"/>
          <w:b w:val="0"/>
          <w:bCs w:val="0"/>
          <w:sz w:val="24"/>
          <w:szCs w:val="24"/>
          <w:rtl/>
        </w:rPr>
        <w:t xml:space="preserve"> והוצג מוקדם יותר במסגרת הפרק העוסק בהיקף השימוש בקרב בגירים בישראל.</w:t>
      </w:r>
      <w:r w:rsidR="004B6D8D" w:rsidRPr="00BB6388">
        <w:rPr>
          <w:rFonts w:hint="cs"/>
          <w:b w:val="0"/>
          <w:bCs w:val="0"/>
          <w:sz w:val="24"/>
          <w:szCs w:val="24"/>
          <w:rtl/>
        </w:rPr>
        <w:t xml:space="preserve"> אוכלוסיה זו נדגמה באמצעות שאלונים </w:t>
      </w:r>
      <w:r w:rsidR="00FF5D2F" w:rsidRPr="00BB6388">
        <w:rPr>
          <w:rFonts w:hint="cs"/>
          <w:b w:val="0"/>
          <w:bCs w:val="0"/>
          <w:sz w:val="24"/>
          <w:szCs w:val="24"/>
          <w:rtl/>
        </w:rPr>
        <w:t xml:space="preserve">אנונימיים </w:t>
      </w:r>
      <w:r w:rsidR="004B6D8D" w:rsidRPr="00BB6388">
        <w:rPr>
          <w:rFonts w:hint="cs"/>
          <w:b w:val="0"/>
          <w:bCs w:val="0"/>
          <w:sz w:val="24"/>
          <w:szCs w:val="24"/>
          <w:rtl/>
        </w:rPr>
        <w:t>שהועברו על-ידי מדריכים ביחידות לקידום נוער ברחבי הארץ. הוחזרו 591 שאלונים</w:t>
      </w:r>
      <w:r w:rsidR="00E56623" w:rsidRPr="00BB6388">
        <w:rPr>
          <w:rFonts w:hint="cs"/>
          <w:b w:val="0"/>
          <w:bCs w:val="0"/>
          <w:sz w:val="24"/>
          <w:szCs w:val="24"/>
          <w:rtl/>
        </w:rPr>
        <w:t>, וגילאי המשיבים נעו בין 12 ל- 18</w:t>
      </w:r>
      <w:r w:rsidR="004B6D8D" w:rsidRPr="00BB6388">
        <w:rPr>
          <w:rFonts w:hint="cs"/>
          <w:b w:val="0"/>
          <w:bCs w:val="0"/>
          <w:sz w:val="24"/>
          <w:szCs w:val="24"/>
          <w:rtl/>
        </w:rPr>
        <w:t xml:space="preserve">. </w:t>
      </w:r>
      <w:r w:rsidR="002B21ED" w:rsidRPr="00BB6388">
        <w:rPr>
          <w:rFonts w:hint="cs"/>
          <w:b w:val="0"/>
          <w:bCs w:val="0"/>
          <w:sz w:val="24"/>
          <w:szCs w:val="24"/>
          <w:rtl/>
        </w:rPr>
        <w:t>לא צוין אם לדעת החוקרים מדובר במדגם מייצג.</w:t>
      </w:r>
      <w:bookmarkEnd w:id="64"/>
    </w:p>
    <w:p w:rsidR="001221DB" w:rsidRPr="00BB6388" w:rsidRDefault="004436E4" w:rsidP="00BB6388">
      <w:pPr>
        <w:pStyle w:val="4"/>
        <w:rPr>
          <w:b w:val="0"/>
          <w:bCs w:val="0"/>
          <w:sz w:val="24"/>
          <w:szCs w:val="24"/>
          <w:rtl/>
        </w:rPr>
      </w:pPr>
      <w:bookmarkStart w:id="65" w:name="_Toc419963031"/>
      <w:r w:rsidRPr="00BB6388">
        <w:rPr>
          <w:rFonts w:hint="cs"/>
          <w:b w:val="0"/>
          <w:bCs w:val="0"/>
          <w:sz w:val="24"/>
          <w:szCs w:val="24"/>
          <w:rtl/>
        </w:rPr>
        <w:t xml:space="preserve">טבלה מס' 4 מציגה את </w:t>
      </w:r>
      <w:r w:rsidR="002B21ED" w:rsidRPr="00BB6388">
        <w:rPr>
          <w:rFonts w:hint="cs"/>
          <w:b w:val="0"/>
          <w:bCs w:val="0"/>
          <w:sz w:val="24"/>
          <w:szCs w:val="24"/>
          <w:rtl/>
        </w:rPr>
        <w:t xml:space="preserve">נתוני המחקר בדבר </w:t>
      </w:r>
      <w:r w:rsidR="005D7740" w:rsidRPr="00BB6388">
        <w:rPr>
          <w:rFonts w:hint="cs"/>
          <w:b w:val="0"/>
          <w:bCs w:val="0"/>
          <w:sz w:val="24"/>
          <w:szCs w:val="24"/>
          <w:rtl/>
        </w:rPr>
        <w:t>שכיחות השימוש בסמים נבחרים</w:t>
      </w:r>
      <w:r w:rsidRPr="00BB6388">
        <w:rPr>
          <w:rFonts w:hint="cs"/>
          <w:b w:val="0"/>
          <w:bCs w:val="0"/>
          <w:sz w:val="24"/>
          <w:szCs w:val="24"/>
          <w:rtl/>
        </w:rPr>
        <w:t xml:space="preserve">, </w:t>
      </w:r>
      <w:r w:rsidR="008B245C" w:rsidRPr="00BB6388">
        <w:rPr>
          <w:rFonts w:hint="cs"/>
          <w:b w:val="0"/>
          <w:bCs w:val="0"/>
          <w:sz w:val="24"/>
          <w:szCs w:val="24"/>
          <w:rtl/>
        </w:rPr>
        <w:t xml:space="preserve">לפחות פעם אחת בשנה שקדמה לעריכת המחקר, </w:t>
      </w:r>
      <w:r w:rsidR="005D7740" w:rsidRPr="00BB6388">
        <w:rPr>
          <w:rFonts w:hint="cs"/>
          <w:b w:val="0"/>
          <w:bCs w:val="0"/>
          <w:sz w:val="24"/>
          <w:szCs w:val="24"/>
          <w:rtl/>
        </w:rPr>
        <w:t>בקרב נוער מנותק המטופל ביחידות קידום נוער בישראל בשנת 2009.</w:t>
      </w:r>
      <w:bookmarkEnd w:id="65"/>
    </w:p>
    <w:p w:rsidR="001221DB" w:rsidRPr="00BB6388" w:rsidRDefault="001221DB" w:rsidP="00322CAF">
      <w:pPr>
        <w:pStyle w:val="af2"/>
        <w:spacing w:line="360" w:lineRule="auto"/>
        <w:jc w:val="center"/>
        <w:rPr>
          <w:sz w:val="22"/>
          <w:szCs w:val="22"/>
          <w:rtl/>
        </w:rPr>
      </w:pPr>
      <w:r w:rsidRPr="008F2786">
        <w:rPr>
          <w:sz w:val="24"/>
          <w:szCs w:val="24"/>
          <w:rtl/>
        </w:rPr>
        <w:t xml:space="preserve">טבלה </w:t>
      </w:r>
      <w:r w:rsidR="00F3448E" w:rsidRPr="008F2786">
        <w:rPr>
          <w:sz w:val="24"/>
          <w:szCs w:val="24"/>
          <w:rtl/>
        </w:rPr>
        <w:fldChar w:fldCharType="begin"/>
      </w:r>
      <w:r w:rsidRPr="008F2786">
        <w:rPr>
          <w:sz w:val="24"/>
          <w:szCs w:val="24"/>
          <w:rtl/>
        </w:rPr>
        <w:instrText xml:space="preserve"> </w:instrText>
      </w:r>
      <w:r w:rsidRPr="008F2786">
        <w:rPr>
          <w:sz w:val="24"/>
          <w:szCs w:val="24"/>
        </w:rPr>
        <w:instrText>SEQ</w:instrText>
      </w:r>
      <w:r w:rsidRPr="008F2786">
        <w:rPr>
          <w:sz w:val="24"/>
          <w:szCs w:val="24"/>
          <w:rtl/>
        </w:rPr>
        <w:instrText xml:space="preserve"> טבלה \* </w:instrText>
      </w:r>
      <w:r w:rsidRPr="008F2786">
        <w:rPr>
          <w:sz w:val="24"/>
          <w:szCs w:val="24"/>
        </w:rPr>
        <w:instrText>ARABIC</w:instrText>
      </w:r>
      <w:r w:rsidRPr="008F2786">
        <w:rPr>
          <w:sz w:val="24"/>
          <w:szCs w:val="24"/>
          <w:rtl/>
        </w:rPr>
        <w:instrText xml:space="preserve"> </w:instrText>
      </w:r>
      <w:r w:rsidR="00F3448E" w:rsidRPr="008F2786">
        <w:rPr>
          <w:sz w:val="24"/>
          <w:szCs w:val="24"/>
          <w:rtl/>
        </w:rPr>
        <w:fldChar w:fldCharType="separate"/>
      </w:r>
      <w:r w:rsidR="007347AB">
        <w:rPr>
          <w:noProof/>
          <w:sz w:val="24"/>
          <w:szCs w:val="24"/>
          <w:rtl/>
        </w:rPr>
        <w:t>4</w:t>
      </w:r>
      <w:r w:rsidR="00F3448E" w:rsidRPr="008F2786">
        <w:rPr>
          <w:sz w:val="24"/>
          <w:szCs w:val="24"/>
          <w:rtl/>
        </w:rPr>
        <w:fldChar w:fldCharType="end"/>
      </w:r>
      <w:r w:rsidRPr="008F2786">
        <w:rPr>
          <w:rFonts w:hint="cs"/>
          <w:sz w:val="24"/>
          <w:szCs w:val="24"/>
          <w:rtl/>
        </w:rPr>
        <w:t>:</w:t>
      </w:r>
      <w:r w:rsidR="008F2786" w:rsidRPr="008F2786">
        <w:rPr>
          <w:rFonts w:hint="cs"/>
          <w:sz w:val="24"/>
          <w:szCs w:val="24"/>
          <w:rtl/>
        </w:rPr>
        <w:t xml:space="preserve"> </w:t>
      </w:r>
      <w:bookmarkStart w:id="66" w:name="_Toc419963032"/>
      <w:r w:rsidRPr="008F2786">
        <w:rPr>
          <w:rFonts w:hint="cs"/>
          <w:sz w:val="24"/>
          <w:szCs w:val="24"/>
          <w:rtl/>
        </w:rPr>
        <w:t>שכיחות השימוש</w:t>
      </w:r>
      <w:r w:rsidRPr="008F2786">
        <w:rPr>
          <w:sz w:val="24"/>
          <w:szCs w:val="24"/>
          <w:rtl/>
        </w:rPr>
        <w:t xml:space="preserve"> </w:t>
      </w:r>
      <w:r w:rsidRPr="008F2786">
        <w:rPr>
          <w:rFonts w:hint="eastAsia"/>
          <w:sz w:val="24"/>
          <w:szCs w:val="24"/>
          <w:rtl/>
        </w:rPr>
        <w:t>בסמים</w:t>
      </w:r>
      <w:r w:rsidRPr="008F2786">
        <w:rPr>
          <w:sz w:val="24"/>
          <w:szCs w:val="24"/>
          <w:rtl/>
        </w:rPr>
        <w:t xml:space="preserve"> </w:t>
      </w:r>
      <w:r w:rsidRPr="008F2786">
        <w:rPr>
          <w:rFonts w:hint="eastAsia"/>
          <w:sz w:val="24"/>
          <w:szCs w:val="24"/>
          <w:rtl/>
        </w:rPr>
        <w:t>נבחרים</w:t>
      </w:r>
      <w:r w:rsidRPr="008F2786">
        <w:rPr>
          <w:sz w:val="24"/>
          <w:szCs w:val="24"/>
          <w:rtl/>
        </w:rPr>
        <w:t xml:space="preserve"> </w:t>
      </w:r>
      <w:r w:rsidRPr="008F2786">
        <w:rPr>
          <w:rFonts w:hint="cs"/>
          <w:sz w:val="24"/>
          <w:szCs w:val="24"/>
          <w:rtl/>
        </w:rPr>
        <w:t>בקרב</w:t>
      </w:r>
      <w:r w:rsidRPr="008F2786">
        <w:rPr>
          <w:sz w:val="24"/>
          <w:szCs w:val="24"/>
          <w:rtl/>
        </w:rPr>
        <w:t xml:space="preserve"> </w:t>
      </w:r>
      <w:r w:rsidR="008F2786" w:rsidRPr="008F2786">
        <w:rPr>
          <w:rFonts w:hint="cs"/>
          <w:sz w:val="24"/>
          <w:szCs w:val="24"/>
          <w:rtl/>
        </w:rPr>
        <w:t>נוער מנותק</w:t>
      </w:r>
      <w:r w:rsidR="004436E4" w:rsidRPr="008F2786">
        <w:rPr>
          <w:rFonts w:hint="cs"/>
          <w:sz w:val="24"/>
          <w:szCs w:val="24"/>
          <w:rtl/>
        </w:rPr>
        <w:t xml:space="preserve"> </w:t>
      </w:r>
      <w:r w:rsidRPr="008F2786">
        <w:rPr>
          <w:rFonts w:hint="eastAsia"/>
          <w:sz w:val="24"/>
          <w:szCs w:val="24"/>
          <w:rtl/>
        </w:rPr>
        <w:t>בישראל</w:t>
      </w:r>
      <w:r w:rsidRPr="008F2786">
        <w:rPr>
          <w:sz w:val="24"/>
          <w:szCs w:val="24"/>
          <w:rtl/>
        </w:rPr>
        <w:t xml:space="preserve">, </w:t>
      </w:r>
      <w:r w:rsidRPr="008F2786">
        <w:rPr>
          <w:rFonts w:hint="eastAsia"/>
          <w:sz w:val="24"/>
          <w:szCs w:val="24"/>
          <w:rtl/>
        </w:rPr>
        <w:t>בשנת</w:t>
      </w:r>
      <w:r w:rsidRPr="008F2786">
        <w:rPr>
          <w:sz w:val="24"/>
          <w:szCs w:val="24"/>
          <w:rtl/>
        </w:rPr>
        <w:t xml:space="preserve"> </w:t>
      </w:r>
      <w:r w:rsidRPr="008F2786">
        <w:rPr>
          <w:rFonts w:hint="cs"/>
          <w:sz w:val="24"/>
          <w:szCs w:val="24"/>
          <w:rtl/>
        </w:rPr>
        <w:t>2009</w:t>
      </w:r>
      <w:r w:rsidRPr="00BB6388">
        <w:rPr>
          <w:rStyle w:val="ab"/>
          <w:b w:val="0"/>
          <w:bCs w:val="0"/>
          <w:sz w:val="22"/>
          <w:szCs w:val="22"/>
          <w:rtl/>
        </w:rPr>
        <w:footnoteReference w:id="73"/>
      </w:r>
      <w:bookmarkEnd w:id="66"/>
    </w:p>
    <w:tbl>
      <w:tblPr>
        <w:tblStyle w:val="afff5"/>
        <w:bidiVisual/>
        <w:tblW w:w="0" w:type="auto"/>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3061"/>
        <w:gridCol w:w="3286"/>
      </w:tblGrid>
      <w:tr w:rsidR="005D7740" w:rsidRPr="00CC1DE9" w:rsidTr="00CC1DE9">
        <w:trPr>
          <w:tblCellSpacing w:w="20" w:type="dxa"/>
          <w:jc w:val="center"/>
        </w:trPr>
        <w:tc>
          <w:tcPr>
            <w:tcW w:w="3001" w:type="dxa"/>
            <w:shd w:val="clear" w:color="auto" w:fill="auto"/>
          </w:tcPr>
          <w:p w:rsidR="005D7740" w:rsidRPr="00CC1DE9" w:rsidRDefault="005D7740" w:rsidP="00CC1DE9">
            <w:pPr>
              <w:pStyle w:val="a2"/>
              <w:spacing w:before="60" w:after="0" w:line="240" w:lineRule="auto"/>
              <w:rPr>
                <w:b/>
                <w:bCs/>
                <w:sz w:val="22"/>
                <w:szCs w:val="22"/>
                <w:rtl/>
              </w:rPr>
            </w:pPr>
            <w:r w:rsidRPr="00CC1DE9">
              <w:rPr>
                <w:rFonts w:hint="cs"/>
                <w:b/>
                <w:bCs/>
                <w:sz w:val="22"/>
                <w:szCs w:val="22"/>
                <w:rtl/>
              </w:rPr>
              <w:t>סוג הסם</w:t>
            </w:r>
          </w:p>
        </w:tc>
        <w:tc>
          <w:tcPr>
            <w:tcW w:w="3226" w:type="dxa"/>
            <w:shd w:val="clear" w:color="auto" w:fill="auto"/>
          </w:tcPr>
          <w:p w:rsidR="005D7740" w:rsidRPr="00CC1DE9" w:rsidRDefault="005D7740" w:rsidP="00CC1DE9">
            <w:pPr>
              <w:pStyle w:val="a2"/>
              <w:spacing w:before="60" w:after="0" w:line="240" w:lineRule="auto"/>
              <w:rPr>
                <w:b/>
                <w:bCs/>
                <w:sz w:val="22"/>
                <w:szCs w:val="22"/>
                <w:rtl/>
              </w:rPr>
            </w:pPr>
            <w:r w:rsidRPr="00CC1DE9">
              <w:rPr>
                <w:rFonts w:hint="cs"/>
                <w:b/>
                <w:bCs/>
                <w:sz w:val="22"/>
                <w:szCs w:val="22"/>
                <w:rtl/>
              </w:rPr>
              <w:t>שכיחות השימוש בקרב נוער מנותק</w:t>
            </w:r>
          </w:p>
        </w:tc>
      </w:tr>
      <w:tr w:rsidR="005D7740" w:rsidRPr="00CC1DE9" w:rsidTr="00CC1DE9">
        <w:trPr>
          <w:tblCellSpacing w:w="20" w:type="dxa"/>
          <w:jc w:val="center"/>
        </w:trPr>
        <w:tc>
          <w:tcPr>
            <w:tcW w:w="3001" w:type="dxa"/>
            <w:shd w:val="clear" w:color="auto" w:fill="auto"/>
          </w:tcPr>
          <w:p w:rsidR="005D7740" w:rsidRPr="00CC1DE9" w:rsidRDefault="00FB72AA" w:rsidP="00CC1DE9">
            <w:pPr>
              <w:pStyle w:val="a2"/>
              <w:spacing w:before="60" w:after="0" w:line="240" w:lineRule="auto"/>
              <w:rPr>
                <w:sz w:val="22"/>
                <w:szCs w:val="22"/>
                <w:rtl/>
              </w:rPr>
            </w:pPr>
            <w:r w:rsidRPr="00CC1DE9">
              <w:rPr>
                <w:rFonts w:hint="cs"/>
                <w:sz w:val="22"/>
                <w:szCs w:val="22"/>
                <w:rtl/>
              </w:rPr>
              <w:t>קנביס</w:t>
            </w:r>
            <w:r w:rsidR="00B00EA2" w:rsidRPr="00CC1DE9">
              <w:rPr>
                <w:rFonts w:hint="cs"/>
                <w:sz w:val="22"/>
                <w:szCs w:val="22"/>
                <w:rtl/>
              </w:rPr>
              <w:t xml:space="preserve"> </w:t>
            </w:r>
            <w:r w:rsidRPr="00CC1DE9">
              <w:rPr>
                <w:rFonts w:hint="cs"/>
                <w:sz w:val="22"/>
                <w:szCs w:val="22"/>
                <w:rtl/>
              </w:rPr>
              <w:t>(</w:t>
            </w:r>
            <w:r w:rsidR="005D7740" w:rsidRPr="00CC1DE9">
              <w:rPr>
                <w:rFonts w:hint="cs"/>
                <w:sz w:val="22"/>
                <w:szCs w:val="22"/>
                <w:rtl/>
              </w:rPr>
              <w:t>חשיש ומריחואנה</w:t>
            </w:r>
            <w:r w:rsidRPr="00CC1DE9">
              <w:rPr>
                <w:rFonts w:hint="cs"/>
                <w:sz w:val="22"/>
                <w:szCs w:val="22"/>
                <w:rtl/>
              </w:rPr>
              <w:t>)</w:t>
            </w:r>
          </w:p>
        </w:tc>
        <w:tc>
          <w:tcPr>
            <w:tcW w:w="3226" w:type="dxa"/>
            <w:shd w:val="clear" w:color="auto" w:fill="auto"/>
          </w:tcPr>
          <w:p w:rsidR="005D7740" w:rsidRPr="00CC1DE9" w:rsidRDefault="005D7740" w:rsidP="00CC1DE9">
            <w:pPr>
              <w:pStyle w:val="a2"/>
              <w:spacing w:before="60" w:after="0" w:line="240" w:lineRule="auto"/>
              <w:jc w:val="center"/>
              <w:rPr>
                <w:sz w:val="22"/>
                <w:szCs w:val="22"/>
                <w:rtl/>
              </w:rPr>
            </w:pPr>
            <w:r w:rsidRPr="00CC1DE9">
              <w:rPr>
                <w:rFonts w:hint="cs"/>
                <w:sz w:val="22"/>
                <w:szCs w:val="22"/>
                <w:rtl/>
              </w:rPr>
              <w:t>15.14%</w:t>
            </w:r>
          </w:p>
        </w:tc>
      </w:tr>
      <w:tr w:rsidR="005D7740" w:rsidRPr="00CC1DE9" w:rsidTr="00CC1DE9">
        <w:trPr>
          <w:tblCellSpacing w:w="20" w:type="dxa"/>
          <w:jc w:val="center"/>
        </w:trPr>
        <w:tc>
          <w:tcPr>
            <w:tcW w:w="3001" w:type="dxa"/>
            <w:shd w:val="clear" w:color="auto" w:fill="auto"/>
          </w:tcPr>
          <w:p w:rsidR="005D7740" w:rsidRPr="00CC1DE9" w:rsidRDefault="005D7740" w:rsidP="00CC1DE9">
            <w:pPr>
              <w:pStyle w:val="a2"/>
              <w:spacing w:before="60" w:after="0" w:line="240" w:lineRule="auto"/>
              <w:rPr>
                <w:sz w:val="22"/>
                <w:szCs w:val="22"/>
                <w:rtl/>
              </w:rPr>
            </w:pPr>
            <w:r w:rsidRPr="00CC1DE9">
              <w:rPr>
                <w:rFonts w:hint="cs"/>
                <w:sz w:val="22"/>
                <w:szCs w:val="22"/>
                <w:rtl/>
              </w:rPr>
              <w:t>חומרים נדיפים</w:t>
            </w:r>
          </w:p>
        </w:tc>
        <w:tc>
          <w:tcPr>
            <w:tcW w:w="3226" w:type="dxa"/>
            <w:shd w:val="clear" w:color="auto" w:fill="auto"/>
          </w:tcPr>
          <w:p w:rsidR="005D7740" w:rsidRPr="00CC1DE9" w:rsidRDefault="005D7740" w:rsidP="00CC1DE9">
            <w:pPr>
              <w:pStyle w:val="a2"/>
              <w:spacing w:before="60" w:after="0" w:line="240" w:lineRule="auto"/>
              <w:jc w:val="center"/>
              <w:rPr>
                <w:sz w:val="22"/>
                <w:szCs w:val="22"/>
                <w:rtl/>
              </w:rPr>
            </w:pPr>
            <w:r w:rsidRPr="00CC1DE9">
              <w:rPr>
                <w:rFonts w:hint="cs"/>
                <w:sz w:val="22"/>
                <w:szCs w:val="22"/>
                <w:rtl/>
              </w:rPr>
              <w:t>9.37%</w:t>
            </w:r>
          </w:p>
        </w:tc>
      </w:tr>
      <w:tr w:rsidR="005D7740" w:rsidRPr="00CC1DE9" w:rsidTr="00CC1DE9">
        <w:trPr>
          <w:tblCellSpacing w:w="20" w:type="dxa"/>
          <w:jc w:val="center"/>
        </w:trPr>
        <w:tc>
          <w:tcPr>
            <w:tcW w:w="3001" w:type="dxa"/>
            <w:shd w:val="clear" w:color="auto" w:fill="auto"/>
          </w:tcPr>
          <w:p w:rsidR="005D7740" w:rsidRPr="00CC1DE9" w:rsidRDefault="005D7740" w:rsidP="00CC1DE9">
            <w:pPr>
              <w:pStyle w:val="a2"/>
              <w:spacing w:before="60" w:after="0" w:line="240" w:lineRule="auto"/>
              <w:rPr>
                <w:sz w:val="22"/>
                <w:szCs w:val="22"/>
                <w:rtl/>
              </w:rPr>
            </w:pPr>
            <w:r w:rsidRPr="00CC1DE9">
              <w:rPr>
                <w:rFonts w:hint="cs"/>
                <w:sz w:val="22"/>
                <w:szCs w:val="22"/>
                <w:rtl/>
              </w:rPr>
              <w:t>תרופות מרשם</w:t>
            </w:r>
            <w:r w:rsidR="00B00EA2" w:rsidRPr="00CC1DE9">
              <w:rPr>
                <w:rFonts w:hint="cs"/>
                <w:sz w:val="22"/>
                <w:szCs w:val="22"/>
                <w:rtl/>
              </w:rPr>
              <w:t xml:space="preserve"> </w:t>
            </w:r>
            <w:r w:rsidRPr="00CC1DE9">
              <w:rPr>
                <w:rFonts w:hint="cs"/>
                <w:sz w:val="22"/>
                <w:szCs w:val="22"/>
                <w:rtl/>
              </w:rPr>
              <w:t>(שימוש לא חוקי)</w:t>
            </w:r>
          </w:p>
        </w:tc>
        <w:tc>
          <w:tcPr>
            <w:tcW w:w="3226" w:type="dxa"/>
            <w:shd w:val="clear" w:color="auto" w:fill="auto"/>
          </w:tcPr>
          <w:p w:rsidR="005D7740" w:rsidRPr="00CC1DE9" w:rsidRDefault="005D7740" w:rsidP="00CC1DE9">
            <w:pPr>
              <w:pStyle w:val="a2"/>
              <w:spacing w:before="60" w:after="0" w:line="240" w:lineRule="auto"/>
              <w:jc w:val="center"/>
              <w:rPr>
                <w:sz w:val="22"/>
                <w:szCs w:val="22"/>
                <w:rtl/>
              </w:rPr>
            </w:pPr>
            <w:r w:rsidRPr="00CC1DE9">
              <w:rPr>
                <w:rFonts w:hint="cs"/>
                <w:sz w:val="22"/>
                <w:szCs w:val="22"/>
                <w:rtl/>
              </w:rPr>
              <w:t>10.15%</w:t>
            </w:r>
          </w:p>
        </w:tc>
      </w:tr>
      <w:tr w:rsidR="005D7740" w:rsidRPr="00CC1DE9" w:rsidTr="00CC1DE9">
        <w:trPr>
          <w:tblCellSpacing w:w="20" w:type="dxa"/>
          <w:jc w:val="center"/>
        </w:trPr>
        <w:tc>
          <w:tcPr>
            <w:tcW w:w="3001" w:type="dxa"/>
            <w:shd w:val="clear" w:color="auto" w:fill="auto"/>
          </w:tcPr>
          <w:p w:rsidR="005D7740" w:rsidRPr="00CC1DE9" w:rsidRDefault="005D7740" w:rsidP="00CC1DE9">
            <w:pPr>
              <w:pStyle w:val="a2"/>
              <w:spacing w:before="60" w:after="0" w:line="240" w:lineRule="auto"/>
              <w:rPr>
                <w:sz w:val="22"/>
                <w:szCs w:val="22"/>
                <w:rtl/>
              </w:rPr>
            </w:pPr>
            <w:r w:rsidRPr="00CC1DE9">
              <w:rPr>
                <w:rFonts w:hint="cs"/>
                <w:sz w:val="22"/>
                <w:szCs w:val="22"/>
                <w:rtl/>
              </w:rPr>
              <w:t>חגיגת</w:t>
            </w:r>
          </w:p>
        </w:tc>
        <w:tc>
          <w:tcPr>
            <w:tcW w:w="3226" w:type="dxa"/>
            <w:shd w:val="clear" w:color="auto" w:fill="auto"/>
          </w:tcPr>
          <w:p w:rsidR="005D7740" w:rsidRPr="00CC1DE9" w:rsidRDefault="005D7740" w:rsidP="00CC1DE9">
            <w:pPr>
              <w:pStyle w:val="a2"/>
              <w:spacing w:before="60" w:after="0" w:line="240" w:lineRule="auto"/>
              <w:jc w:val="center"/>
              <w:rPr>
                <w:sz w:val="22"/>
                <w:szCs w:val="22"/>
                <w:rtl/>
              </w:rPr>
            </w:pPr>
            <w:r w:rsidRPr="00CC1DE9">
              <w:rPr>
                <w:rFonts w:hint="cs"/>
                <w:sz w:val="22"/>
                <w:szCs w:val="22"/>
                <w:rtl/>
              </w:rPr>
              <w:t>12.15%</w:t>
            </w:r>
          </w:p>
        </w:tc>
      </w:tr>
      <w:tr w:rsidR="005D7740" w:rsidRPr="00CC1DE9" w:rsidTr="00CC1DE9">
        <w:trPr>
          <w:tblCellSpacing w:w="20" w:type="dxa"/>
          <w:jc w:val="center"/>
        </w:trPr>
        <w:tc>
          <w:tcPr>
            <w:tcW w:w="3001" w:type="dxa"/>
            <w:shd w:val="clear" w:color="auto" w:fill="auto"/>
          </w:tcPr>
          <w:p w:rsidR="005D7740" w:rsidRPr="00CC1DE9" w:rsidRDefault="005D7740" w:rsidP="00CC1DE9">
            <w:pPr>
              <w:pStyle w:val="a2"/>
              <w:spacing w:before="60" w:after="0" w:line="240" w:lineRule="auto"/>
              <w:rPr>
                <w:sz w:val="22"/>
                <w:szCs w:val="22"/>
                <w:rtl/>
              </w:rPr>
            </w:pPr>
            <w:r w:rsidRPr="00CC1DE9">
              <w:rPr>
                <w:rFonts w:hint="cs"/>
                <w:sz w:val="22"/>
                <w:szCs w:val="22"/>
                <w:rtl/>
              </w:rPr>
              <w:t>אקסטזי או ל.ס.ד.</w:t>
            </w:r>
          </w:p>
        </w:tc>
        <w:tc>
          <w:tcPr>
            <w:tcW w:w="3226" w:type="dxa"/>
            <w:shd w:val="clear" w:color="auto" w:fill="auto"/>
          </w:tcPr>
          <w:p w:rsidR="005D7740" w:rsidRPr="00CC1DE9" w:rsidRDefault="005D7740" w:rsidP="00CC1DE9">
            <w:pPr>
              <w:pStyle w:val="a2"/>
              <w:spacing w:before="60" w:after="0" w:line="240" w:lineRule="auto"/>
              <w:jc w:val="center"/>
              <w:rPr>
                <w:sz w:val="22"/>
                <w:szCs w:val="22"/>
                <w:rtl/>
              </w:rPr>
            </w:pPr>
            <w:r w:rsidRPr="00CC1DE9">
              <w:rPr>
                <w:rFonts w:hint="cs"/>
                <w:sz w:val="22"/>
                <w:szCs w:val="22"/>
                <w:rtl/>
              </w:rPr>
              <w:t>6.82%</w:t>
            </w:r>
          </w:p>
        </w:tc>
      </w:tr>
    </w:tbl>
    <w:p w:rsidR="001221DB" w:rsidRPr="00BB6388" w:rsidRDefault="00F1282F" w:rsidP="00BB6388">
      <w:pPr>
        <w:pStyle w:val="4"/>
        <w:rPr>
          <w:b w:val="0"/>
          <w:bCs w:val="0"/>
          <w:sz w:val="24"/>
          <w:szCs w:val="24"/>
          <w:rtl/>
        </w:rPr>
      </w:pPr>
      <w:bookmarkStart w:id="67" w:name="_Toc419963033"/>
      <w:r w:rsidRPr="00BB6388">
        <w:rPr>
          <w:rFonts w:hint="cs"/>
          <w:b w:val="0"/>
          <w:bCs w:val="0"/>
          <w:sz w:val="24"/>
          <w:szCs w:val="24"/>
          <w:rtl/>
        </w:rPr>
        <w:t xml:space="preserve">הטבלה מעלה כי </w:t>
      </w:r>
      <w:r w:rsidR="00FB72AA" w:rsidRPr="00BB6388">
        <w:rPr>
          <w:rFonts w:hint="cs"/>
          <w:sz w:val="24"/>
          <w:szCs w:val="24"/>
          <w:rtl/>
        </w:rPr>
        <w:t>קנביס הוא הסם ששכיחות השימוש בו היא הגבוהה ביותר (15.4%) בקרב נוער מנותק</w:t>
      </w:r>
      <w:r w:rsidR="00FB72AA" w:rsidRPr="00BB6388">
        <w:rPr>
          <w:rFonts w:hint="cs"/>
          <w:b w:val="0"/>
          <w:bCs w:val="0"/>
          <w:sz w:val="24"/>
          <w:szCs w:val="24"/>
          <w:rtl/>
        </w:rPr>
        <w:t xml:space="preserve"> המטופל ביחידות לקידום נוער בשנת 2009.</w:t>
      </w:r>
      <w:bookmarkEnd w:id="67"/>
    </w:p>
    <w:p w:rsidR="00A84B70" w:rsidRPr="00BB6388" w:rsidRDefault="00A84B70" w:rsidP="00BB6388">
      <w:pPr>
        <w:pStyle w:val="4"/>
        <w:rPr>
          <w:rtl/>
        </w:rPr>
      </w:pPr>
      <w:bookmarkStart w:id="68" w:name="_Toc419963034"/>
      <w:r w:rsidRPr="00BB6388">
        <w:rPr>
          <w:rFonts w:hint="cs"/>
          <w:rtl/>
        </w:rPr>
        <w:t>עמדות נוער</w:t>
      </w:r>
      <w:r w:rsidRPr="00080FB8">
        <w:rPr>
          <w:rStyle w:val="ab"/>
          <w:b w:val="0"/>
          <w:bCs w:val="0"/>
          <w:rtl/>
        </w:rPr>
        <w:footnoteReference w:id="74"/>
      </w:r>
      <w:r w:rsidRPr="00BB6388">
        <w:rPr>
          <w:rFonts w:hint="cs"/>
          <w:rtl/>
        </w:rPr>
        <w:t xml:space="preserve"> בישראל כלפי שימוש בסמים</w:t>
      </w:r>
      <w:bookmarkEnd w:id="68"/>
    </w:p>
    <w:p w:rsidR="00A84B70" w:rsidRPr="00BB6388" w:rsidRDefault="00A84B70" w:rsidP="008F2786">
      <w:pPr>
        <w:pStyle w:val="a2"/>
        <w:spacing w:before="0" w:after="0" w:line="360" w:lineRule="auto"/>
        <w:rPr>
          <w:rtl/>
        </w:rPr>
      </w:pPr>
      <w:r w:rsidRPr="00BB6388">
        <w:rPr>
          <w:rFonts w:hint="cs"/>
          <w:rtl/>
        </w:rPr>
        <w:t>בסקר 'יד על הדופק' שערכה הרשות ביוני 2014 נסקרו גם בני</w:t>
      </w:r>
      <w:r w:rsidR="00D27BB7" w:rsidRPr="00BB6388">
        <w:rPr>
          <w:rFonts w:hint="cs"/>
          <w:rtl/>
        </w:rPr>
        <w:t xml:space="preserve"> </w:t>
      </w:r>
      <w:r w:rsidRPr="00BB6388">
        <w:rPr>
          <w:rFonts w:hint="cs"/>
          <w:rtl/>
        </w:rPr>
        <w:t>17-12</w:t>
      </w:r>
      <w:r w:rsidR="008F2786">
        <w:rPr>
          <w:rStyle w:val="ab"/>
          <w:rFonts w:hint="cs"/>
          <w:vertAlign w:val="baseline"/>
          <w:rtl/>
        </w:rPr>
        <w:t>.</w:t>
      </w:r>
      <w:r w:rsidRPr="00BB6388">
        <w:rPr>
          <w:rStyle w:val="ab"/>
          <w:rtl/>
        </w:rPr>
        <w:footnoteReference w:id="75"/>
      </w:r>
      <w:r w:rsidRPr="00BB6388">
        <w:rPr>
          <w:rFonts w:hint="cs"/>
          <w:rtl/>
        </w:rPr>
        <w:t xml:space="preserve">  מס</w:t>
      </w:r>
      <w:r w:rsidR="008F2786">
        <w:rPr>
          <w:rFonts w:hint="cs"/>
          <w:rtl/>
        </w:rPr>
        <w:t>פר המשיבים בקבוצה זו עמד על 611. להלן מספר נתונים מסקר זה:</w:t>
      </w:r>
    </w:p>
    <w:p w:rsidR="00A84B70" w:rsidRPr="00BB6388" w:rsidRDefault="00A84B70" w:rsidP="00DC2DB0">
      <w:pPr>
        <w:pStyle w:val="a2"/>
        <w:numPr>
          <w:ilvl w:val="0"/>
          <w:numId w:val="17"/>
        </w:numPr>
        <w:spacing w:before="0" w:after="0" w:line="360" w:lineRule="auto"/>
      </w:pPr>
      <w:r w:rsidRPr="00BB6388">
        <w:rPr>
          <w:rFonts w:hint="cs"/>
          <w:rtl/>
        </w:rPr>
        <w:t xml:space="preserve">בהתייחס לשאלה בדבר החמרת הענישה כלפי משתמשי וצרכני סמים, עמדת 39% מהנשאלים הייתה כי הם בעד החמרת הענישה, 51% השיבו כי יש לחייב את המשתמשים לעבור טיפול, ו- 9% כי יש לעזוב את המשתמשים לנפשם. </w:t>
      </w:r>
    </w:p>
    <w:p w:rsidR="00A84B70" w:rsidRPr="00BB6388" w:rsidRDefault="00A84B70" w:rsidP="00DC2DB0">
      <w:pPr>
        <w:pStyle w:val="a2"/>
        <w:numPr>
          <w:ilvl w:val="0"/>
          <w:numId w:val="17"/>
        </w:numPr>
        <w:spacing w:before="0" w:after="0" w:line="360" w:lineRule="auto"/>
      </w:pPr>
      <w:r w:rsidRPr="00BB6388">
        <w:rPr>
          <w:rFonts w:hint="cs"/>
          <w:rtl/>
        </w:rPr>
        <w:t xml:space="preserve">בנוגע לתפיסת הסיכון הכרוך בשימוש בסמים, מבחינת בריאות ותפקוד, הבחין הסקר בין שימוש במריחואנה ובין שימוש ב'סמי פיצוציות'. בהתייחס למריחואנה, 69% מבין המשיבים בגילאי 17-12  קבעו כי מדובר בסיכון גבוה מאוד או גבוה למדי, 13% כי מדובר בסיכון בינוני, ו- 18% כי מדובר בסיכון נמוך או כי לא קיים סיכון כלל. גם באוכלוסייה זו הנתונים שונים מאוד בהתייחס ל'סמי פיצוציות': 82% מהמשיבים הביעו את התפיסה כי השימוש בסמים אלו כרוך בסיכון גבוה מאוד או גבוה למדי, 10% כי מדובר בסיכון בינוני, ו- 8% בלבד כי מדובר בסיכון נמוך או כי לא קיים סיכון כלל. </w:t>
      </w:r>
    </w:p>
    <w:p w:rsidR="00A84B70" w:rsidRDefault="00A84B70" w:rsidP="00DC2DB0">
      <w:pPr>
        <w:pStyle w:val="a2"/>
        <w:numPr>
          <w:ilvl w:val="0"/>
          <w:numId w:val="17"/>
        </w:numPr>
        <w:spacing w:before="0" w:after="0" w:line="360" w:lineRule="auto"/>
      </w:pPr>
      <w:r w:rsidRPr="00BB6388">
        <w:rPr>
          <w:rFonts w:hint="cs"/>
          <w:rtl/>
        </w:rPr>
        <w:t xml:space="preserve">77% מבני-הנוער היו גם בעד סגירת פיצוציות המוכרות לקטינים אלכוהול או 'סמי פיצוציות'. </w:t>
      </w:r>
    </w:p>
    <w:p w:rsidR="00BB0E46" w:rsidRPr="00BB6388" w:rsidRDefault="00F543B3" w:rsidP="00F17BA7">
      <w:pPr>
        <w:pStyle w:val="2"/>
        <w:rPr>
          <w:rtl/>
        </w:rPr>
      </w:pPr>
      <w:bookmarkStart w:id="69" w:name="_Toc421697035"/>
      <w:bookmarkStart w:id="70" w:name="_Toc353961980"/>
      <w:r>
        <w:rPr>
          <w:rFonts w:hint="cs"/>
          <w:rtl/>
        </w:rPr>
        <w:t>השימוש באלכוהול בעולם ובישראל</w:t>
      </w:r>
      <w:bookmarkEnd w:id="69"/>
    </w:p>
    <w:p w:rsidR="00A84B70" w:rsidRPr="00BB6388" w:rsidRDefault="00A84B70" w:rsidP="0079677F">
      <w:pPr>
        <w:pStyle w:val="a2"/>
        <w:rPr>
          <w:rtl/>
        </w:rPr>
      </w:pPr>
      <w:r w:rsidRPr="00BB0E46">
        <w:rPr>
          <w:rFonts w:hint="cs"/>
          <w:b/>
          <w:bCs/>
          <w:rtl/>
        </w:rPr>
        <w:t>במדינות רבות, ובכללן ישראל, צריכת האלכוהול היא חוקית</w:t>
      </w:r>
      <w:r w:rsidRPr="00BB6388">
        <w:rPr>
          <w:rFonts w:hint="cs"/>
          <w:rtl/>
        </w:rPr>
        <w:t xml:space="preserve"> (וזאת לעיתים תחת מגבלות שונות, כגון גיל, כפי שיוצג להלן). </w:t>
      </w:r>
      <w:r w:rsidRPr="00BB0E46">
        <w:rPr>
          <w:rFonts w:hint="cs"/>
          <w:b/>
          <w:bCs/>
          <w:rtl/>
        </w:rPr>
        <w:t>הדבר מאפשר, במקרים אלו, שימוש בנתונים רשמיים</w:t>
      </w:r>
      <w:r w:rsidRPr="00BB6388">
        <w:rPr>
          <w:rFonts w:hint="cs"/>
          <w:rtl/>
        </w:rPr>
        <w:t xml:space="preserve">  בדבר קניה, מכירה, יבוא ויצוא בכדי לאמוד את היקפי התופעה. בו-בזמן מכירים הגופים הרשמיים בכך שגם נתונים אלו אינם משקפים את היקף התופעה במלואה, וזאת מאחר והם </w:t>
      </w:r>
      <w:r w:rsidRPr="00BB0E46">
        <w:rPr>
          <w:rFonts w:hint="cs"/>
          <w:b/>
          <w:bCs/>
          <w:rtl/>
        </w:rPr>
        <w:t>אינם כוללים צריכת אלכוהול לא-מתועדת</w:t>
      </w:r>
      <w:r w:rsidRPr="00BB6388">
        <w:rPr>
          <w:rFonts w:hint="cs"/>
          <w:rtl/>
        </w:rPr>
        <w:t xml:space="preserve"> (כגון משקאות אלכוהול שהוכנו באופן ביתי</w:t>
      </w:r>
      <w:r w:rsidR="007C2A9D" w:rsidRPr="00BB6388">
        <w:rPr>
          <w:rFonts w:hint="cs"/>
          <w:rtl/>
        </w:rPr>
        <w:t xml:space="preserve"> או שנרכשו באופן פרטי מחוץ לגבולות המדינה</w:t>
      </w:r>
      <w:r w:rsidRPr="00BB6388">
        <w:rPr>
          <w:rFonts w:hint="cs"/>
          <w:rtl/>
        </w:rPr>
        <w:t>).</w:t>
      </w:r>
    </w:p>
    <w:p w:rsidR="006553B7" w:rsidRPr="00BB6388" w:rsidRDefault="00012F73" w:rsidP="00012F73">
      <w:pPr>
        <w:pStyle w:val="a2"/>
        <w:spacing w:line="360" w:lineRule="auto"/>
        <w:rPr>
          <w:rtl/>
        </w:rPr>
      </w:pPr>
      <w:r>
        <w:rPr>
          <w:rFonts w:hint="cs"/>
          <w:rtl/>
        </w:rPr>
        <w:t>יש לציין גם כי</w:t>
      </w:r>
      <w:r w:rsidR="006553B7" w:rsidRPr="00BB6388">
        <w:rPr>
          <w:rFonts w:hint="cs"/>
          <w:rtl/>
        </w:rPr>
        <w:t xml:space="preserve"> </w:t>
      </w:r>
      <w:r w:rsidR="007C2A9D" w:rsidRPr="00BB6388">
        <w:rPr>
          <w:rFonts w:hint="cs"/>
          <w:b/>
          <w:bCs/>
          <w:rtl/>
        </w:rPr>
        <w:t>הנתונים המוצגים אינם משקפים הבחנה</w:t>
      </w:r>
      <w:r w:rsidR="00F742AF" w:rsidRPr="00BB6388">
        <w:rPr>
          <w:rFonts w:hint="cs"/>
          <w:b/>
          <w:bCs/>
          <w:rtl/>
        </w:rPr>
        <w:t xml:space="preserve"> בין צריכה 'נורמטיבית' (כגון </w:t>
      </w:r>
      <w:r w:rsidR="00F742AF" w:rsidRPr="00BB6388">
        <w:rPr>
          <w:b/>
          <w:bCs/>
          <w:rtl/>
        </w:rPr>
        <w:t>–</w:t>
      </w:r>
      <w:r w:rsidR="00F742AF" w:rsidRPr="00BB6388">
        <w:rPr>
          <w:rFonts w:hint="cs"/>
          <w:b/>
          <w:bCs/>
          <w:rtl/>
        </w:rPr>
        <w:t xml:space="preserve"> כוס </w:t>
      </w:r>
      <w:r>
        <w:rPr>
          <w:rFonts w:hint="cs"/>
          <w:b/>
          <w:bCs/>
          <w:rtl/>
        </w:rPr>
        <w:t>יין עם הארוחה) או בין צריכה 'לא נורמטיבית', או בין צריכה ש'אינה מהווה סכנה לבריאות' לבין צריכה</w:t>
      </w:r>
      <w:r w:rsidR="00F742AF" w:rsidRPr="00BB6388">
        <w:rPr>
          <w:rFonts w:hint="cs"/>
          <w:b/>
          <w:bCs/>
          <w:rtl/>
        </w:rPr>
        <w:t xml:space="preserve"> 'מסוכנת לבריאות'</w:t>
      </w:r>
      <w:r>
        <w:rPr>
          <w:rFonts w:hint="cs"/>
          <w:b/>
          <w:bCs/>
          <w:rtl/>
        </w:rPr>
        <w:t xml:space="preserve">. </w:t>
      </w:r>
      <w:r>
        <w:rPr>
          <w:rFonts w:hint="cs"/>
          <w:rtl/>
        </w:rPr>
        <w:t xml:space="preserve">הנתונים </w:t>
      </w:r>
      <w:r w:rsidR="006B3C31">
        <w:rPr>
          <w:rFonts w:hint="cs"/>
          <w:rtl/>
        </w:rPr>
        <w:t>מתארים את</w:t>
      </w:r>
      <w:r w:rsidR="00F742AF" w:rsidRPr="00BB6388">
        <w:rPr>
          <w:rFonts w:hint="cs"/>
          <w:rtl/>
        </w:rPr>
        <w:t xml:space="preserve"> </w:t>
      </w:r>
      <w:r w:rsidR="006B3C31">
        <w:rPr>
          <w:rFonts w:hint="cs"/>
          <w:rtl/>
        </w:rPr>
        <w:t>ה</w:t>
      </w:r>
      <w:r w:rsidR="00F742AF" w:rsidRPr="00BB6388">
        <w:rPr>
          <w:rFonts w:hint="cs"/>
          <w:rtl/>
        </w:rPr>
        <w:t xml:space="preserve">כמויות </w:t>
      </w:r>
      <w:r w:rsidR="006B3C31">
        <w:rPr>
          <w:rFonts w:hint="cs"/>
          <w:rtl/>
        </w:rPr>
        <w:t>ה</w:t>
      </w:r>
      <w:r w:rsidR="00F742AF" w:rsidRPr="00BB6388">
        <w:rPr>
          <w:rFonts w:hint="cs"/>
          <w:rtl/>
        </w:rPr>
        <w:t>נצרכות, שכיחות צריכת כמויות אלו, ולעיתים את שכיחות החוויה הסוביקטיבית 'שכרות'.</w:t>
      </w:r>
    </w:p>
    <w:p w:rsidR="0052355A" w:rsidRPr="00BB6388" w:rsidRDefault="00A84B70" w:rsidP="0052355A">
      <w:pPr>
        <w:pStyle w:val="3"/>
        <w:rPr>
          <w:rtl/>
        </w:rPr>
      </w:pPr>
      <w:bookmarkStart w:id="71" w:name="_Toc419054655"/>
      <w:bookmarkStart w:id="72" w:name="_Toc419959697"/>
      <w:bookmarkStart w:id="73" w:name="_Toc419963036"/>
      <w:bookmarkStart w:id="74" w:name="_Toc419963268"/>
      <w:bookmarkStart w:id="75" w:name="_Toc421697036"/>
      <w:r w:rsidRPr="00BB6388">
        <w:rPr>
          <w:rFonts w:hint="cs"/>
          <w:rtl/>
        </w:rPr>
        <w:t>היקף השימוש באלכוהול בעולם</w:t>
      </w:r>
      <w:bookmarkStart w:id="76" w:name="_Toc353961981"/>
      <w:bookmarkEnd w:id="70"/>
      <w:bookmarkEnd w:id="71"/>
      <w:bookmarkEnd w:id="72"/>
      <w:bookmarkEnd w:id="73"/>
      <w:bookmarkEnd w:id="74"/>
      <w:bookmarkEnd w:id="75"/>
    </w:p>
    <w:p w:rsidR="00A84B70" w:rsidRPr="00BB6388" w:rsidRDefault="00A84B70" w:rsidP="0052355A">
      <w:pPr>
        <w:pStyle w:val="a2"/>
        <w:rPr>
          <w:rtl/>
        </w:rPr>
      </w:pPr>
      <w:r w:rsidRPr="00BB6388">
        <w:rPr>
          <w:rFonts w:hint="cs"/>
          <w:rtl/>
        </w:rPr>
        <w:t>ארגון הבריאות העולמי (</w:t>
      </w:r>
      <w:r w:rsidRPr="0052355A">
        <w:rPr>
          <w:sz w:val="20"/>
          <w:szCs w:val="20"/>
        </w:rPr>
        <w:t>World Health Organization, WHO</w:t>
      </w:r>
      <w:r w:rsidRPr="0052355A">
        <w:rPr>
          <w:rFonts w:hint="cs"/>
          <w:sz w:val="22"/>
          <w:szCs w:val="22"/>
          <w:rtl/>
        </w:rPr>
        <w:t>ׂׂ</w:t>
      </w:r>
      <w:r w:rsidRPr="00BB6388">
        <w:t>(</w:t>
      </w:r>
      <w:r w:rsidRPr="00BB6388">
        <w:rPr>
          <w:rFonts w:hint="cs"/>
          <w:rtl/>
        </w:rPr>
        <w:t xml:space="preserve"> בוחן את היקף צריכת האלכוהול באמצעות דיווחי המדינות השונות בדבר נתוני צריכת האלכוהול הטהור השנתית הממוצעת לאדם בגילאי</w:t>
      </w:r>
      <w:r w:rsidRPr="00BB6388">
        <w:t xml:space="preserve"> 15 </w:t>
      </w:r>
      <w:r w:rsidRPr="00BB6388">
        <w:rPr>
          <w:rFonts w:hint="cs"/>
          <w:rtl/>
        </w:rPr>
        <w:t>ומעלה, בליטרים. נתוני הארגון, שיוצגו להלן, מבוססים על תחשיב הכולל את אומדן סך הצריכה המשוערת של משקאות אלכוהוליים במדינה נתונה, הן זו המתועדת והן זו הלא-מתועדת (להלן), בממוצע לשנים 2008-2010 ובהתייחס לגודל האוכלוסייה מגיל 15 ומעלה באותה המדינה, כאשר כל סוג משקה אלכוהולי (יין, בירה וכד') מומר ליחידות של אלכוהול טהור.</w:t>
      </w:r>
      <w:r w:rsidRPr="00BB6388">
        <w:rPr>
          <w:rStyle w:val="ab"/>
          <w:rtl/>
        </w:rPr>
        <w:footnoteReference w:id="76"/>
      </w:r>
    </w:p>
    <w:p w:rsidR="00A84B70" w:rsidRPr="00BB6388" w:rsidRDefault="00A84B70" w:rsidP="001577DD">
      <w:pPr>
        <w:pStyle w:val="a2"/>
        <w:spacing w:line="360" w:lineRule="auto"/>
      </w:pPr>
      <w:r w:rsidRPr="00BB6388">
        <w:rPr>
          <w:rFonts w:hint="cs"/>
          <w:rtl/>
        </w:rPr>
        <w:t>כמות האלכוהול הטהור מחושבת כאחוז האלכוהול בתוך כל משקה אלכוהולי (כגון יין, בירה וכד') שנצרך. חישוב היקף הצריכה בקרב בני ה- 15 ומעלה בלבד (ולא עבור כלל האוכלוסיה) מאפשר השוואה בין הצריכה במדינות השונות, ובפרט בין מדינות מתפתחות ומדינות מפותחות, וזאת מאחר ובמדינות מתפתחות  שעור אוכלוסיית הילדים והאנשים הצעירים גדול בהרבה. לכן, חישוב שעור לנפש שיכלול את כלל האוכלוסייה יוביל להערכת חסר של צריכת האלכוהול בקרב גילאי 15+ במדינות אלו.</w:t>
      </w:r>
      <w:r w:rsidRPr="00BB6388">
        <w:rPr>
          <w:rStyle w:val="ab"/>
          <w:rtl/>
        </w:rPr>
        <w:footnoteReference w:id="77"/>
      </w:r>
      <w:r w:rsidRPr="00BB6388">
        <w:rPr>
          <w:rFonts w:hint="cs"/>
          <w:rtl/>
        </w:rPr>
        <w:t xml:space="preserve">  בו-בזמן, קיימת שונות בין נתוני המדינות עצמן </w:t>
      </w:r>
      <w:r w:rsidRPr="00BB6388">
        <w:rPr>
          <w:rtl/>
        </w:rPr>
        <w:t>–</w:t>
      </w:r>
      <w:r w:rsidRPr="00BB6388">
        <w:rPr>
          <w:rFonts w:hint="cs"/>
          <w:rtl/>
        </w:rPr>
        <w:t xml:space="preserve"> חלקן מוסרות נתונים  רשמיים, חלקן נתונים מגורמים כלכליים, ובחלקן נתונים שנלקחו מארגון המזון והחקלאות של האו"ם (</w:t>
      </w:r>
      <w:r w:rsidRPr="00BB6388">
        <w:t>Food &amp; Agriculture Organization of the United Nations –FAO</w:t>
      </w:r>
      <w:r w:rsidRPr="00BB6388">
        <w:rPr>
          <w:rFonts w:hint="cs"/>
          <w:rtl/>
        </w:rPr>
        <w:t>) . כמו כן קיימת שונות בסוג הנתונים עליהם  הן מדווחות:  חלקן מדווחות על נתוני מכירת האלכוהול בתוך המדינה, חלקן על נתוני יבוא ויצוא ועוד;  גם האופן בו מגדירה כל מדינ</w:t>
      </w:r>
      <w:r w:rsidR="000240DC" w:rsidRPr="00BB6388">
        <w:rPr>
          <w:rFonts w:hint="cs"/>
          <w:rtl/>
        </w:rPr>
        <w:t>ה  מהו אלכוהול טהור הוא שונה.</w:t>
      </w:r>
      <w:r w:rsidR="00637508">
        <w:rPr>
          <w:rStyle w:val="ab"/>
          <w:rtl/>
        </w:rPr>
        <w:footnoteReference w:id="78"/>
      </w:r>
    </w:p>
    <w:p w:rsidR="00A84B70" w:rsidRPr="00BB6388" w:rsidRDefault="00A84B70" w:rsidP="00BB6388">
      <w:pPr>
        <w:pStyle w:val="a2"/>
        <w:spacing w:line="360" w:lineRule="auto"/>
        <w:rPr>
          <w:rtl/>
        </w:rPr>
      </w:pPr>
      <w:r w:rsidRPr="00BB6388">
        <w:rPr>
          <w:rFonts w:hint="cs"/>
          <w:rtl/>
        </w:rPr>
        <w:t>הערכותיו העדכניו</w:t>
      </w:r>
      <w:r w:rsidR="00AF2F01" w:rsidRPr="00BB6388">
        <w:rPr>
          <w:rFonts w:hint="cs"/>
          <w:rtl/>
        </w:rPr>
        <w:t>ת ביותר של ארגון הבריאות העולמי</w:t>
      </w:r>
      <w:r w:rsidRPr="00BB6388">
        <w:rPr>
          <w:rFonts w:hint="cs"/>
          <w:rtl/>
        </w:rPr>
        <w:t xml:space="preserve"> אומדות את </w:t>
      </w:r>
      <w:r w:rsidRPr="00BB6388">
        <w:rPr>
          <w:rFonts w:hint="cs"/>
          <w:b/>
          <w:bCs/>
          <w:rtl/>
        </w:rPr>
        <w:t>צריכת האלכוהול השנתית העולמית הממוצעת לשנים 2008-2010 לאדם בן 15 ומעלה ב- 6.2 ליטר</w:t>
      </w:r>
      <w:r w:rsidRPr="00BB6388">
        <w:rPr>
          <w:rFonts w:hint="cs"/>
          <w:rtl/>
        </w:rPr>
        <w:t>.</w:t>
      </w:r>
      <w:r w:rsidRPr="00BB6388">
        <w:rPr>
          <w:rStyle w:val="ab"/>
          <w:b/>
          <w:bCs/>
          <w:rtl/>
        </w:rPr>
        <w:footnoteReference w:id="79"/>
      </w:r>
      <w:r w:rsidRPr="00BB6388">
        <w:rPr>
          <w:rFonts w:hint="cs"/>
          <w:rtl/>
        </w:rPr>
        <w:t xml:space="preserve"> כרבע מצריכה זו (כ- 24.8%), קובע הארגון, הייתה של משקאות אלכוהוליים לא-מתועדים, כלומר כאלו שהוכנו באופן ביתי או לא חוקי או שנמכרו מחוץ למסגרות המוכרות על-ידי הממשלות  (האוספות נתוני מכירה או מיסוי).</w:t>
      </w:r>
      <w:r w:rsidRPr="00BB6388">
        <w:rPr>
          <w:rStyle w:val="ab"/>
          <w:rtl/>
        </w:rPr>
        <w:footnoteReference w:id="80"/>
      </w:r>
      <w:r w:rsidRPr="00BB6388">
        <w:t xml:space="preserve"> </w:t>
      </w:r>
      <w:r w:rsidRPr="00BB6388">
        <w:rPr>
          <w:rFonts w:hint="cs"/>
          <w:rtl/>
        </w:rPr>
        <w:t xml:space="preserve"> בו-בזמן מעריך הארגון כי כ</w:t>
      </w:r>
      <w:r w:rsidRPr="00BB6388">
        <w:rPr>
          <w:rFonts w:hint="cs"/>
          <w:b/>
          <w:bCs/>
          <w:rtl/>
        </w:rPr>
        <w:t>- 61.7% מאוכלוסיית העולם בגילאי 15 ומעלה לא שתתה כלל אלכוהול ב- 12 החודשים שקדמו לאיסוף הנתונים המוצגים כאן</w:t>
      </w:r>
      <w:r w:rsidRPr="00BB6388">
        <w:rPr>
          <w:rFonts w:hint="cs"/>
          <w:rtl/>
        </w:rPr>
        <w:t>.</w:t>
      </w:r>
      <w:r w:rsidRPr="00BB6388">
        <w:rPr>
          <w:rStyle w:val="ab"/>
          <w:b/>
          <w:bCs/>
          <w:rtl/>
        </w:rPr>
        <w:footnoteReference w:id="81"/>
      </w:r>
      <w:r w:rsidRPr="00BB6388">
        <w:rPr>
          <w:rFonts w:hint="cs"/>
          <w:rtl/>
        </w:rPr>
        <w:t xml:space="preserve"> </w:t>
      </w:r>
    </w:p>
    <w:p w:rsidR="00A84B70" w:rsidRPr="00BB6388" w:rsidRDefault="00BE5027" w:rsidP="00C068D8">
      <w:pPr>
        <w:pStyle w:val="a2"/>
        <w:spacing w:line="360" w:lineRule="auto"/>
        <w:rPr>
          <w:rtl/>
        </w:rPr>
      </w:pPr>
      <w:r w:rsidRPr="00BE5027">
        <w:rPr>
          <w:rFonts w:asciiTheme="majorBidi" w:hAnsiTheme="majorBidi"/>
          <w:rtl/>
        </w:rPr>
        <w:t xml:space="preserve">צריכת אלכוהול למדינה מוגדרת על-ידי ה- </w:t>
      </w:r>
      <w:r w:rsidRPr="00BE5027">
        <w:rPr>
          <w:rFonts w:asciiTheme="majorBidi" w:hAnsiTheme="majorBidi"/>
        </w:rPr>
        <w:t xml:space="preserve">OECD </w:t>
      </w:r>
      <w:r w:rsidRPr="00BE5027">
        <w:rPr>
          <w:rFonts w:asciiTheme="majorBidi" w:hAnsiTheme="majorBidi"/>
          <w:rtl/>
        </w:rPr>
        <w:t xml:space="preserve"> </w:t>
      </w:r>
      <w:r w:rsidR="00CA5BC4" w:rsidRPr="00BB6388">
        <w:rPr>
          <w:rFonts w:hint="cs"/>
          <w:rtl/>
        </w:rPr>
        <w:t>(</w:t>
      </w:r>
      <w:r w:rsidR="00CA5BC4" w:rsidRPr="00BB6388">
        <w:rPr>
          <w:sz w:val="20"/>
          <w:szCs w:val="20"/>
        </w:rPr>
        <w:t>Organization for Economic Co-operation and Development</w:t>
      </w:r>
      <w:r w:rsidR="00CA5BC4" w:rsidRPr="00BB6388">
        <w:rPr>
          <w:rFonts w:hint="cs"/>
          <w:rtl/>
        </w:rPr>
        <w:t>ׂ, הארגון לשיתוף פעולה ולפיתוח כלכלי)</w:t>
      </w:r>
      <w:r w:rsidR="00CA5BC4">
        <w:rPr>
          <w:rFonts w:hint="cs"/>
          <w:rtl/>
        </w:rPr>
        <w:t xml:space="preserve"> </w:t>
      </w:r>
      <w:r w:rsidRPr="00BE5027">
        <w:rPr>
          <w:rFonts w:asciiTheme="majorBidi" w:hAnsiTheme="majorBidi"/>
          <w:rtl/>
        </w:rPr>
        <w:t>כמכירות האלכוהול הטהור בשנה בליטרים לנפש מעל גיל 15</w:t>
      </w:r>
      <w:r w:rsidRPr="00BE5027">
        <w:rPr>
          <w:rFonts w:asciiTheme="majorBidi" w:hAnsiTheme="majorBidi" w:hint="cs"/>
          <w:rtl/>
        </w:rPr>
        <w:t>.</w:t>
      </w:r>
      <w:r w:rsidRPr="00BB6388">
        <w:rPr>
          <w:rStyle w:val="ab"/>
          <w:rtl/>
        </w:rPr>
        <w:footnoteReference w:id="82"/>
      </w:r>
      <w:r w:rsidRPr="00BE5027">
        <w:rPr>
          <w:rFonts w:asciiTheme="majorBidi" w:hAnsiTheme="majorBidi" w:hint="cs"/>
          <w:rtl/>
        </w:rPr>
        <w:t xml:space="preserve"> </w:t>
      </w:r>
      <w:r w:rsidR="00C068D8">
        <w:rPr>
          <w:rFonts w:asciiTheme="majorBidi" w:hAnsiTheme="majorBidi" w:hint="cs"/>
          <w:rtl/>
        </w:rPr>
        <w:t xml:space="preserve"> הארגון מציין כי </w:t>
      </w:r>
      <w:r w:rsidR="00C068D8" w:rsidRPr="007702FE">
        <w:rPr>
          <w:rFonts w:asciiTheme="majorBidi" w:hAnsiTheme="majorBidi"/>
          <w:shd w:val="clear" w:color="auto" w:fill="FFFFFF"/>
          <w:rtl/>
        </w:rPr>
        <w:t>לכל מדינה חברה</w:t>
      </w:r>
      <w:r w:rsidR="00C068D8" w:rsidRPr="007702FE">
        <w:rPr>
          <w:rFonts w:asciiTheme="majorBidi" w:hAnsiTheme="majorBidi" w:hint="cs"/>
          <w:shd w:val="clear" w:color="auto" w:fill="FFFFFF"/>
          <w:rtl/>
        </w:rPr>
        <w:t xml:space="preserve"> ב- </w:t>
      </w:r>
      <w:r w:rsidR="00C068D8" w:rsidRPr="007702FE">
        <w:rPr>
          <w:rFonts w:asciiTheme="majorBidi" w:hAnsiTheme="majorBidi"/>
          <w:shd w:val="clear" w:color="auto" w:fill="FFFFFF"/>
        </w:rPr>
        <w:t>OECD</w:t>
      </w:r>
      <w:r w:rsidR="00C068D8" w:rsidRPr="007702FE">
        <w:rPr>
          <w:rFonts w:asciiTheme="majorBidi" w:hAnsiTheme="majorBidi"/>
          <w:shd w:val="clear" w:color="auto" w:fill="FFFFFF"/>
          <w:rtl/>
        </w:rPr>
        <w:t xml:space="preserve"> יש הגדרה או מקור שונה לנתונים שהיא מספק</w:t>
      </w:r>
      <w:r w:rsidR="00C068D8">
        <w:rPr>
          <w:rFonts w:asciiTheme="majorBidi" w:hAnsiTheme="majorBidi" w:hint="cs"/>
          <w:shd w:val="clear" w:color="auto" w:fill="FFFFFF"/>
          <w:rtl/>
        </w:rPr>
        <w:t>ת.</w:t>
      </w:r>
      <w:r w:rsidR="00C068D8" w:rsidRPr="00C068D8">
        <w:rPr>
          <w:rStyle w:val="ab"/>
          <w:rtl/>
        </w:rPr>
        <w:t xml:space="preserve"> </w:t>
      </w:r>
      <w:r w:rsidR="00C068D8" w:rsidRPr="00BB6388">
        <w:rPr>
          <w:rStyle w:val="ab"/>
          <w:rtl/>
        </w:rPr>
        <w:footnoteReference w:id="83"/>
      </w:r>
      <w:r w:rsidR="00C068D8">
        <w:rPr>
          <w:rFonts w:asciiTheme="majorBidi" w:hAnsiTheme="majorBidi" w:hint="cs"/>
          <w:shd w:val="clear" w:color="auto" w:fill="FFFFFF"/>
          <w:rtl/>
        </w:rPr>
        <w:t xml:space="preserve"> </w:t>
      </w:r>
      <w:r w:rsidR="00A84B70" w:rsidRPr="00BB6388">
        <w:rPr>
          <w:rFonts w:hint="cs"/>
          <w:rtl/>
        </w:rPr>
        <w:t xml:space="preserve">ניתוח נתוני מדינות ה- </w:t>
      </w:r>
      <w:r w:rsidR="00A84B70" w:rsidRPr="00BB6388">
        <w:t xml:space="preserve">OECD </w:t>
      </w:r>
      <w:r w:rsidR="00A84B70" w:rsidRPr="00BB6388">
        <w:rPr>
          <w:rFonts w:hint="cs"/>
          <w:rtl/>
        </w:rPr>
        <w:t xml:space="preserve">  מעלה כי </w:t>
      </w:r>
      <w:r w:rsidR="00A84B70" w:rsidRPr="00BB6388">
        <w:rPr>
          <w:rFonts w:hint="cs"/>
          <w:b/>
          <w:bCs/>
          <w:rtl/>
        </w:rPr>
        <w:t xml:space="preserve">ממוצע הצריכה  השנתית של אלכוהול הטהור לנפש בגילאי 15 ומעלה בקרב מדינות ה- </w:t>
      </w:r>
      <w:r w:rsidR="00A84B70" w:rsidRPr="00BB6388">
        <w:rPr>
          <w:b/>
          <w:bCs/>
        </w:rPr>
        <w:t>OECD</w:t>
      </w:r>
      <w:r w:rsidR="00A84B70" w:rsidRPr="00BB6388">
        <w:rPr>
          <w:rFonts w:hint="cs"/>
          <w:b/>
          <w:bCs/>
          <w:rtl/>
        </w:rPr>
        <w:t xml:space="preserve"> בשנת 2010 עמ</w:t>
      </w:r>
      <w:r w:rsidR="00C94725" w:rsidRPr="00BB6388">
        <w:rPr>
          <w:rFonts w:hint="cs"/>
          <w:b/>
          <w:bCs/>
          <w:rtl/>
        </w:rPr>
        <w:t>ד</w:t>
      </w:r>
      <w:r w:rsidR="00A84B70" w:rsidRPr="00BB6388">
        <w:rPr>
          <w:rFonts w:hint="cs"/>
          <w:b/>
          <w:bCs/>
          <w:rtl/>
        </w:rPr>
        <w:t xml:space="preserve"> על 9.5 ליטרים</w:t>
      </w:r>
      <w:r w:rsidR="00A84B70" w:rsidRPr="00BB6388">
        <w:rPr>
          <w:rFonts w:hint="cs"/>
          <w:rtl/>
        </w:rPr>
        <w:t>.</w:t>
      </w:r>
      <w:r w:rsidR="00A84B70" w:rsidRPr="0080641F">
        <w:rPr>
          <w:rStyle w:val="ab"/>
          <w:rtl/>
        </w:rPr>
        <w:footnoteReference w:id="84"/>
      </w:r>
      <w:r w:rsidR="00A84B70" w:rsidRPr="00BB6388">
        <w:rPr>
          <w:rFonts w:hint="cs"/>
          <w:rtl/>
        </w:rPr>
        <w:t xml:space="preserve"> איור מס' 1 מציג את הצריכה השנתית הממוצעת לנפש של אלכוהול בליטרים במדינות ה- </w:t>
      </w:r>
      <w:r w:rsidR="00A84B70" w:rsidRPr="00BB6388">
        <w:t xml:space="preserve">OECD </w:t>
      </w:r>
      <w:r w:rsidR="00A84B70" w:rsidRPr="00BB6388">
        <w:rPr>
          <w:rFonts w:hint="cs"/>
          <w:rtl/>
        </w:rPr>
        <w:t xml:space="preserve"> ב- 2010.  לנתוני המדינות השונות צורף גם נתון ממוצע ה- </w:t>
      </w:r>
      <w:r w:rsidR="00A84B70" w:rsidRPr="00BB6388">
        <w:t>OECD</w:t>
      </w:r>
      <w:r w:rsidR="00A84B70" w:rsidRPr="00BB6388">
        <w:rPr>
          <w:rFonts w:hint="cs"/>
          <w:rtl/>
        </w:rPr>
        <w:t>, לצורך השוואה.</w:t>
      </w:r>
      <w:r w:rsidR="007702FE">
        <w:rPr>
          <w:rFonts w:hint="cs"/>
          <w:rtl/>
        </w:rPr>
        <w:t xml:space="preserve"> </w:t>
      </w:r>
    </w:p>
    <w:p w:rsidR="00322CAF" w:rsidRDefault="00322CAF" w:rsidP="00476571">
      <w:pPr>
        <w:pStyle w:val="5"/>
        <w:tabs>
          <w:tab w:val="right" w:pos="2679"/>
        </w:tabs>
        <w:spacing w:line="360" w:lineRule="auto"/>
        <w:jc w:val="both"/>
        <w:rPr>
          <w:rtl/>
        </w:rPr>
      </w:pPr>
      <w:bookmarkStart w:id="77" w:name="_Toc419963037"/>
      <w:r w:rsidRPr="00476571">
        <w:rPr>
          <w:rFonts w:hint="cs"/>
          <w:b w:val="0"/>
          <w:bCs w:val="0"/>
          <w:rtl/>
        </w:rPr>
        <w:t>כפי שניתן לראות מהאיור,</w:t>
      </w:r>
      <w:r w:rsidRPr="00BB6388">
        <w:rPr>
          <w:rFonts w:hint="cs"/>
          <w:rtl/>
        </w:rPr>
        <w:t xml:space="preserve"> </w:t>
      </w:r>
      <w:r w:rsidRPr="00476571">
        <w:rPr>
          <w:rFonts w:hint="cs"/>
          <w:rtl/>
        </w:rPr>
        <w:t xml:space="preserve">נתוני צריכת האלכוהול לנפש בשנת 2010 של ישראל הם הנמוכים ביותר בקרב מדינות ה- </w:t>
      </w:r>
      <w:r w:rsidRPr="00476571">
        <w:t>OECD</w:t>
      </w:r>
      <w:r w:rsidRPr="00476571">
        <w:rPr>
          <w:rFonts w:hint="cs"/>
          <w:rtl/>
        </w:rPr>
        <w:t xml:space="preserve"> למעט אלו של טורקיה, והם עמדו בשנה זו על 2.7 ליטרים של אלכוהול טהור</w:t>
      </w:r>
      <w:r w:rsidRPr="00BB6388">
        <w:rPr>
          <w:rFonts w:hint="cs"/>
          <w:rtl/>
        </w:rPr>
        <w:t>.</w:t>
      </w:r>
    </w:p>
    <w:p w:rsidR="00322CAF" w:rsidRDefault="00322CAF" w:rsidP="00E52E78">
      <w:pPr>
        <w:pStyle w:val="5"/>
        <w:tabs>
          <w:tab w:val="right" w:pos="2679"/>
        </w:tabs>
        <w:spacing w:line="360" w:lineRule="auto"/>
        <w:rPr>
          <w:rtl/>
        </w:rPr>
      </w:pPr>
    </w:p>
    <w:p w:rsidR="007B5846" w:rsidRDefault="007B5846" w:rsidP="00E52E78">
      <w:pPr>
        <w:pStyle w:val="5"/>
        <w:tabs>
          <w:tab w:val="right" w:pos="2679"/>
        </w:tabs>
        <w:spacing w:line="360" w:lineRule="auto"/>
        <w:rPr>
          <w:rtl/>
        </w:rPr>
      </w:pPr>
    </w:p>
    <w:p w:rsidR="00322CAF" w:rsidRDefault="00322CAF" w:rsidP="00E52E78">
      <w:pPr>
        <w:pStyle w:val="5"/>
        <w:tabs>
          <w:tab w:val="right" w:pos="2679"/>
        </w:tabs>
        <w:spacing w:line="360" w:lineRule="auto"/>
        <w:rPr>
          <w:rtl/>
        </w:rPr>
      </w:pPr>
    </w:p>
    <w:p w:rsidR="00A84B70" w:rsidRPr="00BB6388" w:rsidRDefault="00A84B70" w:rsidP="00E52E78">
      <w:pPr>
        <w:pStyle w:val="5"/>
        <w:tabs>
          <w:tab w:val="right" w:pos="2679"/>
        </w:tabs>
        <w:spacing w:line="360" w:lineRule="auto"/>
        <w:rPr>
          <w:rtl/>
        </w:rPr>
      </w:pPr>
      <w:r w:rsidRPr="00BB6388">
        <w:rPr>
          <w:rtl/>
        </w:rPr>
        <w:t xml:space="preserve">איור </w:t>
      </w:r>
      <w:r w:rsidR="00F3448E" w:rsidRPr="00BB6388">
        <w:rPr>
          <w:rtl/>
        </w:rPr>
        <w:fldChar w:fldCharType="begin"/>
      </w:r>
      <w:r w:rsidRPr="00BB6388">
        <w:rPr>
          <w:rtl/>
        </w:rPr>
        <w:instrText xml:space="preserve"> </w:instrText>
      </w:r>
      <w:r w:rsidRPr="00BB6388">
        <w:instrText>SEQ</w:instrText>
      </w:r>
      <w:r w:rsidRPr="00BB6388">
        <w:rPr>
          <w:rtl/>
        </w:rPr>
        <w:instrText xml:space="preserve"> איור \* </w:instrText>
      </w:r>
      <w:r w:rsidRPr="00BB6388">
        <w:instrText>ARABIC</w:instrText>
      </w:r>
      <w:r w:rsidRPr="00BB6388">
        <w:rPr>
          <w:rtl/>
        </w:rPr>
        <w:instrText xml:space="preserve"> </w:instrText>
      </w:r>
      <w:r w:rsidR="00F3448E" w:rsidRPr="00BB6388">
        <w:rPr>
          <w:rtl/>
        </w:rPr>
        <w:fldChar w:fldCharType="separate"/>
      </w:r>
      <w:r w:rsidR="007347AB">
        <w:rPr>
          <w:noProof/>
          <w:rtl/>
        </w:rPr>
        <w:t>1</w:t>
      </w:r>
      <w:r w:rsidR="00F3448E" w:rsidRPr="00BB6388">
        <w:rPr>
          <w:rtl/>
        </w:rPr>
        <w:fldChar w:fldCharType="end"/>
      </w:r>
      <w:r w:rsidRPr="00BB6388">
        <w:rPr>
          <w:rFonts w:hint="cs"/>
          <w:rtl/>
        </w:rPr>
        <w:t xml:space="preserve">: </w:t>
      </w:r>
      <w:r w:rsidRPr="00BB6388">
        <w:rPr>
          <w:rFonts w:hint="eastAsia"/>
          <w:rtl/>
        </w:rPr>
        <w:t>צריכת</w:t>
      </w:r>
      <w:r w:rsidRPr="00BB6388">
        <w:rPr>
          <w:rtl/>
        </w:rPr>
        <w:t xml:space="preserve"> </w:t>
      </w:r>
      <w:r w:rsidRPr="00BB6388">
        <w:rPr>
          <w:rFonts w:hint="eastAsia"/>
          <w:rtl/>
        </w:rPr>
        <w:t>אלכוהול</w:t>
      </w:r>
      <w:r w:rsidRPr="00BB6388">
        <w:rPr>
          <w:rtl/>
        </w:rPr>
        <w:t xml:space="preserve"> </w:t>
      </w:r>
      <w:r w:rsidRPr="00BB6388">
        <w:rPr>
          <w:rFonts w:hint="eastAsia"/>
          <w:rtl/>
        </w:rPr>
        <w:t>שנתית</w:t>
      </w:r>
      <w:r w:rsidRPr="00BB6388">
        <w:rPr>
          <w:rtl/>
        </w:rPr>
        <w:t xml:space="preserve"> </w:t>
      </w:r>
      <w:r w:rsidRPr="00BB6388">
        <w:rPr>
          <w:rFonts w:hint="eastAsia"/>
          <w:rtl/>
        </w:rPr>
        <w:t>ממוצעת</w:t>
      </w:r>
      <w:r w:rsidRPr="00BB6388">
        <w:rPr>
          <w:rtl/>
        </w:rPr>
        <w:t xml:space="preserve"> </w:t>
      </w:r>
      <w:r w:rsidRPr="00BB6388">
        <w:rPr>
          <w:rFonts w:hint="eastAsia"/>
          <w:rtl/>
        </w:rPr>
        <w:t>לנפש</w:t>
      </w:r>
      <w:r w:rsidRPr="00BB6388">
        <w:rPr>
          <w:rtl/>
        </w:rPr>
        <w:t xml:space="preserve"> (15+) </w:t>
      </w:r>
      <w:r w:rsidRPr="00BB6388">
        <w:rPr>
          <w:rFonts w:hint="eastAsia"/>
          <w:rtl/>
        </w:rPr>
        <w:t>בליטרים</w:t>
      </w:r>
      <w:r w:rsidRPr="00BB6388">
        <w:rPr>
          <w:rtl/>
        </w:rPr>
        <w:t xml:space="preserve"> </w:t>
      </w:r>
      <w:r w:rsidRPr="00BB6388">
        <w:rPr>
          <w:rFonts w:hint="eastAsia"/>
          <w:rtl/>
        </w:rPr>
        <w:t>במדינות</w:t>
      </w:r>
      <w:r w:rsidRPr="00BB6388">
        <w:rPr>
          <w:rtl/>
        </w:rPr>
        <w:t xml:space="preserve"> </w:t>
      </w:r>
      <w:r w:rsidRPr="00BB6388">
        <w:rPr>
          <w:rFonts w:hint="eastAsia"/>
          <w:rtl/>
        </w:rPr>
        <w:t>ה</w:t>
      </w:r>
      <w:r w:rsidRPr="00BB6388">
        <w:rPr>
          <w:rtl/>
        </w:rPr>
        <w:t xml:space="preserve">- </w:t>
      </w:r>
      <w:r w:rsidRPr="00BB6388">
        <w:t>OECD</w:t>
      </w:r>
      <w:r w:rsidRPr="00BB6388">
        <w:rPr>
          <w:rtl/>
        </w:rPr>
        <w:t xml:space="preserve">  </w:t>
      </w:r>
      <w:r w:rsidRPr="00BB6388">
        <w:rPr>
          <w:rFonts w:hint="eastAsia"/>
          <w:rtl/>
        </w:rPr>
        <w:t>לשנת</w:t>
      </w:r>
      <w:r w:rsidRPr="00BB6388">
        <w:rPr>
          <w:rtl/>
        </w:rPr>
        <w:t xml:space="preserve"> 2010</w:t>
      </w:r>
      <w:r w:rsidRPr="00BB6388">
        <w:rPr>
          <w:rStyle w:val="ab"/>
          <w:b w:val="0"/>
          <w:bCs w:val="0"/>
          <w:rtl/>
        </w:rPr>
        <w:footnoteReference w:id="85"/>
      </w:r>
      <w:bookmarkEnd w:id="77"/>
    </w:p>
    <w:p w:rsidR="00A84B70" w:rsidRPr="00BB6388" w:rsidRDefault="00A84B70" w:rsidP="00BB6388">
      <w:pPr>
        <w:pStyle w:val="a2"/>
        <w:spacing w:line="360" w:lineRule="auto"/>
        <w:rPr>
          <w:rtl/>
        </w:rPr>
      </w:pPr>
      <w:r w:rsidRPr="00BB6388">
        <w:rPr>
          <w:noProof/>
        </w:rPr>
        <w:drawing>
          <wp:inline distT="0" distB="0" distL="0" distR="0" wp14:anchorId="7F7339FB" wp14:editId="02844E45">
            <wp:extent cx="5645426" cy="2965837"/>
            <wp:effectExtent l="0" t="0" r="0" b="6350"/>
            <wp:docPr id="9" name="תרשים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84B70" w:rsidRPr="00BB6388" w:rsidRDefault="00A84B70" w:rsidP="00302884">
      <w:pPr>
        <w:pStyle w:val="a2"/>
        <w:spacing w:line="360" w:lineRule="auto"/>
        <w:rPr>
          <w:rtl/>
        </w:rPr>
      </w:pPr>
      <w:r w:rsidRPr="00BB6388">
        <w:rPr>
          <w:rFonts w:hint="cs"/>
          <w:rtl/>
        </w:rPr>
        <w:t xml:space="preserve">חשוב לציין כי </w:t>
      </w:r>
      <w:r w:rsidRPr="00BB6388">
        <w:rPr>
          <w:rFonts w:hint="cs"/>
          <w:b/>
          <w:bCs/>
          <w:rtl/>
        </w:rPr>
        <w:t xml:space="preserve">מקורם של הנתונים על ישראל, המעודכנים בשלב זה במאגר ה- </w:t>
      </w:r>
      <w:r w:rsidRPr="00BB6388">
        <w:rPr>
          <w:b/>
          <w:bCs/>
        </w:rPr>
        <w:t xml:space="preserve">OECD </w:t>
      </w:r>
      <w:r w:rsidRPr="00BB6388">
        <w:rPr>
          <w:rFonts w:hint="cs"/>
          <w:b/>
          <w:bCs/>
          <w:rtl/>
        </w:rPr>
        <w:t xml:space="preserve"> עד שנת 2010, אינו ידוע.</w:t>
      </w:r>
      <w:r w:rsidRPr="00BB6388">
        <w:rPr>
          <w:rFonts w:hint="cs"/>
          <w:rtl/>
        </w:rPr>
        <w:t xml:space="preserve"> ה- </w:t>
      </w:r>
      <w:r w:rsidRPr="00BB6388">
        <w:t xml:space="preserve">OECD </w:t>
      </w:r>
      <w:r w:rsidRPr="00BB6388">
        <w:rPr>
          <w:rFonts w:hint="cs"/>
          <w:rtl/>
        </w:rPr>
        <w:t xml:space="preserve"> מציין כי הוא שואב את נתוניו בנושא לגבי ישראל מארגון הבריאות העולמי, ה- </w:t>
      </w:r>
      <w:r w:rsidRPr="00BB6388">
        <w:t>WHO</w:t>
      </w:r>
      <w:r w:rsidRPr="00BB6388">
        <w:rPr>
          <w:rFonts w:hint="cs"/>
          <w:rtl/>
        </w:rPr>
        <w:t>.</w:t>
      </w:r>
      <w:r w:rsidR="004910B6" w:rsidRPr="00BB6388">
        <w:rPr>
          <w:rStyle w:val="ab"/>
          <w:rtl/>
        </w:rPr>
        <w:footnoteReference w:id="86"/>
      </w:r>
      <w:r w:rsidR="004910B6">
        <w:rPr>
          <w:rFonts w:hint="cs"/>
          <w:rtl/>
        </w:rPr>
        <w:t xml:space="preserve"> </w:t>
      </w:r>
      <w:r w:rsidR="007D770A">
        <w:rPr>
          <w:rFonts w:hint="cs"/>
          <w:rtl/>
        </w:rPr>
        <w:t xml:space="preserve"> </w:t>
      </w:r>
      <w:r w:rsidRPr="00BB6388">
        <w:rPr>
          <w:rFonts w:hint="cs"/>
          <w:rtl/>
        </w:rPr>
        <w:t xml:space="preserve">ברישומיו של ה- </w:t>
      </w:r>
      <w:r w:rsidRPr="00BB6388">
        <w:t>WHO</w:t>
      </w:r>
      <w:r w:rsidRPr="00BB6388">
        <w:rPr>
          <w:rFonts w:hint="cs"/>
          <w:rtl/>
        </w:rPr>
        <w:t xml:space="preserve"> מצוין כי נתוני צריכת האלכוהול </w:t>
      </w:r>
      <w:r w:rsidR="00225246">
        <w:rPr>
          <w:rFonts w:hint="cs"/>
          <w:rtl/>
        </w:rPr>
        <w:t>של ישראל מבוססים על</w:t>
      </w:r>
      <w:r w:rsidRPr="00BB6388">
        <w:rPr>
          <w:rFonts w:hint="cs"/>
          <w:rtl/>
        </w:rPr>
        <w:t xml:space="preserve"> שילוב </w:t>
      </w:r>
      <w:r w:rsidR="00225246">
        <w:rPr>
          <w:rFonts w:hint="cs"/>
          <w:rtl/>
        </w:rPr>
        <w:t xml:space="preserve">בין </w:t>
      </w:r>
      <w:r w:rsidRPr="00BB6388">
        <w:rPr>
          <w:rFonts w:hint="cs"/>
          <w:rtl/>
        </w:rPr>
        <w:t>מקורות מסחריים ו</w:t>
      </w:r>
      <w:r w:rsidR="00302884">
        <w:rPr>
          <w:rFonts w:hint="cs"/>
          <w:rtl/>
        </w:rPr>
        <w:t xml:space="preserve">בין </w:t>
      </w:r>
      <w:r w:rsidRPr="00BB6388">
        <w:rPr>
          <w:rFonts w:hint="cs"/>
          <w:rtl/>
        </w:rPr>
        <w:t xml:space="preserve"> ארגון המזון העולמי,</w:t>
      </w:r>
      <w:r w:rsidRPr="00BB6388">
        <w:rPr>
          <w:rStyle w:val="ab"/>
          <w:rtl/>
        </w:rPr>
        <w:footnoteReference w:id="87"/>
      </w:r>
      <w:r w:rsidRPr="00BB6388">
        <w:rPr>
          <w:rFonts w:hint="cs"/>
          <w:rtl/>
        </w:rPr>
        <w:t xml:space="preserve"> כך שלא ברור עדיין מהו מקור הנתונים המדויק בישראל. שאילתה למשרד האזורי של ה- </w:t>
      </w:r>
      <w:r w:rsidRPr="00BB6388">
        <w:t xml:space="preserve">WHO </w:t>
      </w:r>
      <w:r w:rsidRPr="00BB6388">
        <w:rPr>
          <w:rFonts w:hint="cs"/>
          <w:rtl/>
        </w:rPr>
        <w:t xml:space="preserve"> מתאריך ה- 9 במרץ 2015 בנוגע למקור הנתונים המדויק בישראל טרם נענתה. ב</w:t>
      </w:r>
      <w:r w:rsidR="00225246">
        <w:rPr>
          <w:rFonts w:hint="cs"/>
          <w:rtl/>
        </w:rPr>
        <w:t>י</w:t>
      </w:r>
      <w:r w:rsidRPr="00BB6388">
        <w:rPr>
          <w:rFonts w:hint="cs"/>
          <w:rtl/>
        </w:rPr>
        <w:t xml:space="preserve">רור בקרב שלושת הגופים הרשמיים בישראל האמונים על דיווח נתונים בתחום האלכוהול ל- </w:t>
      </w:r>
      <w:r w:rsidRPr="00BB6388">
        <w:t xml:space="preserve">WHO </w:t>
      </w:r>
      <w:r w:rsidRPr="00BB6388">
        <w:rPr>
          <w:rFonts w:hint="cs"/>
          <w:rtl/>
        </w:rPr>
        <w:t xml:space="preserve"> ול- </w:t>
      </w:r>
      <w:r w:rsidRPr="00BB6388">
        <w:t>OECD</w:t>
      </w:r>
      <w:r w:rsidRPr="00BB6388">
        <w:rPr>
          <w:rFonts w:hint="cs"/>
          <w:rtl/>
        </w:rPr>
        <w:t xml:space="preserve"> </w:t>
      </w:r>
      <w:r w:rsidRPr="00BB6388">
        <w:rPr>
          <w:rtl/>
        </w:rPr>
        <w:t>–</w:t>
      </w:r>
      <w:r w:rsidRPr="00BB6388">
        <w:rPr>
          <w:rFonts w:hint="cs"/>
          <w:rtl/>
        </w:rPr>
        <w:t xml:space="preserve"> משרד הבריאות,</w:t>
      </w:r>
      <w:r w:rsidRPr="00BB6388">
        <w:rPr>
          <w:rStyle w:val="ab"/>
          <w:rtl/>
        </w:rPr>
        <w:footnoteReference w:id="88"/>
      </w:r>
      <w:r w:rsidRPr="00BB6388">
        <w:rPr>
          <w:rFonts w:hint="cs"/>
          <w:rtl/>
        </w:rPr>
        <w:t xml:space="preserve"> הלשכה המרכזית לסטטיסטיקה,</w:t>
      </w:r>
      <w:r w:rsidRPr="00BB6388">
        <w:rPr>
          <w:rStyle w:val="ab"/>
          <w:rtl/>
        </w:rPr>
        <w:footnoteReference w:id="89"/>
      </w:r>
      <w:r w:rsidRPr="00BB6388">
        <w:rPr>
          <w:rFonts w:hint="cs"/>
          <w:rtl/>
        </w:rPr>
        <w:t xml:space="preserve"> והרשות הלאומית למלחמה בסמים ובאלכוהול</w:t>
      </w:r>
      <w:r w:rsidRPr="00BB6388">
        <w:rPr>
          <w:rStyle w:val="ab"/>
          <w:rtl/>
        </w:rPr>
        <w:footnoteReference w:id="90"/>
      </w:r>
      <w:r w:rsidRPr="00BB6388">
        <w:rPr>
          <w:rFonts w:hint="cs"/>
          <w:rtl/>
        </w:rPr>
        <w:t xml:space="preserve"> </w:t>
      </w:r>
      <w:r w:rsidRPr="00BB6388">
        <w:rPr>
          <w:rtl/>
        </w:rPr>
        <w:t>–</w:t>
      </w:r>
      <w:r w:rsidRPr="00BB6388">
        <w:rPr>
          <w:rFonts w:hint="cs"/>
          <w:rtl/>
        </w:rPr>
        <w:t xml:space="preserve"> כמו-גם עם איגוד המזון שבהתאחדות התעשיינים,</w:t>
      </w:r>
      <w:r w:rsidRPr="00BB6388">
        <w:rPr>
          <w:rStyle w:val="ab"/>
          <w:rtl/>
        </w:rPr>
        <w:footnoteReference w:id="91"/>
      </w:r>
      <w:r w:rsidRPr="00BB6388">
        <w:rPr>
          <w:rFonts w:hint="cs"/>
          <w:rtl/>
        </w:rPr>
        <w:t xml:space="preserve"> העלה כי אף אחד מהם אינו מדווח על נתונים אלו. איריס יוגב, ראש אגף תכנון ובקרה שברשות הלאומית למלחמה בסמים ובאלכוהול, הציעה כי ייתכן והנתונים מבוססים על הסקרים השנתיים המפורסמים על-ידי חברות כגון דן אנד ברדסטריט או סטורנקסט, הכוללים נתונים על מכירת מוצרי אלכוהול המסומנים בברקוד (ומכאן שניתן לאסוף נתונים על מכירתם), אותם </w:t>
      </w:r>
      <w:r w:rsidR="00225246">
        <w:rPr>
          <w:rFonts w:hint="cs"/>
          <w:rtl/>
        </w:rPr>
        <w:t>אוספות חברות אלו</w:t>
      </w:r>
      <w:r w:rsidRPr="00BB6388">
        <w:rPr>
          <w:rFonts w:hint="cs"/>
          <w:rtl/>
        </w:rPr>
        <w:t xml:space="preserve"> באופן עצמאי.</w:t>
      </w:r>
      <w:r w:rsidRPr="00BB6388">
        <w:rPr>
          <w:rStyle w:val="ab"/>
          <w:rtl/>
        </w:rPr>
        <w:footnoteReference w:id="92"/>
      </w:r>
    </w:p>
    <w:p w:rsidR="0052355A" w:rsidRPr="00BB6388" w:rsidRDefault="00A84B70" w:rsidP="0052355A">
      <w:pPr>
        <w:pStyle w:val="3"/>
        <w:rPr>
          <w:rtl/>
        </w:rPr>
      </w:pPr>
      <w:bookmarkStart w:id="78" w:name="_Toc353961986"/>
      <w:bookmarkStart w:id="79" w:name="_Toc419054657"/>
      <w:bookmarkStart w:id="80" w:name="_Toc419959698"/>
      <w:bookmarkStart w:id="81" w:name="_Toc419963038"/>
      <w:bookmarkStart w:id="82" w:name="_Toc419963269"/>
      <w:bookmarkStart w:id="83" w:name="_Toc421697037"/>
      <w:bookmarkEnd w:id="76"/>
      <w:r w:rsidRPr="00BB6388">
        <w:rPr>
          <w:rFonts w:hint="cs"/>
          <w:rtl/>
        </w:rPr>
        <w:t>היקף השימוש באלכוהול בישראל</w:t>
      </w:r>
      <w:bookmarkEnd w:id="78"/>
      <w:bookmarkEnd w:id="79"/>
      <w:bookmarkEnd w:id="80"/>
      <w:bookmarkEnd w:id="81"/>
      <w:bookmarkEnd w:id="82"/>
      <w:bookmarkEnd w:id="83"/>
    </w:p>
    <w:p w:rsidR="00A84B70" w:rsidRPr="00BB6388" w:rsidRDefault="00A84B70" w:rsidP="00A95373">
      <w:pPr>
        <w:pStyle w:val="a2"/>
        <w:rPr>
          <w:rtl/>
        </w:rPr>
      </w:pPr>
      <w:r w:rsidRPr="00BB6388">
        <w:rPr>
          <w:rFonts w:hint="cs"/>
          <w:rtl/>
        </w:rPr>
        <w:t>גם בתחום היקף השימוש באלכוהול בישראל, מקור הנתונים העיקרי היא הרשות הלאומית למלחמה בסמים ובאלכוהול. בניגוד לנתוני ה-</w:t>
      </w:r>
      <w:r w:rsidRPr="00BB6388">
        <w:t>WHO</w:t>
      </w:r>
      <w:r w:rsidRPr="00BB6388">
        <w:rPr>
          <w:rFonts w:hint="cs"/>
          <w:rtl/>
        </w:rPr>
        <w:t xml:space="preserve"> וה-</w:t>
      </w:r>
      <w:r w:rsidRPr="00BB6388">
        <w:t>OECD</w:t>
      </w:r>
      <w:r w:rsidRPr="00BB6388">
        <w:rPr>
          <w:rFonts w:hint="cs"/>
          <w:rtl/>
        </w:rPr>
        <w:t xml:space="preserve"> שהוצגו לעיל בהתייחס להיקף השימוש העולמי באלכוהול, הסקרים האפידמיולוגיים של הרשות הלאומית למלחמה בסמים ואלכוהול </w:t>
      </w:r>
      <w:r w:rsidR="00A95373">
        <w:rPr>
          <w:rFonts w:hint="cs"/>
          <w:rtl/>
        </w:rPr>
        <w:t xml:space="preserve">בוחנים רק את האוכלוסיה בישראל בגילאי 18-40 (בהשוואה לגילאי 15+ שנסקרו עד כה) וכן הם </w:t>
      </w:r>
      <w:r w:rsidRPr="00BB6388">
        <w:rPr>
          <w:rFonts w:hint="cs"/>
          <w:rtl/>
        </w:rPr>
        <w:t xml:space="preserve">אינם  מציגים  את הצריכה השנתית הממוצעת לאדם בליטרים של אלכוהול טהור, אלא את שעורי הצריכה של "משקה אלכוהולי כלשהו", "בשבוע האחרון", "בשנה האחרונה" ו"אי-פעם". </w:t>
      </w:r>
      <w:r w:rsidRPr="0052355A">
        <w:rPr>
          <w:rFonts w:hint="cs"/>
          <w:b/>
          <w:bCs/>
          <w:rtl/>
        </w:rPr>
        <w:t xml:space="preserve">לפיכך, גם במקרה זה לא ניתן להשוות בין הסקרים הבין-לאומיים לסקר הישראלי. </w:t>
      </w:r>
    </w:p>
    <w:p w:rsidR="00A84B70" w:rsidRPr="00BB6388" w:rsidRDefault="00A84B70" w:rsidP="00BB6388">
      <w:pPr>
        <w:pStyle w:val="4"/>
        <w:rPr>
          <w:rtl/>
        </w:rPr>
      </w:pPr>
      <w:bookmarkStart w:id="84" w:name="_Toc419963039"/>
      <w:r w:rsidRPr="00BB6388">
        <w:rPr>
          <w:rFonts w:hint="cs"/>
          <w:rtl/>
        </w:rPr>
        <w:t>היקף השימוש באלכוהול בקרב האוכלוסיי</w:t>
      </w:r>
      <w:r w:rsidRPr="00BB6388">
        <w:rPr>
          <w:rFonts w:hint="eastAsia"/>
          <w:rtl/>
        </w:rPr>
        <w:t>ה</w:t>
      </w:r>
      <w:r w:rsidRPr="00BB6388">
        <w:rPr>
          <w:rFonts w:hint="cs"/>
          <w:rtl/>
        </w:rPr>
        <w:t xml:space="preserve"> הבוגרת</w:t>
      </w:r>
      <w:bookmarkEnd w:id="84"/>
    </w:p>
    <w:p w:rsidR="00A84B70" w:rsidRPr="00BB6388" w:rsidRDefault="00A84B70" w:rsidP="00131D81">
      <w:pPr>
        <w:pStyle w:val="a2"/>
        <w:spacing w:line="360" w:lineRule="auto"/>
        <w:rPr>
          <w:rtl/>
        </w:rPr>
      </w:pPr>
      <w:r w:rsidRPr="00BB6388">
        <w:rPr>
          <w:rFonts w:hint="cs"/>
          <w:rtl/>
        </w:rPr>
        <w:t xml:space="preserve">הסקר האפידמיולוגי שערכה הרשות הלאומית למלחמה בסמים ואלכוהול בשנת </w:t>
      </w:r>
      <w:r w:rsidR="00653A2D" w:rsidRPr="00BB6388">
        <w:rPr>
          <w:rFonts w:hint="cs"/>
          <w:rtl/>
        </w:rPr>
        <w:t xml:space="preserve">2009 </w:t>
      </w:r>
      <w:r w:rsidRPr="00BB6388">
        <w:rPr>
          <w:rFonts w:hint="cs"/>
          <w:rtl/>
        </w:rPr>
        <w:t>בקרב מבוגרים הקיף 4,657 נשאלים בני 40-18 (שיעור ההיענות היה 62%).</w:t>
      </w:r>
      <w:r w:rsidRPr="00BB6388">
        <w:rPr>
          <w:rStyle w:val="ab"/>
          <w:rtl/>
        </w:rPr>
        <w:footnoteReference w:id="93"/>
      </w:r>
      <w:r w:rsidRPr="00BB6388">
        <w:rPr>
          <w:rFonts w:hint="cs"/>
          <w:rtl/>
        </w:rPr>
        <w:t xml:space="preserve"> הממצאים והחלתם על כלל האוכלוסייה מצביעים כי </w:t>
      </w:r>
      <w:r w:rsidRPr="00BB6388">
        <w:rPr>
          <w:rFonts w:hint="cs"/>
          <w:b/>
          <w:bCs/>
          <w:rtl/>
        </w:rPr>
        <w:t xml:space="preserve">73% מהמשיבים הבגירים בשנת </w:t>
      </w:r>
      <w:r w:rsidR="00131D81">
        <w:rPr>
          <w:rFonts w:hint="cs"/>
          <w:b/>
          <w:bCs/>
          <w:rtl/>
        </w:rPr>
        <w:t>2009</w:t>
      </w:r>
      <w:r w:rsidRPr="00BB6388">
        <w:rPr>
          <w:rFonts w:hint="cs"/>
          <w:b/>
          <w:bCs/>
          <w:rtl/>
        </w:rPr>
        <w:t xml:space="preserve"> צרכו "אי-פעם" משקה אלכוהולי כלשהו, קרי כ-1.67 מיליון משתמשים</w:t>
      </w:r>
      <w:r w:rsidRPr="00BB6388">
        <w:rPr>
          <w:rFonts w:hint="cs"/>
          <w:rtl/>
        </w:rPr>
        <w:t>, 53% מהם דיווחו על צריכת משקה אלכוהולי כלשהו "בחודש האחרון", שהם כ-1.21 מיליון משתמשים, ו-37% מהם דיווחו על צריכת משקה אלכוהולי כלשהו "בשבוע האחרון" – משמע 852,000 משתמשים. 25% דיווחו כי השתכרו לפחות פעם אחת בשנה האחרונה, כ-572,000 משתמשים.</w:t>
      </w:r>
      <w:r w:rsidRPr="00BB6388">
        <w:rPr>
          <w:rStyle w:val="ab"/>
          <w:rtl/>
        </w:rPr>
        <w:footnoteReference w:id="94"/>
      </w:r>
    </w:p>
    <w:p w:rsidR="00A84B70" w:rsidRPr="00BB6388" w:rsidRDefault="00A84B70" w:rsidP="0050235E">
      <w:pPr>
        <w:pStyle w:val="a2"/>
        <w:spacing w:line="360" w:lineRule="auto"/>
        <w:rPr>
          <w:rtl/>
        </w:rPr>
      </w:pPr>
      <w:r w:rsidRPr="00BB6388">
        <w:rPr>
          <w:rFonts w:hint="cs"/>
          <w:rtl/>
        </w:rPr>
        <w:t>סקר הרשות הלאומית לבטיחות בדרכים, שבחן את סוגיית הנהיגה תחת השפעת האלכוהול בקרב האוכלוסייה היהודית בישראל בשנת 2012</w:t>
      </w:r>
      <w:r w:rsidR="0050235E">
        <w:rPr>
          <w:rFonts w:hint="cs"/>
          <w:rtl/>
        </w:rPr>
        <w:t>, מציג נתונים עדכניים יותר</w:t>
      </w:r>
      <w:r w:rsidRPr="00BB6388">
        <w:rPr>
          <w:rFonts w:hint="cs"/>
          <w:rtl/>
        </w:rPr>
        <w:t>.</w:t>
      </w:r>
      <w:r w:rsidRPr="00BB6388">
        <w:rPr>
          <w:rStyle w:val="ab"/>
          <w:rtl/>
        </w:rPr>
        <w:footnoteReference w:id="95"/>
      </w:r>
      <w:r w:rsidRPr="00BB6388">
        <w:rPr>
          <w:rFonts w:hint="cs"/>
          <w:rtl/>
        </w:rPr>
        <w:t xml:space="preserve"> אוכלוסיית המדגם הורכבה מגילאי 17 ומעלה אשר דיווחו כי במהלך החודש שקדם לסקר הם שתו משקה אלכוהולי אחד לפחות ונוהגים ברכב לפחות פעם בשבוע.</w:t>
      </w:r>
      <w:r w:rsidRPr="00BB6388">
        <w:rPr>
          <w:rFonts w:hint="cs"/>
          <w:b/>
          <w:bCs/>
          <w:rtl/>
        </w:rPr>
        <w:t xml:space="preserve"> 46% מבין כלל הנשאלים דיווחו כי שתו משקה אלכוהולי אחד בלבד במהלך החודש האחרון, ויתר הנשאלים , 54%, דיווחו כי שתו יותר מכך</w:t>
      </w:r>
      <w:r w:rsidRPr="00BB6388">
        <w:rPr>
          <w:rFonts w:hint="cs"/>
          <w:rtl/>
        </w:rPr>
        <w:t>.</w:t>
      </w:r>
      <w:r w:rsidRPr="00BB6388">
        <w:rPr>
          <w:rStyle w:val="ab"/>
          <w:rtl/>
        </w:rPr>
        <w:footnoteReference w:id="96"/>
      </w:r>
      <w:r w:rsidRPr="00BB6388">
        <w:rPr>
          <w:rFonts w:hint="cs"/>
          <w:rtl/>
        </w:rPr>
        <w:t xml:space="preserve"> </w:t>
      </w:r>
    </w:p>
    <w:p w:rsidR="00A84B70" w:rsidRPr="00BB6388" w:rsidRDefault="00A84B70" w:rsidP="00015D9E">
      <w:pPr>
        <w:pStyle w:val="a2"/>
        <w:spacing w:line="360" w:lineRule="auto"/>
        <w:rPr>
          <w:rtl/>
        </w:rPr>
      </w:pPr>
      <w:r w:rsidRPr="00BB6388">
        <w:rPr>
          <w:rFonts w:hint="cs"/>
          <w:rtl/>
        </w:rPr>
        <w:t xml:space="preserve">הקביעה כי </w:t>
      </w:r>
      <w:r w:rsidRPr="0050235E">
        <w:rPr>
          <w:rFonts w:hint="cs"/>
          <w:b/>
          <w:bCs/>
          <w:rtl/>
        </w:rPr>
        <w:t>שתיית אלכוהול היא חלק בלתי-נפרד מאורח החיים של בגירים במדינת ישראל</w:t>
      </w:r>
      <w:r w:rsidRPr="00BB6388">
        <w:rPr>
          <w:rFonts w:hint="cs"/>
          <w:rtl/>
        </w:rPr>
        <w:t xml:space="preserve"> זוכה לתמיכה גם ממחקר שנערך בבית-הספר לבריאות הציבור באוניברסיטת חיפה</w:t>
      </w:r>
      <w:r w:rsidR="0050235E">
        <w:rPr>
          <w:rFonts w:hint="cs"/>
          <w:rtl/>
        </w:rPr>
        <w:t>.</w:t>
      </w:r>
      <w:r w:rsidRPr="00BB6388">
        <w:rPr>
          <w:rStyle w:val="ab"/>
          <w:rtl/>
        </w:rPr>
        <w:footnoteReference w:id="97"/>
      </w:r>
      <w:r w:rsidR="0050235E">
        <w:rPr>
          <w:rFonts w:hint="cs"/>
          <w:rtl/>
        </w:rPr>
        <w:t xml:space="preserve"> במחקר נמצא כי מתוך 1,079 </w:t>
      </w:r>
      <w:r w:rsidRPr="00BB6388">
        <w:rPr>
          <w:rFonts w:hint="cs"/>
          <w:rtl/>
        </w:rPr>
        <w:t xml:space="preserve">בני 35-19 </w:t>
      </w:r>
      <w:r w:rsidR="0050235E">
        <w:rPr>
          <w:rFonts w:hint="cs"/>
          <w:rtl/>
        </w:rPr>
        <w:t xml:space="preserve">שנסקרו בעת בילוי ב-31 </w:t>
      </w:r>
      <w:r w:rsidRPr="00BB6388">
        <w:rPr>
          <w:rFonts w:hint="cs"/>
          <w:rtl/>
        </w:rPr>
        <w:t>פאבים ב-13 ערים בישראל, 70% שותים משקה אלכוהולי פעם בשבוע או יותר.</w:t>
      </w:r>
      <w:r w:rsidRPr="00BB6388">
        <w:rPr>
          <w:rStyle w:val="ab"/>
          <w:rtl/>
        </w:rPr>
        <w:footnoteReference w:id="98"/>
      </w:r>
      <w:r w:rsidRPr="00BB6388">
        <w:rPr>
          <w:rFonts w:hint="cs"/>
          <w:rtl/>
        </w:rPr>
        <w:t xml:space="preserve">  55% מהמשתתפים דיווחו כי הם שותים עד שתי מנות משקה אלכוהולי במהלך בילוי, 32% מהם דיווחו כי הם שותים שלוש או ארבע מנות משקה אלכוהולי ו-13% מהם דיווחו כי הם שותים יותר מארבע מנות משקה אלכוהולי בזמן בילוי.</w:t>
      </w:r>
      <w:r w:rsidRPr="00BB6388">
        <w:rPr>
          <w:rStyle w:val="ab"/>
          <w:rtl/>
        </w:rPr>
        <w:footnoteReference w:id="99"/>
      </w:r>
      <w:r w:rsidRPr="00BB6388">
        <w:rPr>
          <w:rFonts w:hint="cs"/>
          <w:rtl/>
        </w:rPr>
        <w:t xml:space="preserve"> </w:t>
      </w:r>
    </w:p>
    <w:p w:rsidR="00A84B70" w:rsidRPr="00BB6388" w:rsidRDefault="00A84B70" w:rsidP="00BB6388">
      <w:pPr>
        <w:pStyle w:val="4"/>
      </w:pPr>
      <w:bookmarkStart w:id="85" w:name="_Toc353961987"/>
      <w:bookmarkStart w:id="86" w:name="_Toc419963040"/>
      <w:r w:rsidRPr="00BB6388">
        <w:rPr>
          <w:rFonts w:hint="cs"/>
          <w:rtl/>
        </w:rPr>
        <w:t xml:space="preserve">היקף השימוש באלכוהול בקרב </w:t>
      </w:r>
      <w:bookmarkEnd w:id="85"/>
      <w:bookmarkEnd w:id="86"/>
      <w:r w:rsidR="00811095" w:rsidRPr="00BB6388">
        <w:rPr>
          <w:rFonts w:hint="cs"/>
          <w:rtl/>
        </w:rPr>
        <w:t>נוער לומד</w:t>
      </w:r>
    </w:p>
    <w:p w:rsidR="00A84B70" w:rsidRDefault="00A84B70" w:rsidP="00B90874">
      <w:pPr>
        <w:pStyle w:val="a2"/>
        <w:spacing w:line="360" w:lineRule="auto"/>
      </w:pPr>
      <w:r w:rsidRPr="00BB6388">
        <w:rPr>
          <w:rFonts w:hint="cs"/>
          <w:b/>
          <w:bCs/>
          <w:rtl/>
        </w:rPr>
        <w:t xml:space="preserve">סקר הרשות בקרב תלמידי בתי ספר משנת </w:t>
      </w:r>
      <w:r w:rsidRPr="00BB6388">
        <w:rPr>
          <w:rFonts w:hint="cs"/>
          <w:b/>
          <w:bCs/>
          <w:u w:val="single"/>
          <w:rtl/>
        </w:rPr>
        <w:t>2011</w:t>
      </w:r>
      <w:r w:rsidRPr="00BB6388">
        <w:rPr>
          <w:rFonts w:hint="cs"/>
          <w:b/>
          <w:bCs/>
          <w:rtl/>
        </w:rPr>
        <w:t xml:space="preserve"> התייחס גם לנושא צריכת האלכוהול</w:t>
      </w:r>
      <w:r w:rsidRPr="00BB6388">
        <w:rPr>
          <w:rFonts w:hint="cs"/>
          <w:rtl/>
        </w:rPr>
        <w:t>.</w:t>
      </w:r>
      <w:r w:rsidRPr="00BB6388">
        <w:rPr>
          <w:rStyle w:val="ab"/>
          <w:rtl/>
        </w:rPr>
        <w:footnoteReference w:id="100"/>
      </w:r>
      <w:r w:rsidRPr="00BB6388">
        <w:rPr>
          <w:rFonts w:hint="cs"/>
          <w:rtl/>
        </w:rPr>
        <w:t xml:space="preserve"> </w:t>
      </w:r>
      <w:r w:rsidR="0057227B" w:rsidRPr="00BB6388">
        <w:rPr>
          <w:rFonts w:hint="cs"/>
          <w:rtl/>
        </w:rPr>
        <w:t xml:space="preserve">כאמור, הסקר הוחל רק במסגרת בתי-ספר בפיקוח משרד החינוך, ולכן לא כלל נוער המוגדר 'מנותק' או לחילופין נוער הלומד במסגרות חינוך פרטיות. </w:t>
      </w:r>
      <w:r w:rsidRPr="00BB6388">
        <w:rPr>
          <w:rFonts w:hint="cs"/>
          <w:rtl/>
        </w:rPr>
        <w:t>בניגוד לשאלות בתחום הסמים שהוגבלו רק לכיתות י'-י"ב, נשאלו השאלות בתחום צריכת האלכוהול גם בקרב כיתות ו' ו- ח'</w:t>
      </w:r>
      <w:r w:rsidR="00CE1B1F" w:rsidRPr="00BB6388">
        <w:rPr>
          <w:rFonts w:hint="cs"/>
          <w:rtl/>
        </w:rPr>
        <w:t>.</w:t>
      </w:r>
      <w:r w:rsidRPr="00BB6388">
        <w:rPr>
          <w:rFonts w:hint="cs"/>
          <w:rtl/>
        </w:rPr>
        <w:t xml:space="preserve"> טבלה מס' </w:t>
      </w:r>
      <w:r w:rsidR="00C72AB5">
        <w:rPr>
          <w:rFonts w:hint="cs"/>
          <w:rtl/>
        </w:rPr>
        <w:t>5</w:t>
      </w:r>
      <w:r w:rsidRPr="00BB6388">
        <w:rPr>
          <w:rFonts w:hint="cs"/>
          <w:rtl/>
        </w:rPr>
        <w:t xml:space="preserve"> מציגה את דפוסי השימוש העיקריים באלכוהול ואת שכיחות התנהגות זו בקרב אוכלוסיית הסקר.</w:t>
      </w:r>
    </w:p>
    <w:p w:rsidR="00B90874" w:rsidRPr="00BB6388" w:rsidRDefault="00B90874" w:rsidP="00B90874">
      <w:pPr>
        <w:pStyle w:val="af2"/>
        <w:jc w:val="center"/>
        <w:rPr>
          <w:b w:val="0"/>
          <w:bCs w:val="0"/>
          <w:rtl/>
        </w:rPr>
      </w:pPr>
      <w:r w:rsidRPr="00C72AB5">
        <w:rPr>
          <w:sz w:val="24"/>
          <w:szCs w:val="24"/>
          <w:rtl/>
        </w:rPr>
        <w:t xml:space="preserve">טבלה </w:t>
      </w:r>
      <w:r w:rsidRPr="00C72AB5">
        <w:rPr>
          <w:sz w:val="24"/>
          <w:szCs w:val="24"/>
          <w:rtl/>
        </w:rPr>
        <w:fldChar w:fldCharType="begin"/>
      </w:r>
      <w:r w:rsidRPr="00C72AB5">
        <w:rPr>
          <w:sz w:val="24"/>
          <w:szCs w:val="24"/>
          <w:rtl/>
        </w:rPr>
        <w:instrText xml:space="preserve"> </w:instrText>
      </w:r>
      <w:r w:rsidRPr="00C72AB5">
        <w:rPr>
          <w:sz w:val="24"/>
          <w:szCs w:val="24"/>
        </w:rPr>
        <w:instrText>SEQ</w:instrText>
      </w:r>
      <w:r w:rsidRPr="00C72AB5">
        <w:rPr>
          <w:sz w:val="24"/>
          <w:szCs w:val="24"/>
          <w:rtl/>
        </w:rPr>
        <w:instrText xml:space="preserve"> טבלה \* </w:instrText>
      </w:r>
      <w:r w:rsidRPr="00C72AB5">
        <w:rPr>
          <w:sz w:val="24"/>
          <w:szCs w:val="24"/>
        </w:rPr>
        <w:instrText>ARABIC</w:instrText>
      </w:r>
      <w:r w:rsidRPr="00C72AB5">
        <w:rPr>
          <w:sz w:val="24"/>
          <w:szCs w:val="24"/>
          <w:rtl/>
        </w:rPr>
        <w:instrText xml:space="preserve"> </w:instrText>
      </w:r>
      <w:r w:rsidRPr="00C72AB5">
        <w:rPr>
          <w:sz w:val="24"/>
          <w:szCs w:val="24"/>
          <w:rtl/>
        </w:rPr>
        <w:fldChar w:fldCharType="separate"/>
      </w:r>
      <w:r w:rsidR="007347AB">
        <w:rPr>
          <w:noProof/>
          <w:sz w:val="24"/>
          <w:szCs w:val="24"/>
          <w:rtl/>
        </w:rPr>
        <w:t>5</w:t>
      </w:r>
      <w:r w:rsidRPr="00C72AB5">
        <w:rPr>
          <w:sz w:val="24"/>
          <w:szCs w:val="24"/>
          <w:rtl/>
        </w:rPr>
        <w:fldChar w:fldCharType="end"/>
      </w:r>
      <w:r w:rsidRPr="00C72AB5">
        <w:rPr>
          <w:rFonts w:hint="cs"/>
          <w:sz w:val="24"/>
          <w:szCs w:val="24"/>
          <w:rtl/>
        </w:rPr>
        <w:t xml:space="preserve">: </w:t>
      </w:r>
      <w:r w:rsidRPr="00C72AB5">
        <w:rPr>
          <w:rFonts w:hint="eastAsia"/>
          <w:sz w:val="24"/>
          <w:szCs w:val="24"/>
          <w:rtl/>
        </w:rPr>
        <w:t>שכיחות</w:t>
      </w:r>
      <w:r w:rsidRPr="00C72AB5">
        <w:rPr>
          <w:sz w:val="24"/>
          <w:szCs w:val="24"/>
          <w:rtl/>
        </w:rPr>
        <w:t xml:space="preserve"> </w:t>
      </w:r>
      <w:r w:rsidRPr="00C72AB5">
        <w:rPr>
          <w:rFonts w:hint="eastAsia"/>
          <w:sz w:val="24"/>
          <w:szCs w:val="24"/>
          <w:rtl/>
        </w:rPr>
        <w:t>השימוש</w:t>
      </w:r>
      <w:r w:rsidRPr="00C72AB5">
        <w:rPr>
          <w:sz w:val="24"/>
          <w:szCs w:val="24"/>
          <w:rtl/>
        </w:rPr>
        <w:t xml:space="preserve"> </w:t>
      </w:r>
      <w:r w:rsidRPr="00C72AB5">
        <w:rPr>
          <w:rFonts w:hint="eastAsia"/>
          <w:sz w:val="24"/>
          <w:szCs w:val="24"/>
          <w:rtl/>
        </w:rPr>
        <w:t>באלכוהול</w:t>
      </w:r>
      <w:r w:rsidRPr="00C72AB5">
        <w:rPr>
          <w:sz w:val="24"/>
          <w:szCs w:val="24"/>
          <w:rtl/>
        </w:rPr>
        <w:t xml:space="preserve"> </w:t>
      </w:r>
      <w:r>
        <w:rPr>
          <w:rFonts w:hint="cs"/>
          <w:sz w:val="24"/>
          <w:szCs w:val="24"/>
          <w:rtl/>
        </w:rPr>
        <w:t>בקרב נוער לומד</w:t>
      </w:r>
      <w:r w:rsidRPr="00C72AB5">
        <w:rPr>
          <w:sz w:val="24"/>
          <w:szCs w:val="24"/>
          <w:rtl/>
        </w:rPr>
        <w:t xml:space="preserve"> </w:t>
      </w:r>
      <w:r w:rsidRPr="00C72AB5">
        <w:rPr>
          <w:rFonts w:hint="eastAsia"/>
          <w:sz w:val="24"/>
          <w:szCs w:val="24"/>
          <w:rtl/>
        </w:rPr>
        <w:t>בישראל</w:t>
      </w:r>
      <w:r w:rsidRPr="00C72AB5">
        <w:rPr>
          <w:sz w:val="24"/>
          <w:szCs w:val="24"/>
          <w:rtl/>
        </w:rPr>
        <w:t xml:space="preserve"> (</w:t>
      </w:r>
      <w:r w:rsidRPr="00C72AB5">
        <w:rPr>
          <w:rFonts w:hint="eastAsia"/>
          <w:sz w:val="24"/>
          <w:szCs w:val="24"/>
          <w:rtl/>
        </w:rPr>
        <w:t>כיתות</w:t>
      </w:r>
      <w:r w:rsidRPr="00C72AB5">
        <w:rPr>
          <w:sz w:val="24"/>
          <w:szCs w:val="24"/>
          <w:rtl/>
        </w:rPr>
        <w:t xml:space="preserve"> </w:t>
      </w:r>
      <w:r w:rsidRPr="00C72AB5">
        <w:rPr>
          <w:rFonts w:hint="eastAsia"/>
          <w:sz w:val="24"/>
          <w:szCs w:val="24"/>
          <w:rtl/>
        </w:rPr>
        <w:t>ו</w:t>
      </w:r>
      <w:r w:rsidRPr="00C72AB5">
        <w:rPr>
          <w:sz w:val="24"/>
          <w:szCs w:val="24"/>
          <w:rtl/>
        </w:rPr>
        <w:t xml:space="preserve">', </w:t>
      </w:r>
      <w:r w:rsidRPr="00C72AB5">
        <w:rPr>
          <w:rFonts w:hint="eastAsia"/>
          <w:sz w:val="24"/>
          <w:szCs w:val="24"/>
          <w:rtl/>
        </w:rPr>
        <w:t>ח</w:t>
      </w:r>
      <w:r w:rsidRPr="00C72AB5">
        <w:rPr>
          <w:sz w:val="24"/>
          <w:szCs w:val="24"/>
          <w:rtl/>
        </w:rPr>
        <w:t xml:space="preserve">', </w:t>
      </w:r>
      <w:r w:rsidRPr="00C72AB5">
        <w:rPr>
          <w:rFonts w:hint="eastAsia"/>
          <w:sz w:val="24"/>
          <w:szCs w:val="24"/>
          <w:rtl/>
        </w:rPr>
        <w:t>י</w:t>
      </w:r>
      <w:r w:rsidRPr="00C72AB5">
        <w:rPr>
          <w:sz w:val="24"/>
          <w:szCs w:val="24"/>
          <w:rtl/>
        </w:rPr>
        <w:t>'-</w:t>
      </w:r>
      <w:r w:rsidRPr="00C72AB5">
        <w:rPr>
          <w:rFonts w:hint="eastAsia"/>
          <w:sz w:val="24"/>
          <w:szCs w:val="24"/>
          <w:rtl/>
        </w:rPr>
        <w:t>י</w:t>
      </w:r>
      <w:r w:rsidRPr="00C72AB5">
        <w:rPr>
          <w:sz w:val="24"/>
          <w:szCs w:val="24"/>
          <w:rtl/>
        </w:rPr>
        <w:t>"</w:t>
      </w:r>
      <w:r w:rsidRPr="00C72AB5">
        <w:rPr>
          <w:rFonts w:hint="eastAsia"/>
          <w:sz w:val="24"/>
          <w:szCs w:val="24"/>
          <w:rtl/>
        </w:rPr>
        <w:t>ב</w:t>
      </w:r>
      <w:r w:rsidRPr="00C72AB5">
        <w:rPr>
          <w:sz w:val="24"/>
          <w:szCs w:val="24"/>
          <w:rtl/>
        </w:rPr>
        <w:t xml:space="preserve">), </w:t>
      </w:r>
      <w:r w:rsidRPr="00C72AB5">
        <w:rPr>
          <w:rFonts w:hint="eastAsia"/>
          <w:sz w:val="24"/>
          <w:szCs w:val="24"/>
          <w:rtl/>
        </w:rPr>
        <w:t>בשנת</w:t>
      </w:r>
      <w:r w:rsidRPr="00C72AB5">
        <w:rPr>
          <w:sz w:val="24"/>
          <w:szCs w:val="24"/>
          <w:rtl/>
        </w:rPr>
        <w:t xml:space="preserve"> 2011</w:t>
      </w:r>
      <w:r w:rsidRPr="00BB6388">
        <w:rPr>
          <w:rStyle w:val="ab"/>
          <w:b w:val="0"/>
          <w:bCs w:val="0"/>
          <w:rtl/>
        </w:rPr>
        <w:footnoteReference w:id="101"/>
      </w:r>
    </w:p>
    <w:tbl>
      <w:tblPr>
        <w:tblStyle w:val="afff5"/>
        <w:bidiVisual/>
        <w:tblW w:w="0" w:type="auto"/>
        <w:tblCellSpacing w:w="20" w:type="dxa"/>
        <w:tblInd w:w="187"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7374"/>
        <w:gridCol w:w="1614"/>
      </w:tblGrid>
      <w:tr w:rsidR="00B90874" w:rsidRPr="005F4012" w:rsidTr="005F4012">
        <w:trPr>
          <w:tblCellSpacing w:w="20" w:type="dxa"/>
        </w:trPr>
        <w:tc>
          <w:tcPr>
            <w:tcW w:w="7358" w:type="dxa"/>
            <w:shd w:val="clear" w:color="auto" w:fill="auto"/>
          </w:tcPr>
          <w:p w:rsidR="00B90874" w:rsidRPr="005F4012" w:rsidRDefault="00B90874" w:rsidP="005F4012">
            <w:pPr>
              <w:pStyle w:val="a2"/>
              <w:spacing w:before="60" w:after="0" w:line="240" w:lineRule="auto"/>
              <w:rPr>
                <w:b/>
                <w:bCs/>
                <w:sz w:val="22"/>
                <w:szCs w:val="22"/>
                <w:rtl/>
              </w:rPr>
            </w:pPr>
            <w:r w:rsidRPr="005F4012">
              <w:rPr>
                <w:rFonts w:hint="cs"/>
                <w:b/>
                <w:bCs/>
                <w:sz w:val="22"/>
                <w:szCs w:val="22"/>
                <w:rtl/>
              </w:rPr>
              <w:t>דפוס השימוש באלכוהול</w:t>
            </w:r>
          </w:p>
        </w:tc>
        <w:tc>
          <w:tcPr>
            <w:tcW w:w="1558" w:type="dxa"/>
            <w:shd w:val="clear" w:color="auto" w:fill="auto"/>
          </w:tcPr>
          <w:p w:rsidR="00B90874" w:rsidRPr="005F4012" w:rsidRDefault="00B90874" w:rsidP="005F4012">
            <w:pPr>
              <w:pStyle w:val="a2"/>
              <w:spacing w:before="60" w:after="0" w:line="240" w:lineRule="auto"/>
              <w:jc w:val="center"/>
              <w:rPr>
                <w:b/>
                <w:bCs/>
                <w:sz w:val="22"/>
                <w:szCs w:val="22"/>
                <w:rtl/>
              </w:rPr>
            </w:pPr>
            <w:r w:rsidRPr="005F4012">
              <w:rPr>
                <w:rFonts w:hint="cs"/>
                <w:b/>
                <w:bCs/>
                <w:sz w:val="22"/>
                <w:szCs w:val="22"/>
                <w:rtl/>
              </w:rPr>
              <w:t>שכיחות השימוש בקרב כיתות ו', ח', י'-י"ב</w:t>
            </w:r>
          </w:p>
        </w:tc>
      </w:tr>
      <w:tr w:rsidR="00B90874" w:rsidRPr="005F4012" w:rsidTr="005F4012">
        <w:trPr>
          <w:tblCellSpacing w:w="20" w:type="dxa"/>
        </w:trPr>
        <w:tc>
          <w:tcPr>
            <w:tcW w:w="7358" w:type="dxa"/>
            <w:shd w:val="clear" w:color="auto" w:fill="auto"/>
          </w:tcPr>
          <w:p w:rsidR="00B90874" w:rsidRPr="005F4012" w:rsidRDefault="00B90874" w:rsidP="005F4012">
            <w:pPr>
              <w:pStyle w:val="a2"/>
              <w:spacing w:before="60" w:after="0" w:line="240" w:lineRule="auto"/>
              <w:rPr>
                <w:sz w:val="22"/>
                <w:szCs w:val="22"/>
                <w:rtl/>
              </w:rPr>
            </w:pPr>
            <w:r w:rsidRPr="005F4012">
              <w:rPr>
                <w:rFonts w:hint="cs"/>
                <w:sz w:val="22"/>
                <w:szCs w:val="22"/>
                <w:rtl/>
              </w:rPr>
              <w:t>שתיה מתונה (משקה אלכוהולי כלשהו, שלא למטרות דת, לפחות פעם אחת ב- 30 הימים האחרונים)</w:t>
            </w:r>
          </w:p>
        </w:tc>
        <w:tc>
          <w:tcPr>
            <w:tcW w:w="1558" w:type="dxa"/>
            <w:shd w:val="clear" w:color="auto" w:fill="auto"/>
          </w:tcPr>
          <w:p w:rsidR="00B90874" w:rsidRPr="005F4012" w:rsidRDefault="00B90874" w:rsidP="005F4012">
            <w:pPr>
              <w:pStyle w:val="a2"/>
              <w:spacing w:before="60" w:after="0" w:line="240" w:lineRule="auto"/>
              <w:jc w:val="center"/>
              <w:rPr>
                <w:sz w:val="22"/>
                <w:szCs w:val="22"/>
                <w:rtl/>
              </w:rPr>
            </w:pPr>
            <w:r w:rsidRPr="005F4012">
              <w:rPr>
                <w:rFonts w:hint="cs"/>
                <w:sz w:val="22"/>
                <w:szCs w:val="22"/>
                <w:rtl/>
              </w:rPr>
              <w:t>24.2%</w:t>
            </w:r>
          </w:p>
        </w:tc>
      </w:tr>
      <w:tr w:rsidR="00B90874" w:rsidRPr="005F4012" w:rsidTr="005F4012">
        <w:trPr>
          <w:tblCellSpacing w:w="20" w:type="dxa"/>
        </w:trPr>
        <w:tc>
          <w:tcPr>
            <w:tcW w:w="7358" w:type="dxa"/>
            <w:shd w:val="clear" w:color="auto" w:fill="auto"/>
          </w:tcPr>
          <w:p w:rsidR="00B90874" w:rsidRPr="005F4012" w:rsidRDefault="00B90874" w:rsidP="005F4012">
            <w:pPr>
              <w:pStyle w:val="a2"/>
              <w:spacing w:before="60" w:after="0" w:line="240" w:lineRule="auto"/>
              <w:rPr>
                <w:sz w:val="22"/>
                <w:szCs w:val="22"/>
                <w:rtl/>
              </w:rPr>
            </w:pPr>
            <w:r w:rsidRPr="005F4012">
              <w:rPr>
                <w:rFonts w:hint="cs"/>
                <w:sz w:val="22"/>
                <w:szCs w:val="22"/>
                <w:rtl/>
              </w:rPr>
              <w:t>שתיה מופרזת (חמש מנות או יותר של משקה אלכוהולי תוך מספר שעות, לפחות פעם אחת ב- 30 הימים האחרונים)</w:t>
            </w:r>
          </w:p>
        </w:tc>
        <w:tc>
          <w:tcPr>
            <w:tcW w:w="1558" w:type="dxa"/>
            <w:shd w:val="clear" w:color="auto" w:fill="auto"/>
          </w:tcPr>
          <w:p w:rsidR="00B90874" w:rsidRPr="005F4012" w:rsidRDefault="00B90874" w:rsidP="005F4012">
            <w:pPr>
              <w:pStyle w:val="a2"/>
              <w:spacing w:before="60" w:after="0" w:line="240" w:lineRule="auto"/>
              <w:jc w:val="center"/>
              <w:rPr>
                <w:sz w:val="22"/>
                <w:szCs w:val="22"/>
                <w:rtl/>
              </w:rPr>
            </w:pPr>
            <w:r w:rsidRPr="005F4012">
              <w:rPr>
                <w:rFonts w:hint="cs"/>
                <w:sz w:val="22"/>
                <w:szCs w:val="22"/>
                <w:rtl/>
              </w:rPr>
              <w:t>15.6%</w:t>
            </w:r>
          </w:p>
        </w:tc>
      </w:tr>
      <w:tr w:rsidR="00B90874" w:rsidRPr="005F4012" w:rsidTr="005F4012">
        <w:trPr>
          <w:tblCellSpacing w:w="20" w:type="dxa"/>
        </w:trPr>
        <w:tc>
          <w:tcPr>
            <w:tcW w:w="7358" w:type="dxa"/>
            <w:shd w:val="clear" w:color="auto" w:fill="auto"/>
          </w:tcPr>
          <w:p w:rsidR="00B90874" w:rsidRPr="005F4012" w:rsidRDefault="00B90874" w:rsidP="005F4012">
            <w:pPr>
              <w:pStyle w:val="a2"/>
              <w:spacing w:before="60" w:after="0" w:line="240" w:lineRule="auto"/>
              <w:rPr>
                <w:sz w:val="22"/>
                <w:szCs w:val="22"/>
                <w:rtl/>
              </w:rPr>
            </w:pPr>
            <w:r w:rsidRPr="005F4012">
              <w:rPr>
                <w:rFonts w:hint="cs"/>
                <w:sz w:val="22"/>
                <w:szCs w:val="22"/>
                <w:rtl/>
              </w:rPr>
              <w:t>שתיה מופרזת (השתכרו אי-פעם)</w:t>
            </w:r>
          </w:p>
        </w:tc>
        <w:tc>
          <w:tcPr>
            <w:tcW w:w="1558" w:type="dxa"/>
            <w:shd w:val="clear" w:color="auto" w:fill="auto"/>
          </w:tcPr>
          <w:p w:rsidR="00B90874" w:rsidRPr="005F4012" w:rsidRDefault="00B90874" w:rsidP="005F4012">
            <w:pPr>
              <w:pStyle w:val="a2"/>
              <w:spacing w:before="60" w:after="0" w:line="240" w:lineRule="auto"/>
              <w:jc w:val="center"/>
              <w:rPr>
                <w:sz w:val="22"/>
                <w:szCs w:val="22"/>
                <w:rtl/>
              </w:rPr>
            </w:pPr>
            <w:r w:rsidRPr="005F4012">
              <w:rPr>
                <w:rFonts w:hint="cs"/>
                <w:sz w:val="22"/>
                <w:szCs w:val="22"/>
                <w:rtl/>
              </w:rPr>
              <w:t>19.7%</w:t>
            </w:r>
          </w:p>
        </w:tc>
      </w:tr>
    </w:tbl>
    <w:p w:rsidR="004D33D1" w:rsidRDefault="004D33D1" w:rsidP="00F53C0E">
      <w:pPr>
        <w:pStyle w:val="a2"/>
        <w:spacing w:line="360" w:lineRule="auto"/>
        <w:rPr>
          <w:b/>
          <w:bCs/>
          <w:rtl/>
        </w:rPr>
      </w:pPr>
    </w:p>
    <w:p w:rsidR="00F53C0E" w:rsidRDefault="00F53C0E" w:rsidP="00F53C0E">
      <w:pPr>
        <w:pStyle w:val="a2"/>
        <w:spacing w:line="360" w:lineRule="auto"/>
        <w:rPr>
          <w:rtl/>
        </w:rPr>
      </w:pPr>
      <w:r w:rsidRPr="00BB6388">
        <w:rPr>
          <w:rFonts w:hint="cs"/>
          <w:b/>
          <w:bCs/>
          <w:rtl/>
        </w:rPr>
        <w:t>24.2% מקרב תלמידי כיתות ו', ח', י'-י"ב שהשתתפו במחקר דיווחו כי שתו משקה אלכוהולי, שלא למטרות דת, בחודש שקדם לסקר, ו- 19.7% כי השתכרו אי-פעם</w:t>
      </w:r>
      <w:r w:rsidRPr="00BB6388">
        <w:rPr>
          <w:rFonts w:hint="cs"/>
          <w:rtl/>
        </w:rPr>
        <w:t>. נתונים אלו, המעידים כי שתיית אלכוהול בקרב בני-נוער אינה נדירה, חוברים לנתונים העולים ממחקר שנערך בקרב 322 תלמידי כיתות ח'-י"</w:t>
      </w:r>
      <w:r>
        <w:rPr>
          <w:rFonts w:hint="cs"/>
          <w:rtl/>
        </w:rPr>
        <w:t>א החברים בתנועת נוער בחיפה</w:t>
      </w:r>
      <w:r w:rsidRPr="00BB6388">
        <w:rPr>
          <w:rFonts w:hint="cs"/>
          <w:rtl/>
        </w:rPr>
        <w:t>.</w:t>
      </w:r>
      <w:r w:rsidRPr="00BB6388">
        <w:rPr>
          <w:rStyle w:val="ab"/>
          <w:rtl/>
        </w:rPr>
        <w:footnoteReference w:id="102"/>
      </w:r>
      <w:r w:rsidRPr="00BB6388">
        <w:rPr>
          <w:rFonts w:hint="cs"/>
          <w:rtl/>
        </w:rPr>
        <w:t xml:space="preserve"> מחקר זה העלה כי כמחציתם שתו את המשקה האלכוהולי</w:t>
      </w:r>
      <w:r w:rsidRPr="00BB6388">
        <w:rPr>
          <w:rStyle w:val="ab"/>
          <w:rtl/>
        </w:rPr>
        <w:footnoteReference w:id="103"/>
      </w:r>
      <w:r w:rsidRPr="00BB6388">
        <w:rPr>
          <w:rFonts w:hint="cs"/>
          <w:rtl/>
        </w:rPr>
        <w:t xml:space="preserve"> הראשון בגיל 15-13 וכ-19% מהם שתו את המשקה האלכוהולי הראשון לפני גיל 12.</w:t>
      </w:r>
    </w:p>
    <w:p w:rsidR="007B5846" w:rsidRPr="00BB6388" w:rsidRDefault="007B5846" w:rsidP="00F53C0E">
      <w:pPr>
        <w:pStyle w:val="a2"/>
        <w:spacing w:line="360" w:lineRule="auto"/>
        <w:rPr>
          <w:rtl/>
        </w:rPr>
      </w:pPr>
    </w:p>
    <w:p w:rsidR="0079677F" w:rsidRPr="00BB6388" w:rsidRDefault="00A84B70" w:rsidP="00F17BA7">
      <w:pPr>
        <w:pStyle w:val="2"/>
        <w:rPr>
          <w:rtl/>
        </w:rPr>
      </w:pPr>
      <w:bookmarkStart w:id="87" w:name="_Toc419959699"/>
      <w:bookmarkStart w:id="88" w:name="_Toc419963041"/>
      <w:bookmarkStart w:id="89" w:name="_Toc419963270"/>
      <w:bookmarkStart w:id="90" w:name="_Toc421697038"/>
      <w:bookmarkStart w:id="91" w:name="_Toc419054658"/>
      <w:r w:rsidRPr="00BB6388">
        <w:rPr>
          <w:rFonts w:hint="cs"/>
          <w:rtl/>
        </w:rPr>
        <w:t xml:space="preserve">השפעת שימוש </w:t>
      </w:r>
      <w:r w:rsidR="00F17BA7">
        <w:rPr>
          <w:rFonts w:hint="cs"/>
          <w:rtl/>
        </w:rPr>
        <w:t>בסמים ובאלכוהול</w:t>
      </w:r>
      <w:r w:rsidRPr="00BB6388">
        <w:rPr>
          <w:rFonts w:hint="cs"/>
          <w:rtl/>
        </w:rPr>
        <w:t xml:space="preserve"> על בריאות</w:t>
      </w:r>
      <w:bookmarkEnd w:id="87"/>
      <w:bookmarkEnd w:id="88"/>
      <w:bookmarkEnd w:id="89"/>
      <w:bookmarkEnd w:id="90"/>
      <w:r w:rsidRPr="00BB6388">
        <w:rPr>
          <w:rFonts w:hint="cs"/>
          <w:rtl/>
        </w:rPr>
        <w:t xml:space="preserve"> </w:t>
      </w:r>
    </w:p>
    <w:p w:rsidR="00975806" w:rsidRPr="00BB6388" w:rsidRDefault="00975806" w:rsidP="000B4FA8">
      <w:pPr>
        <w:pStyle w:val="a2"/>
        <w:rPr>
          <w:rtl/>
        </w:rPr>
      </w:pPr>
      <w:r w:rsidRPr="00BB6388">
        <w:rPr>
          <w:rFonts w:hint="cs"/>
          <w:rtl/>
        </w:rPr>
        <w:t xml:space="preserve">מעבר להשפעתם המשכרת הנקודתית על המשתמש, </w:t>
      </w:r>
      <w:r w:rsidR="00017A71">
        <w:rPr>
          <w:rFonts w:hint="cs"/>
          <w:rtl/>
        </w:rPr>
        <w:t>שימוש ב</w:t>
      </w:r>
      <w:r w:rsidRPr="00BB6388">
        <w:rPr>
          <w:rFonts w:hint="cs"/>
          <w:rtl/>
        </w:rPr>
        <w:t>חומרים פסיכואקטיביים</w:t>
      </w:r>
      <w:r w:rsidR="008F1263" w:rsidRPr="00BB6388">
        <w:rPr>
          <w:rFonts w:hint="cs"/>
          <w:rtl/>
        </w:rPr>
        <w:t xml:space="preserve"> </w:t>
      </w:r>
      <w:r w:rsidR="00017A71">
        <w:rPr>
          <w:rFonts w:hint="cs"/>
          <w:rtl/>
        </w:rPr>
        <w:t>עלול לגרום ל</w:t>
      </w:r>
      <w:r w:rsidR="008F1263" w:rsidRPr="00BB6388">
        <w:rPr>
          <w:rFonts w:hint="cs"/>
          <w:rtl/>
        </w:rPr>
        <w:t xml:space="preserve">השפעות בריאותיות, </w:t>
      </w:r>
      <w:r w:rsidR="00017A71">
        <w:rPr>
          <w:rFonts w:hint="cs"/>
          <w:rtl/>
        </w:rPr>
        <w:t xml:space="preserve">וזאת </w:t>
      </w:r>
      <w:r w:rsidR="008F1263" w:rsidRPr="00BB6388">
        <w:rPr>
          <w:rFonts w:hint="cs"/>
          <w:rtl/>
        </w:rPr>
        <w:t xml:space="preserve">החל מתאונות המתרחשות תחת ההשפעה של החומרים וכלה בבעיות בריאותיות ארוכות טווח כגון </w:t>
      </w:r>
      <w:r w:rsidR="00C217A0" w:rsidRPr="00BB6388">
        <w:rPr>
          <w:rFonts w:hint="cs"/>
          <w:rtl/>
        </w:rPr>
        <w:t xml:space="preserve">זיהומים או </w:t>
      </w:r>
      <w:r w:rsidR="008F1263" w:rsidRPr="00BB6388">
        <w:rPr>
          <w:rFonts w:hint="cs"/>
          <w:rtl/>
        </w:rPr>
        <w:t>פגיעה ב</w:t>
      </w:r>
      <w:r w:rsidR="00C217A0" w:rsidRPr="00BB6388">
        <w:rPr>
          <w:rFonts w:hint="cs"/>
          <w:rtl/>
        </w:rPr>
        <w:t xml:space="preserve">פעילות </w:t>
      </w:r>
      <w:r w:rsidR="008F1263" w:rsidRPr="00BB6388">
        <w:rPr>
          <w:rFonts w:hint="cs"/>
          <w:rtl/>
        </w:rPr>
        <w:t>מערכות הגוף</w:t>
      </w:r>
      <w:r w:rsidR="00C217A0" w:rsidRPr="00BB6388">
        <w:rPr>
          <w:rFonts w:hint="cs"/>
          <w:rtl/>
        </w:rPr>
        <w:t xml:space="preserve">. שימוש בחומרים הללו יכול להוביל גם למוות. </w:t>
      </w:r>
      <w:r w:rsidR="008F1263" w:rsidRPr="00BB6388">
        <w:rPr>
          <w:rFonts w:hint="cs"/>
          <w:rtl/>
        </w:rPr>
        <w:t>החלק נוכחי סוקר מספר נתונים בנושא.</w:t>
      </w:r>
    </w:p>
    <w:p w:rsidR="0052355A" w:rsidRPr="00BB6388" w:rsidRDefault="00165F89" w:rsidP="0052355A">
      <w:pPr>
        <w:pStyle w:val="3"/>
        <w:rPr>
          <w:rtl/>
        </w:rPr>
      </w:pPr>
      <w:bookmarkStart w:id="92" w:name="_Toc419959700"/>
      <w:bookmarkStart w:id="93" w:name="_Toc419963042"/>
      <w:bookmarkStart w:id="94" w:name="_Toc419963271"/>
      <w:bookmarkStart w:id="95" w:name="_Toc421697039"/>
      <w:r w:rsidRPr="00BB6388">
        <w:rPr>
          <w:rFonts w:hint="cs"/>
          <w:rtl/>
        </w:rPr>
        <w:t>בעולם</w:t>
      </w:r>
      <w:bookmarkEnd w:id="92"/>
      <w:bookmarkEnd w:id="93"/>
      <w:bookmarkEnd w:id="94"/>
      <w:bookmarkEnd w:id="95"/>
    </w:p>
    <w:p w:rsidR="00CE1B1F" w:rsidRPr="00BB6388" w:rsidRDefault="00CE1B1F" w:rsidP="00D2748D">
      <w:pPr>
        <w:pStyle w:val="4"/>
        <w:rPr>
          <w:rtl/>
        </w:rPr>
      </w:pPr>
      <w:r w:rsidRPr="00BB6388">
        <w:rPr>
          <w:rFonts w:hint="cs"/>
          <w:rtl/>
        </w:rPr>
        <w:t>השפעת צריכת סמים</w:t>
      </w:r>
      <w:r w:rsidR="00C217A0" w:rsidRPr="00BB6388">
        <w:rPr>
          <w:rFonts w:hint="cs"/>
          <w:rtl/>
        </w:rPr>
        <w:t xml:space="preserve"> על בריאות</w:t>
      </w:r>
    </w:p>
    <w:p w:rsidR="00712534" w:rsidRPr="00BB6388" w:rsidRDefault="00712534" w:rsidP="0015571B">
      <w:pPr>
        <w:pStyle w:val="a2"/>
        <w:spacing w:line="360" w:lineRule="auto"/>
        <w:rPr>
          <w:rtl/>
        </w:rPr>
      </w:pPr>
      <w:r w:rsidRPr="00BB6388">
        <w:rPr>
          <w:rFonts w:hint="cs"/>
          <w:rtl/>
        </w:rPr>
        <w:t>הערכת משרד האו"ם לנושאי סמים ופשיעה (</w:t>
      </w:r>
      <w:r w:rsidRPr="00BB6388">
        <w:rPr>
          <w:sz w:val="20"/>
          <w:szCs w:val="20"/>
        </w:rPr>
        <w:t>United Nation Office on Drugs and Crimes - UNODC</w:t>
      </w:r>
      <w:r w:rsidRPr="00BB6388">
        <w:rPr>
          <w:rFonts w:hint="cs"/>
          <w:rtl/>
        </w:rPr>
        <w:t xml:space="preserve">) היא כי </w:t>
      </w:r>
      <w:r w:rsidRPr="00BB6388">
        <w:rPr>
          <w:rFonts w:hint="cs"/>
          <w:b/>
          <w:bCs/>
          <w:rtl/>
        </w:rPr>
        <w:t xml:space="preserve">בשנת 2012 היו בעולם </w:t>
      </w:r>
      <w:r w:rsidR="00091DB6" w:rsidRPr="00BB6388">
        <w:rPr>
          <w:rFonts w:hint="cs"/>
          <w:b/>
          <w:bCs/>
          <w:rtl/>
        </w:rPr>
        <w:t>בין 95,000 ל- 226,000 מקרי מוות כתוצאה משימוש בסמים</w:t>
      </w:r>
      <w:r w:rsidR="00326B89" w:rsidRPr="00BB6388">
        <w:rPr>
          <w:rFonts w:hint="cs"/>
          <w:b/>
          <w:bCs/>
          <w:rtl/>
        </w:rPr>
        <w:t xml:space="preserve">, </w:t>
      </w:r>
      <w:r w:rsidR="007149BB">
        <w:rPr>
          <w:rFonts w:hint="cs"/>
          <w:b/>
          <w:bCs/>
          <w:rtl/>
        </w:rPr>
        <w:t xml:space="preserve">וזאת רק </w:t>
      </w:r>
      <w:r w:rsidR="00326B89" w:rsidRPr="00BB6388">
        <w:rPr>
          <w:rFonts w:hint="cs"/>
          <w:b/>
          <w:bCs/>
          <w:rtl/>
        </w:rPr>
        <w:t>בקרב גילאי 15-64</w:t>
      </w:r>
      <w:r w:rsidR="00091DB6" w:rsidRPr="00BB6388">
        <w:rPr>
          <w:rFonts w:hint="cs"/>
          <w:b/>
          <w:bCs/>
          <w:rtl/>
        </w:rPr>
        <w:t>.</w:t>
      </w:r>
      <w:r w:rsidR="00091DB6" w:rsidRPr="0093353A">
        <w:rPr>
          <w:rStyle w:val="ab"/>
          <w:rtl/>
        </w:rPr>
        <w:footnoteReference w:id="104"/>
      </w:r>
      <w:r w:rsidR="00F87576" w:rsidRPr="00BB6388">
        <w:rPr>
          <w:rFonts w:hint="cs"/>
          <w:b/>
          <w:bCs/>
          <w:rtl/>
        </w:rPr>
        <w:t xml:space="preserve"> רוב מקרי המוות הללו היו כתולדה ממנות-יתר קט</w:t>
      </w:r>
      <w:r w:rsidR="008E22EF" w:rsidRPr="00BB6388">
        <w:rPr>
          <w:rFonts w:hint="cs"/>
          <w:b/>
          <w:bCs/>
          <w:rtl/>
        </w:rPr>
        <w:t>ל</w:t>
      </w:r>
      <w:r w:rsidR="00F87576" w:rsidRPr="00BB6388">
        <w:rPr>
          <w:rFonts w:hint="cs"/>
          <w:b/>
          <w:bCs/>
          <w:rtl/>
        </w:rPr>
        <w:t xml:space="preserve">ניות, בפרט אלו של </w:t>
      </w:r>
      <w:r w:rsidR="00AF33BC" w:rsidRPr="00BB6388">
        <w:rPr>
          <w:rFonts w:hint="cs"/>
          <w:b/>
          <w:bCs/>
          <w:rtl/>
        </w:rPr>
        <w:t>אופיאדים</w:t>
      </w:r>
      <w:r w:rsidR="00AF33BC" w:rsidRPr="00BB6388">
        <w:rPr>
          <w:rFonts w:hint="cs"/>
          <w:rtl/>
        </w:rPr>
        <w:t xml:space="preserve"> </w:t>
      </w:r>
      <w:r w:rsidR="0015571B">
        <w:rPr>
          <w:rFonts w:hint="cs"/>
          <w:rtl/>
        </w:rPr>
        <w:t>(</w:t>
      </w:r>
      <w:r w:rsidR="00AF33BC" w:rsidRPr="00BB6388">
        <w:rPr>
          <w:rFonts w:hint="cs"/>
          <w:rtl/>
        </w:rPr>
        <w:t>הרואין ו</w:t>
      </w:r>
      <w:r w:rsidR="0015571B">
        <w:rPr>
          <w:rFonts w:hint="cs"/>
          <w:rtl/>
        </w:rPr>
        <w:t xml:space="preserve">כן </w:t>
      </w:r>
      <w:r w:rsidR="00AF33BC" w:rsidRPr="00BB6388">
        <w:rPr>
          <w:rFonts w:hint="cs"/>
          <w:rtl/>
        </w:rPr>
        <w:t>שימוש לא-רפואי בתרופות מרשם אופיאדיות</w:t>
      </w:r>
      <w:r w:rsidR="0015571B">
        <w:rPr>
          <w:rFonts w:hint="cs"/>
          <w:rtl/>
        </w:rPr>
        <w:t>)</w:t>
      </w:r>
      <w:r w:rsidR="00AF33BC" w:rsidRPr="00BB6388">
        <w:rPr>
          <w:rFonts w:hint="cs"/>
          <w:rtl/>
        </w:rPr>
        <w:t>.</w:t>
      </w:r>
      <w:r w:rsidR="00AF33BC" w:rsidRPr="00BB6388">
        <w:rPr>
          <w:rStyle w:val="ab"/>
          <w:rtl/>
        </w:rPr>
        <w:t xml:space="preserve"> </w:t>
      </w:r>
      <w:r w:rsidR="00AF33BC" w:rsidRPr="00BB6388">
        <w:rPr>
          <w:rStyle w:val="ab"/>
          <w:rtl/>
        </w:rPr>
        <w:footnoteReference w:id="105"/>
      </w:r>
    </w:p>
    <w:p w:rsidR="0015571B" w:rsidRDefault="001A7A11" w:rsidP="00DB5FCA">
      <w:pPr>
        <w:pStyle w:val="a2"/>
        <w:spacing w:line="360" w:lineRule="auto"/>
        <w:rPr>
          <w:rtl/>
        </w:rPr>
      </w:pPr>
      <w:r w:rsidRPr="00BB6388">
        <w:rPr>
          <w:rFonts w:hint="cs"/>
          <w:b/>
          <w:bCs/>
          <w:rtl/>
        </w:rPr>
        <w:t xml:space="preserve">טיפול </w:t>
      </w:r>
      <w:r w:rsidR="00FB53B1" w:rsidRPr="00BB6388">
        <w:rPr>
          <w:rFonts w:hint="cs"/>
          <w:b/>
          <w:bCs/>
          <w:rtl/>
        </w:rPr>
        <w:t xml:space="preserve">רפואי </w:t>
      </w:r>
      <w:r w:rsidRPr="00BB6388">
        <w:rPr>
          <w:rFonts w:hint="cs"/>
          <w:b/>
          <w:bCs/>
          <w:rtl/>
        </w:rPr>
        <w:t xml:space="preserve">בגין שימוש בקנביס שכיח מאוד </w:t>
      </w:r>
      <w:r w:rsidRPr="0065686F">
        <w:rPr>
          <w:rFonts w:hint="cs"/>
          <w:b/>
          <w:bCs/>
          <w:rtl/>
        </w:rPr>
        <w:t xml:space="preserve">באפריקה, </w:t>
      </w:r>
      <w:r w:rsidR="00DB5FCA" w:rsidRPr="0065686F">
        <w:rPr>
          <w:rFonts w:hint="cs"/>
          <w:b/>
          <w:bCs/>
          <w:rtl/>
        </w:rPr>
        <w:t xml:space="preserve">יבשת אמריקה (בכללה), </w:t>
      </w:r>
      <w:r w:rsidRPr="0065686F">
        <w:rPr>
          <w:rFonts w:hint="cs"/>
          <w:b/>
          <w:bCs/>
          <w:rtl/>
        </w:rPr>
        <w:t>ואוקיאניה</w:t>
      </w:r>
      <w:r w:rsidRPr="00BB6388">
        <w:rPr>
          <w:rFonts w:hint="cs"/>
          <w:rtl/>
        </w:rPr>
        <w:t>.</w:t>
      </w:r>
      <w:r w:rsidR="00D2655D" w:rsidRPr="00BB6388">
        <w:rPr>
          <w:rFonts w:hint="cs"/>
          <w:rtl/>
        </w:rPr>
        <w:t xml:space="preserve"> הארגון מציין גם כי</w:t>
      </w:r>
      <w:r w:rsidRPr="00BB6388">
        <w:rPr>
          <w:rFonts w:hint="cs"/>
          <w:rtl/>
        </w:rPr>
        <w:t xml:space="preserve"> </w:t>
      </w:r>
      <w:r w:rsidRPr="00BB6388">
        <w:rPr>
          <w:rFonts w:hint="cs"/>
          <w:b/>
          <w:bCs/>
          <w:rtl/>
        </w:rPr>
        <w:t xml:space="preserve">בין </w:t>
      </w:r>
      <w:r w:rsidR="002A015C" w:rsidRPr="00BB6388">
        <w:rPr>
          <w:rFonts w:hint="cs"/>
          <w:b/>
          <w:bCs/>
          <w:rtl/>
        </w:rPr>
        <w:t>2003 ל- 2012 שיעור האשפוזים</w:t>
      </w:r>
      <w:r w:rsidR="00D2655D" w:rsidRPr="00BB6388">
        <w:rPr>
          <w:rFonts w:hint="cs"/>
          <w:b/>
          <w:bCs/>
          <w:rtl/>
        </w:rPr>
        <w:t xml:space="preserve"> ברחבי העולם</w:t>
      </w:r>
      <w:r w:rsidR="002A015C" w:rsidRPr="00BB6388">
        <w:rPr>
          <w:rFonts w:hint="cs"/>
          <w:b/>
          <w:bCs/>
          <w:rtl/>
        </w:rPr>
        <w:t xml:space="preserve"> </w:t>
      </w:r>
      <w:r w:rsidRPr="00BB6388">
        <w:rPr>
          <w:rFonts w:hint="cs"/>
          <w:b/>
          <w:bCs/>
          <w:rtl/>
        </w:rPr>
        <w:t>בגין</w:t>
      </w:r>
      <w:r w:rsidR="00D2655D" w:rsidRPr="00BB6388">
        <w:rPr>
          <w:rFonts w:hint="cs"/>
          <w:b/>
          <w:bCs/>
          <w:rtl/>
        </w:rPr>
        <w:t xml:space="preserve"> שימוש</w:t>
      </w:r>
      <w:r w:rsidRPr="00BB6388">
        <w:rPr>
          <w:rFonts w:hint="cs"/>
          <w:b/>
          <w:bCs/>
          <w:rtl/>
        </w:rPr>
        <w:t xml:space="preserve"> </w:t>
      </w:r>
      <w:r w:rsidR="00D2655D" w:rsidRPr="00BB6388">
        <w:rPr>
          <w:rFonts w:hint="cs"/>
          <w:b/>
          <w:bCs/>
          <w:rtl/>
        </w:rPr>
        <w:t>ב</w:t>
      </w:r>
      <w:r w:rsidRPr="00BB6388">
        <w:rPr>
          <w:rFonts w:hint="cs"/>
          <w:b/>
          <w:bCs/>
          <w:rtl/>
        </w:rPr>
        <w:t>קנביס עלה</w:t>
      </w:r>
      <w:r w:rsidR="002A015C" w:rsidRPr="00BB6388">
        <w:rPr>
          <w:rFonts w:hint="cs"/>
          <w:rtl/>
        </w:rPr>
        <w:t>:</w:t>
      </w:r>
      <w:r w:rsidRPr="00BB6388">
        <w:rPr>
          <w:rFonts w:hint="cs"/>
          <w:rtl/>
        </w:rPr>
        <w:t xml:space="preserve"> במערב ובמרכז אירופה (מ- 19% ל- 25%), במזרח ובדרום-מזרח אירופה (מ- 8% ל- 15%), </w:t>
      </w:r>
      <w:r w:rsidR="0015571B">
        <w:rPr>
          <w:rFonts w:hint="cs"/>
          <w:rtl/>
        </w:rPr>
        <w:t>ב</w:t>
      </w:r>
      <w:r w:rsidRPr="00BB6388">
        <w:rPr>
          <w:rFonts w:hint="cs"/>
          <w:rtl/>
        </w:rPr>
        <w:t>אמריקה הלטינית והקריביים (</w:t>
      </w:r>
      <w:r w:rsidR="004A1F8E" w:rsidRPr="00BB6388">
        <w:rPr>
          <w:rFonts w:hint="cs"/>
          <w:rtl/>
        </w:rPr>
        <w:t>מ- 24% ל- 40%) ובאוקיאניה (מ- 30% ל- 46%).</w:t>
      </w:r>
      <w:r w:rsidR="0093353A">
        <w:rPr>
          <w:rStyle w:val="ab"/>
          <w:rtl/>
        </w:rPr>
        <w:footnoteReference w:id="106"/>
      </w:r>
      <w:r w:rsidR="004A1F8E" w:rsidRPr="00BB6388">
        <w:rPr>
          <w:rFonts w:hint="cs"/>
          <w:rtl/>
        </w:rPr>
        <w:t xml:space="preserve"> </w:t>
      </w:r>
      <w:r w:rsidR="0015571B">
        <w:rPr>
          <w:rFonts w:hint="cs"/>
          <w:rtl/>
        </w:rPr>
        <w:t>עם זאת,</w:t>
      </w:r>
      <w:r w:rsidR="00D2655D" w:rsidRPr="00BB6388">
        <w:rPr>
          <w:rFonts w:hint="cs"/>
          <w:rtl/>
        </w:rPr>
        <w:t xml:space="preserve"> </w:t>
      </w:r>
      <w:r w:rsidR="004A1F8E" w:rsidRPr="00BB6388">
        <w:rPr>
          <w:rFonts w:hint="cs"/>
          <w:b/>
          <w:bCs/>
          <w:rtl/>
        </w:rPr>
        <w:t xml:space="preserve">עיקר הבקשות לטיפול במזרח ודרום מזרח אירופה ובאסיה הן בשל </w:t>
      </w:r>
      <w:r w:rsidR="004A1F8E" w:rsidRPr="00BB6388">
        <w:rPr>
          <w:rFonts w:hint="cs"/>
          <w:b/>
          <w:bCs/>
          <w:u w:val="single"/>
          <w:rtl/>
        </w:rPr>
        <w:t>אופיאדים</w:t>
      </w:r>
      <w:r w:rsidR="004A1F8E" w:rsidRPr="00BB6388">
        <w:rPr>
          <w:rFonts w:hint="cs"/>
          <w:b/>
          <w:bCs/>
          <w:rtl/>
        </w:rPr>
        <w:t xml:space="preserve">; באמריקה הלטינית ובקריביים </w:t>
      </w:r>
      <w:r w:rsidR="007B6F18" w:rsidRPr="00BB6388">
        <w:rPr>
          <w:b/>
          <w:bCs/>
          <w:rtl/>
        </w:rPr>
        <w:t>–</w:t>
      </w:r>
      <w:r w:rsidR="004A1F8E" w:rsidRPr="00BB6388">
        <w:rPr>
          <w:rFonts w:hint="cs"/>
          <w:b/>
          <w:bCs/>
          <w:rtl/>
        </w:rPr>
        <w:t xml:space="preserve"> </w:t>
      </w:r>
      <w:r w:rsidR="004A1F8E" w:rsidRPr="00BB6388">
        <w:rPr>
          <w:rFonts w:hint="cs"/>
          <w:b/>
          <w:bCs/>
          <w:u w:val="single"/>
          <w:rtl/>
        </w:rPr>
        <w:t>קוקאין</w:t>
      </w:r>
      <w:r w:rsidR="007B6F18" w:rsidRPr="00BB6388">
        <w:rPr>
          <w:rFonts w:hint="cs"/>
          <w:b/>
          <w:bCs/>
          <w:rtl/>
        </w:rPr>
        <w:t xml:space="preserve">; </w:t>
      </w:r>
      <w:r w:rsidR="007B6F18" w:rsidRPr="00BB6388">
        <w:rPr>
          <w:rFonts w:hint="cs"/>
          <w:b/>
          <w:bCs/>
          <w:u w:val="single"/>
          <w:rtl/>
        </w:rPr>
        <w:t>סמים ממריצים סינתטיים</w:t>
      </w:r>
      <w:r w:rsidR="007B6F18" w:rsidRPr="00BB6388">
        <w:rPr>
          <w:rFonts w:hint="cs"/>
          <w:b/>
          <w:bCs/>
          <w:rtl/>
        </w:rPr>
        <w:t xml:space="preserve"> אחראים גם הם לשיעור ניכר מהבקשות לטיפול באסיה ובאוקיאניה</w:t>
      </w:r>
      <w:r w:rsidR="007B6F18" w:rsidRPr="00BB6388">
        <w:rPr>
          <w:rFonts w:hint="cs"/>
          <w:rtl/>
        </w:rPr>
        <w:t>.</w:t>
      </w:r>
      <w:r w:rsidR="0093353A">
        <w:rPr>
          <w:rStyle w:val="ab"/>
          <w:rtl/>
        </w:rPr>
        <w:footnoteReference w:id="107"/>
      </w:r>
      <w:r w:rsidR="007B6F18" w:rsidRPr="00BB6388">
        <w:rPr>
          <w:rFonts w:hint="cs"/>
          <w:rtl/>
        </w:rPr>
        <w:t xml:space="preserve"> </w:t>
      </w:r>
    </w:p>
    <w:p w:rsidR="001A7A11" w:rsidRDefault="007B6F18" w:rsidP="0015571B">
      <w:pPr>
        <w:pStyle w:val="a2"/>
        <w:spacing w:line="360" w:lineRule="auto"/>
        <w:rPr>
          <w:rtl/>
        </w:rPr>
      </w:pPr>
      <w:r w:rsidRPr="0015571B">
        <w:rPr>
          <w:rFonts w:hint="cs"/>
          <w:rtl/>
        </w:rPr>
        <w:t xml:space="preserve">הערכת הארגון היא כי </w:t>
      </w:r>
      <w:r w:rsidR="00FB53B1" w:rsidRPr="0015571B">
        <w:rPr>
          <w:rFonts w:hint="cs"/>
          <w:rtl/>
        </w:rPr>
        <w:t xml:space="preserve">מדי שנה </w:t>
      </w:r>
      <w:r w:rsidRPr="0015571B">
        <w:rPr>
          <w:rFonts w:hint="cs"/>
          <w:rtl/>
        </w:rPr>
        <w:t>אחד מכל שישה בעלי בעיית סמים (</w:t>
      </w:r>
      <w:r w:rsidRPr="0015571B">
        <w:t>problem drug users</w:t>
      </w:r>
      <w:r w:rsidRPr="0015571B">
        <w:rPr>
          <w:rFonts w:hint="cs"/>
          <w:rtl/>
        </w:rPr>
        <w:t>)</w:t>
      </w:r>
      <w:r w:rsidR="00703296" w:rsidRPr="0015571B">
        <w:rPr>
          <w:rStyle w:val="ab"/>
          <w:rtl/>
        </w:rPr>
        <w:footnoteReference w:id="108"/>
      </w:r>
      <w:r w:rsidR="00FB53B1" w:rsidRPr="0015571B">
        <w:rPr>
          <w:rFonts w:hint="cs"/>
          <w:rtl/>
        </w:rPr>
        <w:t xml:space="preserve"> פונה בבקשה לטיפול רפואי</w:t>
      </w:r>
      <w:r w:rsidR="00FB53B1" w:rsidRPr="00BB6388">
        <w:rPr>
          <w:rFonts w:hint="cs"/>
          <w:rtl/>
        </w:rPr>
        <w:t>.</w:t>
      </w:r>
      <w:r w:rsidR="00A079CE" w:rsidRPr="00BB6388">
        <w:rPr>
          <w:rStyle w:val="ab"/>
          <w:rtl/>
        </w:rPr>
        <w:footnoteReference w:id="109"/>
      </w:r>
    </w:p>
    <w:p w:rsidR="00B95C12" w:rsidRPr="00BB6388" w:rsidRDefault="00B95C12" w:rsidP="00BB6388">
      <w:pPr>
        <w:pStyle w:val="4"/>
        <w:rPr>
          <w:rtl/>
        </w:rPr>
      </w:pPr>
      <w:r w:rsidRPr="00BB6388">
        <w:rPr>
          <w:rFonts w:hint="cs"/>
          <w:rtl/>
        </w:rPr>
        <w:t>השפעת צריכת אלכוהול</w:t>
      </w:r>
      <w:r w:rsidR="00D2655D" w:rsidRPr="00BB6388">
        <w:rPr>
          <w:rFonts w:hint="cs"/>
          <w:rtl/>
        </w:rPr>
        <w:t xml:space="preserve"> על בריאות</w:t>
      </w:r>
    </w:p>
    <w:p w:rsidR="00165F89" w:rsidRPr="00BB6388" w:rsidRDefault="00165F89" w:rsidP="00BB6388">
      <w:pPr>
        <w:pStyle w:val="a2"/>
        <w:spacing w:line="360" w:lineRule="auto"/>
        <w:rPr>
          <w:rtl/>
        </w:rPr>
      </w:pPr>
      <w:r w:rsidRPr="00BB6388">
        <w:rPr>
          <w:rFonts w:hint="cs"/>
          <w:b/>
          <w:bCs/>
          <w:rtl/>
        </w:rPr>
        <w:t>הערכת ארגון הבריאות העולמי היא כי 5.9%, שהן 3.3 מיליון נפשות, מכלל המיתות בעולם בשנת 2012 היו על רקע של צריכת אלכוהול</w:t>
      </w:r>
      <w:r w:rsidRPr="00BB6388">
        <w:rPr>
          <w:rFonts w:hint="cs"/>
          <w:rtl/>
        </w:rPr>
        <w:t>, מסיבות של מחלה, פציעה או תאונה.</w:t>
      </w:r>
      <w:r w:rsidRPr="00BB6388">
        <w:rPr>
          <w:rStyle w:val="ab"/>
          <w:rtl/>
        </w:rPr>
        <w:footnoteReference w:id="110"/>
      </w:r>
      <w:r w:rsidRPr="00BB6388">
        <w:rPr>
          <w:rFonts w:hint="cs"/>
          <w:rtl/>
        </w:rPr>
        <w:t xml:space="preserve"> </w:t>
      </w:r>
    </w:p>
    <w:p w:rsidR="00165F89" w:rsidRPr="00BB6388" w:rsidRDefault="00165F89" w:rsidP="00CC65D6">
      <w:pPr>
        <w:pStyle w:val="a2"/>
        <w:spacing w:line="360" w:lineRule="auto"/>
        <w:rPr>
          <w:rtl/>
        </w:rPr>
      </w:pPr>
      <w:r w:rsidRPr="00BB6388">
        <w:rPr>
          <w:rFonts w:hint="cs"/>
          <w:rtl/>
        </w:rPr>
        <w:t xml:space="preserve">בחינה אזורית מעלה כי </w:t>
      </w:r>
      <w:r w:rsidRPr="00BB6388">
        <w:rPr>
          <w:rFonts w:hint="cs"/>
          <w:b/>
          <w:bCs/>
          <w:rtl/>
        </w:rPr>
        <w:t xml:space="preserve">אירופה היא הסובלת הגדולה ביותר משיעור מקרי מוות אלו </w:t>
      </w:r>
      <w:r w:rsidRPr="00BB6388">
        <w:rPr>
          <w:b/>
          <w:bCs/>
          <w:rtl/>
        </w:rPr>
        <w:t>–</w:t>
      </w:r>
      <w:r w:rsidRPr="00BB6388">
        <w:rPr>
          <w:rFonts w:hint="cs"/>
          <w:b/>
          <w:bCs/>
          <w:rtl/>
        </w:rPr>
        <w:t xml:space="preserve"> 13.3% מקרב כלל מקרי המוות באירופה ב- 2012 היו על רקע של צריכת אלכוהול</w:t>
      </w:r>
      <w:r w:rsidRPr="00BB6388">
        <w:rPr>
          <w:rFonts w:hint="cs"/>
          <w:rtl/>
        </w:rPr>
        <w:t>.</w:t>
      </w:r>
      <w:r w:rsidRPr="00BB6388">
        <w:rPr>
          <w:rStyle w:val="ab"/>
          <w:rtl/>
        </w:rPr>
        <w:footnoteReference w:id="111"/>
      </w:r>
      <w:r w:rsidRPr="00BB6388">
        <w:rPr>
          <w:rFonts w:hint="cs"/>
          <w:rtl/>
        </w:rPr>
        <w:t xml:space="preserve"> הארגון מציין כי נתונים אלו נובעים בעיקר ממדינות מזרח אירופה, שם גם שיעורי צריכת האלכוהול גבוהים במיוחד, והם גם מאופיינים בדפוסי צריכה המוגדרים כבעלי מסוכנות גבוהה (</w:t>
      </w:r>
      <w:r w:rsidRPr="00BB6388">
        <w:t>high risk</w:t>
      </w:r>
      <w:r w:rsidRPr="00BB6388">
        <w:rPr>
          <w:rFonts w:hint="cs"/>
          <w:rtl/>
        </w:rPr>
        <w:t>).</w:t>
      </w:r>
      <w:r w:rsidRPr="00BB6388">
        <w:rPr>
          <w:rStyle w:val="ab"/>
          <w:rtl/>
        </w:rPr>
        <w:footnoteReference w:id="112"/>
      </w:r>
      <w:r w:rsidRPr="00BB6388">
        <w:rPr>
          <w:rFonts w:hint="cs"/>
          <w:rtl/>
        </w:rPr>
        <w:t xml:space="preserve"> בהשוואה, </w:t>
      </w:r>
      <w:r w:rsidRPr="00BB6388">
        <w:rPr>
          <w:rFonts w:hint="cs"/>
          <w:b/>
          <w:bCs/>
          <w:rtl/>
        </w:rPr>
        <w:t>שעור התמותה הנמוכה ביותר על רקע של צריכת אלכוהול בשנת 2012 היתה באזור מזרח המזרח התיכון (</w:t>
      </w:r>
      <w:r w:rsidRPr="00BB6388">
        <w:rPr>
          <w:b/>
          <w:bCs/>
        </w:rPr>
        <w:t>eastern mediteranean</w:t>
      </w:r>
      <w:r w:rsidRPr="00BB6388">
        <w:rPr>
          <w:rFonts w:hint="cs"/>
          <w:b/>
          <w:bCs/>
          <w:rtl/>
        </w:rPr>
        <w:t>), עם 0.9% בלבד מתוך כלל המיתות באזור זה</w:t>
      </w:r>
      <w:r w:rsidRPr="00BB6388">
        <w:rPr>
          <w:rFonts w:hint="cs"/>
          <w:rtl/>
        </w:rPr>
        <w:t>.</w:t>
      </w:r>
      <w:r w:rsidRPr="00BB6388">
        <w:rPr>
          <w:rStyle w:val="ab"/>
          <w:rtl/>
        </w:rPr>
        <w:footnoteReference w:id="113"/>
      </w:r>
      <w:r w:rsidRPr="00BB6388">
        <w:rPr>
          <w:rFonts w:hint="cs"/>
          <w:rtl/>
        </w:rPr>
        <w:t xml:space="preserve"> הארגון משייך זאת לשיעורים גבוהים של התנזרות מאלכוהול באזור, בעיקר בקרב נשים</w:t>
      </w:r>
      <w:r w:rsidR="00A079CE" w:rsidRPr="00BB6388">
        <w:rPr>
          <w:rFonts w:hint="cs"/>
          <w:rtl/>
        </w:rPr>
        <w:t>.</w:t>
      </w:r>
      <w:r w:rsidRPr="00BB6388">
        <w:rPr>
          <w:rStyle w:val="ab"/>
          <w:rtl/>
        </w:rPr>
        <w:footnoteReference w:id="114"/>
      </w:r>
      <w:r w:rsidRPr="00BB6388">
        <w:rPr>
          <w:rFonts w:hint="cs"/>
          <w:rtl/>
        </w:rPr>
        <w:t xml:space="preserve"> </w:t>
      </w:r>
    </w:p>
    <w:p w:rsidR="00165F89" w:rsidRPr="00BB6388" w:rsidRDefault="00165F89" w:rsidP="00FB6956">
      <w:pPr>
        <w:pStyle w:val="a2"/>
        <w:spacing w:line="360" w:lineRule="auto"/>
        <w:rPr>
          <w:rtl/>
        </w:rPr>
      </w:pPr>
      <w:r w:rsidRPr="00BB6388">
        <w:rPr>
          <w:rFonts w:hint="cs"/>
          <w:rtl/>
        </w:rPr>
        <w:t xml:space="preserve">בחינה מגדרית של נתוני התמותה מעלה כי </w:t>
      </w:r>
      <w:r w:rsidRPr="00BB6388">
        <w:rPr>
          <w:rFonts w:hint="cs"/>
          <w:b/>
          <w:bCs/>
          <w:rtl/>
        </w:rPr>
        <w:t>7.6% מכלל מיתות הגברים בעולם היו על רקע של צריכת אלכוהול, וזאת לעומת 4.0% בקרב נשים</w:t>
      </w:r>
      <w:r w:rsidRPr="00BB6388">
        <w:rPr>
          <w:rFonts w:hint="cs"/>
          <w:rtl/>
        </w:rPr>
        <w:t>.</w:t>
      </w:r>
      <w:r w:rsidR="00FB6956" w:rsidRPr="00BB6388">
        <w:rPr>
          <w:rStyle w:val="ab"/>
          <w:rtl/>
        </w:rPr>
        <w:footnoteReference w:id="115"/>
      </w:r>
      <w:r w:rsidRPr="00BB6388">
        <w:rPr>
          <w:rStyle w:val="ab"/>
          <w:rtl/>
        </w:rPr>
        <w:t xml:space="preserve"> </w:t>
      </w:r>
      <w:r w:rsidRPr="00BB6388">
        <w:rPr>
          <w:rFonts w:hint="cs"/>
          <w:rtl/>
        </w:rPr>
        <w:t xml:space="preserve"> הארגון מציין כי בשנים האחרונות נצפתה מגמת עלייה בצריכת אלכוהול בקרב נשים, וזאת בעקבות התפתחות כלכלית ושינויים בתפקידי מגדר.</w:t>
      </w:r>
      <w:r w:rsidRPr="00BB6388">
        <w:rPr>
          <w:rStyle w:val="ab"/>
          <w:rtl/>
        </w:rPr>
        <w:footnoteReference w:id="116"/>
      </w:r>
      <w:r w:rsidRPr="00BB6388">
        <w:rPr>
          <w:rFonts w:hint="cs"/>
          <w:rtl/>
        </w:rPr>
        <w:t xml:space="preserve"> </w:t>
      </w:r>
    </w:p>
    <w:p w:rsidR="00165F89" w:rsidRPr="00BB6388" w:rsidRDefault="00165F89" w:rsidP="00BB6388">
      <w:pPr>
        <w:pStyle w:val="a2"/>
        <w:spacing w:line="360" w:lineRule="auto"/>
        <w:rPr>
          <w:rtl/>
        </w:rPr>
      </w:pPr>
      <w:r w:rsidRPr="00BB6388">
        <w:rPr>
          <w:rFonts w:hint="cs"/>
          <w:b/>
          <w:bCs/>
          <w:rtl/>
        </w:rPr>
        <w:t>ילדים, מתבגרים וקשישים פגיעים יותר לנזקים כתוצאה מצריכת אלכוהול</w:t>
      </w:r>
      <w:r w:rsidRPr="00BB6388">
        <w:rPr>
          <w:rFonts w:hint="cs"/>
          <w:rtl/>
        </w:rPr>
        <w:t xml:space="preserve"> מאשר קבוצות אחרות באוכלוסיה.</w:t>
      </w:r>
      <w:r w:rsidRPr="00BB6388">
        <w:rPr>
          <w:rStyle w:val="ab"/>
          <w:rtl/>
        </w:rPr>
        <w:footnoteReference w:id="117"/>
      </w:r>
      <w:r w:rsidRPr="00BB6388">
        <w:rPr>
          <w:rFonts w:hint="cs"/>
          <w:rtl/>
        </w:rPr>
        <w:t xml:space="preserve"> שיעור מקרי המוות על רקע של צריכת אלכוהול הוא השכיח ביותר בקרב קבוצת הגיל 40-49.</w:t>
      </w:r>
      <w:r w:rsidRPr="00BB6388">
        <w:rPr>
          <w:rStyle w:val="ab"/>
          <w:rtl/>
        </w:rPr>
        <w:footnoteReference w:id="118"/>
      </w:r>
    </w:p>
    <w:p w:rsidR="00D2748D" w:rsidRPr="00BB6388" w:rsidRDefault="00AA579F" w:rsidP="00D2748D">
      <w:pPr>
        <w:pStyle w:val="3"/>
        <w:rPr>
          <w:rtl/>
        </w:rPr>
      </w:pPr>
      <w:bookmarkStart w:id="96" w:name="_Toc419959701"/>
      <w:bookmarkStart w:id="97" w:name="_Toc419963043"/>
      <w:bookmarkStart w:id="98" w:name="_Toc419963272"/>
      <w:bookmarkStart w:id="99" w:name="_Toc421697040"/>
      <w:r w:rsidRPr="00BB6388">
        <w:rPr>
          <w:rFonts w:hint="cs"/>
          <w:rtl/>
        </w:rPr>
        <w:t xml:space="preserve">השפעות צריכת סמים ואלכוהול על בריאות </w:t>
      </w:r>
      <w:r w:rsidR="00165F89" w:rsidRPr="00BB6388">
        <w:rPr>
          <w:rFonts w:hint="cs"/>
          <w:rtl/>
        </w:rPr>
        <w:t>ב</w:t>
      </w:r>
      <w:r w:rsidR="00A84B70" w:rsidRPr="00BB6388">
        <w:rPr>
          <w:rFonts w:hint="cs"/>
          <w:rtl/>
        </w:rPr>
        <w:t>ישראל</w:t>
      </w:r>
      <w:bookmarkEnd w:id="91"/>
      <w:bookmarkEnd w:id="96"/>
      <w:bookmarkEnd w:id="97"/>
      <w:bookmarkEnd w:id="98"/>
      <w:bookmarkEnd w:id="99"/>
    </w:p>
    <w:p w:rsidR="00A84B70" w:rsidRPr="00BB6388" w:rsidRDefault="00A84B70" w:rsidP="00D2748D">
      <w:pPr>
        <w:pStyle w:val="a2"/>
        <w:rPr>
          <w:rtl/>
        </w:rPr>
      </w:pPr>
      <w:r w:rsidRPr="00BB6388">
        <w:rPr>
          <w:rFonts w:hint="cs"/>
          <w:rtl/>
        </w:rPr>
        <w:t>נתוני משרד הבריאות</w:t>
      </w:r>
      <w:r w:rsidRPr="00BB6388">
        <w:rPr>
          <w:rStyle w:val="ab"/>
          <w:rtl/>
        </w:rPr>
        <w:footnoteReference w:id="119"/>
      </w:r>
      <w:r w:rsidRPr="00BB6388">
        <w:rPr>
          <w:rFonts w:hint="cs"/>
          <w:rtl/>
        </w:rPr>
        <w:t xml:space="preserve"> מצביעים על כך כי </w:t>
      </w:r>
      <w:r w:rsidRPr="008F3DFE">
        <w:rPr>
          <w:rFonts w:hint="cs"/>
          <w:b/>
          <w:bCs/>
          <w:rtl/>
        </w:rPr>
        <w:t>בשנת 2014 אובחנו 1,87</w:t>
      </w:r>
      <w:r w:rsidR="001F2B40" w:rsidRPr="008F3DFE">
        <w:rPr>
          <w:rFonts w:hint="cs"/>
          <w:b/>
          <w:bCs/>
          <w:rtl/>
        </w:rPr>
        <w:t>2</w:t>
      </w:r>
      <w:r w:rsidRPr="008F3DFE">
        <w:rPr>
          <w:rFonts w:hint="cs"/>
          <w:b/>
          <w:bCs/>
          <w:rtl/>
        </w:rPr>
        <w:t xml:space="preserve"> איש במחלקות לרפואה דחופה בבתי-חולים (חדרי מיון) ברחבי הארץ כסובלים מבעיות בריאותיות על-רקע של צריכת </w:t>
      </w:r>
      <w:r w:rsidRPr="008F3DFE">
        <w:rPr>
          <w:rFonts w:hint="eastAsia"/>
          <w:b/>
          <w:bCs/>
          <w:u w:val="single"/>
          <w:rtl/>
        </w:rPr>
        <w:t>סמים</w:t>
      </w:r>
      <w:r w:rsidRPr="008F3DFE">
        <w:rPr>
          <w:rFonts w:hint="cs"/>
          <w:b/>
          <w:bCs/>
          <w:rtl/>
        </w:rPr>
        <w:t xml:space="preserve">, ומתוכם  310, שהם 16.5%, אושפזו. באותה השנה אובחנו באותן המחלקות גם 5,107 נפשות על רקע של בעיות בריאות כתוצאה מצריכת </w:t>
      </w:r>
      <w:r w:rsidRPr="008F3DFE">
        <w:rPr>
          <w:rFonts w:hint="eastAsia"/>
          <w:b/>
          <w:bCs/>
          <w:u w:val="single"/>
          <w:rtl/>
        </w:rPr>
        <w:t>אלכוהול</w:t>
      </w:r>
      <w:r w:rsidRPr="008F3DFE">
        <w:rPr>
          <w:rFonts w:hint="cs"/>
          <w:b/>
          <w:bCs/>
          <w:rtl/>
        </w:rPr>
        <w:t>, מתוכן 548, שהן 10.7%, אושפזו.</w:t>
      </w:r>
      <w:r w:rsidRPr="00D2748D">
        <w:rPr>
          <w:rFonts w:hint="cs"/>
          <w:rtl/>
        </w:rPr>
        <w:t xml:space="preserve"> </w:t>
      </w:r>
      <w:r w:rsidRPr="00BB6388">
        <w:rPr>
          <w:rFonts w:hint="cs"/>
          <w:rtl/>
        </w:rPr>
        <w:t>מספרים אלו אינם כוללים מאובחנים ומאושפזים הסובלים מתחלואה כפולה, דהיינו חולים הסובלים בו-זמנית הן מהתמכרות לחומר פסיכואקטיבי והן ממחלת נפש.</w:t>
      </w:r>
    </w:p>
    <w:p w:rsidR="005F4012" w:rsidRDefault="00A84B70" w:rsidP="00D0208B">
      <w:pPr>
        <w:pStyle w:val="a2"/>
        <w:spacing w:line="360" w:lineRule="auto"/>
        <w:rPr>
          <w:rtl/>
        </w:rPr>
      </w:pPr>
      <w:r w:rsidRPr="00BB6388">
        <w:rPr>
          <w:rFonts w:hint="cs"/>
          <w:rtl/>
        </w:rPr>
        <w:t xml:space="preserve">טבלה מס' </w:t>
      </w:r>
      <w:r w:rsidR="008F3DFE">
        <w:rPr>
          <w:rFonts w:hint="cs"/>
          <w:rtl/>
        </w:rPr>
        <w:t xml:space="preserve">6 </w:t>
      </w:r>
      <w:r w:rsidRPr="00BB6388">
        <w:rPr>
          <w:rFonts w:hint="cs"/>
          <w:rtl/>
        </w:rPr>
        <w:t>מציגה את מספר האנשים שטופלו בחדרי המיון ואלו שאושפזו בעקבות טיפול זה לשנת 2014, וזאת בחלוקה לגיל ותוך הפרדה בין טיפול ואשפוז על רקע של אלכוהול וטיפול ואשפוז על רקע של צריכת סמים.</w:t>
      </w:r>
      <w:r w:rsidRPr="00BB6388">
        <w:t xml:space="preserve"> </w:t>
      </w:r>
    </w:p>
    <w:p w:rsidR="007B5846" w:rsidRDefault="007B5846" w:rsidP="00322CAF">
      <w:pPr>
        <w:pStyle w:val="af2"/>
        <w:jc w:val="center"/>
        <w:rPr>
          <w:sz w:val="24"/>
          <w:szCs w:val="24"/>
          <w:rtl/>
        </w:rPr>
      </w:pPr>
    </w:p>
    <w:p w:rsidR="007B5846" w:rsidRDefault="007B5846" w:rsidP="00322CAF">
      <w:pPr>
        <w:pStyle w:val="af2"/>
        <w:jc w:val="center"/>
        <w:rPr>
          <w:sz w:val="24"/>
          <w:szCs w:val="24"/>
          <w:rtl/>
        </w:rPr>
      </w:pPr>
    </w:p>
    <w:p w:rsidR="00A84B70" w:rsidRDefault="008F3DFE" w:rsidP="00322CAF">
      <w:pPr>
        <w:pStyle w:val="af2"/>
        <w:jc w:val="center"/>
        <w:rPr>
          <w:noProof/>
          <w:sz w:val="24"/>
          <w:szCs w:val="24"/>
          <w:rtl/>
        </w:rPr>
      </w:pPr>
      <w:r w:rsidRPr="008F3DFE">
        <w:rPr>
          <w:sz w:val="24"/>
          <w:szCs w:val="24"/>
          <w:rtl/>
        </w:rPr>
        <w:t xml:space="preserve">טבלה </w:t>
      </w:r>
      <w:r w:rsidR="00F3448E" w:rsidRPr="008F3DFE">
        <w:rPr>
          <w:sz w:val="24"/>
          <w:szCs w:val="24"/>
          <w:rtl/>
        </w:rPr>
        <w:fldChar w:fldCharType="begin"/>
      </w:r>
      <w:r w:rsidRPr="008F3DFE">
        <w:rPr>
          <w:sz w:val="24"/>
          <w:szCs w:val="24"/>
          <w:rtl/>
        </w:rPr>
        <w:instrText xml:space="preserve"> </w:instrText>
      </w:r>
      <w:r w:rsidRPr="008F3DFE">
        <w:rPr>
          <w:sz w:val="24"/>
          <w:szCs w:val="24"/>
        </w:rPr>
        <w:instrText>SEQ</w:instrText>
      </w:r>
      <w:r w:rsidRPr="008F3DFE">
        <w:rPr>
          <w:sz w:val="24"/>
          <w:szCs w:val="24"/>
          <w:rtl/>
        </w:rPr>
        <w:instrText xml:space="preserve"> טבלה \* </w:instrText>
      </w:r>
      <w:r w:rsidRPr="008F3DFE">
        <w:rPr>
          <w:sz w:val="24"/>
          <w:szCs w:val="24"/>
        </w:rPr>
        <w:instrText>ARABIC</w:instrText>
      </w:r>
      <w:r w:rsidRPr="008F3DFE">
        <w:rPr>
          <w:sz w:val="24"/>
          <w:szCs w:val="24"/>
          <w:rtl/>
        </w:rPr>
        <w:instrText xml:space="preserve"> </w:instrText>
      </w:r>
      <w:r w:rsidR="00F3448E" w:rsidRPr="008F3DFE">
        <w:rPr>
          <w:sz w:val="24"/>
          <w:szCs w:val="24"/>
          <w:rtl/>
        </w:rPr>
        <w:fldChar w:fldCharType="separate"/>
      </w:r>
      <w:r w:rsidR="007347AB">
        <w:rPr>
          <w:noProof/>
          <w:sz w:val="24"/>
          <w:szCs w:val="24"/>
          <w:rtl/>
        </w:rPr>
        <w:t>6</w:t>
      </w:r>
      <w:r w:rsidR="00F3448E" w:rsidRPr="008F3DFE">
        <w:rPr>
          <w:sz w:val="24"/>
          <w:szCs w:val="24"/>
          <w:rtl/>
        </w:rPr>
        <w:fldChar w:fldCharType="end"/>
      </w:r>
      <w:r w:rsidRPr="008F3DFE">
        <w:rPr>
          <w:rFonts w:hint="cs"/>
          <w:sz w:val="24"/>
          <w:szCs w:val="24"/>
          <w:rtl/>
        </w:rPr>
        <w:t>:</w:t>
      </w:r>
      <w:r w:rsidR="00322CAF">
        <w:rPr>
          <w:rFonts w:hint="cs"/>
          <w:sz w:val="24"/>
          <w:szCs w:val="24"/>
          <w:rtl/>
        </w:rPr>
        <w:t xml:space="preserve"> </w:t>
      </w:r>
      <w:r w:rsidR="00A84B70" w:rsidRPr="008F3DFE">
        <w:rPr>
          <w:rFonts w:hint="cs"/>
          <w:noProof/>
          <w:sz w:val="24"/>
          <w:szCs w:val="24"/>
          <w:rtl/>
        </w:rPr>
        <w:t>מספר</w:t>
      </w:r>
      <w:r w:rsidR="00A84B70" w:rsidRPr="00BB6388">
        <w:rPr>
          <w:rFonts w:hint="cs"/>
          <w:noProof/>
          <w:sz w:val="24"/>
          <w:szCs w:val="24"/>
          <w:rtl/>
        </w:rPr>
        <w:t xml:space="preserve"> פניות למיון והעברות לאשפוז על רקע של צריכת סמים ואלכוהול לשנת 2014, לפי גיל</w:t>
      </w:r>
      <w:r w:rsidR="00A84B70" w:rsidRPr="00BB6388">
        <w:rPr>
          <w:rStyle w:val="ab"/>
          <w:rtl/>
        </w:rPr>
        <w:footnoteReference w:id="120"/>
      </w:r>
    </w:p>
    <w:tbl>
      <w:tblPr>
        <w:tblStyle w:val="afff5"/>
        <w:bidiVisual/>
        <w:tblW w:w="4269" w:type="pct"/>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2675"/>
        <w:gridCol w:w="1411"/>
        <w:gridCol w:w="1865"/>
        <w:gridCol w:w="1883"/>
      </w:tblGrid>
      <w:tr w:rsidR="00BF50B4" w:rsidRPr="00BF50B4" w:rsidTr="00BF50B4">
        <w:trPr>
          <w:trHeight w:val="300"/>
          <w:tblCellSpacing w:w="20" w:type="dxa"/>
          <w:jc w:val="center"/>
        </w:trPr>
        <w:tc>
          <w:tcPr>
            <w:tcW w:w="1670" w:type="pct"/>
            <w:shd w:val="clear" w:color="auto" w:fill="auto"/>
            <w:noWrap/>
          </w:tcPr>
          <w:p w:rsidR="00BF50B4" w:rsidRPr="00BF50B4" w:rsidRDefault="00BF50B4" w:rsidP="005F4012">
            <w:pPr>
              <w:spacing w:before="60" w:after="0" w:line="240" w:lineRule="auto"/>
              <w:rPr>
                <w:b/>
                <w:bCs/>
                <w:sz w:val="22"/>
                <w:szCs w:val="22"/>
                <w:lang w:eastAsia="en-US"/>
              </w:rPr>
            </w:pPr>
            <w:r w:rsidRPr="00BF50B4">
              <w:rPr>
                <w:rFonts w:hint="cs"/>
                <w:b/>
                <w:bCs/>
                <w:sz w:val="22"/>
                <w:szCs w:val="22"/>
                <w:rtl/>
                <w:lang w:eastAsia="en-US"/>
              </w:rPr>
              <w:t>סוג הטיפול</w:t>
            </w:r>
          </w:p>
        </w:tc>
        <w:tc>
          <w:tcPr>
            <w:tcW w:w="876" w:type="pct"/>
            <w:shd w:val="clear" w:color="auto" w:fill="auto"/>
            <w:noWrap/>
          </w:tcPr>
          <w:p w:rsidR="00BF50B4" w:rsidRPr="00BF50B4" w:rsidRDefault="00BF50B4" w:rsidP="00BF50B4">
            <w:pPr>
              <w:spacing w:before="60" w:after="0" w:line="240" w:lineRule="auto"/>
              <w:jc w:val="center"/>
              <w:rPr>
                <w:b/>
                <w:bCs/>
                <w:sz w:val="22"/>
                <w:szCs w:val="22"/>
                <w:lang w:eastAsia="en-US"/>
              </w:rPr>
            </w:pPr>
            <w:r w:rsidRPr="00BF50B4">
              <w:rPr>
                <w:rFonts w:hint="cs"/>
                <w:b/>
                <w:bCs/>
                <w:sz w:val="22"/>
                <w:szCs w:val="22"/>
                <w:rtl/>
                <w:lang w:eastAsia="en-US"/>
              </w:rPr>
              <w:t>גיל</w:t>
            </w:r>
          </w:p>
        </w:tc>
        <w:tc>
          <w:tcPr>
            <w:tcW w:w="1165" w:type="pct"/>
            <w:shd w:val="clear" w:color="auto" w:fill="auto"/>
            <w:noWrap/>
          </w:tcPr>
          <w:p w:rsidR="00BF50B4" w:rsidRPr="00BF50B4" w:rsidRDefault="00BF50B4" w:rsidP="00BF50B4">
            <w:pPr>
              <w:spacing w:before="60" w:after="0" w:line="240" w:lineRule="auto"/>
              <w:jc w:val="center"/>
              <w:rPr>
                <w:b/>
                <w:bCs/>
                <w:sz w:val="22"/>
                <w:szCs w:val="22"/>
                <w:lang w:eastAsia="en-US"/>
              </w:rPr>
            </w:pPr>
            <w:r w:rsidRPr="00BF50B4">
              <w:rPr>
                <w:rFonts w:hint="cs"/>
                <w:b/>
                <w:bCs/>
                <w:sz w:val="22"/>
                <w:szCs w:val="22"/>
                <w:rtl/>
                <w:lang w:eastAsia="en-US"/>
              </w:rPr>
              <w:t>אלכוהול</w:t>
            </w:r>
          </w:p>
        </w:tc>
        <w:tc>
          <w:tcPr>
            <w:tcW w:w="1164" w:type="pct"/>
            <w:shd w:val="clear" w:color="auto" w:fill="auto"/>
            <w:noWrap/>
          </w:tcPr>
          <w:p w:rsidR="00BF50B4" w:rsidRPr="00BF50B4" w:rsidRDefault="00BF50B4" w:rsidP="00BF50B4">
            <w:pPr>
              <w:spacing w:before="60" w:after="0" w:line="240" w:lineRule="auto"/>
              <w:jc w:val="center"/>
              <w:rPr>
                <w:b/>
                <w:bCs/>
                <w:sz w:val="22"/>
                <w:szCs w:val="22"/>
                <w:lang w:eastAsia="en-US"/>
              </w:rPr>
            </w:pPr>
            <w:r w:rsidRPr="00BF50B4">
              <w:rPr>
                <w:rFonts w:hint="cs"/>
                <w:b/>
                <w:bCs/>
                <w:sz w:val="22"/>
                <w:szCs w:val="22"/>
                <w:rtl/>
                <w:lang w:eastAsia="en-US"/>
              </w:rPr>
              <w:t>סמים</w:t>
            </w:r>
          </w:p>
        </w:tc>
      </w:tr>
      <w:tr w:rsidR="00BF50B4" w:rsidRPr="005F4012" w:rsidTr="00BF50B4">
        <w:trPr>
          <w:trHeight w:val="300"/>
          <w:tblCellSpacing w:w="20" w:type="dxa"/>
          <w:jc w:val="center"/>
        </w:trPr>
        <w:tc>
          <w:tcPr>
            <w:tcW w:w="1670" w:type="pct"/>
            <w:vMerge w:val="restart"/>
            <w:shd w:val="clear" w:color="auto" w:fill="auto"/>
            <w:noWrap/>
            <w:hideMark/>
          </w:tcPr>
          <w:p w:rsidR="00A84B70" w:rsidRPr="00BF50B4" w:rsidRDefault="00A84B70" w:rsidP="005F4012">
            <w:pPr>
              <w:spacing w:before="60" w:after="0" w:line="240" w:lineRule="auto"/>
              <w:rPr>
                <w:b/>
                <w:bCs/>
                <w:sz w:val="22"/>
                <w:szCs w:val="22"/>
                <w:lang w:eastAsia="en-US"/>
              </w:rPr>
            </w:pPr>
          </w:p>
          <w:p w:rsidR="00A84B70" w:rsidRPr="00BF50B4" w:rsidRDefault="00A84B70" w:rsidP="005F4012">
            <w:pPr>
              <w:spacing w:before="60" w:after="0" w:line="240" w:lineRule="auto"/>
              <w:rPr>
                <w:b/>
                <w:bCs/>
                <w:sz w:val="22"/>
                <w:szCs w:val="22"/>
                <w:lang w:eastAsia="en-US"/>
              </w:rPr>
            </w:pPr>
          </w:p>
          <w:p w:rsidR="00A84B70" w:rsidRPr="00BF50B4" w:rsidRDefault="00A84B70" w:rsidP="005F4012">
            <w:pPr>
              <w:spacing w:before="60" w:after="0" w:line="240" w:lineRule="auto"/>
              <w:rPr>
                <w:b/>
                <w:bCs/>
                <w:sz w:val="22"/>
                <w:szCs w:val="22"/>
                <w:lang w:eastAsia="en-US"/>
              </w:rPr>
            </w:pPr>
            <w:r w:rsidRPr="00BF50B4">
              <w:rPr>
                <w:b/>
                <w:bCs/>
                <w:sz w:val="22"/>
                <w:szCs w:val="22"/>
                <w:rtl/>
                <w:lang w:eastAsia="en-US"/>
              </w:rPr>
              <w:t>פניות למיון</w:t>
            </w:r>
          </w:p>
          <w:p w:rsidR="00A84B70" w:rsidRPr="00BF50B4" w:rsidRDefault="00A84B70" w:rsidP="005F4012">
            <w:pPr>
              <w:spacing w:before="60" w:after="0" w:line="240" w:lineRule="auto"/>
              <w:rPr>
                <w:b/>
                <w:bCs/>
                <w:sz w:val="22"/>
                <w:szCs w:val="22"/>
                <w:lang w:eastAsia="en-US"/>
              </w:rPr>
            </w:pPr>
          </w:p>
          <w:p w:rsidR="00A84B70" w:rsidRPr="00BF50B4" w:rsidRDefault="00A84B70" w:rsidP="005F4012">
            <w:pPr>
              <w:spacing w:before="60" w:after="0" w:line="240" w:lineRule="auto"/>
              <w:rPr>
                <w:b/>
                <w:bCs/>
                <w:sz w:val="22"/>
                <w:szCs w:val="22"/>
                <w:lang w:eastAsia="en-US"/>
              </w:rPr>
            </w:pPr>
          </w:p>
          <w:p w:rsidR="00A84B70" w:rsidRPr="00BF50B4" w:rsidRDefault="00A84B70" w:rsidP="005F4012">
            <w:pPr>
              <w:spacing w:before="60" w:after="0" w:line="240" w:lineRule="auto"/>
              <w:rPr>
                <w:b/>
                <w:bCs/>
                <w:sz w:val="22"/>
                <w:szCs w:val="22"/>
                <w:lang w:eastAsia="en-US"/>
              </w:rPr>
            </w:pPr>
          </w:p>
          <w:p w:rsidR="00A84B70" w:rsidRPr="00BF50B4" w:rsidRDefault="00A84B70" w:rsidP="005F4012">
            <w:pPr>
              <w:spacing w:before="60" w:after="0" w:line="240" w:lineRule="auto"/>
              <w:rPr>
                <w:b/>
                <w:bCs/>
                <w:sz w:val="22"/>
                <w:szCs w:val="22"/>
                <w:lang w:eastAsia="en-US"/>
              </w:rPr>
            </w:pPr>
          </w:p>
        </w:tc>
        <w:tc>
          <w:tcPr>
            <w:tcW w:w="876"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0-11</w:t>
            </w:r>
          </w:p>
        </w:tc>
        <w:tc>
          <w:tcPr>
            <w:tcW w:w="1165"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15</w:t>
            </w:r>
          </w:p>
        </w:tc>
        <w:tc>
          <w:tcPr>
            <w:tcW w:w="1164"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39</w:t>
            </w:r>
          </w:p>
        </w:tc>
      </w:tr>
      <w:tr w:rsidR="00BF50B4" w:rsidRPr="005F4012" w:rsidTr="00BF50B4">
        <w:trPr>
          <w:trHeight w:val="300"/>
          <w:tblCellSpacing w:w="20" w:type="dxa"/>
          <w:jc w:val="center"/>
        </w:trPr>
        <w:tc>
          <w:tcPr>
            <w:tcW w:w="1670" w:type="pct"/>
            <w:vMerge/>
            <w:shd w:val="clear" w:color="auto" w:fill="auto"/>
            <w:noWrap/>
            <w:hideMark/>
          </w:tcPr>
          <w:p w:rsidR="00A84B70" w:rsidRPr="00BF50B4" w:rsidRDefault="00A84B70" w:rsidP="005F4012">
            <w:pPr>
              <w:spacing w:before="60" w:after="0" w:line="240" w:lineRule="auto"/>
              <w:rPr>
                <w:b/>
                <w:bCs/>
                <w:sz w:val="22"/>
                <w:szCs w:val="22"/>
                <w:lang w:eastAsia="en-US"/>
              </w:rPr>
            </w:pPr>
          </w:p>
        </w:tc>
        <w:tc>
          <w:tcPr>
            <w:tcW w:w="876"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12-17</w:t>
            </w:r>
          </w:p>
        </w:tc>
        <w:tc>
          <w:tcPr>
            <w:tcW w:w="1165"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714</w:t>
            </w:r>
          </w:p>
        </w:tc>
        <w:tc>
          <w:tcPr>
            <w:tcW w:w="1164"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87</w:t>
            </w:r>
          </w:p>
        </w:tc>
      </w:tr>
      <w:tr w:rsidR="00BF50B4" w:rsidRPr="005F4012" w:rsidTr="00BF50B4">
        <w:trPr>
          <w:trHeight w:val="300"/>
          <w:tblCellSpacing w:w="20" w:type="dxa"/>
          <w:jc w:val="center"/>
        </w:trPr>
        <w:tc>
          <w:tcPr>
            <w:tcW w:w="1670" w:type="pct"/>
            <w:vMerge/>
            <w:shd w:val="clear" w:color="auto" w:fill="auto"/>
            <w:noWrap/>
            <w:hideMark/>
          </w:tcPr>
          <w:p w:rsidR="00A84B70" w:rsidRPr="00BF50B4" w:rsidRDefault="00A84B70" w:rsidP="005F4012">
            <w:pPr>
              <w:spacing w:before="60" w:after="0" w:line="240" w:lineRule="auto"/>
              <w:rPr>
                <w:b/>
                <w:bCs/>
                <w:sz w:val="22"/>
                <w:szCs w:val="22"/>
                <w:lang w:eastAsia="en-US"/>
              </w:rPr>
            </w:pPr>
          </w:p>
        </w:tc>
        <w:tc>
          <w:tcPr>
            <w:tcW w:w="876"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18-21</w:t>
            </w:r>
          </w:p>
        </w:tc>
        <w:tc>
          <w:tcPr>
            <w:tcW w:w="1165"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768</w:t>
            </w:r>
          </w:p>
        </w:tc>
        <w:tc>
          <w:tcPr>
            <w:tcW w:w="1164"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231</w:t>
            </w:r>
          </w:p>
        </w:tc>
      </w:tr>
      <w:tr w:rsidR="00BF50B4" w:rsidRPr="005F4012" w:rsidTr="00BF50B4">
        <w:trPr>
          <w:trHeight w:val="300"/>
          <w:tblCellSpacing w:w="20" w:type="dxa"/>
          <w:jc w:val="center"/>
        </w:trPr>
        <w:tc>
          <w:tcPr>
            <w:tcW w:w="1670" w:type="pct"/>
            <w:vMerge/>
            <w:shd w:val="clear" w:color="auto" w:fill="auto"/>
            <w:noWrap/>
            <w:hideMark/>
          </w:tcPr>
          <w:p w:rsidR="00A84B70" w:rsidRPr="00BF50B4" w:rsidRDefault="00A84B70" w:rsidP="005F4012">
            <w:pPr>
              <w:spacing w:before="60" w:after="0" w:line="240" w:lineRule="auto"/>
              <w:rPr>
                <w:b/>
                <w:bCs/>
                <w:sz w:val="22"/>
                <w:szCs w:val="22"/>
                <w:lang w:eastAsia="en-US"/>
              </w:rPr>
            </w:pPr>
          </w:p>
        </w:tc>
        <w:tc>
          <w:tcPr>
            <w:tcW w:w="876"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22-25</w:t>
            </w:r>
          </w:p>
        </w:tc>
        <w:tc>
          <w:tcPr>
            <w:tcW w:w="1165"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481</w:t>
            </w:r>
          </w:p>
        </w:tc>
        <w:tc>
          <w:tcPr>
            <w:tcW w:w="1164"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215</w:t>
            </w:r>
          </w:p>
        </w:tc>
      </w:tr>
      <w:tr w:rsidR="00BF50B4" w:rsidRPr="005F4012" w:rsidTr="00BF50B4">
        <w:trPr>
          <w:trHeight w:val="300"/>
          <w:tblCellSpacing w:w="20" w:type="dxa"/>
          <w:jc w:val="center"/>
        </w:trPr>
        <w:tc>
          <w:tcPr>
            <w:tcW w:w="1670" w:type="pct"/>
            <w:vMerge/>
            <w:shd w:val="clear" w:color="auto" w:fill="auto"/>
            <w:noWrap/>
            <w:hideMark/>
          </w:tcPr>
          <w:p w:rsidR="00A84B70" w:rsidRPr="00BF50B4" w:rsidRDefault="00A84B70" w:rsidP="005F4012">
            <w:pPr>
              <w:spacing w:before="60" w:after="0" w:line="240" w:lineRule="auto"/>
              <w:rPr>
                <w:b/>
                <w:bCs/>
                <w:sz w:val="22"/>
                <w:szCs w:val="22"/>
                <w:lang w:eastAsia="en-US"/>
              </w:rPr>
            </w:pPr>
          </w:p>
        </w:tc>
        <w:tc>
          <w:tcPr>
            <w:tcW w:w="876"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&gt; 25</w:t>
            </w:r>
          </w:p>
        </w:tc>
        <w:tc>
          <w:tcPr>
            <w:tcW w:w="1165"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2,982</w:t>
            </w:r>
          </w:p>
        </w:tc>
        <w:tc>
          <w:tcPr>
            <w:tcW w:w="1164"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1,288</w:t>
            </w:r>
          </w:p>
        </w:tc>
      </w:tr>
      <w:tr w:rsidR="00BF50B4" w:rsidRPr="005F4012" w:rsidTr="00BF50B4">
        <w:trPr>
          <w:trHeight w:val="300"/>
          <w:tblCellSpacing w:w="20" w:type="dxa"/>
          <w:jc w:val="center"/>
        </w:trPr>
        <w:tc>
          <w:tcPr>
            <w:tcW w:w="1670" w:type="pct"/>
            <w:vMerge/>
            <w:shd w:val="clear" w:color="auto" w:fill="auto"/>
            <w:noWrap/>
            <w:hideMark/>
          </w:tcPr>
          <w:p w:rsidR="00A84B70" w:rsidRPr="00BF50B4" w:rsidRDefault="00A84B70" w:rsidP="005F4012">
            <w:pPr>
              <w:spacing w:before="60" w:after="0" w:line="240" w:lineRule="auto"/>
              <w:rPr>
                <w:b/>
                <w:bCs/>
                <w:sz w:val="22"/>
                <w:szCs w:val="22"/>
                <w:lang w:eastAsia="en-US"/>
              </w:rPr>
            </w:pPr>
          </w:p>
        </w:tc>
        <w:tc>
          <w:tcPr>
            <w:tcW w:w="876"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rtl/>
                <w:lang w:eastAsia="en-US"/>
              </w:rPr>
              <w:t>לא ידוע</w:t>
            </w:r>
          </w:p>
        </w:tc>
        <w:tc>
          <w:tcPr>
            <w:tcW w:w="1165"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147</w:t>
            </w:r>
          </w:p>
        </w:tc>
        <w:tc>
          <w:tcPr>
            <w:tcW w:w="1164"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12</w:t>
            </w:r>
          </w:p>
        </w:tc>
      </w:tr>
      <w:tr w:rsidR="00BF50B4" w:rsidRPr="005F4012" w:rsidTr="00BF50B4">
        <w:trPr>
          <w:trHeight w:val="300"/>
          <w:tblCellSpacing w:w="20" w:type="dxa"/>
          <w:jc w:val="center"/>
        </w:trPr>
        <w:tc>
          <w:tcPr>
            <w:tcW w:w="1670" w:type="pct"/>
            <w:vMerge/>
            <w:shd w:val="clear" w:color="auto" w:fill="auto"/>
            <w:noWrap/>
            <w:hideMark/>
          </w:tcPr>
          <w:p w:rsidR="00A84B70" w:rsidRPr="00BF50B4" w:rsidRDefault="00A84B70" w:rsidP="005F4012">
            <w:pPr>
              <w:spacing w:before="60" w:after="0" w:line="240" w:lineRule="auto"/>
              <w:rPr>
                <w:b/>
                <w:bCs/>
                <w:sz w:val="22"/>
                <w:szCs w:val="22"/>
                <w:lang w:eastAsia="en-US"/>
              </w:rPr>
            </w:pPr>
          </w:p>
        </w:tc>
        <w:tc>
          <w:tcPr>
            <w:tcW w:w="876" w:type="pct"/>
            <w:shd w:val="clear" w:color="auto" w:fill="auto"/>
            <w:noWrap/>
            <w:hideMark/>
          </w:tcPr>
          <w:p w:rsidR="00A84B70" w:rsidRPr="00BF50B4" w:rsidRDefault="00A84B70" w:rsidP="00BF50B4">
            <w:pPr>
              <w:spacing w:before="60" w:after="0" w:line="240" w:lineRule="auto"/>
              <w:jc w:val="center"/>
              <w:rPr>
                <w:b/>
                <w:bCs/>
                <w:sz w:val="22"/>
                <w:szCs w:val="22"/>
                <w:lang w:eastAsia="en-US"/>
              </w:rPr>
            </w:pPr>
            <w:r w:rsidRPr="00BF50B4">
              <w:rPr>
                <w:b/>
                <w:bCs/>
                <w:sz w:val="22"/>
                <w:szCs w:val="22"/>
                <w:rtl/>
                <w:lang w:eastAsia="en-US"/>
              </w:rPr>
              <w:t>סה"כ</w:t>
            </w:r>
          </w:p>
        </w:tc>
        <w:tc>
          <w:tcPr>
            <w:tcW w:w="1165" w:type="pct"/>
            <w:shd w:val="clear" w:color="auto" w:fill="auto"/>
            <w:noWrap/>
            <w:hideMark/>
          </w:tcPr>
          <w:p w:rsidR="00A84B70" w:rsidRPr="00BF50B4" w:rsidRDefault="00A84B70" w:rsidP="00BF50B4">
            <w:pPr>
              <w:spacing w:before="60" w:after="0" w:line="240" w:lineRule="auto"/>
              <w:jc w:val="center"/>
              <w:rPr>
                <w:b/>
                <w:bCs/>
                <w:sz w:val="22"/>
                <w:szCs w:val="22"/>
                <w:lang w:eastAsia="en-US"/>
              </w:rPr>
            </w:pPr>
            <w:r w:rsidRPr="00BF50B4">
              <w:rPr>
                <w:b/>
                <w:bCs/>
                <w:sz w:val="22"/>
                <w:szCs w:val="22"/>
                <w:lang w:eastAsia="en-US"/>
              </w:rPr>
              <w:t>5,107</w:t>
            </w:r>
          </w:p>
        </w:tc>
        <w:tc>
          <w:tcPr>
            <w:tcW w:w="1164" w:type="pct"/>
            <w:shd w:val="clear" w:color="auto" w:fill="auto"/>
            <w:noWrap/>
            <w:hideMark/>
          </w:tcPr>
          <w:p w:rsidR="00A84B70" w:rsidRPr="00BF50B4" w:rsidRDefault="00A84B70" w:rsidP="00BF50B4">
            <w:pPr>
              <w:spacing w:before="60" w:after="0" w:line="240" w:lineRule="auto"/>
              <w:jc w:val="center"/>
              <w:rPr>
                <w:b/>
                <w:bCs/>
                <w:sz w:val="22"/>
                <w:szCs w:val="22"/>
                <w:lang w:eastAsia="en-US"/>
              </w:rPr>
            </w:pPr>
            <w:r w:rsidRPr="00BF50B4">
              <w:rPr>
                <w:b/>
                <w:bCs/>
                <w:sz w:val="22"/>
                <w:szCs w:val="22"/>
                <w:lang w:eastAsia="en-US"/>
              </w:rPr>
              <w:t>1,872</w:t>
            </w:r>
          </w:p>
        </w:tc>
      </w:tr>
      <w:tr w:rsidR="00BF50B4" w:rsidRPr="005F4012" w:rsidTr="00BF50B4">
        <w:trPr>
          <w:trHeight w:val="300"/>
          <w:tblCellSpacing w:w="20" w:type="dxa"/>
          <w:jc w:val="center"/>
        </w:trPr>
        <w:tc>
          <w:tcPr>
            <w:tcW w:w="1670" w:type="pct"/>
            <w:vMerge w:val="restart"/>
            <w:shd w:val="clear" w:color="auto" w:fill="auto"/>
            <w:noWrap/>
            <w:hideMark/>
          </w:tcPr>
          <w:p w:rsidR="00A84B70" w:rsidRPr="00BF50B4" w:rsidRDefault="00A84B70" w:rsidP="005F4012">
            <w:pPr>
              <w:spacing w:before="60" w:after="0" w:line="240" w:lineRule="auto"/>
              <w:rPr>
                <w:b/>
                <w:bCs/>
                <w:sz w:val="22"/>
                <w:szCs w:val="22"/>
                <w:lang w:eastAsia="en-US"/>
              </w:rPr>
            </w:pPr>
          </w:p>
          <w:p w:rsidR="00A84B70" w:rsidRPr="00BF50B4" w:rsidRDefault="00A84B70" w:rsidP="005F4012">
            <w:pPr>
              <w:spacing w:before="60" w:after="0" w:line="240" w:lineRule="auto"/>
              <w:rPr>
                <w:b/>
                <w:bCs/>
                <w:sz w:val="22"/>
                <w:szCs w:val="22"/>
                <w:lang w:eastAsia="en-US"/>
              </w:rPr>
            </w:pPr>
          </w:p>
          <w:p w:rsidR="00A84B70" w:rsidRPr="00BF50B4" w:rsidRDefault="00A84B70" w:rsidP="005F4012">
            <w:pPr>
              <w:spacing w:before="60" w:after="0" w:line="240" w:lineRule="auto"/>
              <w:rPr>
                <w:b/>
                <w:bCs/>
                <w:sz w:val="22"/>
                <w:szCs w:val="22"/>
                <w:lang w:eastAsia="en-US"/>
              </w:rPr>
            </w:pPr>
            <w:r w:rsidRPr="00BF50B4">
              <w:rPr>
                <w:b/>
                <w:bCs/>
                <w:sz w:val="22"/>
                <w:szCs w:val="22"/>
                <w:rtl/>
                <w:lang w:eastAsia="en-US"/>
              </w:rPr>
              <w:t>העברות לאשפוז</w:t>
            </w:r>
          </w:p>
          <w:p w:rsidR="00A84B70" w:rsidRPr="00BF50B4" w:rsidRDefault="00A84B70" w:rsidP="005F4012">
            <w:pPr>
              <w:spacing w:before="60" w:after="0" w:line="240" w:lineRule="auto"/>
              <w:rPr>
                <w:b/>
                <w:bCs/>
                <w:sz w:val="22"/>
                <w:szCs w:val="22"/>
                <w:lang w:eastAsia="en-US"/>
              </w:rPr>
            </w:pPr>
          </w:p>
          <w:p w:rsidR="00A84B70" w:rsidRPr="00BF50B4" w:rsidRDefault="00A84B70" w:rsidP="005F4012">
            <w:pPr>
              <w:spacing w:before="60" w:after="0" w:line="240" w:lineRule="auto"/>
              <w:rPr>
                <w:b/>
                <w:bCs/>
                <w:sz w:val="22"/>
                <w:szCs w:val="22"/>
                <w:lang w:eastAsia="en-US"/>
              </w:rPr>
            </w:pPr>
          </w:p>
          <w:p w:rsidR="00A84B70" w:rsidRPr="00BF50B4" w:rsidRDefault="00A84B70" w:rsidP="005F4012">
            <w:pPr>
              <w:spacing w:before="60" w:after="0" w:line="240" w:lineRule="auto"/>
              <w:rPr>
                <w:b/>
                <w:bCs/>
                <w:sz w:val="22"/>
                <w:szCs w:val="22"/>
                <w:lang w:eastAsia="en-US"/>
              </w:rPr>
            </w:pPr>
          </w:p>
        </w:tc>
        <w:tc>
          <w:tcPr>
            <w:tcW w:w="876"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0-11</w:t>
            </w:r>
          </w:p>
        </w:tc>
        <w:tc>
          <w:tcPr>
            <w:tcW w:w="1165"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4</w:t>
            </w:r>
          </w:p>
        </w:tc>
        <w:tc>
          <w:tcPr>
            <w:tcW w:w="1164"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10</w:t>
            </w:r>
          </w:p>
        </w:tc>
      </w:tr>
      <w:tr w:rsidR="00BF50B4" w:rsidRPr="005F4012" w:rsidTr="00BF50B4">
        <w:trPr>
          <w:trHeight w:val="300"/>
          <w:tblCellSpacing w:w="20" w:type="dxa"/>
          <w:jc w:val="center"/>
        </w:trPr>
        <w:tc>
          <w:tcPr>
            <w:tcW w:w="1670" w:type="pct"/>
            <w:vMerge/>
            <w:shd w:val="clear" w:color="auto" w:fill="auto"/>
            <w:noWrap/>
            <w:hideMark/>
          </w:tcPr>
          <w:p w:rsidR="00A84B70" w:rsidRPr="005F4012" w:rsidRDefault="00A84B70" w:rsidP="005F4012">
            <w:pPr>
              <w:spacing w:before="60" w:after="0" w:line="240" w:lineRule="auto"/>
              <w:rPr>
                <w:sz w:val="22"/>
                <w:szCs w:val="22"/>
                <w:lang w:eastAsia="en-US"/>
              </w:rPr>
            </w:pPr>
          </w:p>
        </w:tc>
        <w:tc>
          <w:tcPr>
            <w:tcW w:w="876"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12-17</w:t>
            </w:r>
          </w:p>
        </w:tc>
        <w:tc>
          <w:tcPr>
            <w:tcW w:w="1165"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162</w:t>
            </w:r>
          </w:p>
        </w:tc>
        <w:tc>
          <w:tcPr>
            <w:tcW w:w="1164"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37</w:t>
            </w:r>
          </w:p>
        </w:tc>
      </w:tr>
      <w:tr w:rsidR="00BF50B4" w:rsidRPr="005F4012" w:rsidTr="00BF50B4">
        <w:trPr>
          <w:trHeight w:val="300"/>
          <w:tblCellSpacing w:w="20" w:type="dxa"/>
          <w:jc w:val="center"/>
        </w:trPr>
        <w:tc>
          <w:tcPr>
            <w:tcW w:w="1670" w:type="pct"/>
            <w:vMerge/>
            <w:shd w:val="clear" w:color="auto" w:fill="auto"/>
            <w:noWrap/>
            <w:hideMark/>
          </w:tcPr>
          <w:p w:rsidR="00A84B70" w:rsidRPr="005F4012" w:rsidRDefault="00A84B70" w:rsidP="005F4012">
            <w:pPr>
              <w:spacing w:before="60" w:after="0" w:line="240" w:lineRule="auto"/>
              <w:rPr>
                <w:sz w:val="22"/>
                <w:szCs w:val="22"/>
                <w:lang w:eastAsia="en-US"/>
              </w:rPr>
            </w:pPr>
          </w:p>
        </w:tc>
        <w:tc>
          <w:tcPr>
            <w:tcW w:w="876"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18-21</w:t>
            </w:r>
          </w:p>
        </w:tc>
        <w:tc>
          <w:tcPr>
            <w:tcW w:w="1165"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20</w:t>
            </w:r>
          </w:p>
        </w:tc>
        <w:tc>
          <w:tcPr>
            <w:tcW w:w="1164"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26</w:t>
            </w:r>
          </w:p>
        </w:tc>
      </w:tr>
      <w:tr w:rsidR="00BF50B4" w:rsidRPr="005F4012" w:rsidTr="00BF50B4">
        <w:trPr>
          <w:trHeight w:val="300"/>
          <w:tblCellSpacing w:w="20" w:type="dxa"/>
          <w:jc w:val="center"/>
        </w:trPr>
        <w:tc>
          <w:tcPr>
            <w:tcW w:w="1670" w:type="pct"/>
            <w:vMerge/>
            <w:shd w:val="clear" w:color="auto" w:fill="auto"/>
            <w:noWrap/>
            <w:hideMark/>
          </w:tcPr>
          <w:p w:rsidR="00A84B70" w:rsidRPr="005F4012" w:rsidRDefault="00A84B70" w:rsidP="005F4012">
            <w:pPr>
              <w:spacing w:before="60" w:after="0" w:line="240" w:lineRule="auto"/>
              <w:rPr>
                <w:sz w:val="22"/>
                <w:szCs w:val="22"/>
                <w:lang w:eastAsia="en-US"/>
              </w:rPr>
            </w:pPr>
          </w:p>
        </w:tc>
        <w:tc>
          <w:tcPr>
            <w:tcW w:w="876"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22-25</w:t>
            </w:r>
          </w:p>
        </w:tc>
        <w:tc>
          <w:tcPr>
            <w:tcW w:w="1165"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16</w:t>
            </w:r>
          </w:p>
        </w:tc>
        <w:tc>
          <w:tcPr>
            <w:tcW w:w="1164"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30</w:t>
            </w:r>
          </w:p>
        </w:tc>
      </w:tr>
      <w:tr w:rsidR="00BF50B4" w:rsidRPr="005F4012" w:rsidTr="00BF50B4">
        <w:trPr>
          <w:trHeight w:val="300"/>
          <w:tblCellSpacing w:w="20" w:type="dxa"/>
          <w:jc w:val="center"/>
        </w:trPr>
        <w:tc>
          <w:tcPr>
            <w:tcW w:w="1670" w:type="pct"/>
            <w:vMerge/>
            <w:shd w:val="clear" w:color="auto" w:fill="auto"/>
            <w:noWrap/>
            <w:hideMark/>
          </w:tcPr>
          <w:p w:rsidR="00A84B70" w:rsidRPr="005F4012" w:rsidRDefault="00A84B70" w:rsidP="005F4012">
            <w:pPr>
              <w:spacing w:before="60" w:after="0" w:line="240" w:lineRule="auto"/>
              <w:rPr>
                <w:sz w:val="22"/>
                <w:szCs w:val="22"/>
                <w:lang w:eastAsia="en-US"/>
              </w:rPr>
            </w:pPr>
          </w:p>
        </w:tc>
        <w:tc>
          <w:tcPr>
            <w:tcW w:w="876"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&gt; 25</w:t>
            </w:r>
          </w:p>
        </w:tc>
        <w:tc>
          <w:tcPr>
            <w:tcW w:w="1165"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341</w:t>
            </w:r>
          </w:p>
        </w:tc>
        <w:tc>
          <w:tcPr>
            <w:tcW w:w="1164"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207</w:t>
            </w:r>
          </w:p>
        </w:tc>
      </w:tr>
      <w:tr w:rsidR="00BF50B4" w:rsidRPr="005F4012" w:rsidTr="00BF50B4">
        <w:trPr>
          <w:trHeight w:val="300"/>
          <w:tblCellSpacing w:w="20" w:type="dxa"/>
          <w:jc w:val="center"/>
        </w:trPr>
        <w:tc>
          <w:tcPr>
            <w:tcW w:w="1670" w:type="pct"/>
            <w:vMerge/>
            <w:shd w:val="clear" w:color="auto" w:fill="auto"/>
            <w:noWrap/>
            <w:hideMark/>
          </w:tcPr>
          <w:p w:rsidR="00A84B70" w:rsidRPr="005F4012" w:rsidRDefault="00A84B70" w:rsidP="005F4012">
            <w:pPr>
              <w:spacing w:before="60" w:after="0" w:line="240" w:lineRule="auto"/>
              <w:rPr>
                <w:sz w:val="22"/>
                <w:szCs w:val="22"/>
                <w:lang w:eastAsia="en-US"/>
              </w:rPr>
            </w:pPr>
          </w:p>
        </w:tc>
        <w:tc>
          <w:tcPr>
            <w:tcW w:w="876"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rtl/>
                <w:lang w:eastAsia="en-US"/>
              </w:rPr>
              <w:t>לא ידוע</w:t>
            </w:r>
          </w:p>
        </w:tc>
        <w:tc>
          <w:tcPr>
            <w:tcW w:w="1165"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5</w:t>
            </w:r>
          </w:p>
        </w:tc>
        <w:tc>
          <w:tcPr>
            <w:tcW w:w="1164" w:type="pct"/>
            <w:shd w:val="clear" w:color="auto" w:fill="auto"/>
            <w:noWrap/>
            <w:hideMark/>
          </w:tcPr>
          <w:p w:rsidR="00A84B70" w:rsidRPr="005F4012" w:rsidRDefault="00A84B70" w:rsidP="00BF50B4">
            <w:pPr>
              <w:spacing w:before="60" w:after="0" w:line="240" w:lineRule="auto"/>
              <w:jc w:val="center"/>
              <w:rPr>
                <w:sz w:val="22"/>
                <w:szCs w:val="22"/>
                <w:lang w:eastAsia="en-US"/>
              </w:rPr>
            </w:pPr>
            <w:r w:rsidRPr="005F4012">
              <w:rPr>
                <w:sz w:val="22"/>
                <w:szCs w:val="22"/>
                <w:lang w:eastAsia="en-US"/>
              </w:rPr>
              <w:t>0</w:t>
            </w:r>
          </w:p>
        </w:tc>
      </w:tr>
      <w:tr w:rsidR="00BF50B4" w:rsidRPr="005F4012" w:rsidTr="00BF50B4">
        <w:trPr>
          <w:trHeight w:val="300"/>
          <w:tblCellSpacing w:w="20" w:type="dxa"/>
          <w:jc w:val="center"/>
        </w:trPr>
        <w:tc>
          <w:tcPr>
            <w:tcW w:w="1670" w:type="pct"/>
            <w:vMerge/>
            <w:shd w:val="clear" w:color="auto" w:fill="auto"/>
            <w:noWrap/>
            <w:hideMark/>
          </w:tcPr>
          <w:p w:rsidR="00A84B70" w:rsidRPr="005F4012" w:rsidRDefault="00A84B70" w:rsidP="005F4012">
            <w:pPr>
              <w:spacing w:before="60" w:after="0" w:line="240" w:lineRule="auto"/>
              <w:rPr>
                <w:sz w:val="22"/>
                <w:szCs w:val="22"/>
                <w:lang w:eastAsia="en-US"/>
              </w:rPr>
            </w:pPr>
          </w:p>
        </w:tc>
        <w:tc>
          <w:tcPr>
            <w:tcW w:w="876" w:type="pct"/>
            <w:shd w:val="clear" w:color="auto" w:fill="auto"/>
            <w:noWrap/>
            <w:hideMark/>
          </w:tcPr>
          <w:p w:rsidR="00A84B70" w:rsidRPr="00BF50B4" w:rsidRDefault="00A84B70" w:rsidP="00BF50B4">
            <w:pPr>
              <w:spacing w:before="60" w:after="0" w:line="240" w:lineRule="auto"/>
              <w:jc w:val="center"/>
              <w:rPr>
                <w:b/>
                <w:bCs/>
                <w:sz w:val="22"/>
                <w:szCs w:val="22"/>
                <w:lang w:eastAsia="en-US"/>
              </w:rPr>
            </w:pPr>
            <w:r w:rsidRPr="00BF50B4">
              <w:rPr>
                <w:b/>
                <w:bCs/>
                <w:sz w:val="22"/>
                <w:szCs w:val="22"/>
                <w:rtl/>
                <w:lang w:eastAsia="en-US"/>
              </w:rPr>
              <w:t>סה"כ</w:t>
            </w:r>
          </w:p>
        </w:tc>
        <w:tc>
          <w:tcPr>
            <w:tcW w:w="1165" w:type="pct"/>
            <w:shd w:val="clear" w:color="auto" w:fill="auto"/>
            <w:noWrap/>
            <w:hideMark/>
          </w:tcPr>
          <w:p w:rsidR="00A84B70" w:rsidRPr="00BF50B4" w:rsidRDefault="00A84B70" w:rsidP="00BF50B4">
            <w:pPr>
              <w:spacing w:before="60" w:after="0" w:line="240" w:lineRule="auto"/>
              <w:jc w:val="center"/>
              <w:rPr>
                <w:b/>
                <w:bCs/>
                <w:sz w:val="22"/>
                <w:szCs w:val="22"/>
                <w:lang w:eastAsia="en-US"/>
              </w:rPr>
            </w:pPr>
            <w:r w:rsidRPr="00BF50B4">
              <w:rPr>
                <w:b/>
                <w:bCs/>
                <w:sz w:val="22"/>
                <w:szCs w:val="22"/>
                <w:lang w:eastAsia="en-US"/>
              </w:rPr>
              <w:t>548</w:t>
            </w:r>
          </w:p>
        </w:tc>
        <w:tc>
          <w:tcPr>
            <w:tcW w:w="1164" w:type="pct"/>
            <w:shd w:val="clear" w:color="auto" w:fill="auto"/>
            <w:noWrap/>
            <w:hideMark/>
          </w:tcPr>
          <w:p w:rsidR="00A84B70" w:rsidRPr="00BF50B4" w:rsidRDefault="00A84B70" w:rsidP="00BF50B4">
            <w:pPr>
              <w:spacing w:before="60" w:after="0" w:line="240" w:lineRule="auto"/>
              <w:jc w:val="center"/>
              <w:rPr>
                <w:b/>
                <w:bCs/>
                <w:sz w:val="22"/>
                <w:szCs w:val="22"/>
                <w:lang w:eastAsia="en-US"/>
              </w:rPr>
            </w:pPr>
            <w:r w:rsidRPr="00BF50B4">
              <w:rPr>
                <w:b/>
                <w:bCs/>
                <w:sz w:val="22"/>
                <w:szCs w:val="22"/>
                <w:lang w:eastAsia="en-US"/>
              </w:rPr>
              <w:t>310</w:t>
            </w:r>
          </w:p>
        </w:tc>
      </w:tr>
    </w:tbl>
    <w:p w:rsidR="00A84B70" w:rsidRPr="00BB6388" w:rsidRDefault="00A84B70" w:rsidP="00BB6388">
      <w:pPr>
        <w:pStyle w:val="a2"/>
        <w:spacing w:line="360" w:lineRule="auto"/>
        <w:rPr>
          <w:rtl/>
        </w:rPr>
      </w:pPr>
      <w:r w:rsidRPr="00BB6388">
        <w:rPr>
          <w:rFonts w:hint="cs"/>
          <w:rtl/>
        </w:rPr>
        <w:t>מספר דברים עולים מנתונים אלו:</w:t>
      </w:r>
    </w:p>
    <w:p w:rsidR="00A84B70" w:rsidRPr="00BB6388" w:rsidRDefault="00A84B70" w:rsidP="00DC2DB0">
      <w:pPr>
        <w:pStyle w:val="a2"/>
        <w:numPr>
          <w:ilvl w:val="0"/>
          <w:numId w:val="18"/>
        </w:numPr>
        <w:spacing w:line="360" w:lineRule="auto"/>
      </w:pPr>
      <w:r w:rsidRPr="00BB6388">
        <w:rPr>
          <w:rFonts w:hint="cs"/>
          <w:b/>
          <w:bCs/>
          <w:rtl/>
        </w:rPr>
        <w:t>סך הפניות למיון על רקע של צריכת אלכוהול גבוה יותר מסך הפניות למיון על רקע של צריכת סמים</w:t>
      </w:r>
      <w:r w:rsidRPr="00BB6388">
        <w:rPr>
          <w:rFonts w:hint="cs"/>
          <w:rtl/>
        </w:rPr>
        <w:t xml:space="preserve"> (5,107 לעומת 1,872, בהתאמה).</w:t>
      </w:r>
    </w:p>
    <w:p w:rsidR="00A84B70" w:rsidRPr="00BB6388" w:rsidRDefault="00A84B70" w:rsidP="00DC2DB0">
      <w:pPr>
        <w:pStyle w:val="a2"/>
        <w:numPr>
          <w:ilvl w:val="0"/>
          <w:numId w:val="18"/>
        </w:numPr>
        <w:spacing w:line="360" w:lineRule="auto"/>
      </w:pPr>
      <w:r w:rsidRPr="00BB6388">
        <w:rPr>
          <w:rFonts w:hint="cs"/>
          <w:rtl/>
        </w:rPr>
        <w:t xml:space="preserve">גם </w:t>
      </w:r>
      <w:r w:rsidRPr="00BB6388">
        <w:rPr>
          <w:rFonts w:hint="cs"/>
          <w:b/>
          <w:bCs/>
          <w:rtl/>
        </w:rPr>
        <w:t>סך ההעברות לאשפוז על רקע של צריכת אלכוהול היה גבוה יותר ממספר ההעברות לאשפוז על רקע של צריכת סמים</w:t>
      </w:r>
      <w:r w:rsidRPr="00BB6388">
        <w:rPr>
          <w:rFonts w:hint="cs"/>
          <w:rtl/>
        </w:rPr>
        <w:t xml:space="preserve"> (548 לעומת 310, בהתאמה).</w:t>
      </w:r>
    </w:p>
    <w:p w:rsidR="00541C5C" w:rsidRPr="00541C5C" w:rsidRDefault="00541C5C" w:rsidP="00DC2DB0">
      <w:pPr>
        <w:pStyle w:val="a2"/>
        <w:numPr>
          <w:ilvl w:val="0"/>
          <w:numId w:val="18"/>
        </w:numPr>
        <w:spacing w:line="360" w:lineRule="auto"/>
      </w:pPr>
      <w:r w:rsidRPr="00BB6388">
        <w:rPr>
          <w:rFonts w:hint="cs"/>
          <w:rtl/>
        </w:rPr>
        <w:t xml:space="preserve">בדיקה של שכיחות ההעברות לאשפוז מתוך הפניות למיון, מעלה כי במקרים שהיו על רקע של צריכת אלכוהול, 10.7% מבין הפונים למיון אושפזו, וכי במקרים על </w:t>
      </w:r>
      <w:r>
        <w:rPr>
          <w:rFonts w:hint="cs"/>
          <w:rtl/>
        </w:rPr>
        <w:t>רקע של צריכת סמים, אושפזו 16.6%</w:t>
      </w:r>
      <w:r w:rsidR="00BB7C15">
        <w:rPr>
          <w:rFonts w:hint="cs"/>
          <w:rtl/>
        </w:rPr>
        <w:t>.</w:t>
      </w:r>
      <w:r>
        <w:rPr>
          <w:rFonts w:hint="cs"/>
          <w:rtl/>
        </w:rPr>
        <w:t xml:space="preserve"> מכאן</w:t>
      </w:r>
      <w:r w:rsidR="00BB7C15">
        <w:rPr>
          <w:rFonts w:hint="cs"/>
          <w:rtl/>
        </w:rPr>
        <w:t>,</w:t>
      </w:r>
      <w:r>
        <w:rPr>
          <w:rFonts w:hint="cs"/>
          <w:rtl/>
        </w:rPr>
        <w:t xml:space="preserve"> </w:t>
      </w:r>
      <w:r w:rsidRPr="00541C5C">
        <w:rPr>
          <w:rFonts w:hint="cs"/>
          <w:b/>
          <w:bCs/>
          <w:rtl/>
        </w:rPr>
        <w:t>שאשפוז בשל פניה למיון על רקע של צריכת סמים שכיח יותר מאשפוז בשל פניה על רקע של צריכת אלכוהול</w:t>
      </w:r>
      <w:r>
        <w:rPr>
          <w:rFonts w:hint="cs"/>
          <w:rtl/>
        </w:rPr>
        <w:t>.</w:t>
      </w:r>
    </w:p>
    <w:p w:rsidR="004D33D1" w:rsidRPr="007B5846" w:rsidRDefault="00A84B70" w:rsidP="007B5846">
      <w:pPr>
        <w:pStyle w:val="a2"/>
        <w:numPr>
          <w:ilvl w:val="0"/>
          <w:numId w:val="18"/>
        </w:numPr>
        <w:spacing w:line="360" w:lineRule="auto"/>
      </w:pPr>
      <w:r w:rsidRPr="007B5846">
        <w:rPr>
          <w:rFonts w:hint="cs"/>
          <w:rtl/>
        </w:rPr>
        <w:t xml:space="preserve">מבין קבוצות הגיל שהן מתחת לגיל 25,  היו </w:t>
      </w:r>
      <w:r w:rsidRPr="007B5846">
        <w:rPr>
          <w:rFonts w:hint="cs"/>
          <w:b/>
          <w:bCs/>
          <w:rtl/>
        </w:rPr>
        <w:t xml:space="preserve">גילאי </w:t>
      </w:r>
      <w:r w:rsidR="00AB7D12" w:rsidRPr="007B5846">
        <w:rPr>
          <w:rFonts w:hint="cs"/>
          <w:b/>
          <w:bCs/>
          <w:rtl/>
        </w:rPr>
        <w:t>21-18</w:t>
      </w:r>
      <w:r w:rsidRPr="007B5846">
        <w:rPr>
          <w:rFonts w:hint="cs"/>
          <w:b/>
          <w:bCs/>
          <w:rtl/>
        </w:rPr>
        <w:t xml:space="preserve"> הגילאים השכיחים ביותר בפניה למיון לטיפול</w:t>
      </w:r>
      <w:r w:rsidRPr="007B5846">
        <w:rPr>
          <w:rFonts w:hint="cs"/>
          <w:rtl/>
        </w:rPr>
        <w:t xml:space="preserve"> הן על רקע של צריכת אלכוהול והן על רקע של צריכת סמים</w:t>
      </w:r>
      <w:r w:rsidRPr="00BB6388">
        <w:rPr>
          <w:rFonts w:hint="cs"/>
          <w:rtl/>
        </w:rPr>
        <w:t xml:space="preserve"> (768 פניות ו- 231 פניות, בהתאמה). לעומת זאת, </w:t>
      </w:r>
      <w:r w:rsidRPr="007B5846">
        <w:rPr>
          <w:rFonts w:hint="cs"/>
          <w:b/>
          <w:bCs/>
          <w:rtl/>
        </w:rPr>
        <w:t xml:space="preserve">בחינה של העברות לאשפוז מעלה כי במקרים אלו קבוצת הגיל השכיחה היא קבוצת בני ה- </w:t>
      </w:r>
      <w:r w:rsidR="00B765D7" w:rsidRPr="007B5846">
        <w:rPr>
          <w:rFonts w:hint="cs"/>
          <w:b/>
          <w:bCs/>
          <w:rtl/>
        </w:rPr>
        <w:t>17-12</w:t>
      </w:r>
      <w:r w:rsidRPr="007B5846">
        <w:rPr>
          <w:rFonts w:hint="cs"/>
          <w:rtl/>
        </w:rPr>
        <w:t>, הן על רקע של צריכת אלכוהול והן על רקע של צריכת סמים</w:t>
      </w:r>
      <w:r w:rsidRPr="00BB6388">
        <w:rPr>
          <w:rFonts w:hint="cs"/>
          <w:rtl/>
        </w:rPr>
        <w:t xml:space="preserve"> (162 פניות ו- 37 פניות, בהתאמה).</w:t>
      </w:r>
      <w:bookmarkStart w:id="100" w:name="_Toc421697041"/>
      <w:bookmarkStart w:id="101" w:name="_Toc418585099"/>
      <w:bookmarkStart w:id="102" w:name="_Toc419054671"/>
      <w:bookmarkStart w:id="103" w:name="_Toc419358778"/>
      <w:bookmarkStart w:id="104" w:name="_Toc419358780"/>
      <w:bookmarkStart w:id="105" w:name="_Toc419358767"/>
      <w:bookmarkStart w:id="106" w:name="_Toc419358757"/>
      <w:bookmarkStart w:id="107" w:name="_Toc419959718"/>
      <w:bookmarkStart w:id="108" w:name="_Toc419963069"/>
      <w:bookmarkStart w:id="109" w:name="_Toc419963289"/>
      <w:r w:rsidR="004D33D1">
        <w:rPr>
          <w:rtl/>
        </w:rPr>
        <w:br w:type="page"/>
      </w:r>
    </w:p>
    <w:p w:rsidR="0006162A" w:rsidRPr="00BB6388" w:rsidRDefault="00001232" w:rsidP="00D0208B">
      <w:pPr>
        <w:pStyle w:val="10"/>
        <w:rPr>
          <w:rtl/>
        </w:rPr>
      </w:pPr>
      <w:r w:rsidRPr="00BB6388">
        <w:rPr>
          <w:rFonts w:hint="cs"/>
          <w:rtl/>
        </w:rPr>
        <w:t xml:space="preserve">חקיקה בישראל בתחום </w:t>
      </w:r>
      <w:r w:rsidR="00F17BA7">
        <w:rPr>
          <w:rFonts w:hint="cs"/>
          <w:rtl/>
        </w:rPr>
        <w:t>הסמים והאלכוהול</w:t>
      </w:r>
      <w:bookmarkEnd w:id="100"/>
      <w:r w:rsidRPr="00BB6388">
        <w:rPr>
          <w:rFonts w:hint="cs"/>
          <w:rtl/>
        </w:rPr>
        <w:t xml:space="preserve"> </w:t>
      </w:r>
    </w:p>
    <w:p w:rsidR="00001232" w:rsidRPr="00BB6388" w:rsidRDefault="00001232" w:rsidP="00F05979">
      <w:pPr>
        <w:pStyle w:val="a2"/>
        <w:rPr>
          <w:rtl/>
        </w:rPr>
      </w:pPr>
      <w:r w:rsidRPr="00BB6388">
        <w:rPr>
          <w:rFonts w:hint="cs"/>
          <w:rtl/>
        </w:rPr>
        <w:t xml:space="preserve">החלק הנוכחי במסמך סוקר מספר סעיפים מרכזיים בחקיקה בתחום בישראל, תוך דגש על שינויים שנעשו לאחרונה. הוא נחלק לארבעה חלקים: חקיקה בדבר הקמתם של גופים בתחום, חקיקה המיועדת אך ורק לתחום הסמים, חקיקה המיועדת אך ורק לתחום האלכוהול, וחקיקה המהווה שינויים בחוקים אחרים </w:t>
      </w:r>
      <w:r w:rsidRPr="00BB6388">
        <w:rPr>
          <w:rtl/>
        </w:rPr>
        <w:t>–</w:t>
      </w:r>
      <w:r w:rsidRPr="00BB6388">
        <w:rPr>
          <w:rFonts w:hint="cs"/>
          <w:rtl/>
        </w:rPr>
        <w:t xml:space="preserve"> כגון חוק העונשין או פקודת התעבורה </w:t>
      </w:r>
      <w:r w:rsidRPr="00BB6388">
        <w:rPr>
          <w:rtl/>
        </w:rPr>
        <w:t>–</w:t>
      </w:r>
      <w:r w:rsidRPr="00BB6388">
        <w:rPr>
          <w:rFonts w:hint="cs"/>
          <w:rtl/>
        </w:rPr>
        <w:t xml:space="preserve"> המתייחסים לנושא הסמים והאלכוהול. </w:t>
      </w:r>
      <w:r w:rsidRPr="00BB6388">
        <w:rPr>
          <w:rFonts w:hint="eastAsia"/>
          <w:rtl/>
        </w:rPr>
        <w:t>פעילותם</w:t>
      </w:r>
      <w:r w:rsidRPr="00BB6388">
        <w:rPr>
          <w:rtl/>
        </w:rPr>
        <w:t xml:space="preserve"> </w:t>
      </w:r>
      <w:r w:rsidRPr="00BB6388">
        <w:rPr>
          <w:rFonts w:hint="eastAsia"/>
          <w:rtl/>
        </w:rPr>
        <w:t>של</w:t>
      </w:r>
      <w:r w:rsidRPr="00BB6388">
        <w:rPr>
          <w:rtl/>
        </w:rPr>
        <w:t xml:space="preserve"> </w:t>
      </w:r>
      <w:r w:rsidRPr="00BB6388">
        <w:rPr>
          <w:rFonts w:hint="eastAsia"/>
          <w:rtl/>
        </w:rPr>
        <w:t>הגופים</w:t>
      </w:r>
      <w:r w:rsidRPr="00BB6388">
        <w:rPr>
          <w:rtl/>
        </w:rPr>
        <w:t xml:space="preserve"> </w:t>
      </w:r>
      <w:r w:rsidRPr="00BB6388">
        <w:rPr>
          <w:rFonts w:hint="eastAsia"/>
          <w:rtl/>
        </w:rPr>
        <w:t>השונים</w:t>
      </w:r>
      <w:r w:rsidRPr="00BB6388">
        <w:rPr>
          <w:rtl/>
        </w:rPr>
        <w:t xml:space="preserve"> </w:t>
      </w:r>
      <w:r w:rsidRPr="00BB6388">
        <w:rPr>
          <w:rFonts w:hint="eastAsia"/>
          <w:rtl/>
        </w:rPr>
        <w:t>האמונים</w:t>
      </w:r>
      <w:r w:rsidRPr="00BB6388">
        <w:rPr>
          <w:rtl/>
        </w:rPr>
        <w:t xml:space="preserve"> </w:t>
      </w:r>
      <w:r w:rsidRPr="00BB6388">
        <w:rPr>
          <w:rFonts w:hint="eastAsia"/>
          <w:rtl/>
        </w:rPr>
        <w:t>על</w:t>
      </w:r>
      <w:r w:rsidRPr="00BB6388">
        <w:rPr>
          <w:rtl/>
        </w:rPr>
        <w:t xml:space="preserve"> </w:t>
      </w:r>
      <w:r w:rsidRPr="00BB6388">
        <w:rPr>
          <w:rFonts w:hint="eastAsia"/>
          <w:rtl/>
        </w:rPr>
        <w:t>אכיפתם</w:t>
      </w:r>
      <w:r w:rsidRPr="00BB6388">
        <w:rPr>
          <w:rtl/>
        </w:rPr>
        <w:t xml:space="preserve"> </w:t>
      </w:r>
      <w:r w:rsidRPr="00BB6388">
        <w:rPr>
          <w:rFonts w:hint="eastAsia"/>
          <w:rtl/>
        </w:rPr>
        <w:t>של</w:t>
      </w:r>
      <w:r w:rsidRPr="00BB6388">
        <w:rPr>
          <w:rtl/>
        </w:rPr>
        <w:t xml:space="preserve"> </w:t>
      </w:r>
      <w:r w:rsidRPr="00BB6388">
        <w:rPr>
          <w:rFonts w:hint="eastAsia"/>
          <w:rtl/>
        </w:rPr>
        <w:t>חוקים</w:t>
      </w:r>
      <w:r w:rsidRPr="00BB6388">
        <w:rPr>
          <w:rtl/>
        </w:rPr>
        <w:t xml:space="preserve"> </w:t>
      </w:r>
      <w:r w:rsidRPr="00BB6388">
        <w:rPr>
          <w:rFonts w:hint="eastAsia"/>
          <w:rtl/>
        </w:rPr>
        <w:t>אלו</w:t>
      </w:r>
      <w:r w:rsidRPr="00BB6388">
        <w:rPr>
          <w:rtl/>
        </w:rPr>
        <w:t xml:space="preserve"> </w:t>
      </w:r>
      <w:r w:rsidRPr="00BB6388">
        <w:rPr>
          <w:rFonts w:hint="eastAsia"/>
          <w:rtl/>
        </w:rPr>
        <w:t>נסקרת</w:t>
      </w:r>
      <w:r w:rsidRPr="00BB6388">
        <w:rPr>
          <w:rtl/>
        </w:rPr>
        <w:t xml:space="preserve"> </w:t>
      </w:r>
      <w:r w:rsidRPr="00BB6388">
        <w:rPr>
          <w:rFonts w:hint="eastAsia"/>
          <w:rtl/>
        </w:rPr>
        <w:t>בפרק</w:t>
      </w:r>
      <w:r w:rsidRPr="00BB6388">
        <w:rPr>
          <w:rtl/>
        </w:rPr>
        <w:t xml:space="preserve"> </w:t>
      </w:r>
      <w:r w:rsidR="00F05979">
        <w:rPr>
          <w:rFonts w:hint="cs"/>
          <w:rtl/>
        </w:rPr>
        <w:t>3</w:t>
      </w:r>
      <w:r w:rsidRPr="00BB6388">
        <w:rPr>
          <w:rtl/>
        </w:rPr>
        <w:t xml:space="preserve"> </w:t>
      </w:r>
      <w:r w:rsidRPr="00BB6388">
        <w:rPr>
          <w:rFonts w:hint="eastAsia"/>
          <w:rtl/>
        </w:rPr>
        <w:t>של</w:t>
      </w:r>
      <w:r w:rsidRPr="00BB6388">
        <w:rPr>
          <w:rtl/>
        </w:rPr>
        <w:t xml:space="preserve"> </w:t>
      </w:r>
      <w:r w:rsidRPr="00BB6388">
        <w:rPr>
          <w:rFonts w:hint="eastAsia"/>
          <w:rtl/>
        </w:rPr>
        <w:t>המסמך</w:t>
      </w:r>
      <w:r w:rsidRPr="00BB6388">
        <w:rPr>
          <w:rtl/>
        </w:rPr>
        <w:t xml:space="preserve"> </w:t>
      </w:r>
      <w:r w:rsidRPr="00BB6388">
        <w:rPr>
          <w:rFonts w:hint="eastAsia"/>
          <w:rtl/>
        </w:rPr>
        <w:t>הנוכחי</w:t>
      </w:r>
      <w:r w:rsidRPr="00BB6388">
        <w:rPr>
          <w:rtl/>
        </w:rPr>
        <w:t>.</w:t>
      </w:r>
      <w:r w:rsidRPr="00BB6388">
        <w:rPr>
          <w:rFonts w:hint="cs"/>
          <w:rtl/>
        </w:rPr>
        <w:t xml:space="preserve"> </w:t>
      </w:r>
    </w:p>
    <w:p w:rsidR="00001232" w:rsidRDefault="00001232" w:rsidP="00001232">
      <w:pPr>
        <w:pStyle w:val="a2"/>
        <w:spacing w:line="360" w:lineRule="auto"/>
        <w:rPr>
          <w:rtl/>
        </w:rPr>
      </w:pPr>
      <w:r w:rsidRPr="00BB6388">
        <w:rPr>
          <w:rFonts w:hint="cs"/>
          <w:rtl/>
        </w:rPr>
        <w:t xml:space="preserve">יצויין כי </w:t>
      </w:r>
      <w:r w:rsidRPr="00BB6388">
        <w:rPr>
          <w:rFonts w:hint="cs"/>
          <w:b/>
          <w:bCs/>
          <w:rtl/>
        </w:rPr>
        <w:t>מטרת פרק זה היא סקירה כללית בלבד ומיפוי של עיקרי הדברים בתחום, ואין באמור בו חוות דעת משפטית</w:t>
      </w:r>
      <w:r w:rsidRPr="00BB6388">
        <w:rPr>
          <w:rFonts w:hint="cs"/>
          <w:rtl/>
        </w:rPr>
        <w:t>.</w:t>
      </w:r>
    </w:p>
    <w:p w:rsidR="00480304" w:rsidRPr="00BB6388" w:rsidRDefault="00001232" w:rsidP="00480304">
      <w:pPr>
        <w:pStyle w:val="2"/>
        <w:rPr>
          <w:rtl/>
        </w:rPr>
      </w:pPr>
      <w:bookmarkStart w:id="110" w:name="_Toc421697042"/>
      <w:bookmarkStart w:id="111" w:name="_Toc418585092"/>
      <w:bookmarkStart w:id="112" w:name="_Toc419054661"/>
      <w:bookmarkStart w:id="113" w:name="_Toc419358768"/>
      <w:r w:rsidRPr="00BB6388">
        <w:rPr>
          <w:rFonts w:hint="cs"/>
          <w:rtl/>
        </w:rPr>
        <w:t>גופים בתחום הסמים והאלכוהול</w:t>
      </w:r>
      <w:bookmarkEnd w:id="110"/>
    </w:p>
    <w:p w:rsidR="00904FC1" w:rsidRPr="00BB6388" w:rsidRDefault="00001232" w:rsidP="00480304">
      <w:pPr>
        <w:pStyle w:val="3"/>
        <w:rPr>
          <w:rtl/>
        </w:rPr>
      </w:pPr>
      <w:bookmarkStart w:id="114" w:name="_Toc421697043"/>
      <w:r w:rsidRPr="00BB6388">
        <w:rPr>
          <w:rFonts w:hint="cs"/>
          <w:rtl/>
        </w:rPr>
        <w:t>הקמת הוועדה המיוחדת של הכנסת למאבק בנגעי הסמים והאלכוהול</w:t>
      </w:r>
      <w:bookmarkEnd w:id="114"/>
    </w:p>
    <w:p w:rsidR="00001232" w:rsidRPr="00BB6388" w:rsidRDefault="00001232" w:rsidP="00F05979">
      <w:pPr>
        <w:pStyle w:val="a2"/>
      </w:pPr>
      <w:r w:rsidRPr="00BB6388">
        <w:rPr>
          <w:rFonts w:hint="cs"/>
          <w:rtl/>
        </w:rPr>
        <w:t>הוועדה למאבק בנגע הסמים הוקמה בכנסת ה-12 (1992-1988), וזאת במקביל להקמת הרשות למלחמה בסמים (להלן).</w:t>
      </w:r>
      <w:r w:rsidRPr="00BB6388">
        <w:rPr>
          <w:rStyle w:val="ab"/>
          <w:rtl/>
        </w:rPr>
        <w:footnoteReference w:id="121"/>
      </w:r>
      <w:r w:rsidRPr="00BB6388">
        <w:rPr>
          <w:rFonts w:hint="cs"/>
          <w:rtl/>
        </w:rPr>
        <w:t xml:space="preserve"> היא הוגדרה כ'וועדה לענין מסוים'</w:t>
      </w:r>
      <w:r w:rsidRPr="00BB6388">
        <w:rPr>
          <w:rStyle w:val="ab"/>
          <w:rtl/>
        </w:rPr>
        <w:footnoteReference w:id="122"/>
      </w:r>
      <w:r w:rsidRPr="00BB6388">
        <w:rPr>
          <w:rFonts w:hint="cs"/>
          <w:rtl/>
        </w:rPr>
        <w:t xml:space="preserve"> במהלך הכנסת ה- 15 (1999-2003), ומאז חודשה ככזו במסגרת כהונת כל כנסת חדשה. שמה שונה לוועדה המיוחדת של הכנסת למאבק בנגעי הסמים והאלכוהול, וסמכויותיה הורחבו לעיסוק גם בתחום האלכוהול, במהלך הכנסת ה- 19 (2013-2015).</w:t>
      </w:r>
      <w:r w:rsidRPr="00BB6388">
        <w:rPr>
          <w:rStyle w:val="ab"/>
          <w:rtl/>
        </w:rPr>
        <w:footnoteReference w:id="123"/>
      </w:r>
      <w:r w:rsidRPr="00BB6388">
        <w:rPr>
          <w:rFonts w:hint="cs"/>
          <w:rtl/>
        </w:rPr>
        <w:t xml:space="preserve"> עוד על סמכויותיה ופעילותה של הוועדה במהלך הכנסת ה- 19 ניתן למצוא בפרק </w:t>
      </w:r>
      <w:r w:rsidR="00F05979">
        <w:rPr>
          <w:rFonts w:hint="cs"/>
          <w:rtl/>
        </w:rPr>
        <w:t>3</w:t>
      </w:r>
      <w:r w:rsidRPr="00BB6388">
        <w:rPr>
          <w:rFonts w:hint="cs"/>
          <w:rtl/>
        </w:rPr>
        <w:t>.1 של מסמך זה.</w:t>
      </w:r>
      <w:r w:rsidR="0060403B">
        <w:rPr>
          <w:rFonts w:hint="cs"/>
          <w:rtl/>
        </w:rPr>
        <w:t xml:space="preserve"> ועדת הכנסת ה-20 החליטה על הקמה מחדש של הוועדה אולם נכון למועד סגירת מסמך זה טרם נקבעו איוש חברי הוועדה והצבעה במליאת הכנסת.</w:t>
      </w:r>
      <w:r w:rsidR="0060403B">
        <w:rPr>
          <w:rStyle w:val="ab"/>
          <w:rtl/>
        </w:rPr>
        <w:footnoteReference w:id="124"/>
      </w:r>
      <w:r w:rsidR="0060403B">
        <w:rPr>
          <w:rFonts w:hint="cs"/>
          <w:rtl/>
        </w:rPr>
        <w:t xml:space="preserve"> </w:t>
      </w:r>
    </w:p>
    <w:p w:rsidR="00904FC1" w:rsidRPr="00BB6388" w:rsidRDefault="00001232" w:rsidP="00904FC1">
      <w:pPr>
        <w:pStyle w:val="3"/>
        <w:rPr>
          <w:rtl/>
        </w:rPr>
      </w:pPr>
      <w:bookmarkStart w:id="115" w:name="_Toc421697044"/>
      <w:r w:rsidRPr="00BB6388">
        <w:rPr>
          <w:rFonts w:hint="cs"/>
          <w:rtl/>
        </w:rPr>
        <w:t xml:space="preserve">חוק הרשות הלאומית למלחמה בסמים ושימוש לרעה באלכוהול, </w:t>
      </w:r>
      <w:r w:rsidR="00724C23">
        <w:rPr>
          <w:rFonts w:hint="cs"/>
          <w:rtl/>
        </w:rPr>
        <w:t>ה</w:t>
      </w:r>
      <w:r w:rsidRPr="00BB6388">
        <w:rPr>
          <w:rFonts w:hint="cs"/>
          <w:rtl/>
        </w:rPr>
        <w:t>תשמ"ח-1988</w:t>
      </w:r>
      <w:bookmarkEnd w:id="111"/>
      <w:bookmarkEnd w:id="112"/>
      <w:bookmarkEnd w:id="113"/>
      <w:bookmarkEnd w:id="115"/>
    </w:p>
    <w:p w:rsidR="00001232" w:rsidRPr="00BB6388" w:rsidRDefault="00001232" w:rsidP="00F05979">
      <w:pPr>
        <w:pStyle w:val="a2"/>
        <w:rPr>
          <w:rtl/>
        </w:rPr>
      </w:pPr>
      <w:r w:rsidRPr="00BB6388">
        <w:rPr>
          <w:rFonts w:hint="cs"/>
          <w:rtl/>
        </w:rPr>
        <w:t xml:space="preserve">הרשות הלאומית למלחמה בסמים ושימוש לרעה באלכוהול (להלן </w:t>
      </w:r>
      <w:r w:rsidRPr="00BB6388">
        <w:rPr>
          <w:rtl/>
        </w:rPr>
        <w:t>–</w:t>
      </w:r>
      <w:r w:rsidRPr="00BB6388">
        <w:rPr>
          <w:rFonts w:hint="cs"/>
          <w:rtl/>
        </w:rPr>
        <w:t xml:space="preserve"> הרשות), היא הגוף המרכזי במדינת ישראל המוביל את המאבק בסמים ואלכוהול, קובע מדיניות לאומית ומתאם את יישומה באמצעות משרדי הממשלה השונים. הרשות הוקמה בשנת 1988 </w:t>
      </w:r>
      <w:r w:rsidRPr="00BB6388">
        <w:rPr>
          <w:rtl/>
        </w:rPr>
        <w:t xml:space="preserve">על-פי חוק הרשות </w:t>
      </w:r>
      <w:r w:rsidRPr="00BB6388">
        <w:rPr>
          <w:rFonts w:hint="cs"/>
          <w:rtl/>
        </w:rPr>
        <w:t xml:space="preserve">הלאומית </w:t>
      </w:r>
      <w:r w:rsidRPr="00BB6388">
        <w:rPr>
          <w:rtl/>
        </w:rPr>
        <w:t>למלחמה בסמים, התשמ"ח-1988</w:t>
      </w:r>
      <w:r w:rsidRPr="00BB6388">
        <w:rPr>
          <w:rFonts w:hint="cs"/>
          <w:rtl/>
        </w:rPr>
        <w:t>, והופקדה בתחילת דרכה על הטיפול בנושא הסמים.</w:t>
      </w:r>
      <w:r w:rsidR="00C30587">
        <w:rPr>
          <w:rStyle w:val="ab"/>
          <w:rtl/>
        </w:rPr>
        <w:footnoteReference w:id="125"/>
      </w:r>
      <w:r w:rsidRPr="00BB6388">
        <w:rPr>
          <w:rtl/>
        </w:rPr>
        <w:t xml:space="preserve"> </w:t>
      </w:r>
      <w:r w:rsidRPr="00BB6388">
        <w:rPr>
          <w:rFonts w:hint="cs"/>
          <w:rtl/>
        </w:rPr>
        <w:t>ביוני 2005 קבעה ממשלת ישראל כי "הטיפול במשקאות חריפים משכרים" יתווסף על תחומי אחריותה של הרשות, כחלק מהמאבק בתופעת האלימות בחברה הישראלית.</w:t>
      </w:r>
      <w:r w:rsidR="006F2D16">
        <w:rPr>
          <w:rStyle w:val="ab"/>
          <w:rtl/>
        </w:rPr>
        <w:footnoteReference w:id="126"/>
      </w:r>
      <w:r w:rsidRPr="00BB6388">
        <w:rPr>
          <w:rFonts w:hint="cs"/>
          <w:rtl/>
        </w:rPr>
        <w:t xml:space="preserve"> בשנת 2012 תוקן חוק הרשות, שמה שונה והיא נקראת כעת הרשות הלאומית למלחמה בסמים ובשימוש לרעה באלכוהול.</w:t>
      </w:r>
      <w:r w:rsidR="00077243">
        <w:rPr>
          <w:rStyle w:val="ab"/>
          <w:rtl/>
        </w:rPr>
        <w:footnoteReference w:id="127"/>
      </w:r>
      <w:r w:rsidRPr="00BB6388">
        <w:rPr>
          <w:rFonts w:hint="cs"/>
          <w:rtl/>
        </w:rPr>
        <w:t xml:space="preserve"> השר הממונה על הרשות בחוק הוא ראש הממשלה, אך באפריל 2009 החליטה הממשלה להעביר את הסמכויות הללו לשר לביטחון פנים.</w:t>
      </w:r>
      <w:r w:rsidR="006F2D16">
        <w:rPr>
          <w:rStyle w:val="ab"/>
          <w:rtl/>
        </w:rPr>
        <w:footnoteReference w:id="128"/>
      </w:r>
      <w:r w:rsidRPr="00BB6388">
        <w:rPr>
          <w:rFonts w:hint="cs"/>
          <w:rtl/>
        </w:rPr>
        <w:t xml:space="preserve"> נתונים נוספים על פעילותה של הרשות ניתן למצוא בפרק </w:t>
      </w:r>
      <w:r w:rsidR="00F05979">
        <w:rPr>
          <w:rFonts w:hint="cs"/>
          <w:rtl/>
        </w:rPr>
        <w:t>3</w:t>
      </w:r>
      <w:r w:rsidRPr="00BB6388">
        <w:rPr>
          <w:rFonts w:hint="cs"/>
          <w:rtl/>
        </w:rPr>
        <w:t>.4.1 שבמסמך זה.</w:t>
      </w:r>
    </w:p>
    <w:p w:rsidR="00480304" w:rsidRPr="00BB6388" w:rsidRDefault="00001232" w:rsidP="00480304">
      <w:pPr>
        <w:pStyle w:val="2"/>
        <w:rPr>
          <w:rtl/>
        </w:rPr>
      </w:pPr>
      <w:bookmarkStart w:id="116" w:name="_Toc418585088"/>
      <w:bookmarkStart w:id="117" w:name="_Toc419054662"/>
      <w:bookmarkStart w:id="118" w:name="_Toc419358769"/>
      <w:bookmarkStart w:id="119" w:name="_Toc421697045"/>
      <w:r w:rsidRPr="00BB6388">
        <w:rPr>
          <w:rFonts w:hint="cs"/>
          <w:rtl/>
        </w:rPr>
        <w:t>חקיקה בתחום הסמים</w:t>
      </w:r>
      <w:bookmarkEnd w:id="116"/>
      <w:bookmarkEnd w:id="117"/>
      <w:bookmarkEnd w:id="118"/>
      <w:bookmarkEnd w:id="119"/>
    </w:p>
    <w:p w:rsidR="00001232" w:rsidRPr="00BB6388" w:rsidRDefault="00001232" w:rsidP="00480304">
      <w:pPr>
        <w:pStyle w:val="a2"/>
        <w:rPr>
          <w:rtl/>
        </w:rPr>
      </w:pPr>
      <w:r w:rsidRPr="00BB6388">
        <w:rPr>
          <w:rFonts w:hint="cs"/>
          <w:rtl/>
        </w:rPr>
        <w:t>בחלק זה ייסקרו פקודת הסמים המסוכנים [נוסח חדש], התשל"ג-1973; חוק המאבק בתופעת השימוש בחומרים מְסַכְּניִם, התשע"ג-2013; וחוק הפיקוח על מוסדות לטיפול במשתמשים בסמים, התשנ"ג-1993.</w:t>
      </w:r>
    </w:p>
    <w:p w:rsidR="00904FC1" w:rsidRPr="00BB6388" w:rsidRDefault="00001232" w:rsidP="00904FC1">
      <w:pPr>
        <w:pStyle w:val="3"/>
        <w:rPr>
          <w:rtl/>
        </w:rPr>
      </w:pPr>
      <w:bookmarkStart w:id="120" w:name="_Toc353961991"/>
      <w:bookmarkStart w:id="121" w:name="_Toc418585089"/>
      <w:bookmarkStart w:id="122" w:name="_Toc419054663"/>
      <w:bookmarkStart w:id="123" w:name="_Toc419358770"/>
      <w:bookmarkStart w:id="124" w:name="_Toc421697046"/>
      <w:r w:rsidRPr="00BB6388">
        <w:rPr>
          <w:rFonts w:hint="cs"/>
          <w:rtl/>
        </w:rPr>
        <w:t>פקודת הסמים המסוכנים [נוסח חדש], התשל"ג-1973</w:t>
      </w:r>
      <w:bookmarkEnd w:id="120"/>
      <w:r w:rsidRPr="00BB6388">
        <w:rPr>
          <w:rStyle w:val="ab"/>
          <w:rtl/>
        </w:rPr>
        <w:footnoteReference w:id="129"/>
      </w:r>
      <w:bookmarkEnd w:id="121"/>
      <w:bookmarkEnd w:id="122"/>
      <w:bookmarkEnd w:id="123"/>
      <w:bookmarkEnd w:id="124"/>
      <w:r w:rsidRPr="00BB6388">
        <w:rPr>
          <w:rFonts w:hint="cs"/>
          <w:rtl/>
        </w:rPr>
        <w:t xml:space="preserve"> </w:t>
      </w:r>
    </w:p>
    <w:p w:rsidR="00001232" w:rsidRPr="00BB6388" w:rsidRDefault="00001232" w:rsidP="00904FC1">
      <w:pPr>
        <w:pStyle w:val="a2"/>
        <w:rPr>
          <w:rtl/>
        </w:rPr>
      </w:pPr>
      <w:r w:rsidRPr="00BB6388">
        <w:rPr>
          <w:rFonts w:hint="cs"/>
          <w:rtl/>
        </w:rPr>
        <w:t xml:space="preserve">פקודת הסמים המסוכנים על תיקוניה </w:t>
      </w:r>
      <w:r w:rsidRPr="00904FC1">
        <w:rPr>
          <w:rFonts w:hint="cs"/>
          <w:rtl/>
        </w:rPr>
        <w:t>קובעת מהן עבירות השימוש, ההחזקה, הייצור והסחר בעניין סמים מסוכנים</w:t>
      </w:r>
      <w:r w:rsidRPr="00BB6388">
        <w:rPr>
          <w:rFonts w:hint="cs"/>
          <w:rtl/>
        </w:rPr>
        <w:t>.</w:t>
      </w:r>
    </w:p>
    <w:p w:rsidR="00001232" w:rsidRPr="00BB6388" w:rsidRDefault="00001232" w:rsidP="00001232">
      <w:pPr>
        <w:pStyle w:val="a2"/>
        <w:spacing w:line="360" w:lineRule="auto"/>
        <w:rPr>
          <w:rtl/>
        </w:rPr>
      </w:pPr>
      <w:r w:rsidRPr="00BB6388">
        <w:rPr>
          <w:rFonts w:hint="cs"/>
          <w:rtl/>
        </w:rPr>
        <w:t xml:space="preserve">סעיף 1 לפקודה קובע מהו "סם מסוכן": </w:t>
      </w:r>
    </w:p>
    <w:p w:rsidR="00001232" w:rsidRPr="00BB6388" w:rsidRDefault="00001232" w:rsidP="00001232">
      <w:pPr>
        <w:pStyle w:val="af"/>
        <w:spacing w:line="360" w:lineRule="auto"/>
        <w:rPr>
          <w:rtl/>
        </w:rPr>
      </w:pPr>
      <w:r w:rsidRPr="00BB6388">
        <w:rPr>
          <w:rtl/>
        </w:rPr>
        <w:t>חומר מן המפורטים בתוספת הראשונה לרבות כל מלח שלו, וכן כל תכשיר, תרכובת, תערובת או תמיסה של חומר כאמור ומלחיהם</w:t>
      </w:r>
      <w:r w:rsidRPr="00BB6388">
        <w:rPr>
          <w:rFonts w:hint="cs"/>
          <w:rtl/>
        </w:rPr>
        <w:t>;</w:t>
      </w:r>
    </w:p>
    <w:p w:rsidR="00001232" w:rsidRPr="00BB6388" w:rsidRDefault="00001232" w:rsidP="00001232">
      <w:pPr>
        <w:pStyle w:val="a2"/>
        <w:spacing w:line="360" w:lineRule="auto"/>
        <w:rPr>
          <w:rtl/>
        </w:rPr>
      </w:pPr>
      <w:r w:rsidRPr="00BB6388">
        <w:rPr>
          <w:rFonts w:hint="cs"/>
          <w:rtl/>
        </w:rPr>
        <w:t xml:space="preserve">בתוספת הראשונה לפקודה מצויה רשימה מפורטת של כל החומרים הצמחיים והכימיים שהוגדרו סמים מסוכנים והם אסורים לצריכה על-פי הפקודה. </w:t>
      </w:r>
    </w:p>
    <w:p w:rsidR="00001232" w:rsidRPr="00BB6388" w:rsidRDefault="00001232" w:rsidP="00001232">
      <w:pPr>
        <w:pStyle w:val="a2"/>
        <w:spacing w:line="360" w:lineRule="auto"/>
        <w:rPr>
          <w:rtl/>
        </w:rPr>
      </w:pPr>
      <w:r w:rsidRPr="00BB6388">
        <w:rPr>
          <w:rFonts w:hint="cs"/>
          <w:rtl/>
        </w:rPr>
        <w:t>בסעיפים 6 ו-7 בפרק ג' ב</w:t>
      </w:r>
      <w:r w:rsidRPr="00BB6388">
        <w:rPr>
          <w:rtl/>
        </w:rPr>
        <w:t>פקודת הסמים המסוכנים [נוסח חדש], התשל"ג-1973</w:t>
      </w:r>
      <w:r w:rsidRPr="00BB6388">
        <w:rPr>
          <w:rFonts w:hint="cs"/>
          <w:rtl/>
        </w:rPr>
        <w:t xml:space="preserve"> נקבע כלהלן:</w:t>
      </w:r>
    </w:p>
    <w:p w:rsidR="00001232" w:rsidRPr="00BB6388" w:rsidRDefault="00001232" w:rsidP="00001232">
      <w:pPr>
        <w:pStyle w:val="af"/>
        <w:spacing w:line="360" w:lineRule="auto"/>
        <w:rPr>
          <w:rtl/>
        </w:rPr>
      </w:pPr>
      <w:r w:rsidRPr="00BB6388">
        <w:rPr>
          <w:u w:val="single"/>
          <w:rtl/>
        </w:rPr>
        <w:t>ייצור, הכנה והפקה</w:t>
      </w:r>
    </w:p>
    <w:p w:rsidR="00001232" w:rsidRPr="00BB6388" w:rsidRDefault="00001232" w:rsidP="00001232">
      <w:pPr>
        <w:pStyle w:val="af"/>
        <w:spacing w:line="360" w:lineRule="auto"/>
        <w:rPr>
          <w:rtl/>
        </w:rPr>
      </w:pPr>
      <w:r w:rsidRPr="00BB6388">
        <w:rPr>
          <w:rFonts w:hint="cs"/>
          <w:rtl/>
        </w:rPr>
        <w:t>6. לא יגדל אדם סם מסוכן, לא ייצר אותו, לא יפיק אותו, לא יכין אותו ולא ימצה אותו מחומר אחר, אלא ברישיון מאת המנהל.</w:t>
      </w:r>
      <w:r w:rsidRPr="00BB6388">
        <w:rPr>
          <w:rStyle w:val="ab"/>
          <w:rtl/>
        </w:rPr>
        <w:footnoteReference w:id="130"/>
      </w:r>
      <w:r w:rsidRPr="00BB6388">
        <w:rPr>
          <w:rFonts w:hint="cs"/>
          <w:rtl/>
        </w:rPr>
        <w:t xml:space="preserve"> העובר על הוראות סעיף זה, דינו </w:t>
      </w:r>
      <w:r w:rsidRPr="00BB6388">
        <w:rPr>
          <w:rtl/>
        </w:rPr>
        <w:t>–</w:t>
      </w:r>
      <w:r w:rsidRPr="00BB6388">
        <w:rPr>
          <w:rFonts w:hint="cs"/>
          <w:rtl/>
        </w:rPr>
        <w:t xml:space="preserve"> מאסר עשרים שנים או קנס פי עשרים וחמישה מן הקנס האמור בסעיף 61(א)(4) לחוק העונשין, התשל"ז-1977.</w:t>
      </w:r>
    </w:p>
    <w:p w:rsidR="00001232" w:rsidRPr="00BB6388" w:rsidRDefault="00001232" w:rsidP="00001232">
      <w:pPr>
        <w:pStyle w:val="af"/>
        <w:spacing w:line="360" w:lineRule="auto"/>
        <w:rPr>
          <w:u w:val="single"/>
          <w:rtl/>
        </w:rPr>
      </w:pPr>
      <w:r w:rsidRPr="00BB6388">
        <w:rPr>
          <w:u w:val="single"/>
          <w:rtl/>
        </w:rPr>
        <w:t>החזקה ושימוש</w:t>
      </w:r>
    </w:p>
    <w:p w:rsidR="00001232" w:rsidRPr="00BB6388" w:rsidRDefault="00001232" w:rsidP="00001232">
      <w:pPr>
        <w:pStyle w:val="af"/>
        <w:spacing w:line="360" w:lineRule="auto"/>
        <w:rPr>
          <w:rtl/>
        </w:rPr>
      </w:pPr>
      <w:r w:rsidRPr="00BB6388">
        <w:rPr>
          <w:rFonts w:hint="cs"/>
          <w:rtl/>
        </w:rPr>
        <w:t>7. (א) לא יחזיק אדם סם מסוכן ולא ישתמש בו, אלא במידה שהותר הדבר בפקודה זו או בתקנות לפיה, או ברישיו</w:t>
      </w:r>
      <w:r w:rsidRPr="00BB6388">
        <w:rPr>
          <w:rFonts w:hint="eastAsia"/>
          <w:rtl/>
        </w:rPr>
        <w:t>ן</w:t>
      </w:r>
      <w:r w:rsidRPr="00BB6388">
        <w:rPr>
          <w:rFonts w:hint="cs"/>
          <w:rtl/>
        </w:rPr>
        <w:t xml:space="preserve"> מאת המנהל.</w:t>
      </w:r>
      <w:r w:rsidRPr="00BB6388">
        <w:rPr>
          <w:rStyle w:val="ab"/>
          <w:rtl/>
        </w:rPr>
        <w:t xml:space="preserve"> </w:t>
      </w:r>
    </w:p>
    <w:p w:rsidR="00001232" w:rsidRPr="00BB6388" w:rsidRDefault="00001232" w:rsidP="00001232">
      <w:pPr>
        <w:pStyle w:val="af"/>
        <w:spacing w:line="360" w:lineRule="auto"/>
        <w:rPr>
          <w:rtl/>
        </w:rPr>
      </w:pPr>
      <w:r w:rsidRPr="00BB6388">
        <w:rPr>
          <w:rFonts w:hint="cs"/>
          <w:rtl/>
        </w:rPr>
        <w:t>[...]</w:t>
      </w:r>
    </w:p>
    <w:p w:rsidR="00001232" w:rsidRPr="00BB6388" w:rsidRDefault="00001232" w:rsidP="00001232">
      <w:pPr>
        <w:pStyle w:val="af"/>
        <w:spacing w:line="360" w:lineRule="auto"/>
        <w:rPr>
          <w:rtl/>
        </w:rPr>
      </w:pPr>
      <w:r w:rsidRPr="00BB6388">
        <w:rPr>
          <w:rFonts w:hint="cs"/>
          <w:rtl/>
        </w:rPr>
        <w:t>(</w:t>
      </w:r>
      <w:r w:rsidRPr="00BB6388">
        <w:rPr>
          <w:rtl/>
        </w:rPr>
        <w:t>ג)</w:t>
      </w:r>
      <w:r w:rsidRPr="00BB6388">
        <w:rPr>
          <w:rFonts w:hint="cs"/>
          <w:rtl/>
        </w:rPr>
        <w:t xml:space="preserve"> </w:t>
      </w:r>
      <w:r w:rsidRPr="00BB6388">
        <w:rPr>
          <w:rtl/>
        </w:rPr>
        <w:t>העובר על הוראות סעיף זה, דינו – מאסר עשרים שנים או קנס פי עשרים וחמישה מן הקנס האמור בסעיף 61(א)(4) לחוק העונשין, התשל"ז-1977, ואם החזיק בסם או השתמש בו לצריכתו העצמית בלבד, דינו – מאסר שלוש שנים או קנס כאמור בסעיף 61(א)(4) לחוק העונשין,</w:t>
      </w:r>
      <w:r w:rsidRPr="00BB6388">
        <w:rPr>
          <w:rFonts w:hint="cs"/>
          <w:rtl/>
        </w:rPr>
        <w:t xml:space="preserve"> התשל</w:t>
      </w:r>
      <w:r w:rsidRPr="00BB6388">
        <w:rPr>
          <w:rtl/>
        </w:rPr>
        <w:t>"</w:t>
      </w:r>
      <w:r w:rsidRPr="00BB6388">
        <w:rPr>
          <w:rFonts w:hint="cs"/>
          <w:rtl/>
        </w:rPr>
        <w:t>ז</w:t>
      </w:r>
      <w:r w:rsidRPr="00BB6388">
        <w:rPr>
          <w:rtl/>
        </w:rPr>
        <w:t>-1977</w:t>
      </w:r>
      <w:r w:rsidRPr="00BB6388">
        <w:rPr>
          <w:rFonts w:hint="cs"/>
          <w:rtl/>
        </w:rPr>
        <w:t>.</w:t>
      </w:r>
      <w:r w:rsidRPr="00BB6388">
        <w:rPr>
          <w:rStyle w:val="ab"/>
          <w:rtl/>
        </w:rPr>
        <w:footnoteReference w:id="131"/>
      </w:r>
    </w:p>
    <w:p w:rsidR="0065686F" w:rsidRDefault="0065686F" w:rsidP="00001232">
      <w:pPr>
        <w:pStyle w:val="a2"/>
        <w:spacing w:line="360" w:lineRule="auto"/>
        <w:rPr>
          <w:rtl/>
        </w:rPr>
      </w:pPr>
    </w:p>
    <w:p w:rsidR="00001232" w:rsidRPr="00BB6388" w:rsidRDefault="00001232" w:rsidP="00001232">
      <w:pPr>
        <w:pStyle w:val="a2"/>
        <w:spacing w:line="360" w:lineRule="auto"/>
        <w:rPr>
          <w:rtl/>
        </w:rPr>
      </w:pPr>
      <w:r w:rsidRPr="00BB6388">
        <w:rPr>
          <w:rFonts w:hint="cs"/>
          <w:rtl/>
        </w:rPr>
        <w:t xml:space="preserve">עוד קובע החוק </w:t>
      </w:r>
      <w:r w:rsidRPr="0075222F">
        <w:rPr>
          <w:rFonts w:hint="cs"/>
          <w:rtl/>
        </w:rPr>
        <w:t>בסעיף 31(3) כי</w:t>
      </w:r>
    </w:p>
    <w:p w:rsidR="00001232" w:rsidRPr="00BB6388" w:rsidRDefault="00001232" w:rsidP="00001232">
      <w:pPr>
        <w:pStyle w:val="af"/>
        <w:spacing w:line="360" w:lineRule="auto"/>
        <w:rPr>
          <w:rtl/>
        </w:rPr>
      </w:pPr>
      <w:r w:rsidRPr="00BB6388">
        <w:rPr>
          <w:rFonts w:hint="cs"/>
          <w:rtl/>
        </w:rPr>
        <w:t>"</w:t>
      </w:r>
      <w:r w:rsidRPr="00BB6388">
        <w:rPr>
          <w:rtl/>
        </w:rPr>
        <w:t>מי שהחזיק סם מסוג המפורט בתוספת השני</w:t>
      </w:r>
      <w:r w:rsidRPr="00BB6388">
        <w:rPr>
          <w:rFonts w:hint="cs"/>
          <w:rtl/>
        </w:rPr>
        <w:t>י</w:t>
      </w:r>
      <w:r w:rsidRPr="00BB6388">
        <w:rPr>
          <w:rtl/>
        </w:rPr>
        <w:t>ה בכמות העולה על הכמות המפורטת לצדו – חזקה שהחזיק בסם שלא לצורך צריכתו העצמית ועליו הראיה לסתור</w:t>
      </w:r>
      <w:r w:rsidRPr="00BB6388">
        <w:rPr>
          <w:rFonts w:hint="cs"/>
          <w:rtl/>
        </w:rPr>
        <w:t>".</w:t>
      </w:r>
    </w:p>
    <w:p w:rsidR="00001232" w:rsidRDefault="00AB780D" w:rsidP="00724C23">
      <w:pPr>
        <w:pStyle w:val="a2"/>
        <w:spacing w:line="360" w:lineRule="auto"/>
        <w:rPr>
          <w:rtl/>
        </w:rPr>
      </w:pPr>
      <w:r>
        <w:rPr>
          <w:rFonts w:hint="cs"/>
          <w:rtl/>
        </w:rPr>
        <w:t xml:space="preserve">טבלה מס' 7 מציגה </w:t>
      </w:r>
      <w:r w:rsidR="00DE1A53">
        <w:rPr>
          <w:rFonts w:hint="cs"/>
          <w:rtl/>
        </w:rPr>
        <w:t xml:space="preserve">כמה </w:t>
      </w:r>
      <w:r w:rsidR="00001232" w:rsidRPr="00BB6388">
        <w:rPr>
          <w:rFonts w:hint="cs"/>
          <w:rtl/>
        </w:rPr>
        <w:t xml:space="preserve">כמויות </w:t>
      </w:r>
      <w:r w:rsidR="00DE1A53">
        <w:rPr>
          <w:rFonts w:hint="cs"/>
          <w:rtl/>
        </w:rPr>
        <w:t>אותן מגדיר החוק כ'</w:t>
      </w:r>
      <w:r>
        <w:rPr>
          <w:rFonts w:hint="cs"/>
          <w:rtl/>
        </w:rPr>
        <w:t>צריכה עצמית</w:t>
      </w:r>
      <w:r w:rsidR="00DE1A53">
        <w:rPr>
          <w:rFonts w:hint="cs"/>
          <w:rtl/>
        </w:rPr>
        <w:t>' בעבור סמים מסוכנים שונים</w:t>
      </w:r>
      <w:r>
        <w:rPr>
          <w:rFonts w:hint="cs"/>
          <w:rtl/>
        </w:rPr>
        <w:t>.</w:t>
      </w:r>
    </w:p>
    <w:p w:rsidR="00001232" w:rsidRPr="00BB6388" w:rsidRDefault="00AB780D" w:rsidP="00AB780D">
      <w:pPr>
        <w:pStyle w:val="af2"/>
        <w:jc w:val="center"/>
        <w:rPr>
          <w:rtl/>
        </w:rPr>
      </w:pPr>
      <w:bookmarkStart w:id="125" w:name="_Toc418585090"/>
      <w:r w:rsidRPr="00AB780D">
        <w:rPr>
          <w:sz w:val="24"/>
          <w:szCs w:val="24"/>
          <w:rtl/>
        </w:rPr>
        <w:t xml:space="preserve">טבלה </w:t>
      </w:r>
      <w:r w:rsidR="00F3448E" w:rsidRPr="00AB780D">
        <w:rPr>
          <w:sz w:val="24"/>
          <w:szCs w:val="24"/>
          <w:rtl/>
        </w:rPr>
        <w:fldChar w:fldCharType="begin"/>
      </w:r>
      <w:r w:rsidRPr="00AB780D">
        <w:rPr>
          <w:sz w:val="24"/>
          <w:szCs w:val="24"/>
          <w:rtl/>
        </w:rPr>
        <w:instrText xml:space="preserve"> </w:instrText>
      </w:r>
      <w:r w:rsidRPr="00AB780D">
        <w:rPr>
          <w:sz w:val="24"/>
          <w:szCs w:val="24"/>
        </w:rPr>
        <w:instrText>SEQ</w:instrText>
      </w:r>
      <w:r w:rsidRPr="00AB780D">
        <w:rPr>
          <w:sz w:val="24"/>
          <w:szCs w:val="24"/>
          <w:rtl/>
        </w:rPr>
        <w:instrText xml:space="preserve"> טבלה \* </w:instrText>
      </w:r>
      <w:r w:rsidRPr="00AB780D">
        <w:rPr>
          <w:sz w:val="24"/>
          <w:szCs w:val="24"/>
        </w:rPr>
        <w:instrText>ARABIC</w:instrText>
      </w:r>
      <w:r w:rsidRPr="00AB780D">
        <w:rPr>
          <w:sz w:val="24"/>
          <w:szCs w:val="24"/>
          <w:rtl/>
        </w:rPr>
        <w:instrText xml:space="preserve"> </w:instrText>
      </w:r>
      <w:r w:rsidR="00F3448E" w:rsidRPr="00AB780D">
        <w:rPr>
          <w:sz w:val="24"/>
          <w:szCs w:val="24"/>
          <w:rtl/>
        </w:rPr>
        <w:fldChar w:fldCharType="separate"/>
      </w:r>
      <w:r w:rsidR="007347AB">
        <w:rPr>
          <w:noProof/>
          <w:sz w:val="24"/>
          <w:szCs w:val="24"/>
          <w:rtl/>
        </w:rPr>
        <w:t>7</w:t>
      </w:r>
      <w:r w:rsidR="00F3448E" w:rsidRPr="00AB780D">
        <w:rPr>
          <w:sz w:val="24"/>
          <w:szCs w:val="24"/>
          <w:rtl/>
        </w:rPr>
        <w:fldChar w:fldCharType="end"/>
      </w:r>
      <w:r w:rsidRPr="00AB780D">
        <w:rPr>
          <w:rFonts w:hint="cs"/>
          <w:sz w:val="24"/>
          <w:szCs w:val="24"/>
          <w:rtl/>
        </w:rPr>
        <w:t xml:space="preserve">: </w:t>
      </w:r>
      <w:r w:rsidR="00001232" w:rsidRPr="00AB780D">
        <w:rPr>
          <w:rFonts w:hint="cs"/>
          <w:sz w:val="24"/>
          <w:szCs w:val="24"/>
          <w:rtl/>
        </w:rPr>
        <w:t>הכמות המוגדרת בחוק לצריכה עצמית</w:t>
      </w:r>
      <w:r w:rsidR="00001232" w:rsidRPr="00BB6388">
        <w:rPr>
          <w:rStyle w:val="ab"/>
          <w:b w:val="0"/>
          <w:bCs w:val="0"/>
          <w:rtl/>
        </w:rPr>
        <w:footnoteReference w:id="132"/>
      </w:r>
      <w:bookmarkEnd w:id="125"/>
    </w:p>
    <w:tbl>
      <w:tblPr>
        <w:tblStyle w:val="afff5"/>
        <w:bidiVisual/>
        <w:tblW w:w="0" w:type="auto"/>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4006"/>
        <w:gridCol w:w="1666"/>
      </w:tblGrid>
      <w:tr w:rsidR="00001232" w:rsidRPr="0093506E" w:rsidTr="0093506E">
        <w:trPr>
          <w:tblCellSpacing w:w="20" w:type="dxa"/>
          <w:jc w:val="center"/>
        </w:trPr>
        <w:tc>
          <w:tcPr>
            <w:tcW w:w="3946" w:type="dxa"/>
            <w:shd w:val="clear" w:color="auto" w:fill="auto"/>
          </w:tcPr>
          <w:p w:rsidR="00001232" w:rsidRPr="0093506E" w:rsidRDefault="00001232" w:rsidP="0093506E">
            <w:pPr>
              <w:pStyle w:val="a2"/>
              <w:spacing w:before="60" w:after="0" w:line="240" w:lineRule="auto"/>
              <w:rPr>
                <w:b/>
                <w:bCs/>
                <w:sz w:val="22"/>
                <w:szCs w:val="22"/>
                <w:rtl/>
              </w:rPr>
            </w:pPr>
            <w:r w:rsidRPr="0093506E">
              <w:rPr>
                <w:rFonts w:hint="cs"/>
                <w:b/>
                <w:bCs/>
                <w:sz w:val="22"/>
                <w:szCs w:val="22"/>
                <w:rtl/>
              </w:rPr>
              <w:t>שם הסם</w:t>
            </w:r>
          </w:p>
        </w:tc>
        <w:tc>
          <w:tcPr>
            <w:tcW w:w="1606" w:type="dxa"/>
            <w:shd w:val="clear" w:color="auto" w:fill="auto"/>
          </w:tcPr>
          <w:p w:rsidR="00001232" w:rsidRPr="0093506E" w:rsidRDefault="00001232" w:rsidP="0093506E">
            <w:pPr>
              <w:pStyle w:val="a2"/>
              <w:spacing w:before="60" w:after="0" w:line="240" w:lineRule="auto"/>
              <w:rPr>
                <w:b/>
                <w:bCs/>
                <w:sz w:val="22"/>
                <w:szCs w:val="22"/>
                <w:rtl/>
              </w:rPr>
            </w:pPr>
            <w:r w:rsidRPr="0093506E">
              <w:rPr>
                <w:rFonts w:hint="cs"/>
                <w:b/>
                <w:bCs/>
                <w:sz w:val="22"/>
                <w:szCs w:val="22"/>
                <w:rtl/>
              </w:rPr>
              <w:t>הכמות</w:t>
            </w:r>
          </w:p>
        </w:tc>
      </w:tr>
      <w:tr w:rsidR="00001232" w:rsidRPr="0093506E" w:rsidTr="0093506E">
        <w:trPr>
          <w:tblCellSpacing w:w="20" w:type="dxa"/>
          <w:jc w:val="center"/>
        </w:trPr>
        <w:tc>
          <w:tcPr>
            <w:tcW w:w="3946" w:type="dxa"/>
            <w:shd w:val="clear" w:color="auto" w:fill="auto"/>
          </w:tcPr>
          <w:p w:rsidR="00001232" w:rsidRPr="0093506E" w:rsidRDefault="00001232" w:rsidP="0093506E">
            <w:pPr>
              <w:pStyle w:val="a2"/>
              <w:spacing w:before="60" w:after="0" w:line="240" w:lineRule="auto"/>
              <w:rPr>
                <w:sz w:val="22"/>
                <w:szCs w:val="22"/>
                <w:rtl/>
              </w:rPr>
            </w:pPr>
            <w:r w:rsidRPr="0093506E">
              <w:rPr>
                <w:rFonts w:hint="cs"/>
                <w:sz w:val="22"/>
                <w:szCs w:val="22"/>
                <w:rtl/>
              </w:rPr>
              <w:t>קנביס</w:t>
            </w:r>
            <w:r w:rsidR="007304AB" w:rsidRPr="0093506E">
              <w:rPr>
                <w:rFonts w:hint="cs"/>
                <w:sz w:val="22"/>
                <w:szCs w:val="22"/>
                <w:rtl/>
              </w:rPr>
              <w:t xml:space="preserve"> </w:t>
            </w:r>
            <w:r w:rsidRPr="0093506E">
              <w:rPr>
                <w:rFonts w:hint="cs"/>
                <w:sz w:val="22"/>
                <w:szCs w:val="22"/>
                <w:rtl/>
              </w:rPr>
              <w:t>(משמש בעיקר לייצור מריחואנה)</w:t>
            </w:r>
          </w:p>
        </w:tc>
        <w:tc>
          <w:tcPr>
            <w:tcW w:w="1606" w:type="dxa"/>
            <w:shd w:val="clear" w:color="auto" w:fill="auto"/>
          </w:tcPr>
          <w:p w:rsidR="00001232" w:rsidRPr="0093506E" w:rsidRDefault="00001232" w:rsidP="0093506E">
            <w:pPr>
              <w:pStyle w:val="a2"/>
              <w:spacing w:before="60" w:after="0" w:line="240" w:lineRule="auto"/>
              <w:rPr>
                <w:sz w:val="22"/>
                <w:szCs w:val="22"/>
                <w:rtl/>
              </w:rPr>
            </w:pPr>
            <w:r w:rsidRPr="0093506E">
              <w:rPr>
                <w:rFonts w:hint="cs"/>
                <w:sz w:val="22"/>
                <w:szCs w:val="22"/>
                <w:rtl/>
              </w:rPr>
              <w:t>15 גרם</w:t>
            </w:r>
          </w:p>
        </w:tc>
      </w:tr>
      <w:tr w:rsidR="00001232" w:rsidRPr="0093506E" w:rsidTr="0093506E">
        <w:trPr>
          <w:tblCellSpacing w:w="20" w:type="dxa"/>
          <w:jc w:val="center"/>
        </w:trPr>
        <w:tc>
          <w:tcPr>
            <w:tcW w:w="3946" w:type="dxa"/>
            <w:shd w:val="clear" w:color="auto" w:fill="auto"/>
          </w:tcPr>
          <w:p w:rsidR="00001232" w:rsidRPr="0093506E" w:rsidRDefault="00001232" w:rsidP="0093506E">
            <w:pPr>
              <w:pStyle w:val="a2"/>
              <w:spacing w:before="60" w:after="0" w:line="240" w:lineRule="auto"/>
              <w:rPr>
                <w:sz w:val="22"/>
                <w:szCs w:val="22"/>
                <w:rtl/>
              </w:rPr>
            </w:pPr>
            <w:r w:rsidRPr="0093506E">
              <w:rPr>
                <w:rFonts w:hint="cs"/>
                <w:sz w:val="22"/>
                <w:szCs w:val="22"/>
                <w:rtl/>
              </w:rPr>
              <w:t>שרף של קנביס</w:t>
            </w:r>
            <w:r w:rsidR="007304AB" w:rsidRPr="0093506E">
              <w:rPr>
                <w:rFonts w:hint="cs"/>
                <w:sz w:val="22"/>
                <w:szCs w:val="22"/>
                <w:rtl/>
              </w:rPr>
              <w:t xml:space="preserve"> </w:t>
            </w:r>
            <w:r w:rsidRPr="0093506E">
              <w:rPr>
                <w:rFonts w:hint="cs"/>
                <w:sz w:val="22"/>
                <w:szCs w:val="22"/>
                <w:rtl/>
              </w:rPr>
              <w:t>(משמש בעיקר לייצור חשיש)</w:t>
            </w:r>
          </w:p>
        </w:tc>
        <w:tc>
          <w:tcPr>
            <w:tcW w:w="1606" w:type="dxa"/>
            <w:shd w:val="clear" w:color="auto" w:fill="auto"/>
          </w:tcPr>
          <w:p w:rsidR="00001232" w:rsidRPr="0093506E" w:rsidRDefault="00001232" w:rsidP="0093506E">
            <w:pPr>
              <w:pStyle w:val="a2"/>
              <w:spacing w:before="60" w:after="0" w:line="240" w:lineRule="auto"/>
              <w:rPr>
                <w:sz w:val="22"/>
                <w:szCs w:val="22"/>
                <w:rtl/>
              </w:rPr>
            </w:pPr>
            <w:r w:rsidRPr="0093506E">
              <w:rPr>
                <w:rFonts w:hint="cs"/>
                <w:sz w:val="22"/>
                <w:szCs w:val="22"/>
                <w:rtl/>
              </w:rPr>
              <w:t>15 גרם</w:t>
            </w:r>
          </w:p>
        </w:tc>
      </w:tr>
      <w:tr w:rsidR="00001232" w:rsidRPr="0093506E" w:rsidTr="0093506E">
        <w:trPr>
          <w:tblCellSpacing w:w="20" w:type="dxa"/>
          <w:jc w:val="center"/>
        </w:trPr>
        <w:tc>
          <w:tcPr>
            <w:tcW w:w="3946" w:type="dxa"/>
            <w:shd w:val="clear" w:color="auto" w:fill="auto"/>
          </w:tcPr>
          <w:p w:rsidR="00001232" w:rsidRPr="0093506E" w:rsidRDefault="00001232" w:rsidP="0093506E">
            <w:pPr>
              <w:pStyle w:val="a2"/>
              <w:spacing w:before="60" w:after="0" w:line="240" w:lineRule="auto"/>
              <w:rPr>
                <w:sz w:val="22"/>
                <w:szCs w:val="22"/>
                <w:rtl/>
              </w:rPr>
            </w:pPr>
            <w:r w:rsidRPr="0093506E">
              <w:rPr>
                <w:rFonts w:hint="cs"/>
                <w:sz w:val="22"/>
                <w:szCs w:val="22"/>
                <w:rtl/>
              </w:rPr>
              <w:t>אופיום</w:t>
            </w:r>
          </w:p>
        </w:tc>
        <w:tc>
          <w:tcPr>
            <w:tcW w:w="1606" w:type="dxa"/>
            <w:shd w:val="clear" w:color="auto" w:fill="auto"/>
          </w:tcPr>
          <w:p w:rsidR="00001232" w:rsidRPr="0093506E" w:rsidRDefault="00001232" w:rsidP="0093506E">
            <w:pPr>
              <w:pStyle w:val="a2"/>
              <w:spacing w:before="60" w:after="0" w:line="240" w:lineRule="auto"/>
              <w:rPr>
                <w:sz w:val="22"/>
                <w:szCs w:val="22"/>
                <w:rtl/>
              </w:rPr>
            </w:pPr>
            <w:r w:rsidRPr="0093506E">
              <w:rPr>
                <w:rFonts w:hint="cs"/>
                <w:sz w:val="22"/>
                <w:szCs w:val="22"/>
                <w:rtl/>
              </w:rPr>
              <w:t>2 גרם</w:t>
            </w:r>
          </w:p>
        </w:tc>
      </w:tr>
      <w:tr w:rsidR="00001232" w:rsidRPr="0093506E" w:rsidTr="0093506E">
        <w:trPr>
          <w:tblCellSpacing w:w="20" w:type="dxa"/>
          <w:jc w:val="center"/>
        </w:trPr>
        <w:tc>
          <w:tcPr>
            <w:tcW w:w="3946" w:type="dxa"/>
            <w:shd w:val="clear" w:color="auto" w:fill="auto"/>
          </w:tcPr>
          <w:p w:rsidR="00001232" w:rsidRPr="0093506E" w:rsidRDefault="00001232" w:rsidP="0093506E">
            <w:pPr>
              <w:pStyle w:val="a2"/>
              <w:spacing w:before="60" w:after="0" w:line="240" w:lineRule="auto"/>
              <w:rPr>
                <w:sz w:val="22"/>
                <w:szCs w:val="22"/>
                <w:rtl/>
              </w:rPr>
            </w:pPr>
            <w:r w:rsidRPr="0093506E">
              <w:rPr>
                <w:rFonts w:hint="cs"/>
                <w:sz w:val="22"/>
                <w:szCs w:val="22"/>
                <w:rtl/>
              </w:rPr>
              <w:t>קוקאין</w:t>
            </w:r>
          </w:p>
        </w:tc>
        <w:tc>
          <w:tcPr>
            <w:tcW w:w="1606" w:type="dxa"/>
            <w:shd w:val="clear" w:color="auto" w:fill="auto"/>
          </w:tcPr>
          <w:p w:rsidR="00001232" w:rsidRPr="0093506E" w:rsidRDefault="00001232" w:rsidP="0093506E">
            <w:pPr>
              <w:pStyle w:val="a2"/>
              <w:spacing w:before="60" w:after="0" w:line="240" w:lineRule="auto"/>
              <w:rPr>
                <w:sz w:val="22"/>
                <w:szCs w:val="22"/>
                <w:rtl/>
              </w:rPr>
            </w:pPr>
            <w:r w:rsidRPr="0093506E">
              <w:rPr>
                <w:rFonts w:hint="cs"/>
                <w:sz w:val="22"/>
                <w:szCs w:val="22"/>
                <w:rtl/>
              </w:rPr>
              <w:t>0.3 גרם</w:t>
            </w:r>
          </w:p>
        </w:tc>
      </w:tr>
      <w:tr w:rsidR="00001232" w:rsidRPr="0093506E" w:rsidTr="0093506E">
        <w:trPr>
          <w:tblCellSpacing w:w="20" w:type="dxa"/>
          <w:jc w:val="center"/>
        </w:trPr>
        <w:tc>
          <w:tcPr>
            <w:tcW w:w="3946" w:type="dxa"/>
            <w:shd w:val="clear" w:color="auto" w:fill="auto"/>
          </w:tcPr>
          <w:p w:rsidR="00001232" w:rsidRPr="0093506E" w:rsidRDefault="00001232" w:rsidP="0093506E">
            <w:pPr>
              <w:pStyle w:val="a2"/>
              <w:spacing w:before="60" w:after="0" w:line="240" w:lineRule="auto"/>
              <w:rPr>
                <w:sz w:val="22"/>
                <w:szCs w:val="22"/>
                <w:rtl/>
              </w:rPr>
            </w:pPr>
            <w:r w:rsidRPr="0093506E">
              <w:rPr>
                <w:rFonts w:hint="cs"/>
                <w:sz w:val="22"/>
                <w:szCs w:val="22"/>
                <w:rtl/>
              </w:rPr>
              <w:t>הרואין</w:t>
            </w:r>
          </w:p>
        </w:tc>
        <w:tc>
          <w:tcPr>
            <w:tcW w:w="1606" w:type="dxa"/>
            <w:shd w:val="clear" w:color="auto" w:fill="auto"/>
          </w:tcPr>
          <w:p w:rsidR="00001232" w:rsidRPr="0093506E" w:rsidRDefault="00001232" w:rsidP="0093506E">
            <w:pPr>
              <w:pStyle w:val="a2"/>
              <w:spacing w:before="60" w:after="0" w:line="240" w:lineRule="auto"/>
              <w:rPr>
                <w:sz w:val="22"/>
                <w:szCs w:val="22"/>
                <w:rtl/>
              </w:rPr>
            </w:pPr>
            <w:r w:rsidRPr="0093506E">
              <w:rPr>
                <w:rFonts w:hint="cs"/>
                <w:sz w:val="22"/>
                <w:szCs w:val="22"/>
                <w:rtl/>
              </w:rPr>
              <w:t>0.3 גרם</w:t>
            </w:r>
          </w:p>
        </w:tc>
      </w:tr>
      <w:tr w:rsidR="00001232" w:rsidRPr="0093506E" w:rsidTr="0093506E">
        <w:trPr>
          <w:tblCellSpacing w:w="20" w:type="dxa"/>
          <w:jc w:val="center"/>
        </w:trPr>
        <w:tc>
          <w:tcPr>
            <w:tcW w:w="3946" w:type="dxa"/>
            <w:shd w:val="clear" w:color="auto" w:fill="auto"/>
          </w:tcPr>
          <w:p w:rsidR="00001232" w:rsidRPr="0093506E" w:rsidRDefault="00001232" w:rsidP="0093506E">
            <w:pPr>
              <w:pStyle w:val="a2"/>
              <w:spacing w:before="60" w:after="0" w:line="240" w:lineRule="auto"/>
              <w:rPr>
                <w:sz w:val="22"/>
                <w:szCs w:val="22"/>
                <w:rtl/>
              </w:rPr>
            </w:pPr>
            <w:r w:rsidRPr="0093506E">
              <w:rPr>
                <w:rFonts w:hint="cs"/>
                <w:sz w:val="22"/>
                <w:szCs w:val="22"/>
                <w:rtl/>
              </w:rPr>
              <w:t>מתאדון</w:t>
            </w:r>
            <w:r w:rsidRPr="0093506E">
              <w:rPr>
                <w:rStyle w:val="ab"/>
                <w:sz w:val="22"/>
                <w:szCs w:val="22"/>
                <w:rtl/>
              </w:rPr>
              <w:footnoteReference w:id="133"/>
            </w:r>
          </w:p>
        </w:tc>
        <w:tc>
          <w:tcPr>
            <w:tcW w:w="1606" w:type="dxa"/>
            <w:shd w:val="clear" w:color="auto" w:fill="auto"/>
          </w:tcPr>
          <w:p w:rsidR="00001232" w:rsidRPr="0093506E" w:rsidRDefault="00001232" w:rsidP="0093506E">
            <w:pPr>
              <w:pStyle w:val="a2"/>
              <w:spacing w:before="60" w:after="0" w:line="240" w:lineRule="auto"/>
              <w:rPr>
                <w:sz w:val="22"/>
                <w:szCs w:val="22"/>
                <w:rtl/>
              </w:rPr>
            </w:pPr>
            <w:r w:rsidRPr="0093506E">
              <w:rPr>
                <w:rFonts w:hint="cs"/>
                <w:sz w:val="22"/>
                <w:szCs w:val="22"/>
                <w:rtl/>
              </w:rPr>
              <w:t>0.15 גרם נטו</w:t>
            </w:r>
            <w:r w:rsidRPr="0093506E">
              <w:rPr>
                <w:rStyle w:val="ab"/>
                <w:sz w:val="22"/>
                <w:szCs w:val="22"/>
                <w:rtl/>
              </w:rPr>
              <w:footnoteReference w:id="134"/>
            </w:r>
          </w:p>
        </w:tc>
      </w:tr>
      <w:tr w:rsidR="00001232" w:rsidRPr="0093506E" w:rsidTr="0093506E">
        <w:trPr>
          <w:tblCellSpacing w:w="20" w:type="dxa"/>
          <w:jc w:val="center"/>
        </w:trPr>
        <w:tc>
          <w:tcPr>
            <w:tcW w:w="3946" w:type="dxa"/>
            <w:shd w:val="clear" w:color="auto" w:fill="auto"/>
          </w:tcPr>
          <w:p w:rsidR="00001232" w:rsidRPr="0093506E" w:rsidRDefault="00001232" w:rsidP="0093506E">
            <w:pPr>
              <w:pStyle w:val="a2"/>
              <w:spacing w:before="60" w:after="0" w:line="240" w:lineRule="auto"/>
              <w:rPr>
                <w:sz w:val="22"/>
                <w:szCs w:val="22"/>
                <w:rtl/>
              </w:rPr>
            </w:pPr>
            <w:r w:rsidRPr="0093506E">
              <w:rPr>
                <w:rFonts w:hint="cs"/>
                <w:sz w:val="22"/>
                <w:szCs w:val="22"/>
                <w:rtl/>
              </w:rPr>
              <w:t>מורפין</w:t>
            </w:r>
          </w:p>
        </w:tc>
        <w:tc>
          <w:tcPr>
            <w:tcW w:w="1606" w:type="dxa"/>
            <w:shd w:val="clear" w:color="auto" w:fill="auto"/>
          </w:tcPr>
          <w:p w:rsidR="00001232" w:rsidRPr="0093506E" w:rsidRDefault="00001232" w:rsidP="0093506E">
            <w:pPr>
              <w:pStyle w:val="a2"/>
              <w:spacing w:before="60" w:after="0" w:line="240" w:lineRule="auto"/>
              <w:rPr>
                <w:sz w:val="22"/>
                <w:szCs w:val="22"/>
                <w:rtl/>
              </w:rPr>
            </w:pPr>
            <w:r w:rsidRPr="0093506E">
              <w:rPr>
                <w:rFonts w:hint="cs"/>
                <w:sz w:val="22"/>
                <w:szCs w:val="22"/>
                <w:rtl/>
              </w:rPr>
              <w:t>0.3 גרם נטו</w:t>
            </w:r>
          </w:p>
        </w:tc>
      </w:tr>
      <w:tr w:rsidR="00001232" w:rsidRPr="0093506E" w:rsidTr="0093506E">
        <w:trPr>
          <w:tblCellSpacing w:w="20" w:type="dxa"/>
          <w:jc w:val="center"/>
        </w:trPr>
        <w:tc>
          <w:tcPr>
            <w:tcW w:w="3946" w:type="dxa"/>
            <w:shd w:val="clear" w:color="auto" w:fill="auto"/>
          </w:tcPr>
          <w:p w:rsidR="00001232" w:rsidRPr="0093506E" w:rsidRDefault="00001232" w:rsidP="0093506E">
            <w:pPr>
              <w:pStyle w:val="a2"/>
              <w:spacing w:before="60" w:after="0" w:line="240" w:lineRule="auto"/>
              <w:rPr>
                <w:sz w:val="22"/>
                <w:szCs w:val="22"/>
                <w:rtl/>
              </w:rPr>
            </w:pPr>
            <w:r w:rsidRPr="0093506E">
              <w:rPr>
                <w:rFonts w:hint="cs"/>
                <w:sz w:val="22"/>
                <w:szCs w:val="22"/>
                <w:rtl/>
              </w:rPr>
              <w:t>פתידין</w:t>
            </w:r>
          </w:p>
        </w:tc>
        <w:tc>
          <w:tcPr>
            <w:tcW w:w="1606" w:type="dxa"/>
            <w:shd w:val="clear" w:color="auto" w:fill="auto"/>
          </w:tcPr>
          <w:p w:rsidR="00001232" w:rsidRPr="0093506E" w:rsidRDefault="00001232" w:rsidP="0093506E">
            <w:pPr>
              <w:pStyle w:val="a2"/>
              <w:spacing w:before="60" w:after="0" w:line="240" w:lineRule="auto"/>
              <w:rPr>
                <w:sz w:val="22"/>
                <w:szCs w:val="22"/>
                <w:rtl/>
              </w:rPr>
            </w:pPr>
            <w:r w:rsidRPr="0093506E">
              <w:rPr>
                <w:rFonts w:hint="cs"/>
                <w:sz w:val="22"/>
                <w:szCs w:val="22"/>
                <w:rtl/>
              </w:rPr>
              <w:t>1 גרם נטו</w:t>
            </w:r>
          </w:p>
        </w:tc>
      </w:tr>
      <w:tr w:rsidR="00001232" w:rsidRPr="0093506E" w:rsidTr="0093506E">
        <w:trPr>
          <w:tblCellSpacing w:w="20" w:type="dxa"/>
          <w:jc w:val="center"/>
        </w:trPr>
        <w:tc>
          <w:tcPr>
            <w:tcW w:w="3946" w:type="dxa"/>
            <w:shd w:val="clear" w:color="auto" w:fill="auto"/>
          </w:tcPr>
          <w:p w:rsidR="00001232" w:rsidRPr="0093506E" w:rsidRDefault="00001232" w:rsidP="0093506E">
            <w:pPr>
              <w:pStyle w:val="a2"/>
              <w:spacing w:before="60" w:after="0" w:line="240" w:lineRule="auto"/>
              <w:rPr>
                <w:sz w:val="22"/>
                <w:szCs w:val="22"/>
                <w:rtl/>
              </w:rPr>
            </w:pPr>
            <w:r w:rsidRPr="0093506E">
              <w:rPr>
                <w:rFonts w:hint="cs"/>
                <w:sz w:val="22"/>
                <w:szCs w:val="22"/>
                <w:rtl/>
              </w:rPr>
              <w:t>אמפטאמין</w:t>
            </w:r>
          </w:p>
        </w:tc>
        <w:tc>
          <w:tcPr>
            <w:tcW w:w="1606" w:type="dxa"/>
            <w:shd w:val="clear" w:color="auto" w:fill="auto"/>
          </w:tcPr>
          <w:p w:rsidR="00001232" w:rsidRPr="0093506E" w:rsidRDefault="00001232" w:rsidP="0093506E">
            <w:pPr>
              <w:pStyle w:val="a2"/>
              <w:spacing w:before="60" w:after="0" w:line="240" w:lineRule="auto"/>
              <w:rPr>
                <w:sz w:val="22"/>
                <w:szCs w:val="22"/>
                <w:rtl/>
              </w:rPr>
            </w:pPr>
            <w:r w:rsidRPr="0093506E">
              <w:rPr>
                <w:rFonts w:hint="cs"/>
                <w:sz w:val="22"/>
                <w:szCs w:val="22"/>
                <w:rtl/>
              </w:rPr>
              <w:t>0.2 גרם נטו</w:t>
            </w:r>
          </w:p>
        </w:tc>
      </w:tr>
      <w:tr w:rsidR="00001232" w:rsidRPr="0093506E" w:rsidTr="0093506E">
        <w:trPr>
          <w:tblCellSpacing w:w="20" w:type="dxa"/>
          <w:jc w:val="center"/>
        </w:trPr>
        <w:tc>
          <w:tcPr>
            <w:tcW w:w="3946" w:type="dxa"/>
            <w:shd w:val="clear" w:color="auto" w:fill="auto"/>
          </w:tcPr>
          <w:p w:rsidR="00001232" w:rsidRPr="0093506E" w:rsidRDefault="00001232" w:rsidP="0093506E">
            <w:pPr>
              <w:pStyle w:val="a2"/>
              <w:spacing w:before="60" w:after="0" w:line="240" w:lineRule="auto"/>
              <w:rPr>
                <w:sz w:val="22"/>
                <w:szCs w:val="22"/>
                <w:rtl/>
              </w:rPr>
            </w:pPr>
            <w:r w:rsidRPr="0093506E">
              <w:rPr>
                <w:rFonts w:hint="cs"/>
                <w:sz w:val="22"/>
                <w:szCs w:val="22"/>
                <w:rtl/>
              </w:rPr>
              <w:t>דכסאמפטאמין</w:t>
            </w:r>
          </w:p>
        </w:tc>
        <w:tc>
          <w:tcPr>
            <w:tcW w:w="1606" w:type="dxa"/>
            <w:shd w:val="clear" w:color="auto" w:fill="auto"/>
          </w:tcPr>
          <w:p w:rsidR="00001232" w:rsidRPr="0093506E" w:rsidRDefault="00001232" w:rsidP="0093506E">
            <w:pPr>
              <w:pStyle w:val="a2"/>
              <w:spacing w:before="60" w:after="0" w:line="240" w:lineRule="auto"/>
              <w:rPr>
                <w:sz w:val="22"/>
                <w:szCs w:val="22"/>
                <w:rtl/>
              </w:rPr>
            </w:pPr>
            <w:r w:rsidRPr="0093506E">
              <w:rPr>
                <w:rFonts w:hint="cs"/>
                <w:sz w:val="22"/>
                <w:szCs w:val="22"/>
                <w:rtl/>
              </w:rPr>
              <w:t>0.2 גרם נטו</w:t>
            </w:r>
          </w:p>
        </w:tc>
      </w:tr>
      <w:tr w:rsidR="00001232" w:rsidRPr="0093506E" w:rsidTr="0093506E">
        <w:trPr>
          <w:tblCellSpacing w:w="20" w:type="dxa"/>
          <w:jc w:val="center"/>
        </w:trPr>
        <w:tc>
          <w:tcPr>
            <w:tcW w:w="3946" w:type="dxa"/>
            <w:shd w:val="clear" w:color="auto" w:fill="auto"/>
          </w:tcPr>
          <w:p w:rsidR="00001232" w:rsidRPr="0093506E" w:rsidRDefault="00001232" w:rsidP="0093506E">
            <w:pPr>
              <w:pStyle w:val="a2"/>
              <w:spacing w:before="60" w:after="0" w:line="240" w:lineRule="auto"/>
              <w:rPr>
                <w:sz w:val="22"/>
                <w:szCs w:val="22"/>
                <w:rtl/>
              </w:rPr>
            </w:pPr>
            <w:r w:rsidRPr="0093506E">
              <w:rPr>
                <w:rFonts w:hint="cs"/>
                <w:sz w:val="22"/>
                <w:szCs w:val="22"/>
                <w:rtl/>
              </w:rPr>
              <w:t>מתאמפטאמין</w:t>
            </w:r>
            <w:r w:rsidR="007304AB" w:rsidRPr="0093506E">
              <w:rPr>
                <w:rFonts w:hint="cs"/>
                <w:sz w:val="22"/>
                <w:szCs w:val="22"/>
                <w:rtl/>
              </w:rPr>
              <w:t xml:space="preserve"> (יא-בה)</w:t>
            </w:r>
          </w:p>
        </w:tc>
        <w:tc>
          <w:tcPr>
            <w:tcW w:w="1606" w:type="dxa"/>
            <w:shd w:val="clear" w:color="auto" w:fill="auto"/>
          </w:tcPr>
          <w:p w:rsidR="00001232" w:rsidRPr="0093506E" w:rsidRDefault="00001232" w:rsidP="0093506E">
            <w:pPr>
              <w:pStyle w:val="a2"/>
              <w:spacing w:before="60" w:after="0" w:line="240" w:lineRule="auto"/>
              <w:rPr>
                <w:sz w:val="22"/>
                <w:szCs w:val="22"/>
                <w:rtl/>
              </w:rPr>
            </w:pPr>
            <w:r w:rsidRPr="0093506E">
              <w:rPr>
                <w:rFonts w:hint="cs"/>
                <w:sz w:val="22"/>
                <w:szCs w:val="22"/>
                <w:rtl/>
              </w:rPr>
              <w:t>0.2 גרם נטו</w:t>
            </w:r>
          </w:p>
        </w:tc>
      </w:tr>
    </w:tbl>
    <w:p w:rsidR="00001232" w:rsidRPr="00BB6388" w:rsidRDefault="00001232" w:rsidP="00001232">
      <w:pPr>
        <w:pStyle w:val="a2"/>
        <w:spacing w:line="360" w:lineRule="auto"/>
        <w:rPr>
          <w:rtl/>
        </w:rPr>
      </w:pPr>
    </w:p>
    <w:p w:rsidR="00322CAF" w:rsidRDefault="00322CAF" w:rsidP="00001232">
      <w:pPr>
        <w:pStyle w:val="a2"/>
        <w:spacing w:line="360" w:lineRule="auto"/>
        <w:rPr>
          <w:rtl/>
        </w:rPr>
      </w:pPr>
      <w:r w:rsidRPr="00BB6388">
        <w:rPr>
          <w:rtl/>
        </w:rPr>
        <w:t>פקודת הסמים המסוכנים [נוסח חדש], התשל"ג-1973</w:t>
      </w:r>
      <w:r w:rsidRPr="00BB6388">
        <w:rPr>
          <w:rFonts w:hint="cs"/>
          <w:rtl/>
        </w:rPr>
        <w:t>, עוסקת גם בביקורות ובחיפוש על גופו של אדם, בביתו הפרטי, במטענו או ברכבו; בהוראות לעניין החזקה מותרת על-ידי רוקח, רופא או וטרינר; בהוראות לעניין היתרי ייבוא וייצוא לצרכים רפואיים; בשפיטה ובעונשין ובהוראות להתקנת תקנות וצווים לביצוע הפקודה.</w:t>
      </w:r>
    </w:p>
    <w:p w:rsidR="00001232" w:rsidRPr="00BB6388" w:rsidRDefault="00001232" w:rsidP="00F05979">
      <w:pPr>
        <w:pStyle w:val="a2"/>
        <w:spacing w:line="360" w:lineRule="auto"/>
        <w:rPr>
          <w:rtl/>
        </w:rPr>
      </w:pPr>
      <w:r w:rsidRPr="00BB6388">
        <w:rPr>
          <w:rFonts w:hint="cs"/>
          <w:b/>
          <w:bCs/>
          <w:rtl/>
        </w:rPr>
        <w:t>משרד הבריאות הוא הרגולטור הממשלתי</w:t>
      </w:r>
      <w:r w:rsidRPr="00BB6388">
        <w:rPr>
          <w:rFonts w:hint="cs"/>
          <w:rtl/>
        </w:rPr>
        <w:t xml:space="preserve"> האמון על-פי חוק זה על נהלי היבוא, היצוא, הקנייה, ההחזקה, המכירה, החלוקה, הביקורת והפיקוח על סמים מסוכנים, וכן הסדרת מתן המרשמים להם, כמו-גם ההמלצה לוועדת העבודה</w:t>
      </w:r>
      <w:r w:rsidR="00724C23">
        <w:rPr>
          <w:rFonts w:hint="cs"/>
          <w:rtl/>
        </w:rPr>
        <w:t>,</w:t>
      </w:r>
      <w:r w:rsidRPr="00BB6388">
        <w:rPr>
          <w:rFonts w:hint="cs"/>
          <w:rtl/>
        </w:rPr>
        <w:t xml:space="preserve"> הרווחה והבריאות של הכנסת על שינוי רשימות החומרים שבתוספות לפקודה. </w:t>
      </w:r>
      <w:r>
        <w:rPr>
          <w:rFonts w:hint="cs"/>
          <w:rtl/>
        </w:rPr>
        <w:t>עוד</w:t>
      </w:r>
      <w:r w:rsidRPr="00BB6388">
        <w:rPr>
          <w:rFonts w:hint="cs"/>
          <w:rtl/>
        </w:rPr>
        <w:t xml:space="preserve"> על פעילותו בנושא בפרק </w:t>
      </w:r>
      <w:r w:rsidR="00F05979">
        <w:rPr>
          <w:rFonts w:hint="cs"/>
          <w:rtl/>
        </w:rPr>
        <w:t>3</w:t>
      </w:r>
      <w:r w:rsidRPr="00BB6388">
        <w:rPr>
          <w:rFonts w:hint="cs"/>
          <w:rtl/>
        </w:rPr>
        <w:t>.</w:t>
      </w:r>
      <w:r w:rsidR="00F05979">
        <w:rPr>
          <w:rFonts w:hint="cs"/>
          <w:rtl/>
        </w:rPr>
        <w:t>4</w:t>
      </w:r>
      <w:r w:rsidRPr="00BB6388">
        <w:rPr>
          <w:rFonts w:hint="cs"/>
          <w:rtl/>
        </w:rPr>
        <w:t xml:space="preserve">.2 במסמך </w:t>
      </w:r>
      <w:r>
        <w:rPr>
          <w:rFonts w:hint="cs"/>
          <w:rtl/>
        </w:rPr>
        <w:t>זה</w:t>
      </w:r>
      <w:r w:rsidRPr="00BB6388">
        <w:rPr>
          <w:rFonts w:hint="cs"/>
          <w:rtl/>
        </w:rPr>
        <w:t>.</w:t>
      </w:r>
    </w:p>
    <w:p w:rsidR="00904FC1" w:rsidRPr="00BB6388" w:rsidRDefault="00001232" w:rsidP="00904FC1">
      <w:pPr>
        <w:pStyle w:val="3"/>
        <w:rPr>
          <w:rtl/>
        </w:rPr>
      </w:pPr>
      <w:bookmarkStart w:id="126" w:name="_Toc418585091"/>
      <w:bookmarkStart w:id="127" w:name="_Toc419054664"/>
      <w:bookmarkStart w:id="128" w:name="_Toc419358771"/>
      <w:bookmarkStart w:id="129" w:name="_Toc421697047"/>
      <w:bookmarkStart w:id="130" w:name="_Toc353961992"/>
      <w:r w:rsidRPr="00BB6388">
        <w:rPr>
          <w:rFonts w:hint="cs"/>
          <w:rtl/>
        </w:rPr>
        <w:t>חוק המאבק בתופעת השימוש בחומרים מְסַכְּניִם, התשע"ג-2013</w:t>
      </w:r>
      <w:bookmarkEnd w:id="126"/>
      <w:bookmarkEnd w:id="127"/>
      <w:bookmarkEnd w:id="128"/>
      <w:bookmarkEnd w:id="129"/>
    </w:p>
    <w:p w:rsidR="00A808E5" w:rsidRDefault="00001232" w:rsidP="00904FC1">
      <w:pPr>
        <w:pStyle w:val="a2"/>
        <w:rPr>
          <w:rtl/>
        </w:rPr>
      </w:pPr>
      <w:r w:rsidRPr="00BB6388">
        <w:rPr>
          <w:rFonts w:hint="cs"/>
          <w:rtl/>
        </w:rPr>
        <w:t>ב- 6 באוגוסט 2013 פורסם בספר החוקים חוק המאבק בתופעת השימוש בחומרים מְסַכְּניִם, התשע"ג-2013.</w:t>
      </w:r>
      <w:r w:rsidRPr="00BB6388">
        <w:rPr>
          <w:rStyle w:val="ab"/>
          <w:rtl/>
        </w:rPr>
        <w:footnoteReference w:id="135"/>
      </w:r>
      <w:r w:rsidRPr="00BB6388">
        <w:rPr>
          <w:rFonts w:hint="cs"/>
          <w:rtl/>
        </w:rPr>
        <w:t xml:space="preserve"> החוק נכנס לתוקפו ב- 13 באוגוסט 2013. מטרתו היא </w:t>
      </w:r>
      <w:r w:rsidRPr="00904FC1">
        <w:rPr>
          <w:rFonts w:hint="cs"/>
          <w:b/>
          <w:bCs/>
          <w:rtl/>
        </w:rPr>
        <w:t xml:space="preserve">מתן מענה לתופעת השיווק והשימוש בחומרים בעלי השפעות מזיקות, המיוצרים ומופצים באופן גלוי וזאת מאחר והם אינם כלולים בפקודת הסמים </w:t>
      </w:r>
      <w:r w:rsidRPr="0066403E">
        <w:rPr>
          <w:rFonts w:hint="cs"/>
          <w:b/>
          <w:bCs/>
          <w:rtl/>
        </w:rPr>
        <w:t>המסוכנים [נוסח חדש], התשל"ג-1973</w:t>
      </w:r>
      <w:r w:rsidRPr="00BB6388">
        <w:rPr>
          <w:rFonts w:hint="cs"/>
          <w:rtl/>
        </w:rPr>
        <w:t>.</w:t>
      </w:r>
      <w:r w:rsidRPr="00BB6388">
        <w:rPr>
          <w:rStyle w:val="ab"/>
          <w:rtl/>
        </w:rPr>
        <w:footnoteReference w:id="136"/>
      </w:r>
      <w:r w:rsidRPr="00BB6388">
        <w:rPr>
          <w:rFonts w:hint="cs"/>
          <w:rtl/>
        </w:rPr>
        <w:t xml:space="preserve"> </w:t>
      </w:r>
      <w:r w:rsidR="00A808E5">
        <w:rPr>
          <w:rFonts w:hint="cs"/>
          <w:rtl/>
        </w:rPr>
        <w:t>הדוגמא המוכרת ביותר לחומרים מסוג זה היא זו של 'סמי פיצוציות'</w:t>
      </w:r>
      <w:r w:rsidR="0051384F">
        <w:rPr>
          <w:rFonts w:hint="cs"/>
          <w:rtl/>
        </w:rPr>
        <w:t>.</w:t>
      </w:r>
      <w:r w:rsidR="00A808E5">
        <w:rPr>
          <w:rFonts w:hint="cs"/>
          <w:rtl/>
        </w:rPr>
        <w:t xml:space="preserve"> </w:t>
      </w:r>
    </w:p>
    <w:p w:rsidR="00001232" w:rsidRPr="00BB6388" w:rsidRDefault="00001232" w:rsidP="00904FC1">
      <w:pPr>
        <w:pStyle w:val="a2"/>
        <w:rPr>
          <w:rtl/>
        </w:rPr>
      </w:pPr>
      <w:r w:rsidRPr="00BB6388">
        <w:rPr>
          <w:rFonts w:hint="cs"/>
          <w:rtl/>
        </w:rPr>
        <w:t xml:space="preserve">עיקרו של החוק הוא הרחבת סמכויות התפיסה וההשמדה של חומרים החשודים כמסכנים, קביעתו של הליך מהיר להכרזת חומרים כ'חומרים אסורים בהפצה', וההליך הנדרש להשלמת חקיקתם של חומרים אלו כחלק מרשימת הסמים המצויינים בפקודה. </w:t>
      </w:r>
    </w:p>
    <w:p w:rsidR="00001232" w:rsidRPr="00BB6388" w:rsidRDefault="00001232" w:rsidP="00001232">
      <w:pPr>
        <w:pStyle w:val="a2"/>
        <w:spacing w:line="360" w:lineRule="auto"/>
        <w:rPr>
          <w:rtl/>
        </w:rPr>
      </w:pPr>
      <w:r w:rsidRPr="00BB6388">
        <w:rPr>
          <w:rFonts w:hint="cs"/>
          <w:rtl/>
        </w:rPr>
        <w:t>החוק מגדיר 'חומר מסכן' כחומר המיועד לשימושו של אדם (באמצעות אכילה, שתייה, הזרקה וכד'), שאינו מסומן באופן המעיד על כל רכיביו, וש"על-פי פרסומו ברבים, השימוש בו גורם למשתמש לתופעות הדומות לתופעות הנגרמות כתוצאה מהשימוש בסם מסוכן."</w:t>
      </w:r>
      <w:r w:rsidRPr="00BB6388">
        <w:rPr>
          <w:rStyle w:val="ab"/>
          <w:rtl/>
        </w:rPr>
        <w:footnoteReference w:id="137"/>
      </w:r>
    </w:p>
    <w:p w:rsidR="00001232" w:rsidRPr="00BB6388" w:rsidRDefault="00001232" w:rsidP="001065B6">
      <w:pPr>
        <w:pStyle w:val="a2"/>
        <w:spacing w:line="360" w:lineRule="auto"/>
        <w:rPr>
          <w:rtl/>
        </w:rPr>
      </w:pPr>
      <w:r w:rsidRPr="00BB6388">
        <w:rPr>
          <w:rFonts w:hint="cs"/>
          <w:rtl/>
        </w:rPr>
        <w:t>בהינתן חשד סביר כי חומר הוא מסכן, רשאי מנכ"ל משרד הבריאות, וזאת בהתייעצות עם יו"ר הרשות הלאומית למלחמה בסמים ועם מפכ"ל משטרת ישראל, לאסור על הפצתו לציבור  באמצעות 'הכרזה דחופה' הקובעת כי הוא חומר אסור בהפצה. ההכרזה נכנסת לתוקפה עם פרסומה ברשומות, וזאת למשך 12 חודשים בלבד.</w:t>
      </w:r>
      <w:r w:rsidRPr="00BB6388">
        <w:rPr>
          <w:rStyle w:val="ab"/>
          <w:rtl/>
        </w:rPr>
        <w:footnoteReference w:id="138"/>
      </w:r>
      <w:r w:rsidRPr="00BB6388">
        <w:rPr>
          <w:rFonts w:hint="cs"/>
          <w:rtl/>
        </w:rPr>
        <w:t xml:space="preserve"> במהלך תקופה זו על משרד הבריאות לפעול להוספת החומר לתוספת הראשונה שבפקודת הסמים, כפי ש</w:t>
      </w:r>
      <w:r w:rsidR="0051384F">
        <w:rPr>
          <w:rFonts w:hint="cs"/>
          <w:rtl/>
        </w:rPr>
        <w:t>י</w:t>
      </w:r>
      <w:r w:rsidRPr="00BB6388">
        <w:rPr>
          <w:rFonts w:hint="cs"/>
          <w:rtl/>
        </w:rPr>
        <w:t xml:space="preserve">תואר </w:t>
      </w:r>
      <w:r w:rsidR="0051384F">
        <w:rPr>
          <w:rFonts w:hint="cs"/>
          <w:rtl/>
        </w:rPr>
        <w:t>להלן</w:t>
      </w:r>
      <w:r w:rsidRPr="00BB6388">
        <w:rPr>
          <w:rFonts w:hint="cs"/>
          <w:rtl/>
        </w:rPr>
        <w:t xml:space="preserve"> בסעיף </w:t>
      </w:r>
      <w:r w:rsidR="001065B6">
        <w:rPr>
          <w:rFonts w:hint="cs"/>
          <w:rtl/>
        </w:rPr>
        <w:t>3.4.2</w:t>
      </w:r>
      <w:r w:rsidRPr="00BB6388">
        <w:rPr>
          <w:rFonts w:hint="cs"/>
          <w:rtl/>
        </w:rPr>
        <w:t xml:space="preserve"> של המסמך. ברגע שהחומר נכלל בתוספת הראשונה, תוקפה של ההכרזה הדחופה  פוקע. היה והחומר לא הוכנס לתוספת במהלך התקופה המוגדרת בחוק, ניתן להכריז עליו כחומר מסכן פעם נוספת, והפעם לשלושה חודשים בלבד, וזאת רק באישורה של וועדת העבודה</w:t>
      </w:r>
      <w:r w:rsidR="0051384F">
        <w:rPr>
          <w:rFonts w:hint="cs"/>
          <w:rtl/>
        </w:rPr>
        <w:t>,</w:t>
      </w:r>
      <w:r w:rsidRPr="00BB6388">
        <w:rPr>
          <w:rFonts w:hint="cs"/>
          <w:rtl/>
        </w:rPr>
        <w:t xml:space="preserve"> והרווחה והבריאות של הכנסת.</w:t>
      </w:r>
      <w:r w:rsidRPr="00BB6388">
        <w:rPr>
          <w:rStyle w:val="ab"/>
          <w:rtl/>
        </w:rPr>
        <w:t xml:space="preserve"> </w:t>
      </w:r>
      <w:r w:rsidRPr="00BB6388">
        <w:rPr>
          <w:rStyle w:val="ab"/>
          <w:rtl/>
        </w:rPr>
        <w:footnoteReference w:id="139"/>
      </w:r>
    </w:p>
    <w:p w:rsidR="00001232" w:rsidRDefault="00001232" w:rsidP="00001232">
      <w:pPr>
        <w:pStyle w:val="a2"/>
        <w:spacing w:line="360" w:lineRule="auto"/>
        <w:rPr>
          <w:rtl/>
        </w:rPr>
      </w:pPr>
      <w:r>
        <w:rPr>
          <w:rFonts w:hint="cs"/>
          <w:rtl/>
        </w:rPr>
        <w:t xml:space="preserve">פרק ב' של החוק מעניק גם סמכויות למשטרה בדבר </w:t>
      </w:r>
      <w:r w:rsidRPr="00BB6388">
        <w:rPr>
          <w:rFonts w:hint="cs"/>
          <w:rtl/>
        </w:rPr>
        <w:t>תפיסת והשמדת חומרים מסכנים</w:t>
      </w:r>
      <w:r>
        <w:rPr>
          <w:rFonts w:hint="cs"/>
          <w:rtl/>
        </w:rPr>
        <w:t xml:space="preserve">. סמכויות אלו הן </w:t>
      </w:r>
      <w:r w:rsidRPr="005A4093">
        <w:rPr>
          <w:rFonts w:hint="cs"/>
          <w:rtl/>
        </w:rPr>
        <w:t>בגדר</w:t>
      </w:r>
      <w:r w:rsidRPr="005A4093">
        <w:rPr>
          <w:rtl/>
        </w:rPr>
        <w:t xml:space="preserve"> </w:t>
      </w:r>
      <w:r w:rsidRPr="005A4093">
        <w:rPr>
          <w:rFonts w:hint="eastAsia"/>
          <w:rtl/>
        </w:rPr>
        <w:t>הוראת</w:t>
      </w:r>
      <w:r w:rsidRPr="005A4093">
        <w:rPr>
          <w:rtl/>
        </w:rPr>
        <w:t xml:space="preserve"> </w:t>
      </w:r>
      <w:r w:rsidRPr="005A4093">
        <w:rPr>
          <w:rFonts w:hint="eastAsia"/>
          <w:rtl/>
        </w:rPr>
        <w:t>שעה</w:t>
      </w:r>
      <w:r w:rsidRPr="005A4093">
        <w:rPr>
          <w:rtl/>
        </w:rPr>
        <w:t xml:space="preserve"> </w:t>
      </w:r>
      <w:r w:rsidRPr="005A4093">
        <w:rPr>
          <w:rFonts w:hint="eastAsia"/>
          <w:rtl/>
        </w:rPr>
        <w:t>לשלוש</w:t>
      </w:r>
      <w:r w:rsidRPr="005A4093">
        <w:rPr>
          <w:rtl/>
        </w:rPr>
        <w:t xml:space="preserve"> </w:t>
      </w:r>
      <w:r w:rsidRPr="005A4093">
        <w:rPr>
          <w:rFonts w:hint="eastAsia"/>
          <w:rtl/>
        </w:rPr>
        <w:t>שנים</w:t>
      </w:r>
      <w:r>
        <w:rPr>
          <w:rFonts w:hint="cs"/>
          <w:rtl/>
        </w:rPr>
        <w:t>.</w:t>
      </w:r>
      <w:r>
        <w:rPr>
          <w:rStyle w:val="ab"/>
          <w:rtl/>
        </w:rPr>
        <w:footnoteReference w:id="140"/>
      </w:r>
    </w:p>
    <w:p w:rsidR="00001232" w:rsidRDefault="00001232" w:rsidP="00001232">
      <w:pPr>
        <w:pStyle w:val="a2"/>
        <w:spacing w:line="360" w:lineRule="auto"/>
        <w:rPr>
          <w:rtl/>
        </w:rPr>
      </w:pPr>
      <w:r w:rsidRPr="00BB6388">
        <w:rPr>
          <w:rFonts w:hint="cs"/>
          <w:rtl/>
        </w:rPr>
        <w:t>בדומה לפקודת הסמים המסוכנים,</w:t>
      </w:r>
      <w:r w:rsidRPr="00BB6388">
        <w:rPr>
          <w:rStyle w:val="ab"/>
          <w:rtl/>
        </w:rPr>
        <w:footnoteReference w:id="141"/>
      </w:r>
      <w:r w:rsidRPr="00BB6388">
        <w:rPr>
          <w:rFonts w:hint="cs"/>
          <w:rtl/>
        </w:rPr>
        <w:t xml:space="preserve"> גם חוק זה מתייחס ישירות לקטינים, וקובע כי מי שנותן לקטין חומר אסור בהפצה או משדל קטן להשיגו או לעשות בו שימוש </w:t>
      </w:r>
      <w:r w:rsidRPr="00BB6388">
        <w:rPr>
          <w:rtl/>
        </w:rPr>
        <w:t>–</w:t>
      </w:r>
      <w:r w:rsidRPr="00BB6388">
        <w:rPr>
          <w:rFonts w:hint="cs"/>
          <w:rtl/>
        </w:rPr>
        <w:t xml:space="preserve"> דינו מאסר חמש שנים.</w:t>
      </w:r>
    </w:p>
    <w:p w:rsidR="00001232" w:rsidRPr="00BB6388" w:rsidRDefault="00001232" w:rsidP="00001232">
      <w:pPr>
        <w:pStyle w:val="a2"/>
        <w:spacing w:line="360" w:lineRule="auto"/>
        <w:rPr>
          <w:rtl/>
        </w:rPr>
      </w:pPr>
      <w:r w:rsidRPr="00BB6388">
        <w:rPr>
          <w:rFonts w:hint="cs"/>
          <w:rtl/>
        </w:rPr>
        <w:t xml:space="preserve">האחראים ליישום החוק הם השר לביטחון הפנים ושר הבריאות, </w:t>
      </w:r>
      <w:r>
        <w:rPr>
          <w:rFonts w:hint="cs"/>
          <w:rtl/>
        </w:rPr>
        <w:t xml:space="preserve">אך הם חייבים בהסכמתו של שר המשפטים בבואם להתקין תקנות מתוקף חוק זה. </w:t>
      </w:r>
      <w:r w:rsidRPr="00BB6388">
        <w:rPr>
          <w:rFonts w:hint="cs"/>
          <w:rtl/>
        </w:rPr>
        <w:t>בנוסף, קובע החוק כי אחת לששה חודשים מיום התחילה של החוק על השר לביטחון הפנים ועל שר הבריאות לדווח לוועדת העבודה, הרווחה והבריאות של הכנסת על אופן ומידת השימוש בפועל בסמכויות שהוענקו להם.</w:t>
      </w:r>
      <w:r w:rsidRPr="00BB6388">
        <w:rPr>
          <w:rStyle w:val="ab"/>
          <w:rtl/>
        </w:rPr>
        <w:footnoteReference w:id="142"/>
      </w:r>
      <w:r>
        <w:rPr>
          <w:rFonts w:hint="cs"/>
          <w:rtl/>
        </w:rPr>
        <w:t xml:space="preserve"> </w:t>
      </w:r>
    </w:p>
    <w:p w:rsidR="00001232" w:rsidRDefault="00001232" w:rsidP="00EF0481">
      <w:pPr>
        <w:pStyle w:val="a2"/>
        <w:spacing w:line="360" w:lineRule="auto"/>
        <w:rPr>
          <w:rtl/>
        </w:rPr>
      </w:pPr>
      <w:r w:rsidRPr="00BB6388">
        <w:rPr>
          <w:rFonts w:hint="cs"/>
          <w:rtl/>
        </w:rPr>
        <w:t xml:space="preserve">נתונים על  יישום החוק ניתן למצוא בפרקים במסמך זה המוקדשים לפעילות המשטרה (פרק </w:t>
      </w:r>
      <w:r w:rsidR="00EF0481">
        <w:rPr>
          <w:rFonts w:hint="cs"/>
          <w:rtl/>
        </w:rPr>
        <w:t>3</w:t>
      </w:r>
      <w:r w:rsidRPr="00BB6388">
        <w:rPr>
          <w:rFonts w:hint="cs"/>
          <w:rtl/>
        </w:rPr>
        <w:t>.</w:t>
      </w:r>
      <w:r w:rsidR="00EF0481">
        <w:rPr>
          <w:rFonts w:hint="cs"/>
          <w:rtl/>
        </w:rPr>
        <w:t>2.3</w:t>
      </w:r>
      <w:r w:rsidRPr="00BB6388">
        <w:rPr>
          <w:rFonts w:hint="cs"/>
          <w:rtl/>
        </w:rPr>
        <w:t xml:space="preserve">) ולפעילות משרד הבריאות (פרק </w:t>
      </w:r>
      <w:r w:rsidR="00EF0481">
        <w:rPr>
          <w:rFonts w:hint="cs"/>
          <w:rtl/>
        </w:rPr>
        <w:t>3</w:t>
      </w:r>
      <w:r w:rsidRPr="00BB6388">
        <w:rPr>
          <w:rFonts w:hint="cs"/>
          <w:rtl/>
        </w:rPr>
        <w:t>.</w:t>
      </w:r>
      <w:r w:rsidR="00EF0481">
        <w:rPr>
          <w:rFonts w:hint="cs"/>
          <w:rtl/>
        </w:rPr>
        <w:t>4.2</w:t>
      </w:r>
      <w:r w:rsidRPr="00BB6388">
        <w:rPr>
          <w:rFonts w:hint="cs"/>
          <w:rtl/>
        </w:rPr>
        <w:t>).</w:t>
      </w:r>
    </w:p>
    <w:p w:rsidR="00001232" w:rsidRPr="00BB6388" w:rsidRDefault="00001232" w:rsidP="00001232">
      <w:pPr>
        <w:pStyle w:val="3"/>
        <w:numPr>
          <w:ilvl w:val="2"/>
          <w:numId w:val="1"/>
        </w:numPr>
        <w:ind w:left="357"/>
        <w:rPr>
          <w:rtl/>
        </w:rPr>
      </w:pPr>
      <w:bookmarkStart w:id="131" w:name="_Toc353961993"/>
      <w:bookmarkStart w:id="132" w:name="_Toc418585093"/>
      <w:bookmarkStart w:id="133" w:name="_Toc419054665"/>
      <w:bookmarkStart w:id="134" w:name="_Toc419358772"/>
      <w:bookmarkStart w:id="135" w:name="_Toc421697048"/>
      <w:bookmarkEnd w:id="130"/>
      <w:r w:rsidRPr="00BB6388">
        <w:rPr>
          <w:rFonts w:hint="cs"/>
          <w:rtl/>
        </w:rPr>
        <w:t>חוק הפיקוח על מוסדות לטיפול במשתמשים בסמים, התשנ"ג-1993</w:t>
      </w:r>
      <w:bookmarkEnd w:id="131"/>
      <w:r w:rsidRPr="00BB6388">
        <w:rPr>
          <w:rStyle w:val="ab"/>
          <w:sz w:val="24"/>
          <w:szCs w:val="24"/>
          <w:rtl/>
        </w:rPr>
        <w:footnoteReference w:id="143"/>
      </w:r>
      <w:bookmarkEnd w:id="132"/>
      <w:bookmarkEnd w:id="133"/>
      <w:bookmarkEnd w:id="134"/>
      <w:bookmarkEnd w:id="135"/>
      <w:r w:rsidRPr="00BB6388">
        <w:rPr>
          <w:rFonts w:hint="cs"/>
          <w:rtl/>
        </w:rPr>
        <w:t xml:space="preserve"> </w:t>
      </w:r>
    </w:p>
    <w:p w:rsidR="00001232" w:rsidRDefault="00001232" w:rsidP="00001232">
      <w:pPr>
        <w:spacing w:line="360" w:lineRule="auto"/>
        <w:rPr>
          <w:rtl/>
        </w:rPr>
      </w:pPr>
      <w:r w:rsidRPr="00BB6388">
        <w:rPr>
          <w:rtl/>
        </w:rPr>
        <w:t>חוק הפיקוח על מוסדות לטיפול במשתמשים בסמים, התשנ"ג-1993</w:t>
      </w:r>
      <w:r w:rsidRPr="00BB6388">
        <w:rPr>
          <w:rFonts w:hint="cs"/>
          <w:rtl/>
        </w:rPr>
        <w:t>,</w:t>
      </w:r>
      <w:r w:rsidRPr="00BB6388">
        <w:rPr>
          <w:rtl/>
        </w:rPr>
        <w:t xml:space="preserve"> </w:t>
      </w:r>
      <w:r w:rsidRPr="00BB6388">
        <w:rPr>
          <w:rFonts w:hint="cs"/>
          <w:b/>
          <w:bCs/>
          <w:rtl/>
        </w:rPr>
        <w:t>מסדיר את חובת הרישוי ש</w:t>
      </w:r>
      <w:r>
        <w:rPr>
          <w:rFonts w:hint="cs"/>
          <w:b/>
          <w:bCs/>
          <w:rtl/>
        </w:rPr>
        <w:t>ל מוסדות ה</w:t>
      </w:r>
      <w:r w:rsidRPr="00BB6388">
        <w:rPr>
          <w:rFonts w:hint="cs"/>
          <w:b/>
          <w:bCs/>
          <w:rtl/>
        </w:rPr>
        <w:t>עוסקים בטיפול במכורים לסמים</w:t>
      </w:r>
      <w:r w:rsidRPr="00BB6388">
        <w:rPr>
          <w:rFonts w:hint="cs"/>
          <w:rtl/>
        </w:rPr>
        <w:t xml:space="preserve">. על-פי חוק זה מתקיים פיקוח שוטף על מוסדות אלו, כדי להבטיח עמידה בסטנדרט טיפול נאות. </w:t>
      </w:r>
      <w:r>
        <w:rPr>
          <w:rFonts w:hint="cs"/>
          <w:rtl/>
        </w:rPr>
        <w:t xml:space="preserve">מכוח החוק קבעו שר הבריאות </w:t>
      </w:r>
      <w:r w:rsidRPr="00121735">
        <w:rPr>
          <w:rFonts w:hint="cs"/>
          <w:rtl/>
        </w:rPr>
        <w:t xml:space="preserve">כי המחלקה לטיפול בהתמכרויות במשרד הבריאות מפקחת על </w:t>
      </w:r>
      <w:r w:rsidRPr="00121735">
        <w:rPr>
          <w:rFonts w:hint="cs"/>
          <w:b/>
          <w:bCs/>
          <w:rtl/>
        </w:rPr>
        <w:t>המוסדות הרפואיים</w:t>
      </w:r>
      <w:r w:rsidRPr="00121735">
        <w:rPr>
          <w:rFonts w:hint="cs"/>
          <w:rtl/>
        </w:rPr>
        <w:t xml:space="preserve"> (אשפוזיות, מרכזי גמילה, מרכזים לטיפול תרופתי ממושך, מרכזים לטיפול בתחלואה כפולה) ושר הרווחה והשירותים החברתיים כי השירות לטיפול בהתמכרויות במשרד הרווחה והשירותים החברתיים מפקח על </w:t>
      </w:r>
      <w:r w:rsidRPr="00121735">
        <w:rPr>
          <w:rFonts w:hint="cs"/>
          <w:b/>
          <w:bCs/>
          <w:rtl/>
        </w:rPr>
        <w:t>המוסדות לטיפול פסיכוסוציאלי</w:t>
      </w:r>
      <w:r w:rsidRPr="00121735">
        <w:rPr>
          <w:rFonts w:hint="cs"/>
          <w:rtl/>
        </w:rPr>
        <w:t xml:space="preserve"> (אשפוזיות, מרכזי יום ויחידות עירוניות).</w:t>
      </w:r>
    </w:p>
    <w:p w:rsidR="00001232" w:rsidRPr="00BB6388" w:rsidRDefault="00001232" w:rsidP="00001232">
      <w:pPr>
        <w:spacing w:line="360" w:lineRule="auto"/>
        <w:rPr>
          <w:rtl/>
        </w:rPr>
      </w:pPr>
      <w:r w:rsidRPr="00BB6388">
        <w:rPr>
          <w:rFonts w:hint="cs"/>
          <w:rtl/>
        </w:rPr>
        <w:t xml:space="preserve">יצויין כי </w:t>
      </w:r>
      <w:r w:rsidRPr="00BB6388">
        <w:rPr>
          <w:rFonts w:hint="cs"/>
          <w:b/>
          <w:bCs/>
          <w:rtl/>
        </w:rPr>
        <w:t>עדיין אין חקיקה מקבילה לגבי מרכזי הטיפול בהתמכרות לאלכוהול.</w:t>
      </w:r>
      <w:r w:rsidRPr="00BB6388">
        <w:rPr>
          <w:rFonts w:hint="cs"/>
          <w:rtl/>
        </w:rPr>
        <w:t xml:space="preserve"> לפיכך, מוסדות לגמילה מאלכוהול אינם נדרשים לרישיון </w:t>
      </w:r>
      <w:r w:rsidR="00537BFB">
        <w:rPr>
          <w:rFonts w:hint="cs"/>
          <w:rtl/>
        </w:rPr>
        <w:t xml:space="preserve">בטוח? </w:t>
      </w:r>
      <w:r w:rsidRPr="00BB6388">
        <w:rPr>
          <w:rFonts w:hint="cs"/>
          <w:rtl/>
        </w:rPr>
        <w:t>ולא מתקיים בעניינם כל הליך רישוי מסודר. עם זאת, משרד הבריאות מפקח על כל מוסדות הגמילה מאלכוהול בהם ישנה פעילות רפואית.</w:t>
      </w:r>
      <w:r w:rsidRPr="00BB6388">
        <w:rPr>
          <w:rStyle w:val="ab"/>
          <w:rtl/>
        </w:rPr>
        <w:footnoteReference w:id="144"/>
      </w:r>
    </w:p>
    <w:p w:rsidR="00001232" w:rsidRPr="00BB6388" w:rsidRDefault="00001232" w:rsidP="00EF0481">
      <w:pPr>
        <w:spacing w:line="360" w:lineRule="auto"/>
      </w:pPr>
      <w:r w:rsidRPr="00BB6388">
        <w:rPr>
          <w:rFonts w:hint="cs"/>
          <w:rtl/>
        </w:rPr>
        <w:t xml:space="preserve">נתונים לגבי מספר מיטות ומוסדות האשפוז המוקדשים לגמילה תחת פיקוח משרד הבריאות ניתן למצוא בחלק מספר </w:t>
      </w:r>
      <w:r w:rsidR="00EF0481">
        <w:rPr>
          <w:rFonts w:hint="cs"/>
          <w:rtl/>
        </w:rPr>
        <w:t>3.4.1</w:t>
      </w:r>
      <w:r w:rsidRPr="00BB6388">
        <w:rPr>
          <w:rFonts w:hint="cs"/>
          <w:rtl/>
        </w:rPr>
        <w:t xml:space="preserve"> המוקדש לפעילות משרד הבריאות בנושא.</w:t>
      </w:r>
      <w:bookmarkStart w:id="136" w:name="_Toc418585095"/>
      <w:bookmarkStart w:id="137" w:name="_Toc419054667"/>
      <w:bookmarkStart w:id="138" w:name="_Toc419358774"/>
      <w:r w:rsidRPr="00BB6388">
        <w:rPr>
          <w:rFonts w:hint="cs"/>
          <w:rtl/>
        </w:rPr>
        <w:t xml:space="preserve"> </w:t>
      </w:r>
      <w:bookmarkEnd w:id="136"/>
      <w:bookmarkEnd w:id="137"/>
      <w:bookmarkEnd w:id="138"/>
    </w:p>
    <w:p w:rsidR="00480304" w:rsidRPr="00BB6388" w:rsidRDefault="00001232" w:rsidP="00FE1F63">
      <w:pPr>
        <w:pStyle w:val="2"/>
        <w:rPr>
          <w:rtl/>
        </w:rPr>
      </w:pPr>
      <w:bookmarkStart w:id="139" w:name="_Toc421697049"/>
      <w:r w:rsidRPr="00BB6388">
        <w:rPr>
          <w:rFonts w:hint="cs"/>
          <w:rtl/>
        </w:rPr>
        <w:t xml:space="preserve">חקיקה בתחום </w:t>
      </w:r>
      <w:r w:rsidR="00FE1F63">
        <w:rPr>
          <w:rFonts w:hint="cs"/>
          <w:rtl/>
        </w:rPr>
        <w:t>משקאות אלכוהוליים ושכרות</w:t>
      </w:r>
      <w:bookmarkEnd w:id="139"/>
    </w:p>
    <w:p w:rsidR="00001232" w:rsidRDefault="00001232" w:rsidP="00480304">
      <w:pPr>
        <w:pStyle w:val="a2"/>
        <w:rPr>
          <w:rtl/>
        </w:rPr>
      </w:pPr>
      <w:r w:rsidRPr="00BB6388">
        <w:rPr>
          <w:rFonts w:hint="cs"/>
          <w:rtl/>
        </w:rPr>
        <w:t xml:space="preserve">בפרק זה נסקרים </w:t>
      </w:r>
      <w:r w:rsidRPr="00BB6388">
        <w:rPr>
          <w:rtl/>
        </w:rPr>
        <w:t xml:space="preserve">חוק המאבק בתופעת השכרות, </w:t>
      </w:r>
      <w:r w:rsidRPr="00BB6388">
        <w:rPr>
          <w:rFonts w:hint="cs"/>
          <w:rtl/>
        </w:rPr>
        <w:t>(תיקון), התשע"ג-2013; ו</w:t>
      </w:r>
      <w:r w:rsidRPr="00BB6388">
        <w:rPr>
          <w:rtl/>
        </w:rPr>
        <w:t>חוק הגבלת הפרסומת והשיווק של משקאות אלכוהוליים, התשע"ב</w:t>
      </w:r>
      <w:r w:rsidRPr="00BB6388">
        <w:rPr>
          <w:rFonts w:hint="cs"/>
          <w:rtl/>
        </w:rPr>
        <w:t>-</w:t>
      </w:r>
      <w:r w:rsidRPr="00BB6388">
        <w:rPr>
          <w:rtl/>
        </w:rPr>
        <w:t>2012</w:t>
      </w:r>
      <w:r w:rsidRPr="00BB6388">
        <w:rPr>
          <w:rFonts w:hint="cs"/>
          <w:rtl/>
        </w:rPr>
        <w:t>.</w:t>
      </w:r>
    </w:p>
    <w:p w:rsidR="00904FC1" w:rsidRPr="00BB6388" w:rsidRDefault="00001232" w:rsidP="00904FC1">
      <w:pPr>
        <w:pStyle w:val="3"/>
        <w:rPr>
          <w:rtl/>
        </w:rPr>
      </w:pPr>
      <w:bookmarkStart w:id="140" w:name="_Toc353961996"/>
      <w:bookmarkStart w:id="141" w:name="_Toc418585097"/>
      <w:bookmarkStart w:id="142" w:name="_Toc419054668"/>
      <w:bookmarkStart w:id="143" w:name="_Toc419358775"/>
      <w:bookmarkStart w:id="144" w:name="_Toc421697050"/>
      <w:r w:rsidRPr="00B94AC1">
        <w:rPr>
          <w:rtl/>
        </w:rPr>
        <w:t>חוק המאבק בתופעת השכרות</w:t>
      </w:r>
      <w:r w:rsidRPr="00B94AC1">
        <w:rPr>
          <w:rFonts w:hint="cs"/>
          <w:rtl/>
        </w:rPr>
        <w:t>, התש"ע</w:t>
      </w:r>
      <w:bookmarkEnd w:id="140"/>
      <w:r w:rsidRPr="00B94AC1">
        <w:rPr>
          <w:rFonts w:hint="cs"/>
          <w:rtl/>
        </w:rPr>
        <w:t>-2010</w:t>
      </w:r>
      <w:r w:rsidRPr="00DC3038">
        <w:rPr>
          <w:rStyle w:val="ab"/>
          <w:b w:val="0"/>
          <w:bCs w:val="0"/>
          <w:sz w:val="24"/>
          <w:szCs w:val="24"/>
          <w:rtl/>
        </w:rPr>
        <w:footnoteReference w:id="145"/>
      </w:r>
      <w:bookmarkEnd w:id="141"/>
      <w:bookmarkEnd w:id="142"/>
      <w:bookmarkEnd w:id="143"/>
      <w:bookmarkEnd w:id="144"/>
    </w:p>
    <w:p w:rsidR="00001232" w:rsidRPr="00BB6388" w:rsidRDefault="00001232" w:rsidP="00904FC1">
      <w:pPr>
        <w:pStyle w:val="a2"/>
        <w:rPr>
          <w:rtl/>
        </w:rPr>
      </w:pPr>
      <w:r w:rsidRPr="00BB6388">
        <w:rPr>
          <w:rFonts w:hint="cs"/>
          <w:rtl/>
        </w:rPr>
        <w:t xml:space="preserve">החוק החל כהוראת שעה ב- 2010 והפך </w:t>
      </w:r>
      <w:r w:rsidRPr="00121735">
        <w:rPr>
          <w:rFonts w:hint="eastAsia"/>
          <w:rtl/>
        </w:rPr>
        <w:t>לחוק</w:t>
      </w:r>
      <w:r w:rsidRPr="00121735">
        <w:rPr>
          <w:rtl/>
        </w:rPr>
        <w:t xml:space="preserve"> </w:t>
      </w:r>
      <w:r w:rsidRPr="00121735">
        <w:rPr>
          <w:rFonts w:hint="eastAsia"/>
          <w:rtl/>
        </w:rPr>
        <w:t>קבוע</w:t>
      </w:r>
      <w:r w:rsidRPr="00BB6388">
        <w:rPr>
          <w:rFonts w:hint="cs"/>
          <w:rtl/>
        </w:rPr>
        <w:t xml:space="preserve"> ב- 1 במאי 2013.</w:t>
      </w:r>
      <w:r w:rsidRPr="00BB6388">
        <w:rPr>
          <w:rStyle w:val="ab"/>
          <w:rtl/>
        </w:rPr>
        <w:footnoteReference w:id="146"/>
      </w:r>
      <w:r w:rsidRPr="00BB6388">
        <w:rPr>
          <w:rFonts w:hint="cs"/>
          <w:rtl/>
        </w:rPr>
        <w:t xml:space="preserve"> החוק מעניק סמכות</w:t>
      </w:r>
      <w:r w:rsidRPr="00BB6388">
        <w:rPr>
          <w:rtl/>
        </w:rPr>
        <w:t xml:space="preserve"> לשוטר לתפוס ולהשמיד משקה משכר</w:t>
      </w:r>
      <w:r w:rsidRPr="00BB6388">
        <w:rPr>
          <w:rFonts w:hint="cs"/>
          <w:rtl/>
        </w:rPr>
        <w:t xml:space="preserve"> אם</w:t>
      </w:r>
      <w:r w:rsidRPr="00BB6388">
        <w:rPr>
          <w:rtl/>
        </w:rPr>
        <w:t xml:space="preserve"> יש לו יסוד סביר להניח כי </w:t>
      </w:r>
      <w:r w:rsidRPr="00BB6388">
        <w:rPr>
          <w:rFonts w:hint="cs"/>
          <w:rtl/>
        </w:rPr>
        <w:t>ה</w:t>
      </w:r>
      <w:r w:rsidRPr="00BB6388">
        <w:rPr>
          <w:rtl/>
        </w:rPr>
        <w:t xml:space="preserve">אדם </w:t>
      </w:r>
      <w:r w:rsidRPr="00BB6388">
        <w:rPr>
          <w:rFonts w:hint="cs"/>
          <w:rtl/>
        </w:rPr>
        <w:t xml:space="preserve">שהחזיק אותו </w:t>
      </w:r>
      <w:r w:rsidRPr="00BB6388">
        <w:rPr>
          <w:rtl/>
        </w:rPr>
        <w:t xml:space="preserve">שותה או מתכוון לשתות </w:t>
      </w:r>
      <w:r w:rsidRPr="00BB6388">
        <w:rPr>
          <w:rFonts w:hint="cs"/>
          <w:rtl/>
        </w:rPr>
        <w:t xml:space="preserve">אותו </w:t>
      </w:r>
      <w:r w:rsidRPr="00BB6388">
        <w:rPr>
          <w:rtl/>
        </w:rPr>
        <w:t>במקום ציבורי וכי שתיית המשקה עלולה להביא לפגיעה בסדר הציבורי</w:t>
      </w:r>
      <w:r w:rsidRPr="00BB6388">
        <w:rPr>
          <w:rFonts w:hint="cs"/>
          <w:rtl/>
        </w:rPr>
        <w:t>. החוק אינו חל</w:t>
      </w:r>
      <w:r w:rsidRPr="00BB6388">
        <w:rPr>
          <w:rtl/>
        </w:rPr>
        <w:t xml:space="preserve"> </w:t>
      </w:r>
      <w:r w:rsidRPr="00BB6388">
        <w:rPr>
          <w:rFonts w:hint="cs"/>
          <w:rtl/>
        </w:rPr>
        <w:t xml:space="preserve">במסעדות, בתי-קפה, ברים או </w:t>
      </w:r>
      <w:r w:rsidRPr="00BB6388">
        <w:rPr>
          <w:rtl/>
        </w:rPr>
        <w:t xml:space="preserve">מקומות שבהם נמכרים משקאות משכרים </w:t>
      </w:r>
      <w:r w:rsidRPr="00BB6388">
        <w:rPr>
          <w:rFonts w:hint="cs"/>
          <w:rtl/>
        </w:rPr>
        <w:t>לשם שתייתם</w:t>
      </w:r>
      <w:r w:rsidRPr="00BB6388">
        <w:rPr>
          <w:rtl/>
        </w:rPr>
        <w:t xml:space="preserve"> במקום.</w:t>
      </w:r>
      <w:r w:rsidRPr="00BB6388">
        <w:rPr>
          <w:rFonts w:hint="cs"/>
          <w:rtl/>
        </w:rPr>
        <w:t xml:space="preserve"> </w:t>
      </w:r>
      <w:r w:rsidRPr="00BB6388">
        <w:rPr>
          <w:rtl/>
        </w:rPr>
        <w:t xml:space="preserve">בכל הנוגע לקטינים, </w:t>
      </w:r>
      <w:r w:rsidRPr="00BB6388">
        <w:rPr>
          <w:rFonts w:hint="cs"/>
          <w:rtl/>
        </w:rPr>
        <w:t xml:space="preserve">הוקנו לשוטר </w:t>
      </w:r>
      <w:r w:rsidRPr="00BB6388">
        <w:rPr>
          <w:rtl/>
        </w:rPr>
        <w:t>סמכויות תפיסה והשמדה</w:t>
      </w:r>
      <w:r w:rsidRPr="00BB6388">
        <w:rPr>
          <w:rFonts w:hint="cs"/>
          <w:rtl/>
        </w:rPr>
        <w:t>,</w:t>
      </w:r>
      <w:r w:rsidRPr="00BB6388">
        <w:rPr>
          <w:rtl/>
        </w:rPr>
        <w:t xml:space="preserve"> גם </w:t>
      </w:r>
      <w:r w:rsidRPr="00BB6388">
        <w:rPr>
          <w:rFonts w:hint="cs"/>
          <w:rtl/>
        </w:rPr>
        <w:t xml:space="preserve">אם אין </w:t>
      </w:r>
      <w:r w:rsidRPr="00BB6388">
        <w:rPr>
          <w:rtl/>
        </w:rPr>
        <w:t>חשש להפרת הסדר הציבורי, כל עוד הקטין שותה משקה משכר שלא בנוכחות האחראי עליו ובהסכמתו, או שלא בחוג משפחתו.</w:t>
      </w:r>
      <w:r w:rsidRPr="00BB6388">
        <w:rPr>
          <w:rFonts w:hint="cs"/>
          <w:rtl/>
        </w:rPr>
        <w:t xml:space="preserve"> </w:t>
      </w:r>
    </w:p>
    <w:p w:rsidR="00001232" w:rsidRPr="00BB6388" w:rsidRDefault="00001232" w:rsidP="00AA645E">
      <w:pPr>
        <w:pStyle w:val="a2"/>
        <w:spacing w:line="360" w:lineRule="auto"/>
        <w:rPr>
          <w:rtl/>
        </w:rPr>
      </w:pPr>
      <w:r w:rsidRPr="00BB6388">
        <w:rPr>
          <w:rFonts w:hint="cs"/>
          <w:rtl/>
        </w:rPr>
        <w:t>הוראת השעה מ- 2010 קבעה כי על משרד הפנים לדווח לוועדת הפנים והגנת הסביבה ולוועדת החוקה</w:t>
      </w:r>
      <w:r w:rsidR="00AA645E">
        <w:rPr>
          <w:rFonts w:hint="cs"/>
          <w:rtl/>
        </w:rPr>
        <w:t>,</w:t>
      </w:r>
      <w:r w:rsidRPr="00BB6388">
        <w:rPr>
          <w:rFonts w:hint="cs"/>
          <w:rtl/>
        </w:rPr>
        <w:t xml:space="preserve"> חוק ומשפט בתום 18 חודשים ובתום 3 שנים מתחילתה, על השימוש שעשה בסמכויות שהקנה לו החוק. משהפכה ההוראה לחוק ב- 2013, נקבע בו כי הדיווחים יוגשו  אחת לשנה במשך שלוש השנים העוקבות מיום תחילתו.</w:t>
      </w:r>
      <w:r w:rsidRPr="00BB6388">
        <w:rPr>
          <w:rStyle w:val="ab"/>
          <w:rtl/>
        </w:rPr>
        <w:footnoteReference w:id="147"/>
      </w:r>
    </w:p>
    <w:p w:rsidR="00001232" w:rsidRPr="00BB6388" w:rsidRDefault="00001232" w:rsidP="001065B6">
      <w:pPr>
        <w:pStyle w:val="a2"/>
        <w:spacing w:line="360" w:lineRule="auto"/>
        <w:rPr>
          <w:rtl/>
        </w:rPr>
      </w:pPr>
      <w:r w:rsidRPr="00BB6388">
        <w:rPr>
          <w:rFonts w:hint="cs"/>
          <w:rtl/>
        </w:rPr>
        <w:t xml:space="preserve">מידע על יישום  החוק מוצג בפרק המוקדש לפעילות המשטרה, פרק </w:t>
      </w:r>
      <w:r w:rsidR="001065B6">
        <w:rPr>
          <w:rFonts w:hint="cs"/>
          <w:rtl/>
        </w:rPr>
        <w:t>3</w:t>
      </w:r>
      <w:r w:rsidRPr="00BB6388">
        <w:rPr>
          <w:rFonts w:hint="cs"/>
          <w:rtl/>
        </w:rPr>
        <w:t>.2.3.</w:t>
      </w:r>
      <w:bookmarkStart w:id="145" w:name="_Toc353961999"/>
      <w:bookmarkStart w:id="146" w:name="_Toc418585098"/>
    </w:p>
    <w:p w:rsidR="00001232" w:rsidRPr="00BB6388" w:rsidRDefault="00001232" w:rsidP="00001232">
      <w:pPr>
        <w:pStyle w:val="3"/>
        <w:numPr>
          <w:ilvl w:val="2"/>
          <w:numId w:val="1"/>
        </w:numPr>
        <w:ind w:left="357"/>
        <w:rPr>
          <w:rtl/>
        </w:rPr>
      </w:pPr>
      <w:bookmarkStart w:id="147" w:name="_Toc419054670"/>
      <w:bookmarkStart w:id="148" w:name="_Toc419358777"/>
      <w:bookmarkStart w:id="149" w:name="_Toc421697051"/>
      <w:r w:rsidRPr="00BB6388">
        <w:rPr>
          <w:rtl/>
        </w:rPr>
        <w:t>חוק הגבלת הפרסומת והשיווק של משקאות אלכוהוליים, התשע"ב</w:t>
      </w:r>
      <w:r w:rsidRPr="00BB6388">
        <w:rPr>
          <w:rFonts w:hint="cs"/>
          <w:rtl/>
        </w:rPr>
        <w:t>-</w:t>
      </w:r>
      <w:r w:rsidRPr="00BB6388">
        <w:rPr>
          <w:rtl/>
        </w:rPr>
        <w:t>2012</w:t>
      </w:r>
      <w:bookmarkEnd w:id="145"/>
      <w:r w:rsidRPr="00BB6388">
        <w:rPr>
          <w:rStyle w:val="ab"/>
          <w:sz w:val="24"/>
          <w:szCs w:val="24"/>
          <w:rtl/>
        </w:rPr>
        <w:footnoteReference w:id="148"/>
      </w:r>
      <w:bookmarkEnd w:id="146"/>
      <w:bookmarkEnd w:id="147"/>
      <w:bookmarkEnd w:id="148"/>
      <w:bookmarkEnd w:id="149"/>
    </w:p>
    <w:p w:rsidR="00001232" w:rsidRPr="00BB6388" w:rsidRDefault="00001232" w:rsidP="00001232">
      <w:pPr>
        <w:pStyle w:val="a2"/>
        <w:spacing w:line="360" w:lineRule="auto"/>
        <w:rPr>
          <w:rtl/>
        </w:rPr>
      </w:pPr>
      <w:r w:rsidRPr="00BB6388">
        <w:rPr>
          <w:rtl/>
        </w:rPr>
        <w:t>על-פי חוק</w:t>
      </w:r>
      <w:r w:rsidRPr="00BB6388">
        <w:rPr>
          <w:rFonts w:hint="cs"/>
          <w:rtl/>
        </w:rPr>
        <w:t xml:space="preserve"> זה</w:t>
      </w:r>
      <w:r w:rsidRPr="00BB6388">
        <w:rPr>
          <w:rtl/>
        </w:rPr>
        <w:t xml:space="preserve">, </w:t>
      </w:r>
      <w:r w:rsidRPr="00BB6388">
        <w:rPr>
          <w:rFonts w:hint="cs"/>
          <w:rtl/>
        </w:rPr>
        <w:t xml:space="preserve">יש לפרסם תוויות אזהרה על משקאות אלכוהוליים, אין לפרסם </w:t>
      </w:r>
      <w:r w:rsidRPr="00BB6388">
        <w:rPr>
          <w:rtl/>
        </w:rPr>
        <w:t>משקאות אלכוהוליים בשלטי חוצות</w:t>
      </w:r>
      <w:r w:rsidRPr="00BB6388">
        <w:rPr>
          <w:rFonts w:hint="cs"/>
          <w:rtl/>
        </w:rPr>
        <w:t xml:space="preserve">, על גבי </w:t>
      </w:r>
      <w:r w:rsidRPr="00BB6388">
        <w:rPr>
          <w:rtl/>
        </w:rPr>
        <w:t>אוטובוסים</w:t>
      </w:r>
      <w:r w:rsidRPr="00BB6388">
        <w:rPr>
          <w:rFonts w:hint="cs"/>
          <w:rtl/>
        </w:rPr>
        <w:t xml:space="preserve"> ובתחנות האוטובוסים, אסור</w:t>
      </w:r>
      <w:r w:rsidRPr="00BB6388">
        <w:rPr>
          <w:rtl/>
        </w:rPr>
        <w:t xml:space="preserve"> </w:t>
      </w:r>
      <w:r w:rsidRPr="00BB6388">
        <w:rPr>
          <w:rFonts w:hint="cs"/>
          <w:rtl/>
        </w:rPr>
        <w:t xml:space="preserve">להעניק </w:t>
      </w:r>
      <w:r w:rsidRPr="00BB6388">
        <w:rPr>
          <w:rtl/>
        </w:rPr>
        <w:t>משקאות משכרים כפרס בתוכנית המשודרת בטלוויזיה או ברדיו</w:t>
      </w:r>
      <w:r w:rsidRPr="00BB6388">
        <w:rPr>
          <w:rFonts w:hint="cs"/>
          <w:rtl/>
        </w:rPr>
        <w:t>.</w:t>
      </w:r>
      <w:r w:rsidRPr="00BB6388">
        <w:rPr>
          <w:rtl/>
        </w:rPr>
        <w:t xml:space="preserve"> </w:t>
      </w:r>
      <w:r w:rsidRPr="00BB6388">
        <w:rPr>
          <w:rFonts w:hint="cs"/>
          <w:rtl/>
        </w:rPr>
        <w:t xml:space="preserve">עוד חל איסור על הזכרת </w:t>
      </w:r>
      <w:r w:rsidRPr="00BB6388">
        <w:rPr>
          <w:rtl/>
        </w:rPr>
        <w:t>שמו של יצרן של משקאות משכרים כמי שמעניק פרס בתוכנית כז</w:t>
      </w:r>
      <w:r w:rsidRPr="00BB6388">
        <w:rPr>
          <w:rFonts w:hint="cs"/>
          <w:rtl/>
        </w:rPr>
        <w:t xml:space="preserve">את, ולבסוף, נקבע כי אין לפרסם </w:t>
      </w:r>
      <w:r w:rsidRPr="00BB6388">
        <w:rPr>
          <w:rtl/>
        </w:rPr>
        <w:t>משקאות משכרים בעיתונים ו</w:t>
      </w:r>
      <w:r w:rsidRPr="00BB6388">
        <w:rPr>
          <w:rFonts w:hint="cs"/>
          <w:rtl/>
        </w:rPr>
        <w:t>ב</w:t>
      </w:r>
      <w:r w:rsidRPr="00BB6388">
        <w:rPr>
          <w:rtl/>
        </w:rPr>
        <w:t>דברי דפוס המיועדים לקטינים</w:t>
      </w:r>
      <w:r w:rsidRPr="00BB6388">
        <w:rPr>
          <w:rFonts w:hint="cs"/>
          <w:rtl/>
        </w:rPr>
        <w:t xml:space="preserve"> ו</w:t>
      </w:r>
      <w:r w:rsidRPr="00BB6388">
        <w:rPr>
          <w:rtl/>
        </w:rPr>
        <w:t>בשידורי הרדיו והטלוויזיה המיועדים לקטינים</w:t>
      </w:r>
      <w:r w:rsidRPr="00BB6388">
        <w:rPr>
          <w:rFonts w:hint="cs"/>
          <w:rtl/>
        </w:rPr>
        <w:t>.</w:t>
      </w:r>
    </w:p>
    <w:p w:rsidR="00001232" w:rsidRPr="00BB6388" w:rsidRDefault="00001232" w:rsidP="008858D8">
      <w:pPr>
        <w:pStyle w:val="a2"/>
        <w:spacing w:line="360" w:lineRule="auto"/>
        <w:rPr>
          <w:rtl/>
        </w:rPr>
      </w:pPr>
      <w:r w:rsidRPr="00BB6388">
        <w:rPr>
          <w:rFonts w:hint="cs"/>
          <w:rtl/>
        </w:rPr>
        <w:t>החוק פורסם ברשומות ב- 30 בינואר 2012, אך תחילתו הותנתה באישורן של תקנות בדבר תוויות האזהרה שעל המשקאות בוועדת הכלכלה של הכנסת. נקבע בחוק כי תקנות אלו יוצגו בפני הוועדה תוך שלושה חודשים מיום פרסום החוק ברשומות,  והן הוצגו לראשונה בפני הוועדה ב- 9 ביולי 2012.</w:t>
      </w:r>
      <w:r w:rsidRPr="00BB6388">
        <w:rPr>
          <w:rStyle w:val="ab"/>
          <w:rtl/>
        </w:rPr>
        <w:footnoteReference w:id="149"/>
      </w:r>
      <w:r w:rsidRPr="00BB6388">
        <w:rPr>
          <w:rFonts w:hint="cs"/>
          <w:rtl/>
        </w:rPr>
        <w:t xml:space="preserve"> התקנות אושרו לבסוף בוועדה כשנה מאוחר יותר, ב- 30 ביולי 2013,</w:t>
      </w:r>
      <w:r w:rsidRPr="00BB6388">
        <w:rPr>
          <w:rStyle w:val="ab"/>
          <w:rtl/>
        </w:rPr>
        <w:footnoteReference w:id="150"/>
      </w:r>
      <w:r w:rsidRPr="00BB6388">
        <w:rPr>
          <w:rFonts w:hint="cs"/>
          <w:rtl/>
        </w:rPr>
        <w:t xml:space="preserve">  והחוק נכנס לתוקפו שלושה חודשים לאחר מכן.</w:t>
      </w:r>
      <w:r w:rsidRPr="00BB6388">
        <w:rPr>
          <w:rStyle w:val="ab"/>
          <w:rtl/>
        </w:rPr>
        <w:footnoteReference w:id="151"/>
      </w:r>
      <w:r w:rsidRPr="00BB6388">
        <w:rPr>
          <w:rFonts w:hint="cs"/>
          <w:rtl/>
        </w:rPr>
        <w:t xml:space="preserve"> החוק מבחין בין 'משקה משכר', המוגדר כ"משקה תוסס או אלכוהולי שנועד לצריכת אדם המכיל, בבדיקת מדגם ממנו, שני אחוזים או יותר אלכוהול לפי הנפח",</w:t>
      </w:r>
      <w:r w:rsidRPr="00BB6388">
        <w:rPr>
          <w:rStyle w:val="ab"/>
          <w:rtl/>
        </w:rPr>
        <w:footnoteReference w:id="152"/>
      </w:r>
      <w:r w:rsidRPr="00BB6388">
        <w:rPr>
          <w:rFonts w:hint="cs"/>
          <w:rtl/>
        </w:rPr>
        <w:t xml:space="preserve"> ובין 'משקה משכר חזק', שהוא משקה משכר המכיל יותר מ- 15.5% אלכוהול מנפחו,</w:t>
      </w:r>
      <w:r w:rsidRPr="00BB6388">
        <w:rPr>
          <w:rStyle w:val="ab"/>
          <w:rtl/>
        </w:rPr>
        <w:footnoteReference w:id="153"/>
      </w:r>
      <w:r w:rsidRPr="00BB6388">
        <w:rPr>
          <w:rFonts w:hint="cs"/>
          <w:rtl/>
        </w:rPr>
        <w:t xml:space="preserve"> והתקנות מאמצות הבחנה זו בין נוסחי אזהרה שונים עבור שני סוגי המשקאות.</w:t>
      </w:r>
      <w:r w:rsidRPr="00BB6388">
        <w:rPr>
          <w:rStyle w:val="ab"/>
          <w:rtl/>
        </w:rPr>
        <w:footnoteReference w:id="154"/>
      </w:r>
      <w:r w:rsidRPr="00BB6388">
        <w:rPr>
          <w:rFonts w:hint="cs"/>
          <w:rtl/>
        </w:rPr>
        <w:t xml:space="preserve"> החוק קובע כי ישומו  </w:t>
      </w:r>
      <w:r w:rsidR="008858D8">
        <w:rPr>
          <w:rFonts w:hint="cs"/>
          <w:rtl/>
        </w:rPr>
        <w:t>בנוגע ל</w:t>
      </w:r>
      <w:r w:rsidRPr="00BB6388">
        <w:rPr>
          <w:rFonts w:hint="cs"/>
          <w:rtl/>
        </w:rPr>
        <w:t xml:space="preserve">הדפסת והדבקת מדבקות האזהרה על משקאות משכרים חזקים יחול שנה מיום התחילה, ועל משקאות משכרים </w:t>
      </w:r>
      <w:r w:rsidRPr="00BB6388">
        <w:rPr>
          <w:rtl/>
        </w:rPr>
        <w:t>–</w:t>
      </w:r>
      <w:r w:rsidRPr="00BB6388">
        <w:rPr>
          <w:rFonts w:hint="cs"/>
          <w:rtl/>
        </w:rPr>
        <w:t xml:space="preserve"> שנתיים מיום התחילה.</w:t>
      </w:r>
    </w:p>
    <w:p w:rsidR="00001232" w:rsidRPr="00BB6388" w:rsidRDefault="00001232" w:rsidP="00EF0481">
      <w:pPr>
        <w:pStyle w:val="a2"/>
        <w:spacing w:line="360" w:lineRule="auto"/>
        <w:rPr>
          <w:rtl/>
        </w:rPr>
      </w:pPr>
      <w:r w:rsidRPr="00BB6388">
        <w:rPr>
          <w:rFonts w:hint="cs"/>
          <w:rtl/>
        </w:rPr>
        <w:t xml:space="preserve"> </w:t>
      </w:r>
      <w:r w:rsidRPr="00121735">
        <w:rPr>
          <w:rFonts w:hint="cs"/>
          <w:rtl/>
        </w:rPr>
        <w:t>שר הבריאות הוא הממונה על ביצוע החוק והוא רשאי להסמיך מפקחים שהחוק מקנה להם סמכויות להיכנס  למקומות ממכר, ייצור או החסנה של משקה משכר, להורות על איסור שיווק או העברה של מכלי משקה משכר, לערוך בדיקות או מדידות או לקחת דגימות.</w:t>
      </w:r>
      <w:r w:rsidRPr="00121735">
        <w:rPr>
          <w:rStyle w:val="ab"/>
          <w:rtl/>
        </w:rPr>
        <w:footnoteReference w:id="155"/>
      </w:r>
      <w:r w:rsidRPr="00121735">
        <w:rPr>
          <w:rFonts w:hint="cs"/>
          <w:rtl/>
        </w:rPr>
        <w:t xml:space="preserve"> בפועל, אגף הפיקוח והאכיפה במשרד הבריאות מפקח על ביצוע החוק. פעילותו של האגף נסקרת בפרק </w:t>
      </w:r>
      <w:r w:rsidR="00EF0481">
        <w:rPr>
          <w:rFonts w:hint="cs"/>
          <w:rtl/>
        </w:rPr>
        <w:t>3.4.2</w:t>
      </w:r>
      <w:r w:rsidRPr="00121735">
        <w:rPr>
          <w:rFonts w:hint="cs"/>
          <w:rtl/>
        </w:rPr>
        <w:t xml:space="preserve"> שבמסמך זה. יצויין כי מערכת הבטחון אינה כפופה לפיקוח</w:t>
      </w:r>
      <w:r w:rsidRPr="00BB6388">
        <w:rPr>
          <w:rFonts w:hint="cs"/>
          <w:rtl/>
        </w:rPr>
        <w:t xml:space="preserve"> זה.</w:t>
      </w:r>
      <w:r w:rsidRPr="00BB6388">
        <w:rPr>
          <w:rStyle w:val="ab"/>
          <w:rtl/>
        </w:rPr>
        <w:footnoteReference w:id="156"/>
      </w:r>
    </w:p>
    <w:p w:rsidR="00480304" w:rsidRPr="00BB6388" w:rsidRDefault="00001232" w:rsidP="00480304">
      <w:pPr>
        <w:pStyle w:val="2"/>
        <w:rPr>
          <w:rtl/>
        </w:rPr>
      </w:pPr>
      <w:bookmarkStart w:id="150" w:name="_Toc418585094"/>
      <w:bookmarkStart w:id="151" w:name="_Toc419054666"/>
      <w:bookmarkStart w:id="152" w:name="_Toc419358773"/>
      <w:bookmarkStart w:id="153" w:name="_Toc421697052"/>
      <w:r w:rsidRPr="00BB6388">
        <w:rPr>
          <w:rFonts w:hint="cs"/>
          <w:rtl/>
        </w:rPr>
        <w:t>חקיקה נוספת בתחום</w:t>
      </w:r>
      <w:bookmarkEnd w:id="150"/>
      <w:bookmarkEnd w:id="151"/>
      <w:bookmarkEnd w:id="152"/>
      <w:r w:rsidRPr="00BB6388">
        <w:rPr>
          <w:rFonts w:hint="cs"/>
          <w:rtl/>
        </w:rPr>
        <w:t xml:space="preserve"> הסמים והאלכוהול בישראל</w:t>
      </w:r>
      <w:bookmarkEnd w:id="153"/>
    </w:p>
    <w:p w:rsidR="00001232" w:rsidRDefault="00001232" w:rsidP="00480304">
      <w:pPr>
        <w:pStyle w:val="a2"/>
        <w:rPr>
          <w:rtl/>
        </w:rPr>
      </w:pPr>
      <w:r w:rsidRPr="00BB6388">
        <w:rPr>
          <w:rFonts w:hint="cs"/>
          <w:rtl/>
        </w:rPr>
        <w:t>מלבד החוקים שנסקרו לעיל, במהלך השנים שונו או הוספו סעיפי חקיקה העוסקים ישירות בתחום הסמים והאלכוהול לחוקים אחרים. חלקם נסקרים כאן, ובכלל זאת השינויים והתוספות לחוק העונשין, התשל"ז-1977; לפקודת העיריות [נוסח חדש]; פקודת התעבורה [נוסח חדש], התשכ"ב-1961; חוק המרשם הפלילי ותקנת השבים, התשמ"א-1981; פקודת הרוקחים [נוסח חדש], התשמ"א-1981; וחוק</w:t>
      </w:r>
      <w:r w:rsidRPr="00BB6388">
        <w:rPr>
          <w:rtl/>
        </w:rPr>
        <w:t xml:space="preserve"> רישוי עסקים, התש</w:t>
      </w:r>
      <w:r w:rsidRPr="00BB6388">
        <w:rPr>
          <w:rFonts w:hint="cs"/>
          <w:rtl/>
        </w:rPr>
        <w:t>כ</w:t>
      </w:r>
      <w:r w:rsidRPr="00BB6388">
        <w:rPr>
          <w:rtl/>
        </w:rPr>
        <w:t>"</w:t>
      </w:r>
      <w:r w:rsidRPr="00BB6388">
        <w:rPr>
          <w:rFonts w:hint="cs"/>
          <w:rtl/>
        </w:rPr>
        <w:t>ח-1968.</w:t>
      </w:r>
    </w:p>
    <w:p w:rsidR="00065C8E" w:rsidRPr="00BB6388" w:rsidRDefault="00065C8E" w:rsidP="00065C8E">
      <w:pPr>
        <w:pStyle w:val="3"/>
        <w:numPr>
          <w:ilvl w:val="2"/>
          <w:numId w:val="1"/>
        </w:numPr>
        <w:ind w:left="357"/>
        <w:rPr>
          <w:rtl/>
        </w:rPr>
      </w:pPr>
      <w:bookmarkStart w:id="154" w:name="_Toc421697053"/>
      <w:bookmarkStart w:id="155" w:name="_Toc353961998"/>
      <w:bookmarkEnd w:id="101"/>
      <w:bookmarkEnd w:id="102"/>
      <w:bookmarkEnd w:id="103"/>
      <w:r w:rsidRPr="00BB6388">
        <w:rPr>
          <w:rFonts w:hint="cs"/>
          <w:rtl/>
        </w:rPr>
        <w:t>חוק העונשין, התשל"ז-1977</w:t>
      </w:r>
      <w:r w:rsidRPr="00BB6388">
        <w:rPr>
          <w:rStyle w:val="ab"/>
          <w:rtl/>
        </w:rPr>
        <w:footnoteReference w:id="157"/>
      </w:r>
      <w:bookmarkEnd w:id="154"/>
    </w:p>
    <w:p w:rsidR="00065C8E" w:rsidRDefault="00065C8E" w:rsidP="008858D8">
      <w:pPr>
        <w:spacing w:afterLines="120" w:after="288" w:line="360" w:lineRule="auto"/>
        <w:rPr>
          <w:rtl/>
        </w:rPr>
      </w:pPr>
      <w:r w:rsidRPr="00BB6388">
        <w:rPr>
          <w:rFonts w:hint="cs"/>
          <w:rtl/>
        </w:rPr>
        <w:t xml:space="preserve">חוק זה הוא קוד הענישה לגבי עבירות פליליות במדינת ישראל. בהתייחס לסמים, מעניק סעיף 82 בחוק לבית המשפט את האפשרות להטיל צו מבחן לטיפול בקהילה למי שהורשעו, וגם כאלו שלא הורשעו, היה </w:t>
      </w:r>
      <w:r w:rsidRPr="00162C56">
        <w:rPr>
          <w:rFonts w:hint="cs"/>
          <w:rtl/>
        </w:rPr>
        <w:t>ונוכח בית המשפט כי הם משתמשים בסמים מסוכנים; סעיף 85 קובע כי  בית המשפט רשאי שלא להפעיל מאסר על תנאי נגד אדם שהורשע בעבירה נוספת, אלא להאריך את תקופת התנאי אם המורשע נמצא בטיפול למשתמשים בסמים או סיים טיפול כזה ובית המשפט שוכנע ש</w:t>
      </w:r>
      <w:r w:rsidR="00F567DD">
        <w:rPr>
          <w:rFonts w:hint="cs"/>
          <w:rtl/>
        </w:rPr>
        <w:t>ל</w:t>
      </w:r>
      <w:r w:rsidRPr="00162C56">
        <w:rPr>
          <w:rFonts w:hint="cs"/>
          <w:rtl/>
        </w:rPr>
        <w:t xml:space="preserve">א יהיה </w:t>
      </w:r>
      <w:r w:rsidR="00F567DD">
        <w:rPr>
          <w:rFonts w:hint="cs"/>
          <w:rtl/>
        </w:rPr>
        <w:t xml:space="preserve">זה </w:t>
      </w:r>
      <w:r w:rsidRPr="00162C56">
        <w:rPr>
          <w:rFonts w:hint="cs"/>
          <w:rtl/>
        </w:rPr>
        <w:t xml:space="preserve">צודק להפעיל את המאסר על תנאי </w:t>
      </w:r>
      <w:r w:rsidR="009B0AB2">
        <w:rPr>
          <w:rFonts w:hint="cs"/>
          <w:rtl/>
        </w:rPr>
        <w:t>מאחר ו</w:t>
      </w:r>
      <w:r w:rsidRPr="00162C56">
        <w:rPr>
          <w:rFonts w:hint="cs"/>
          <w:rtl/>
        </w:rPr>
        <w:t xml:space="preserve">הפעלת המאסר תסב לו נזק חמור </w:t>
      </w:r>
      <w:r w:rsidR="009B0AB2">
        <w:rPr>
          <w:rFonts w:hint="cs"/>
          <w:rtl/>
        </w:rPr>
        <w:t xml:space="preserve">שיפגע בסיכוייו לשיקום, וכי הארכת התנאי אינה מסכנת את </w:t>
      </w:r>
      <w:r w:rsidRPr="00162C56">
        <w:rPr>
          <w:rFonts w:hint="cs"/>
          <w:rtl/>
        </w:rPr>
        <w:t>שלום הציבור;</w:t>
      </w:r>
      <w:r w:rsidRPr="00BB6388">
        <w:rPr>
          <w:rFonts w:hint="cs"/>
          <w:rtl/>
        </w:rPr>
        <w:t xml:space="preserve"> בנוסף, הקנסות המוטלים על-פי פקודת הסמים נקבעים על-פי כפולות של קנסות הקבועים בחוק העונשין.</w:t>
      </w:r>
    </w:p>
    <w:p w:rsidR="00065C8E" w:rsidRPr="00D1301E" w:rsidRDefault="00065C8E" w:rsidP="008858D8">
      <w:pPr>
        <w:spacing w:afterLines="120" w:after="288" w:line="360" w:lineRule="auto"/>
        <w:rPr>
          <w:rtl/>
        </w:rPr>
      </w:pPr>
      <w:r w:rsidRPr="00BB6388">
        <w:rPr>
          <w:rFonts w:hint="cs"/>
          <w:rtl/>
        </w:rPr>
        <w:t xml:space="preserve">בהתייחס לאלכוהול עוסק סעיף 34ט (על תתי-סעיפיו) בשאלת האחריות הפלילית של אדם הנמצא במצב של שכרות למעשיו. סעיף 193 בחוק (על תתי-סעיפיו) עוסק בעונשי מאסר שונים בגין הפרעת סדר </w:t>
      </w:r>
      <w:r w:rsidRPr="00D1301E">
        <w:rPr>
          <w:rFonts w:hint="cs"/>
          <w:rtl/>
        </w:rPr>
        <w:t>בשטח ציבורי בזמן שכרות, החזקת נשק בזמן שכרות, מכירת משקה משכר למי שהוא כבר שיכור; סעיף 193א לחוק קובע עונשי מאסר למי שמשדל קטין לצרוך משקה משכר או מוכר לו משקה כזה, מתנה רישיון מכירת האלכוהול בהצגת הוראות סעיף זה, ועוד.</w:t>
      </w:r>
    </w:p>
    <w:p w:rsidR="00065C8E" w:rsidRDefault="00065C8E" w:rsidP="00643E36">
      <w:pPr>
        <w:spacing w:afterLines="120" w:after="288" w:line="360" w:lineRule="auto"/>
        <w:rPr>
          <w:rtl/>
        </w:rPr>
      </w:pPr>
      <w:r w:rsidRPr="00D1301E">
        <w:rPr>
          <w:rFonts w:hint="cs"/>
          <w:rtl/>
        </w:rPr>
        <w:t>בנוסף, סעיף 427</w:t>
      </w:r>
      <w:r w:rsidR="00643E36" w:rsidRPr="00D1301E" w:rsidDel="00643E36">
        <w:rPr>
          <w:rFonts w:hint="cs"/>
          <w:rtl/>
        </w:rPr>
        <w:t xml:space="preserve"> </w:t>
      </w:r>
      <w:r w:rsidRPr="00D1301E">
        <w:rPr>
          <w:rFonts w:hint="cs"/>
          <w:rtl/>
        </w:rPr>
        <w:t>(ב) לחוק קובע כי לעניין העבירה של סחיטה בכוח "דין המאכיל או המשקה סמים או משקאות משכרים כדין המשתמש בכוח."</w:t>
      </w:r>
    </w:p>
    <w:p w:rsidR="00065C8E" w:rsidRPr="00BB6388" w:rsidRDefault="00065C8E" w:rsidP="001F5BEB">
      <w:pPr>
        <w:pStyle w:val="3"/>
        <w:rPr>
          <w:rtl/>
        </w:rPr>
      </w:pPr>
      <w:bookmarkStart w:id="156" w:name="_Toc421697054"/>
      <w:r w:rsidRPr="00BB6388">
        <w:rPr>
          <w:rFonts w:hint="cs"/>
          <w:rtl/>
        </w:rPr>
        <w:t>פקודת העיריות [נוסח חדש]</w:t>
      </w:r>
      <w:r w:rsidRPr="001B19E6">
        <w:rPr>
          <w:rStyle w:val="ab"/>
          <w:b w:val="0"/>
          <w:bCs w:val="0"/>
          <w:rtl/>
        </w:rPr>
        <w:footnoteReference w:id="158"/>
      </w:r>
      <w:bookmarkEnd w:id="156"/>
    </w:p>
    <w:p w:rsidR="00065C8E" w:rsidRPr="00BB6388" w:rsidRDefault="00065C8E" w:rsidP="00643E36">
      <w:pPr>
        <w:spacing w:afterLines="120" w:after="288" w:line="360" w:lineRule="auto"/>
        <w:rPr>
          <w:rtl/>
        </w:rPr>
      </w:pPr>
      <w:r w:rsidRPr="00BB6388">
        <w:rPr>
          <w:rFonts w:hint="cs"/>
          <w:rtl/>
        </w:rPr>
        <w:t>פקודת העיריות מסדירה סוגיות בתחום הממשל המקומי. סעיף 149יא בפקודה קובע כי כל עירייה תקים ועדה למאבק בנגע הסמים המסוכנים, ו</w:t>
      </w:r>
      <w:r w:rsidRPr="00BB6388">
        <w:rPr>
          <w:rtl/>
        </w:rPr>
        <w:t xml:space="preserve">תפקידה </w:t>
      </w:r>
      <w:r w:rsidRPr="00BB6388">
        <w:rPr>
          <w:rFonts w:hint="cs"/>
          <w:rtl/>
        </w:rPr>
        <w:t>יהיה לתכנן ו</w:t>
      </w:r>
      <w:r w:rsidRPr="00BB6388">
        <w:rPr>
          <w:rtl/>
        </w:rPr>
        <w:t xml:space="preserve">ליזום </w:t>
      </w:r>
      <w:r w:rsidRPr="00BB6388">
        <w:rPr>
          <w:rFonts w:hint="cs"/>
          <w:rtl/>
        </w:rPr>
        <w:t>פעילות מניעה, חינוך והסברה וכן פעילות שיקום וטיפול. בנוסף לאנשי מקצוע מתחום הרווחה והחינוך ברשות המקומית, כוללת הוועדה גם נציג מהרשות הלאומית למלחמה בסמים ובאלכוהול.</w:t>
      </w:r>
    </w:p>
    <w:p w:rsidR="00065C8E" w:rsidRPr="00BB6388" w:rsidRDefault="00065C8E" w:rsidP="001F5BEB">
      <w:pPr>
        <w:pStyle w:val="3"/>
        <w:rPr>
          <w:rtl/>
        </w:rPr>
      </w:pPr>
      <w:bookmarkStart w:id="157" w:name="_Toc421697055"/>
      <w:r w:rsidRPr="00BB6388">
        <w:rPr>
          <w:rFonts w:hint="cs"/>
          <w:rtl/>
        </w:rPr>
        <w:t>פקודת התעבורה [נוסח חדש]</w:t>
      </w:r>
      <w:r w:rsidRPr="001B19E6">
        <w:rPr>
          <w:rStyle w:val="ab"/>
          <w:b w:val="0"/>
          <w:bCs w:val="0"/>
          <w:rtl/>
        </w:rPr>
        <w:footnoteReference w:id="159"/>
      </w:r>
      <w:bookmarkEnd w:id="157"/>
      <w:r w:rsidRPr="00BB6388">
        <w:rPr>
          <w:rFonts w:hint="cs"/>
          <w:rtl/>
        </w:rPr>
        <w:t xml:space="preserve"> </w:t>
      </w:r>
    </w:p>
    <w:p w:rsidR="00065C8E" w:rsidRPr="00BB6388" w:rsidRDefault="00065C8E" w:rsidP="0037139D">
      <w:pPr>
        <w:pStyle w:val="a2"/>
        <w:spacing w:line="360" w:lineRule="auto"/>
        <w:rPr>
          <w:rtl/>
        </w:rPr>
      </w:pPr>
      <w:r w:rsidRPr="00BB6388">
        <w:rPr>
          <w:rFonts w:hint="cs"/>
          <w:rtl/>
        </w:rPr>
        <w:t xml:space="preserve">בפקודת התעבורה מובאים כל חוקי התעבורה היבשתית של מדינת ישראל. בהתייחס לסמים, מציג סעיף 11א לחוק סייגים למתן רישיון נהיגה למי שהורשע בעבירה על-פי פקודת הסמים. </w:t>
      </w:r>
    </w:p>
    <w:p w:rsidR="00065C8E" w:rsidRDefault="00065C8E" w:rsidP="0037139D">
      <w:pPr>
        <w:pStyle w:val="a2"/>
        <w:spacing w:line="360" w:lineRule="auto"/>
        <w:rPr>
          <w:rtl/>
        </w:rPr>
      </w:pPr>
      <w:r w:rsidRPr="00BB6388">
        <w:rPr>
          <w:rFonts w:hint="cs"/>
          <w:rtl/>
        </w:rPr>
        <w:t>סעיף 39א מגדיר תקופות מינימום לפסילת רשיון נהיגה בעקבות נהיגה בשכרות (הן בשל אלכוהול והן בשל סמים); וסעיפים 64ב, 64ג ו- 64ד עוסק</w:t>
      </w:r>
      <w:r w:rsidR="0037139D">
        <w:rPr>
          <w:rFonts w:hint="cs"/>
          <w:rtl/>
        </w:rPr>
        <w:t>ים</w:t>
      </w:r>
      <w:r w:rsidRPr="00BB6388">
        <w:rPr>
          <w:rFonts w:hint="cs"/>
          <w:rtl/>
        </w:rPr>
        <w:t xml:space="preserve"> בבדיקות שכרות בעקבות צריכת סמים או אלכוהול.</w:t>
      </w:r>
    </w:p>
    <w:p w:rsidR="00065C8E" w:rsidRPr="00BB6388" w:rsidRDefault="00065C8E" w:rsidP="001F5BEB">
      <w:pPr>
        <w:pStyle w:val="3"/>
        <w:rPr>
          <w:rtl/>
        </w:rPr>
      </w:pPr>
      <w:bookmarkStart w:id="158" w:name="_Toc421697056"/>
      <w:r w:rsidRPr="00BB6388">
        <w:rPr>
          <w:rFonts w:hint="cs"/>
          <w:rtl/>
        </w:rPr>
        <w:t>חוק המרשם הפלילי ותקנת השבים, התשמ"א-1981</w:t>
      </w:r>
      <w:r w:rsidRPr="001B19E6">
        <w:rPr>
          <w:rStyle w:val="ab"/>
          <w:b w:val="0"/>
          <w:bCs w:val="0"/>
          <w:rtl/>
        </w:rPr>
        <w:footnoteReference w:id="160"/>
      </w:r>
      <w:bookmarkEnd w:id="158"/>
    </w:p>
    <w:p w:rsidR="00065C8E" w:rsidRPr="00BB6388" w:rsidRDefault="00065C8E" w:rsidP="0037139D">
      <w:pPr>
        <w:spacing w:afterLines="120" w:after="288" w:line="360" w:lineRule="auto"/>
        <w:rPr>
          <w:b/>
          <w:bCs/>
        </w:rPr>
      </w:pPr>
      <w:r w:rsidRPr="00BB6388">
        <w:rPr>
          <w:rFonts w:hint="cs"/>
          <w:rtl/>
        </w:rPr>
        <w:t>סעיף 10 בחוק קובע כי המשטרה תמסור לרשות הרישוי מידע מן המרשם הפלילי בדבר כל עבירה של בעל רישיון נהיגה הנוגעת לשימוש בסם מסוכן או להחזקת סם מסוכן לצריכה עצמית. החוק אינו מתייחס לעבירות הקשורות באלכוהול.</w:t>
      </w:r>
    </w:p>
    <w:p w:rsidR="00065C8E" w:rsidRPr="00BB6388" w:rsidRDefault="00065C8E" w:rsidP="001F5BEB">
      <w:pPr>
        <w:pStyle w:val="3"/>
        <w:rPr>
          <w:rtl/>
        </w:rPr>
      </w:pPr>
      <w:bookmarkStart w:id="159" w:name="_Toc421697057"/>
      <w:r w:rsidRPr="00BB6388">
        <w:rPr>
          <w:rFonts w:hint="cs"/>
          <w:rtl/>
        </w:rPr>
        <w:t>פקודת הרוקחים [נוסח חדש], התשמ"א-1981</w:t>
      </w:r>
      <w:r w:rsidRPr="001B19E6">
        <w:rPr>
          <w:rStyle w:val="ab"/>
          <w:b w:val="0"/>
          <w:bCs w:val="0"/>
          <w:rtl/>
        </w:rPr>
        <w:footnoteReference w:id="161"/>
      </w:r>
      <w:bookmarkEnd w:id="159"/>
    </w:p>
    <w:p w:rsidR="00435530" w:rsidRPr="005A5D30" w:rsidRDefault="00065C8E" w:rsidP="0028067D">
      <w:pPr>
        <w:spacing w:afterLines="120" w:after="288" w:line="360" w:lineRule="auto"/>
        <w:rPr>
          <w:rtl/>
        </w:rPr>
      </w:pPr>
      <w:r w:rsidRPr="00BB6388">
        <w:rPr>
          <w:rFonts w:hint="cs"/>
          <w:rtl/>
        </w:rPr>
        <w:t>סעיף 23. בפקודה</w:t>
      </w:r>
      <w:r w:rsidRPr="00BB6388">
        <w:rPr>
          <w:rFonts w:hint="cs"/>
          <w:b/>
          <w:bCs/>
          <w:rtl/>
        </w:rPr>
        <w:t xml:space="preserve"> </w:t>
      </w:r>
      <w:r w:rsidRPr="00BB6388">
        <w:rPr>
          <w:rFonts w:hint="cs"/>
          <w:rtl/>
        </w:rPr>
        <w:t xml:space="preserve">אוסר על רקיחת סמי מרפא או רעלים רפואיים בבית-מרקחת אלא בידי רוקח מורשה. </w:t>
      </w:r>
    </w:p>
    <w:p w:rsidR="00065C8E" w:rsidRPr="00BB6388" w:rsidRDefault="00065C8E" w:rsidP="00065C8E">
      <w:pPr>
        <w:pStyle w:val="3"/>
        <w:numPr>
          <w:ilvl w:val="2"/>
          <w:numId w:val="1"/>
        </w:numPr>
        <w:ind w:left="357"/>
        <w:rPr>
          <w:rtl/>
        </w:rPr>
      </w:pPr>
      <w:bookmarkStart w:id="160" w:name="_Toc353961995"/>
      <w:bookmarkStart w:id="161" w:name="_Toc418585096"/>
      <w:bookmarkStart w:id="162" w:name="_Toc419054669"/>
      <w:bookmarkStart w:id="163" w:name="_Toc419358776"/>
      <w:bookmarkStart w:id="164" w:name="_Toc421697058"/>
      <w:r w:rsidRPr="00BB6388">
        <w:rPr>
          <w:rFonts w:hint="cs"/>
          <w:rtl/>
        </w:rPr>
        <w:t>חוק</w:t>
      </w:r>
      <w:r w:rsidRPr="00BB6388">
        <w:rPr>
          <w:rtl/>
        </w:rPr>
        <w:t xml:space="preserve"> רישוי עסקים</w:t>
      </w:r>
      <w:r w:rsidRPr="00BB6388">
        <w:rPr>
          <w:rFonts w:hint="cs"/>
          <w:rtl/>
        </w:rPr>
        <w:t>, תשכ"ח-1968</w:t>
      </w:r>
      <w:bookmarkEnd w:id="160"/>
      <w:bookmarkEnd w:id="161"/>
      <w:r w:rsidRPr="001B19E6">
        <w:rPr>
          <w:rStyle w:val="ab"/>
          <w:b w:val="0"/>
          <w:bCs w:val="0"/>
          <w:rtl/>
        </w:rPr>
        <w:footnoteReference w:id="162"/>
      </w:r>
      <w:bookmarkEnd w:id="162"/>
      <w:bookmarkEnd w:id="163"/>
      <w:bookmarkEnd w:id="164"/>
      <w:r w:rsidRPr="001B19E6">
        <w:rPr>
          <w:rFonts w:hint="cs"/>
          <w:b w:val="0"/>
          <w:bCs w:val="0"/>
          <w:rtl/>
        </w:rPr>
        <w:t xml:space="preserve"> </w:t>
      </w:r>
    </w:p>
    <w:p w:rsidR="00065C8E" w:rsidRPr="00BB6388" w:rsidRDefault="00065C8E" w:rsidP="003516A9">
      <w:pPr>
        <w:pStyle w:val="a2"/>
        <w:spacing w:line="360" w:lineRule="auto"/>
        <w:rPr>
          <w:rtl/>
        </w:rPr>
      </w:pPr>
      <w:r w:rsidRPr="00A0441F">
        <w:rPr>
          <w:rFonts w:hint="eastAsia"/>
          <w:rtl/>
        </w:rPr>
        <w:t>סעיף</w:t>
      </w:r>
      <w:r w:rsidRPr="00A0441F">
        <w:rPr>
          <w:rtl/>
        </w:rPr>
        <w:t xml:space="preserve"> 2 </w:t>
      </w:r>
      <w:r w:rsidRPr="00A0441F">
        <w:rPr>
          <w:rFonts w:hint="eastAsia"/>
          <w:rtl/>
        </w:rPr>
        <w:t>בחוק</w:t>
      </w:r>
      <w:r w:rsidRPr="00A0441F">
        <w:rPr>
          <w:rtl/>
        </w:rPr>
        <w:t xml:space="preserve"> </w:t>
      </w:r>
      <w:r w:rsidR="00435530" w:rsidRPr="00A0441F">
        <w:rPr>
          <w:rFonts w:hint="cs"/>
          <w:rtl/>
        </w:rPr>
        <w:t>עוסק</w:t>
      </w:r>
      <w:r w:rsidRPr="00BB6388">
        <w:rPr>
          <w:rFonts w:hint="cs"/>
          <w:rtl/>
        </w:rPr>
        <w:t xml:space="preserve"> בפיקוח על עסקים המ</w:t>
      </w:r>
      <w:r w:rsidR="005233F5">
        <w:rPr>
          <w:rFonts w:hint="cs"/>
          <w:rtl/>
        </w:rPr>
        <w:t xml:space="preserve">וכרים משקאות משכרים, ובכללם </w:t>
      </w:r>
      <w:r w:rsidRPr="00BB6388">
        <w:rPr>
          <w:rFonts w:hint="cs"/>
          <w:rtl/>
        </w:rPr>
        <w:t xml:space="preserve">תיקון מס' 26 לחוק רישוי עסקים שנחקק במסגרת </w:t>
      </w:r>
      <w:r w:rsidRPr="00BB6388">
        <w:rPr>
          <w:rtl/>
        </w:rPr>
        <w:t>חוק המאבק בתופעת השכרות, התש"ע-2010</w:t>
      </w:r>
      <w:r w:rsidRPr="00BB6388">
        <w:rPr>
          <w:rFonts w:hint="cs"/>
          <w:rtl/>
        </w:rPr>
        <w:t>.</w:t>
      </w:r>
      <w:r w:rsidRPr="00BB6388">
        <w:rPr>
          <w:rStyle w:val="ab"/>
          <w:rtl/>
        </w:rPr>
        <w:footnoteReference w:id="163"/>
      </w:r>
      <w:r w:rsidRPr="00BB6388">
        <w:rPr>
          <w:rFonts w:hint="cs"/>
          <w:rtl/>
        </w:rPr>
        <w:t xml:space="preserve"> בין השאר, אוסר התיקון על מכירה, הגשה או אספקה של אלכוהול בשעות 06:00-23:00 למעט במסעדות, בתי-קפה, ברים או </w:t>
      </w:r>
      <w:r w:rsidRPr="00BB6388">
        <w:rPr>
          <w:rtl/>
        </w:rPr>
        <w:t>מקומות שבהם נמכרים משקאות משכרים לצריכה במקום.</w:t>
      </w:r>
      <w:r w:rsidRPr="00BB6388">
        <w:rPr>
          <w:rFonts w:hint="cs"/>
          <w:rtl/>
        </w:rPr>
        <w:t xml:space="preserve"> סעיף 23 מפרט את התנאים לסגירת עסק של מכירת משקאות משכרים. </w:t>
      </w:r>
    </w:p>
    <w:p w:rsidR="00480304" w:rsidRPr="00BB6388" w:rsidRDefault="00A0441F" w:rsidP="00480304">
      <w:pPr>
        <w:pStyle w:val="3"/>
        <w:numPr>
          <w:ilvl w:val="2"/>
          <w:numId w:val="1"/>
        </w:numPr>
        <w:ind w:left="357"/>
        <w:rPr>
          <w:rtl/>
        </w:rPr>
      </w:pPr>
      <w:bookmarkStart w:id="165" w:name="_Toc421697059"/>
      <w:r>
        <w:rPr>
          <w:rFonts w:hint="cs"/>
          <w:rtl/>
        </w:rPr>
        <w:t>תקנות משרד האוצר</w:t>
      </w:r>
      <w:r w:rsidR="001B19E6">
        <w:rPr>
          <w:rFonts w:hint="cs"/>
          <w:rtl/>
        </w:rPr>
        <w:t>: מס קניה</w:t>
      </w:r>
      <w:bookmarkEnd w:id="165"/>
    </w:p>
    <w:p w:rsidR="0045234B" w:rsidRDefault="00065C8E" w:rsidP="00CD1DB5">
      <w:pPr>
        <w:pStyle w:val="a2"/>
      </w:pPr>
      <w:r w:rsidRPr="00BB6388">
        <w:rPr>
          <w:rFonts w:hint="cs"/>
          <w:rtl/>
        </w:rPr>
        <w:t xml:space="preserve">מאחר ואלכוהול חוקי לצריכה בעבור בגירים, ניתן </w:t>
      </w:r>
      <w:r w:rsidR="0023261C">
        <w:rPr>
          <w:rFonts w:hint="cs"/>
          <w:rtl/>
        </w:rPr>
        <w:t xml:space="preserve">להטיל עליו מס קניה באמצעות תקנות משרד האוצר. כפי שמציין משרד האוצר, למס הקניה יעד עיקרי של הפנמת </w:t>
      </w:r>
      <w:r w:rsidR="00663118">
        <w:rPr>
          <w:rFonts w:hint="cs"/>
          <w:rtl/>
        </w:rPr>
        <w:t xml:space="preserve">ההשפעות </w:t>
      </w:r>
      <w:r w:rsidR="0023261C">
        <w:rPr>
          <w:rFonts w:hint="cs"/>
          <w:rtl/>
        </w:rPr>
        <w:t xml:space="preserve">הבריאותיות </w:t>
      </w:r>
      <w:r w:rsidR="00663118">
        <w:rPr>
          <w:rFonts w:hint="cs"/>
          <w:rtl/>
        </w:rPr>
        <w:t>הכרוכות בצריכת אלכוהול (כמו-גם סיגריות).</w:t>
      </w:r>
      <w:r w:rsidR="00663118" w:rsidRPr="00663118">
        <w:rPr>
          <w:rStyle w:val="ab"/>
          <w:rtl/>
        </w:rPr>
        <w:t xml:space="preserve"> </w:t>
      </w:r>
      <w:r w:rsidR="00663118" w:rsidRPr="00A0441F">
        <w:rPr>
          <w:rStyle w:val="ab"/>
          <w:rtl/>
        </w:rPr>
        <w:footnoteReference w:id="164"/>
      </w:r>
      <w:r w:rsidR="0045234B">
        <w:rPr>
          <w:rtl/>
        </w:rPr>
        <w:br w:type="page"/>
      </w:r>
    </w:p>
    <w:p w:rsidR="00E6672F" w:rsidRPr="00BB6388" w:rsidRDefault="00F17BA7" w:rsidP="006E2954">
      <w:pPr>
        <w:pStyle w:val="10"/>
        <w:rPr>
          <w:rtl/>
        </w:rPr>
      </w:pPr>
      <w:bookmarkStart w:id="166" w:name="_Toc421697060"/>
      <w:bookmarkEnd w:id="25"/>
      <w:bookmarkEnd w:id="26"/>
      <w:bookmarkEnd w:id="104"/>
      <w:bookmarkEnd w:id="105"/>
      <w:bookmarkEnd w:id="106"/>
      <w:bookmarkEnd w:id="155"/>
      <w:r>
        <w:rPr>
          <w:rFonts w:hint="cs"/>
          <w:rtl/>
        </w:rPr>
        <w:t>גופי</w:t>
      </w:r>
      <w:r w:rsidR="00F0603C" w:rsidRPr="00BB6388">
        <w:rPr>
          <w:rFonts w:hint="cs"/>
          <w:rtl/>
        </w:rPr>
        <w:t xml:space="preserve"> המדינה </w:t>
      </w:r>
      <w:r w:rsidR="006E2954">
        <w:rPr>
          <w:rFonts w:hint="cs"/>
          <w:rtl/>
        </w:rPr>
        <w:t>העוסקים בסמים ובאלכוהול</w:t>
      </w:r>
      <w:r w:rsidR="00F0603C" w:rsidRPr="00BB6388">
        <w:rPr>
          <w:rFonts w:hint="cs"/>
          <w:rtl/>
        </w:rPr>
        <w:t>: עיקרי פעילות</w:t>
      </w:r>
      <w:bookmarkEnd w:id="107"/>
      <w:bookmarkEnd w:id="108"/>
      <w:bookmarkEnd w:id="109"/>
      <w:bookmarkEnd w:id="166"/>
    </w:p>
    <w:p w:rsidR="00C270DC" w:rsidRPr="00BB6388" w:rsidRDefault="00F0603C" w:rsidP="008C2A7C">
      <w:pPr>
        <w:pStyle w:val="a2"/>
        <w:rPr>
          <w:rtl/>
        </w:rPr>
      </w:pPr>
      <w:r w:rsidRPr="00BB6388">
        <w:rPr>
          <w:rFonts w:hint="cs"/>
          <w:rtl/>
        </w:rPr>
        <w:t>רשויות מדינה שונות</w:t>
      </w:r>
      <w:r w:rsidR="00C270DC" w:rsidRPr="00BB6388">
        <w:rPr>
          <w:rFonts w:hint="cs"/>
          <w:rtl/>
        </w:rPr>
        <w:t xml:space="preserve"> שותפ</w:t>
      </w:r>
      <w:r w:rsidRPr="00BB6388">
        <w:rPr>
          <w:rFonts w:hint="cs"/>
          <w:rtl/>
        </w:rPr>
        <w:t>ות</w:t>
      </w:r>
      <w:r w:rsidR="00C270DC" w:rsidRPr="00BB6388">
        <w:rPr>
          <w:rFonts w:hint="cs"/>
          <w:rtl/>
        </w:rPr>
        <w:t xml:space="preserve"> לפעילות החקיקה, האכיפה</w:t>
      </w:r>
      <w:r w:rsidRPr="00BB6388">
        <w:rPr>
          <w:rFonts w:hint="cs"/>
          <w:rtl/>
        </w:rPr>
        <w:t>, המניעה</w:t>
      </w:r>
      <w:r w:rsidR="00C270DC" w:rsidRPr="00BB6388">
        <w:rPr>
          <w:rFonts w:hint="cs"/>
          <w:rtl/>
        </w:rPr>
        <w:t xml:space="preserve"> והטיפול בתחום החומ</w:t>
      </w:r>
      <w:r w:rsidR="008C2A7C">
        <w:rPr>
          <w:rFonts w:hint="cs"/>
          <w:rtl/>
        </w:rPr>
        <w:t>רים הפסיכואקטיביים בישראל</w:t>
      </w:r>
      <w:r w:rsidR="00C270DC" w:rsidRPr="00BB6388">
        <w:rPr>
          <w:rFonts w:hint="cs"/>
          <w:rtl/>
        </w:rPr>
        <w:t xml:space="preserve">. הפרק בוחן </w:t>
      </w:r>
      <w:r w:rsidR="008C2A7C">
        <w:rPr>
          <w:rFonts w:hint="cs"/>
          <w:rtl/>
        </w:rPr>
        <w:t>היבטים מרכזיים</w:t>
      </w:r>
      <w:r w:rsidR="00C270DC" w:rsidRPr="00BB6388">
        <w:rPr>
          <w:rFonts w:hint="cs"/>
          <w:rtl/>
        </w:rPr>
        <w:t xml:space="preserve"> </w:t>
      </w:r>
      <w:r w:rsidR="008C2A7C">
        <w:rPr>
          <w:rFonts w:hint="cs"/>
          <w:rtl/>
        </w:rPr>
        <w:t xml:space="preserve">בפעילות זו </w:t>
      </w:r>
      <w:r w:rsidR="00C270DC" w:rsidRPr="00BB6388">
        <w:rPr>
          <w:rFonts w:hint="cs"/>
          <w:rtl/>
        </w:rPr>
        <w:t>וכן מציג פרוט תקציבי במקרים המתאימים</w:t>
      </w:r>
      <w:r w:rsidR="008C2A7C">
        <w:rPr>
          <w:rFonts w:hint="cs"/>
          <w:rtl/>
        </w:rPr>
        <w:t xml:space="preserve">, וזאת במטרה להציג את </w:t>
      </w:r>
      <w:r w:rsidR="00D01B7F">
        <w:rPr>
          <w:rFonts w:hint="cs"/>
          <w:rtl/>
        </w:rPr>
        <w:t>תחומי עיסוקן של הרשויות השונות</w:t>
      </w:r>
      <w:r w:rsidR="00C270DC" w:rsidRPr="00BB6388">
        <w:rPr>
          <w:rFonts w:hint="cs"/>
          <w:rtl/>
        </w:rPr>
        <w:t>. הגופים שייסקרו בפרק הם:</w:t>
      </w:r>
    </w:p>
    <w:p w:rsidR="00C270DC" w:rsidRPr="00BB6388" w:rsidRDefault="00C270DC" w:rsidP="00DC2DB0">
      <w:pPr>
        <w:pStyle w:val="a2"/>
        <w:numPr>
          <w:ilvl w:val="0"/>
          <w:numId w:val="10"/>
        </w:numPr>
        <w:spacing w:line="360" w:lineRule="auto"/>
        <w:rPr>
          <w:b/>
          <w:bCs/>
        </w:rPr>
      </w:pPr>
      <w:r w:rsidRPr="00BB6388">
        <w:rPr>
          <w:rFonts w:hint="cs"/>
          <w:b/>
          <w:bCs/>
          <w:rtl/>
        </w:rPr>
        <w:t>הוועדה המיוחדת של הכנסת למאבק בנגעי הסמים והאלכוהול</w:t>
      </w:r>
      <w:r w:rsidRPr="00BB6388">
        <w:rPr>
          <w:rFonts w:hint="cs"/>
          <w:rtl/>
        </w:rPr>
        <w:t>, הפועלת עם הגורמים השונים בתחום ובין תחומי עיסוקה נכללים מדיניות ציבורית ופיקוח וליווי פעילות הגופים הרשמיים השונים העוסקים בתחום.</w:t>
      </w:r>
    </w:p>
    <w:p w:rsidR="00C270DC" w:rsidRPr="00BB6388" w:rsidRDefault="00C270DC" w:rsidP="00DC2DB0">
      <w:pPr>
        <w:pStyle w:val="a2"/>
        <w:numPr>
          <w:ilvl w:val="0"/>
          <w:numId w:val="10"/>
        </w:numPr>
        <w:spacing w:line="360" w:lineRule="auto"/>
        <w:rPr>
          <w:b/>
          <w:bCs/>
          <w:rtl/>
        </w:rPr>
      </w:pPr>
      <w:r w:rsidRPr="00BB6388">
        <w:rPr>
          <w:rFonts w:hint="cs"/>
          <w:b/>
          <w:bCs/>
          <w:rtl/>
        </w:rPr>
        <w:t>המשרד לביטחון הפנים</w:t>
      </w:r>
      <w:r w:rsidRPr="00BB6388">
        <w:rPr>
          <w:rFonts w:hint="cs"/>
          <w:rtl/>
        </w:rPr>
        <w:t xml:space="preserve">, במסגרתו פועלות </w:t>
      </w:r>
      <w:r w:rsidRPr="00BB6388">
        <w:rPr>
          <w:rFonts w:hint="cs"/>
          <w:b/>
          <w:bCs/>
          <w:rtl/>
        </w:rPr>
        <w:t>הרשות הלאומית למלחמה בסמים ואלכוהול</w:t>
      </w:r>
      <w:r w:rsidR="006E49CE" w:rsidRPr="00BB6388">
        <w:rPr>
          <w:rFonts w:hint="cs"/>
          <w:b/>
          <w:bCs/>
          <w:rtl/>
        </w:rPr>
        <w:t xml:space="preserve"> </w:t>
      </w:r>
      <w:r w:rsidR="006E49CE" w:rsidRPr="00BB6388">
        <w:rPr>
          <w:rFonts w:hint="cs"/>
          <w:rtl/>
        </w:rPr>
        <w:t xml:space="preserve">(להלן </w:t>
      </w:r>
      <w:r w:rsidR="006E49CE" w:rsidRPr="00BB6388">
        <w:rPr>
          <w:rtl/>
        </w:rPr>
        <w:t>–</w:t>
      </w:r>
      <w:r w:rsidR="006E49CE" w:rsidRPr="00BB6388">
        <w:rPr>
          <w:rFonts w:hint="cs"/>
          <w:rtl/>
        </w:rPr>
        <w:t xml:space="preserve"> הרשות)</w:t>
      </w:r>
      <w:r w:rsidRPr="00BB6388">
        <w:rPr>
          <w:rFonts w:hint="cs"/>
          <w:rtl/>
        </w:rPr>
        <w:t>, שהיא הגוף המרכזי במדינת ישראל המוביל את המאבק בסמים ואלכוהול, קובע מדיניות לאומית ומתאם את ביצועה על-ידי משרדי הממשלה השונים</w:t>
      </w:r>
      <w:r w:rsidR="006E49CE" w:rsidRPr="00BB6388">
        <w:rPr>
          <w:rFonts w:hint="cs"/>
          <w:rtl/>
        </w:rPr>
        <w:t xml:space="preserve">; </w:t>
      </w:r>
      <w:r w:rsidRPr="00BB6388">
        <w:rPr>
          <w:rFonts w:hint="cs"/>
          <w:b/>
          <w:bCs/>
          <w:rtl/>
        </w:rPr>
        <w:t>התוכנית הלאומית לצמצום הצריכה המופרזת של אלכוהול ולצמצום נזקיו</w:t>
      </w:r>
      <w:r w:rsidR="006E49CE" w:rsidRPr="00BB6388">
        <w:rPr>
          <w:rFonts w:hint="cs"/>
          <w:rtl/>
        </w:rPr>
        <w:t>, המתואמת על-ידי הרשות</w:t>
      </w:r>
      <w:r w:rsidRPr="00BB6388">
        <w:rPr>
          <w:rFonts w:hint="cs"/>
          <w:rtl/>
        </w:rPr>
        <w:t xml:space="preserve">; </w:t>
      </w:r>
      <w:r w:rsidRPr="00BB6388">
        <w:rPr>
          <w:rFonts w:hint="cs"/>
          <w:b/>
          <w:bCs/>
          <w:rtl/>
        </w:rPr>
        <w:t xml:space="preserve">משטרת ישראל, </w:t>
      </w:r>
      <w:r w:rsidRPr="00BB6388">
        <w:rPr>
          <w:rFonts w:hint="cs"/>
          <w:rtl/>
        </w:rPr>
        <w:t>שעיסוקה בנושא הוא בעיקר בתחום האכיפה של החוקים שהוצגו; וה</w:t>
      </w:r>
      <w:r w:rsidRPr="00BB6388">
        <w:rPr>
          <w:rFonts w:hint="cs"/>
          <w:b/>
          <w:bCs/>
          <w:rtl/>
        </w:rPr>
        <w:t xml:space="preserve">תכנית עיר ללא אלימות, </w:t>
      </w:r>
      <w:r w:rsidRPr="00BB6388">
        <w:rPr>
          <w:rFonts w:hint="cs"/>
          <w:rtl/>
        </w:rPr>
        <w:t>המכוונת</w:t>
      </w:r>
      <w:r w:rsidRPr="00BB6388">
        <w:rPr>
          <w:rFonts w:hint="cs"/>
          <w:b/>
          <w:bCs/>
          <w:rtl/>
        </w:rPr>
        <w:t xml:space="preserve"> </w:t>
      </w:r>
      <w:r w:rsidRPr="00BB6388">
        <w:rPr>
          <w:rFonts w:hint="cs"/>
          <w:rtl/>
        </w:rPr>
        <w:t>להתמודדות מערכתית ברמה העירונית עם תופעות שונות של אלימות</w:t>
      </w:r>
      <w:r w:rsidR="00D01B7F">
        <w:rPr>
          <w:rFonts w:hint="cs"/>
          <w:rtl/>
        </w:rPr>
        <w:t xml:space="preserve">, </w:t>
      </w:r>
      <w:r w:rsidR="008C0566" w:rsidRPr="00BB6388">
        <w:rPr>
          <w:rFonts w:hint="cs"/>
          <w:rtl/>
        </w:rPr>
        <w:t>ואחד ממרכיביה הוא מניעת שימוש באלכוהול בקרב קטינים.</w:t>
      </w:r>
    </w:p>
    <w:p w:rsidR="00C270DC" w:rsidRPr="00BB6388" w:rsidRDefault="00FC6EE7" w:rsidP="00DC2DB0">
      <w:pPr>
        <w:pStyle w:val="a2"/>
        <w:numPr>
          <w:ilvl w:val="0"/>
          <w:numId w:val="10"/>
        </w:numPr>
        <w:spacing w:line="360" w:lineRule="auto"/>
      </w:pPr>
      <w:r w:rsidRPr="00BB6388">
        <w:rPr>
          <w:rFonts w:hint="cs"/>
          <w:b/>
          <w:bCs/>
          <w:rtl/>
        </w:rPr>
        <w:t>יחידת סמים ומכס (יס"מ)</w:t>
      </w:r>
      <w:r w:rsidR="00C270DC" w:rsidRPr="00BB6388">
        <w:rPr>
          <w:rFonts w:hint="cs"/>
          <w:b/>
          <w:bCs/>
          <w:rtl/>
        </w:rPr>
        <w:t xml:space="preserve"> </w:t>
      </w:r>
      <w:r>
        <w:rPr>
          <w:rFonts w:hint="cs"/>
          <w:b/>
          <w:bCs/>
          <w:rtl/>
        </w:rPr>
        <w:t>שב</w:t>
      </w:r>
      <w:r w:rsidR="00C270DC" w:rsidRPr="00BB6388">
        <w:rPr>
          <w:rFonts w:hint="cs"/>
          <w:b/>
          <w:bCs/>
          <w:rtl/>
        </w:rPr>
        <w:t>רשות המיסים</w:t>
      </w:r>
      <w:r>
        <w:rPr>
          <w:rFonts w:hint="cs"/>
          <w:b/>
          <w:bCs/>
          <w:rtl/>
        </w:rPr>
        <w:t xml:space="preserve"> ב</w:t>
      </w:r>
      <w:r w:rsidRPr="00BB6388">
        <w:rPr>
          <w:rFonts w:hint="cs"/>
          <w:b/>
          <w:bCs/>
          <w:rtl/>
        </w:rPr>
        <w:t>משרד האוצר</w:t>
      </w:r>
      <w:r>
        <w:rPr>
          <w:rFonts w:hint="cs"/>
          <w:rtl/>
        </w:rPr>
        <w:t>,</w:t>
      </w:r>
      <w:r w:rsidR="00C270DC" w:rsidRPr="00BB6388">
        <w:rPr>
          <w:rFonts w:hint="cs"/>
          <w:rtl/>
        </w:rPr>
        <w:t xml:space="preserve"> שהיא זרוע האכיפה של של בתי המכס העוסקת גם בהברחות סמים.</w:t>
      </w:r>
    </w:p>
    <w:p w:rsidR="00C270DC" w:rsidRPr="00BB6388" w:rsidRDefault="00C270DC" w:rsidP="00B256B9">
      <w:pPr>
        <w:pStyle w:val="a2"/>
        <w:numPr>
          <w:ilvl w:val="0"/>
          <w:numId w:val="10"/>
        </w:numPr>
        <w:spacing w:line="360" w:lineRule="auto"/>
      </w:pPr>
      <w:r w:rsidRPr="00517F91">
        <w:rPr>
          <w:rFonts w:hint="cs"/>
          <w:b/>
          <w:bCs/>
          <w:rtl/>
        </w:rPr>
        <w:t xml:space="preserve">משרד הבריאות </w:t>
      </w:r>
      <w:r w:rsidRPr="00BB6388">
        <w:rPr>
          <w:rFonts w:hint="cs"/>
          <w:rtl/>
        </w:rPr>
        <w:t xml:space="preserve">הוא גוף מרכזי </w:t>
      </w:r>
      <w:r w:rsidR="00927E40" w:rsidRPr="00BB6388">
        <w:rPr>
          <w:rFonts w:hint="cs"/>
          <w:rtl/>
        </w:rPr>
        <w:t xml:space="preserve">בשלושה </w:t>
      </w:r>
      <w:r w:rsidRPr="00BB6388">
        <w:rPr>
          <w:rFonts w:hint="cs"/>
          <w:rtl/>
        </w:rPr>
        <w:t>היבטים של נושא החומרים הפסיכואקטיביים בישראל:</w:t>
      </w:r>
      <w:r w:rsidR="000D7454" w:rsidRPr="00BB6388">
        <w:rPr>
          <w:rFonts w:hint="cs"/>
          <w:rtl/>
        </w:rPr>
        <w:t xml:space="preserve"> הוא הגוף האמון</w:t>
      </w:r>
      <w:r w:rsidR="00517F91">
        <w:rPr>
          <w:rFonts w:hint="cs"/>
          <w:rtl/>
        </w:rPr>
        <w:t xml:space="preserve"> </w:t>
      </w:r>
      <w:r w:rsidR="00517F91" w:rsidRPr="00BB6388">
        <w:rPr>
          <w:rFonts w:hint="cs"/>
          <w:rtl/>
        </w:rPr>
        <w:t>על טיפול רפואי במכורים והליך הגמילה הפיזי</w:t>
      </w:r>
      <w:r w:rsidR="00517F91" w:rsidRPr="00517F91">
        <w:rPr>
          <w:rFonts w:hint="cs"/>
          <w:b/>
          <w:bCs/>
          <w:rtl/>
        </w:rPr>
        <w:t xml:space="preserve">, </w:t>
      </w:r>
      <w:r w:rsidR="00517F91" w:rsidRPr="00BB6388">
        <w:rPr>
          <w:rFonts w:hint="cs"/>
          <w:rtl/>
        </w:rPr>
        <w:t>וזאת במסגרת</w:t>
      </w:r>
      <w:r w:rsidR="00517F91" w:rsidRPr="00517F91">
        <w:rPr>
          <w:rFonts w:hint="cs"/>
          <w:b/>
          <w:bCs/>
          <w:rtl/>
        </w:rPr>
        <w:t xml:space="preserve"> המחלקה לטיפול בהתמכרויות שבמשרד הבריאות</w:t>
      </w:r>
      <w:r w:rsidR="00517F91" w:rsidRPr="00BB6388">
        <w:rPr>
          <w:rFonts w:hint="cs"/>
          <w:rtl/>
        </w:rPr>
        <w:t>;</w:t>
      </w:r>
      <w:r w:rsidR="00517F91">
        <w:rPr>
          <w:rFonts w:hint="cs"/>
          <w:rtl/>
        </w:rPr>
        <w:t xml:space="preserve"> </w:t>
      </w:r>
      <w:r w:rsidR="00517F91" w:rsidRPr="00BB6388">
        <w:rPr>
          <w:rFonts w:hint="cs"/>
          <w:rtl/>
        </w:rPr>
        <w:t xml:space="preserve">הוא </w:t>
      </w:r>
      <w:r w:rsidR="00517F91">
        <w:rPr>
          <w:rFonts w:hint="cs"/>
          <w:rtl/>
        </w:rPr>
        <w:t xml:space="preserve">גם </w:t>
      </w:r>
      <w:r w:rsidR="00517F91" w:rsidRPr="00BB6388">
        <w:rPr>
          <w:rFonts w:hint="cs"/>
          <w:rtl/>
        </w:rPr>
        <w:t>האמון</w:t>
      </w:r>
      <w:r w:rsidR="00517F91">
        <w:rPr>
          <w:rFonts w:hint="cs"/>
          <w:rtl/>
        </w:rPr>
        <w:t xml:space="preserve">, </w:t>
      </w:r>
      <w:r w:rsidR="000D7454" w:rsidRPr="00BB6388">
        <w:rPr>
          <w:rFonts w:hint="cs"/>
          <w:rtl/>
        </w:rPr>
        <w:t xml:space="preserve">על-פי חוק, </w:t>
      </w:r>
      <w:r w:rsidR="00BC224C" w:rsidRPr="00BB6388">
        <w:rPr>
          <w:rFonts w:hint="cs"/>
          <w:rtl/>
        </w:rPr>
        <w:t xml:space="preserve">על </w:t>
      </w:r>
      <w:r w:rsidR="00943910" w:rsidRPr="00517F91">
        <w:rPr>
          <w:rFonts w:hint="cs"/>
          <w:b/>
          <w:bCs/>
          <w:rtl/>
        </w:rPr>
        <w:t>נהלים המסדירים את</w:t>
      </w:r>
      <w:r w:rsidR="000D7454" w:rsidRPr="00517F91">
        <w:rPr>
          <w:rFonts w:hint="cs"/>
          <w:b/>
          <w:bCs/>
          <w:rtl/>
        </w:rPr>
        <w:t xml:space="preserve"> תחום הסמים המסוכנים</w:t>
      </w:r>
      <w:r w:rsidR="00BC224C" w:rsidRPr="00BB6388">
        <w:rPr>
          <w:rFonts w:hint="cs"/>
          <w:rtl/>
        </w:rPr>
        <w:t xml:space="preserve"> (ובכלל זאת מתן היתרי יבוא, מכירה, והמלצה על שינוי רשימת הסמים המסוכנים)</w:t>
      </w:r>
      <w:r w:rsidR="000D7454" w:rsidRPr="00BB6388">
        <w:rPr>
          <w:rFonts w:hint="cs"/>
          <w:rtl/>
        </w:rPr>
        <w:t xml:space="preserve">, ועושה זאת במסגרת פעילות </w:t>
      </w:r>
      <w:r w:rsidRPr="00517F91">
        <w:rPr>
          <w:rFonts w:hint="cs"/>
          <w:b/>
          <w:bCs/>
          <w:rtl/>
        </w:rPr>
        <w:t>המחלקה למאבק בפשע פרמַצֶבְטִי שבאגף לאכיפה ופיקוח</w:t>
      </w:r>
      <w:r w:rsidR="00BC224C" w:rsidRPr="00517F91">
        <w:rPr>
          <w:rFonts w:hint="cs"/>
          <w:b/>
          <w:bCs/>
          <w:rtl/>
        </w:rPr>
        <w:t>,</w:t>
      </w:r>
      <w:r w:rsidRPr="00517F91">
        <w:rPr>
          <w:rFonts w:hint="cs"/>
          <w:b/>
          <w:bCs/>
          <w:rtl/>
        </w:rPr>
        <w:t xml:space="preserve"> </w:t>
      </w:r>
      <w:r w:rsidR="00516A8B">
        <w:rPr>
          <w:rFonts w:hint="cs"/>
          <w:rtl/>
        </w:rPr>
        <w:t xml:space="preserve">פעילות </w:t>
      </w:r>
      <w:r w:rsidRPr="00517F91">
        <w:rPr>
          <w:rFonts w:hint="cs"/>
          <w:b/>
          <w:bCs/>
          <w:rtl/>
        </w:rPr>
        <w:t>אגף הרוקחות במשרד הבריאות</w:t>
      </w:r>
      <w:r w:rsidRPr="00BB6388">
        <w:rPr>
          <w:rFonts w:hint="cs"/>
          <w:rtl/>
        </w:rPr>
        <w:t xml:space="preserve">, </w:t>
      </w:r>
      <w:r w:rsidR="00943910" w:rsidRPr="00BB6388">
        <w:rPr>
          <w:rFonts w:hint="cs"/>
          <w:rtl/>
        </w:rPr>
        <w:t xml:space="preserve">ועל-ידי קביעת נהלי פעילות </w:t>
      </w:r>
      <w:r w:rsidR="00BC224C" w:rsidRPr="00517F91">
        <w:rPr>
          <w:rFonts w:hint="cs"/>
          <w:b/>
          <w:bCs/>
          <w:rtl/>
        </w:rPr>
        <w:t>הוועדה הבינמשרדית לחומרים פסיכואקטיביים</w:t>
      </w:r>
      <w:r w:rsidRPr="00BB6388">
        <w:rPr>
          <w:rFonts w:hint="cs"/>
          <w:rtl/>
        </w:rPr>
        <w:t>;</w:t>
      </w:r>
      <w:r w:rsidR="00943910" w:rsidRPr="00BB6388">
        <w:rPr>
          <w:rFonts w:hint="cs"/>
          <w:rtl/>
        </w:rPr>
        <w:t xml:space="preserve"> </w:t>
      </w:r>
      <w:r w:rsidR="00B256B9">
        <w:rPr>
          <w:rFonts w:hint="cs"/>
          <w:rtl/>
        </w:rPr>
        <w:t>ו</w:t>
      </w:r>
      <w:r w:rsidR="00943910" w:rsidRPr="00BB6388">
        <w:rPr>
          <w:rFonts w:hint="cs"/>
          <w:rtl/>
        </w:rPr>
        <w:t xml:space="preserve">הוא גם </w:t>
      </w:r>
      <w:r w:rsidR="00517F91" w:rsidRPr="00517F91">
        <w:rPr>
          <w:rFonts w:hint="cs"/>
          <w:b/>
          <w:bCs/>
          <w:rtl/>
        </w:rPr>
        <w:t>ה</w:t>
      </w:r>
      <w:r w:rsidR="000B05F0" w:rsidRPr="00517F91">
        <w:rPr>
          <w:rFonts w:hint="cs"/>
          <w:b/>
          <w:bCs/>
          <w:rtl/>
        </w:rPr>
        <w:t>סוכנות הממשלתית בכל הנוגע לפיקוח ולהסדרת הטיפול בקנביס למטרות רפואיות ולמחקר</w:t>
      </w:r>
      <w:r w:rsidR="00943910" w:rsidRPr="00BB6388">
        <w:rPr>
          <w:rFonts w:hint="cs"/>
          <w:rtl/>
        </w:rPr>
        <w:t xml:space="preserve">, </w:t>
      </w:r>
      <w:r w:rsidR="00517F91">
        <w:rPr>
          <w:rFonts w:hint="cs"/>
          <w:rtl/>
        </w:rPr>
        <w:t>והגוף המרכזי בו העוסק בכך הוא</w:t>
      </w:r>
      <w:r w:rsidR="00943910" w:rsidRPr="00BB6388">
        <w:rPr>
          <w:rFonts w:hint="cs"/>
          <w:rtl/>
        </w:rPr>
        <w:t xml:space="preserve"> </w:t>
      </w:r>
      <w:r w:rsidR="007142A0" w:rsidRPr="00517F91">
        <w:rPr>
          <w:rFonts w:hint="cs"/>
          <w:b/>
          <w:bCs/>
          <w:rtl/>
        </w:rPr>
        <w:t>היחידה לקנביס רפואי (יק"ר)</w:t>
      </w:r>
      <w:r w:rsidR="00517F91">
        <w:rPr>
          <w:rFonts w:hint="cs"/>
          <w:rtl/>
        </w:rPr>
        <w:t>.</w:t>
      </w:r>
    </w:p>
    <w:p w:rsidR="00C270DC" w:rsidRPr="00BB6388" w:rsidRDefault="00C270DC" w:rsidP="00DC2DB0">
      <w:pPr>
        <w:pStyle w:val="a2"/>
        <w:numPr>
          <w:ilvl w:val="0"/>
          <w:numId w:val="10"/>
        </w:numPr>
        <w:spacing w:line="360" w:lineRule="auto"/>
      </w:pPr>
      <w:r w:rsidRPr="00BB6388">
        <w:rPr>
          <w:rFonts w:hint="cs"/>
          <w:b/>
          <w:bCs/>
          <w:rtl/>
        </w:rPr>
        <w:t>משרד הרווחה והשירותים החברתיים</w:t>
      </w:r>
      <w:r w:rsidRPr="00BB6388">
        <w:rPr>
          <w:rFonts w:hint="cs"/>
          <w:rtl/>
        </w:rPr>
        <w:t xml:space="preserve">, וזאת באמצעות </w:t>
      </w:r>
      <w:r w:rsidRPr="00BB6388">
        <w:rPr>
          <w:rFonts w:hint="cs"/>
          <w:b/>
          <w:bCs/>
          <w:rtl/>
        </w:rPr>
        <w:t>השירות לטיפול בהתמכרויות</w:t>
      </w:r>
      <w:r w:rsidRPr="00BB6388">
        <w:rPr>
          <w:rFonts w:hint="cs"/>
          <w:rtl/>
        </w:rPr>
        <w:t xml:space="preserve">, אמון על הטיפול הפסיכוסוציאלי במכורים במסגרת הליך גמילתם. הוא גם המשרד הממשלתי המרכז את </w:t>
      </w:r>
      <w:r w:rsidRPr="00BB6388">
        <w:rPr>
          <w:rFonts w:hint="cs"/>
          <w:b/>
          <w:bCs/>
          <w:rtl/>
        </w:rPr>
        <w:t>התוכנית הלאומית לילדים ובני-נוער בסיכון</w:t>
      </w:r>
      <w:r w:rsidRPr="00BB6388">
        <w:rPr>
          <w:rFonts w:hint="cs"/>
          <w:rtl/>
        </w:rPr>
        <w:t>, שהיא תכנית בינמשרדית משותפת.</w:t>
      </w:r>
    </w:p>
    <w:p w:rsidR="00AA7ECC" w:rsidRPr="00BB6388" w:rsidRDefault="00AA7ECC" w:rsidP="00DC2DB0">
      <w:pPr>
        <w:pStyle w:val="a2"/>
        <w:numPr>
          <w:ilvl w:val="0"/>
          <w:numId w:val="10"/>
        </w:numPr>
        <w:spacing w:line="360" w:lineRule="auto"/>
        <w:rPr>
          <w:b/>
          <w:bCs/>
          <w:rtl/>
        </w:rPr>
      </w:pPr>
      <w:r w:rsidRPr="00BB6388">
        <w:rPr>
          <w:rFonts w:hint="cs"/>
          <w:b/>
          <w:bCs/>
          <w:rtl/>
        </w:rPr>
        <w:t>משרד החינוך</w:t>
      </w:r>
      <w:r w:rsidRPr="00BB6388">
        <w:rPr>
          <w:rFonts w:hint="cs"/>
          <w:rtl/>
        </w:rPr>
        <w:t xml:space="preserve">, הפועל לחינוך והסברה למניעת השימוש בחומרים פסיכואקטיביים, וזאת </w:t>
      </w:r>
      <w:r w:rsidRPr="00882322">
        <w:rPr>
          <w:rFonts w:hint="cs"/>
          <w:rtl/>
        </w:rPr>
        <w:t xml:space="preserve">במסגרות </w:t>
      </w:r>
      <w:r w:rsidRPr="00882322">
        <w:rPr>
          <w:rFonts w:hint="cs"/>
          <w:b/>
          <w:bCs/>
          <w:rtl/>
        </w:rPr>
        <w:t>היחידה למניעת סמים, אלכוהול וטבק</w:t>
      </w:r>
      <w:r w:rsidRPr="00BB6388">
        <w:rPr>
          <w:rFonts w:hint="cs"/>
          <w:rtl/>
        </w:rPr>
        <w:t xml:space="preserve"> שהיא חלק מהשירות הפסיכולוגי הייעוצ</w:t>
      </w:r>
      <w:r w:rsidRPr="00BB6388">
        <w:rPr>
          <w:rFonts w:hint="eastAsia"/>
          <w:rtl/>
        </w:rPr>
        <w:t>י</w:t>
      </w:r>
      <w:r w:rsidRPr="00BB6388">
        <w:rPr>
          <w:rFonts w:hint="cs"/>
          <w:rtl/>
        </w:rPr>
        <w:t xml:space="preserve"> (שפ"י) </w:t>
      </w:r>
      <w:r w:rsidRPr="00FC6EE7">
        <w:rPr>
          <w:rFonts w:hint="cs"/>
          <w:rtl/>
        </w:rPr>
        <w:t>שבמשרד החינוך</w:t>
      </w:r>
      <w:r w:rsidR="00FC6EE7" w:rsidRPr="00FC6EE7">
        <w:rPr>
          <w:rFonts w:hint="cs"/>
          <w:rtl/>
        </w:rPr>
        <w:t xml:space="preserve"> (חינוך פורמלי)</w:t>
      </w:r>
      <w:r w:rsidRPr="00FC6EE7">
        <w:rPr>
          <w:rFonts w:hint="cs"/>
          <w:rtl/>
        </w:rPr>
        <w:t xml:space="preserve">; בתכניות </w:t>
      </w:r>
      <w:r w:rsidR="00882322" w:rsidRPr="00882322">
        <w:rPr>
          <w:rFonts w:hint="cs"/>
          <w:b/>
          <w:bCs/>
          <w:rtl/>
        </w:rPr>
        <w:t>האגף הקהילתי חברתי</w:t>
      </w:r>
      <w:r w:rsidR="00882322" w:rsidRPr="00FC6EE7">
        <w:rPr>
          <w:rFonts w:hint="cs"/>
          <w:rtl/>
        </w:rPr>
        <w:t xml:space="preserve"> </w:t>
      </w:r>
      <w:r w:rsidR="00882322">
        <w:rPr>
          <w:rFonts w:hint="cs"/>
          <w:rtl/>
        </w:rPr>
        <w:t>(החינוך הבלתי-פורמלי</w:t>
      </w:r>
      <w:r w:rsidRPr="00FC6EE7">
        <w:rPr>
          <w:rFonts w:hint="cs"/>
          <w:rtl/>
        </w:rPr>
        <w:t xml:space="preserve">); ובתכניות </w:t>
      </w:r>
      <w:r w:rsidR="00882322" w:rsidRPr="00882322">
        <w:rPr>
          <w:rFonts w:hint="cs"/>
          <w:b/>
          <w:bCs/>
          <w:rtl/>
        </w:rPr>
        <w:t>האגף לקידום נוער</w:t>
      </w:r>
      <w:r w:rsidR="00882322" w:rsidRPr="00FC6EE7">
        <w:rPr>
          <w:rFonts w:hint="cs"/>
          <w:rtl/>
        </w:rPr>
        <w:t xml:space="preserve"> </w:t>
      </w:r>
      <w:r w:rsidR="00882322">
        <w:rPr>
          <w:rFonts w:hint="cs"/>
          <w:rtl/>
        </w:rPr>
        <w:t>(המיועדות לנוער בסיכון ונוער מנותק</w:t>
      </w:r>
      <w:r w:rsidRPr="00FC6EE7">
        <w:rPr>
          <w:rFonts w:hint="cs"/>
          <w:rtl/>
        </w:rPr>
        <w:t>).</w:t>
      </w:r>
    </w:p>
    <w:p w:rsidR="00C501BE" w:rsidRDefault="00C270DC" w:rsidP="00BB6388">
      <w:pPr>
        <w:pStyle w:val="a2"/>
        <w:spacing w:line="360" w:lineRule="auto"/>
        <w:rPr>
          <w:rtl/>
        </w:rPr>
      </w:pPr>
      <w:r w:rsidRPr="00BB6388">
        <w:rPr>
          <w:rFonts w:hint="cs"/>
          <w:rtl/>
        </w:rPr>
        <w:t>כפי שניתן לראות</w:t>
      </w:r>
      <w:r w:rsidR="00882322">
        <w:rPr>
          <w:rFonts w:hint="cs"/>
          <w:rtl/>
        </w:rPr>
        <w:t>,</w:t>
      </w:r>
      <w:r w:rsidRPr="00BB6388">
        <w:rPr>
          <w:rFonts w:hint="cs"/>
          <w:rtl/>
        </w:rPr>
        <w:t xml:space="preserve"> </w:t>
      </w:r>
      <w:r w:rsidRPr="00BB6388">
        <w:rPr>
          <w:rFonts w:hint="cs"/>
          <w:b/>
          <w:bCs/>
          <w:rtl/>
        </w:rPr>
        <w:t>ישנם גופים רבים העוסקים בתחום, ועבודתם שלובה זה בזה</w:t>
      </w:r>
      <w:r w:rsidRPr="00BB6388">
        <w:rPr>
          <w:rFonts w:hint="cs"/>
          <w:rtl/>
        </w:rPr>
        <w:t xml:space="preserve">. </w:t>
      </w:r>
    </w:p>
    <w:p w:rsidR="00C501BE" w:rsidRDefault="00C270DC" w:rsidP="00BB6388">
      <w:pPr>
        <w:pStyle w:val="a2"/>
        <w:spacing w:line="360" w:lineRule="auto"/>
        <w:rPr>
          <w:rtl/>
        </w:rPr>
      </w:pPr>
      <w:r w:rsidRPr="00BB6388">
        <w:rPr>
          <w:rFonts w:hint="cs"/>
          <w:rtl/>
        </w:rPr>
        <w:t xml:space="preserve">כך, למשל, </w:t>
      </w:r>
      <w:r w:rsidRPr="00BB6388">
        <w:rPr>
          <w:rFonts w:hint="cs"/>
          <w:b/>
          <w:bCs/>
          <w:rtl/>
        </w:rPr>
        <w:t xml:space="preserve">האחריות לטיפולי הגמילה מהתמכרויות בישראל </w:t>
      </w:r>
      <w:r w:rsidRPr="00C501BE">
        <w:rPr>
          <w:rFonts w:hint="cs"/>
          <w:b/>
          <w:bCs/>
          <w:rtl/>
        </w:rPr>
        <w:t>נחלקת</w:t>
      </w:r>
      <w:r w:rsidRPr="00BB6388">
        <w:rPr>
          <w:rFonts w:hint="cs"/>
          <w:b/>
          <w:bCs/>
          <w:rtl/>
        </w:rPr>
        <w:t xml:space="preserve"> בין משרד הבריאות למשרד הרוו</w:t>
      </w:r>
      <w:r w:rsidR="00AA7ECC" w:rsidRPr="00BB6388">
        <w:rPr>
          <w:rFonts w:hint="cs"/>
          <w:b/>
          <w:bCs/>
          <w:rtl/>
        </w:rPr>
        <w:t>חה והשירותים החברתיים</w:t>
      </w:r>
      <w:r w:rsidRPr="00BB6388">
        <w:rPr>
          <w:rFonts w:hint="cs"/>
          <w:rtl/>
        </w:rPr>
        <w:t xml:space="preserve">. ככלל, השלב הראשון בטיפול הגמילה, שלב הגמילה הפיזית, הוא באחריות ובפיקוח של משרד הבריאות, ואילו שלב הגמילה הנפשית והשיקום הפסיכוסוציאלי הוא באחריותו ובפיקוחו של משרד הרווחה והשירותים החברתיים. </w:t>
      </w:r>
    </w:p>
    <w:p w:rsidR="00C270DC" w:rsidRDefault="00C270DC" w:rsidP="0089565B">
      <w:pPr>
        <w:pStyle w:val="a2"/>
        <w:spacing w:line="360" w:lineRule="auto"/>
        <w:rPr>
          <w:rtl/>
        </w:rPr>
      </w:pPr>
      <w:r w:rsidRPr="00BB6388">
        <w:rPr>
          <w:rFonts w:hint="cs"/>
          <w:rtl/>
        </w:rPr>
        <w:t xml:space="preserve">דוגמא נוספת היא </w:t>
      </w:r>
      <w:r w:rsidRPr="00BB6388">
        <w:rPr>
          <w:rFonts w:hint="cs"/>
          <w:b/>
          <w:bCs/>
          <w:rtl/>
        </w:rPr>
        <w:t>הוועדה הבינמשרדית לחומרים פסיכואקטיביים</w:t>
      </w:r>
      <w:r w:rsidRPr="00BB6388">
        <w:rPr>
          <w:rFonts w:hint="cs"/>
          <w:rtl/>
        </w:rPr>
        <w:t xml:space="preserve">, שהיא ועדה </w:t>
      </w:r>
      <w:r w:rsidR="00136C51" w:rsidRPr="00BB6388">
        <w:rPr>
          <w:rFonts w:hint="cs"/>
          <w:rtl/>
        </w:rPr>
        <w:t xml:space="preserve">בראשות הרשות הלאומית למלחמה בסמים ובאלכוהול, בהשתתפות גורמים מקצועיים ממשרדי ממשלה רבים אחרים, ושאת נהליה קובע </w:t>
      </w:r>
      <w:r w:rsidRPr="00BB6388">
        <w:rPr>
          <w:rFonts w:hint="cs"/>
          <w:rtl/>
        </w:rPr>
        <w:t xml:space="preserve">משרד הבריאות, הממליצה </w:t>
      </w:r>
      <w:r w:rsidR="00136C51" w:rsidRPr="00BB6388">
        <w:rPr>
          <w:rFonts w:hint="cs"/>
          <w:rtl/>
        </w:rPr>
        <w:t xml:space="preserve">לשר הבריאות </w:t>
      </w:r>
      <w:r w:rsidRPr="00BB6388">
        <w:rPr>
          <w:rFonts w:hint="cs"/>
          <w:rtl/>
        </w:rPr>
        <w:t xml:space="preserve">על </w:t>
      </w:r>
      <w:r w:rsidR="00C501BE">
        <w:rPr>
          <w:rFonts w:hint="cs"/>
          <w:rtl/>
        </w:rPr>
        <w:t xml:space="preserve">שינויים ברשימת החומרים המוגדרים כסמים מסוכנים במסגרת </w:t>
      </w:r>
      <w:r w:rsidRPr="00BB6388">
        <w:rPr>
          <w:rFonts w:hint="cs"/>
          <w:rtl/>
        </w:rPr>
        <w:t>פקודת הסמים המסוכנים</w:t>
      </w:r>
      <w:r w:rsidR="00C501BE">
        <w:rPr>
          <w:rFonts w:hint="cs"/>
          <w:rtl/>
        </w:rPr>
        <w:t xml:space="preserve"> [נוסח חדש], התשל"ג-1973</w:t>
      </w:r>
      <w:r w:rsidRPr="00BB6388">
        <w:rPr>
          <w:rFonts w:hint="cs"/>
          <w:rtl/>
        </w:rPr>
        <w:t>.</w:t>
      </w:r>
      <w:r w:rsidR="00136C51" w:rsidRPr="00BB6388">
        <w:rPr>
          <w:rFonts w:hint="cs"/>
          <w:rtl/>
        </w:rPr>
        <w:t xml:space="preserve"> שר הבריאות נדרש לאחר מכן לאישורה של ועדת העבודה הרווחה והבריאות של הכנסת. תהליך זה מתואר בהרחבה בחלק </w:t>
      </w:r>
      <w:r w:rsidR="0089565B">
        <w:rPr>
          <w:rFonts w:hint="cs"/>
          <w:rtl/>
        </w:rPr>
        <w:t>3.4.2</w:t>
      </w:r>
      <w:r w:rsidR="00136C51" w:rsidRPr="00BB6388">
        <w:rPr>
          <w:rFonts w:hint="cs"/>
          <w:rtl/>
        </w:rPr>
        <w:t xml:space="preserve"> של המסמך.</w:t>
      </w:r>
    </w:p>
    <w:p w:rsidR="0079677F" w:rsidRPr="00BB6388" w:rsidRDefault="00C270DC" w:rsidP="0079677F">
      <w:pPr>
        <w:pStyle w:val="2"/>
        <w:rPr>
          <w:rtl/>
        </w:rPr>
      </w:pPr>
      <w:bookmarkStart w:id="167" w:name="_Toc418585105"/>
      <w:bookmarkStart w:id="168" w:name="_Toc419054674"/>
      <w:bookmarkStart w:id="169" w:name="_Toc419959719"/>
      <w:bookmarkStart w:id="170" w:name="_Toc419963070"/>
      <w:bookmarkStart w:id="171" w:name="_Toc419963290"/>
      <w:bookmarkStart w:id="172" w:name="_Toc421697061"/>
      <w:r w:rsidRPr="00BB6388">
        <w:rPr>
          <w:rFonts w:hint="cs"/>
          <w:rtl/>
        </w:rPr>
        <w:t>הוועדה המיוחדת של הכנסת למאבק בנגעי הסמים והאלכוהול</w:t>
      </w:r>
      <w:bookmarkEnd w:id="167"/>
      <w:bookmarkEnd w:id="168"/>
      <w:bookmarkEnd w:id="169"/>
      <w:bookmarkEnd w:id="170"/>
      <w:bookmarkEnd w:id="171"/>
      <w:bookmarkEnd w:id="172"/>
    </w:p>
    <w:p w:rsidR="00C270DC" w:rsidRPr="00BB6388" w:rsidRDefault="00C270DC" w:rsidP="0079677F">
      <w:pPr>
        <w:pStyle w:val="a2"/>
        <w:rPr>
          <w:rtl/>
        </w:rPr>
      </w:pPr>
      <w:r w:rsidRPr="00BB6388">
        <w:rPr>
          <w:rFonts w:hint="cs"/>
          <w:rtl/>
        </w:rPr>
        <w:t xml:space="preserve">הוועדה פועלת בנושא </w:t>
      </w:r>
      <w:r w:rsidR="00F93B74" w:rsidRPr="00BB6388">
        <w:rPr>
          <w:rFonts w:hint="cs"/>
          <w:rtl/>
        </w:rPr>
        <w:t xml:space="preserve">החומרים הפסיכואקטיביים </w:t>
      </w:r>
      <w:r w:rsidRPr="00BB6388">
        <w:rPr>
          <w:rFonts w:hint="cs"/>
          <w:rtl/>
        </w:rPr>
        <w:t>יחד עם משרד הבריאות, משרד הרווחה והשירותים החברתיים, המשרד לביטחון פנים ומשטרת ישראל, משרד החינוך, הרשות הלאומית למלחמה בסמים ואלכוהול וגורמים נוספים. תחומי עיסוקה של הוועדה מוגדרים כדלקמן:</w:t>
      </w:r>
      <w:r w:rsidRPr="00BB6388">
        <w:rPr>
          <w:rStyle w:val="ab"/>
          <w:rtl/>
        </w:rPr>
        <w:footnoteReference w:id="165"/>
      </w:r>
      <w:r w:rsidRPr="00BB6388">
        <w:rPr>
          <w:rFonts w:hint="cs"/>
          <w:rtl/>
        </w:rPr>
        <w:t xml:space="preserve"> </w:t>
      </w:r>
    </w:p>
    <w:p w:rsidR="00C270DC" w:rsidRPr="00BB6388" w:rsidRDefault="00C270DC" w:rsidP="00DC2DB0">
      <w:pPr>
        <w:numPr>
          <w:ilvl w:val="0"/>
          <w:numId w:val="12"/>
        </w:numPr>
        <w:spacing w:line="360" w:lineRule="auto"/>
      </w:pPr>
      <w:r w:rsidRPr="00BB6388">
        <w:rPr>
          <w:rtl/>
        </w:rPr>
        <w:t>שימוש בסמים וסמים מסוכנים, לרבות לצרכים רפואיים</w:t>
      </w:r>
      <w:r w:rsidRPr="00BB6388">
        <w:rPr>
          <w:rFonts w:hint="cs"/>
          <w:rtl/>
        </w:rPr>
        <w:t>;</w:t>
      </w:r>
    </w:p>
    <w:p w:rsidR="00C270DC" w:rsidRPr="00BB6388" w:rsidRDefault="00C270DC" w:rsidP="00DC2DB0">
      <w:pPr>
        <w:numPr>
          <w:ilvl w:val="0"/>
          <w:numId w:val="12"/>
        </w:numPr>
        <w:spacing w:line="360" w:lineRule="auto"/>
      </w:pPr>
      <w:r w:rsidRPr="00BB6388">
        <w:rPr>
          <w:rtl/>
        </w:rPr>
        <w:t>עבירות סמים ועבירות המבוצעות</w:t>
      </w:r>
      <w:r w:rsidRPr="00BB6388">
        <w:t xml:space="preserve"> </w:t>
      </w:r>
      <w:r w:rsidRPr="00BB6388">
        <w:rPr>
          <w:rtl/>
        </w:rPr>
        <w:t>בשל שימוש בסמים מסוכנים</w:t>
      </w:r>
      <w:r w:rsidRPr="00BB6388">
        <w:rPr>
          <w:rFonts w:hint="cs"/>
          <w:rtl/>
        </w:rPr>
        <w:t>;</w:t>
      </w:r>
    </w:p>
    <w:p w:rsidR="00C270DC" w:rsidRPr="00BB6388" w:rsidRDefault="00C270DC" w:rsidP="00DC2DB0">
      <w:pPr>
        <w:numPr>
          <w:ilvl w:val="0"/>
          <w:numId w:val="12"/>
        </w:numPr>
        <w:spacing w:line="360" w:lineRule="auto"/>
      </w:pPr>
      <w:r w:rsidRPr="00BB6388">
        <w:rPr>
          <w:rtl/>
        </w:rPr>
        <w:t>טיפול ושיקום בנרקומנים ונפגעים מסמים</w:t>
      </w:r>
      <w:r w:rsidRPr="00BB6388">
        <w:rPr>
          <w:rFonts w:hint="cs"/>
          <w:rtl/>
        </w:rPr>
        <w:t>;</w:t>
      </w:r>
    </w:p>
    <w:p w:rsidR="00C270DC" w:rsidRPr="00BB6388" w:rsidRDefault="00C270DC" w:rsidP="00DC2DB0">
      <w:pPr>
        <w:numPr>
          <w:ilvl w:val="0"/>
          <w:numId w:val="12"/>
        </w:numPr>
        <w:spacing w:line="360" w:lineRule="auto"/>
      </w:pPr>
      <w:r w:rsidRPr="00BB6388">
        <w:rPr>
          <w:rFonts w:hint="cs"/>
          <w:rtl/>
        </w:rPr>
        <w:t xml:space="preserve">פיקוח וליווי פעילות </w:t>
      </w:r>
      <w:r w:rsidRPr="00BB6388">
        <w:rPr>
          <w:rtl/>
        </w:rPr>
        <w:t>הרשות הלאומית</w:t>
      </w:r>
      <w:r w:rsidRPr="00BB6388">
        <w:t xml:space="preserve"> </w:t>
      </w:r>
      <w:r w:rsidRPr="00BB6388">
        <w:rPr>
          <w:rtl/>
        </w:rPr>
        <w:t>למלחמה בסמים  ובשימוש לרעה באלכוהול</w:t>
      </w:r>
      <w:r w:rsidRPr="00BB6388">
        <w:rPr>
          <w:rFonts w:hint="cs"/>
          <w:rtl/>
        </w:rPr>
        <w:t>;</w:t>
      </w:r>
    </w:p>
    <w:p w:rsidR="00C270DC" w:rsidRPr="00BB6388" w:rsidRDefault="00C270DC" w:rsidP="00DC2DB0">
      <w:pPr>
        <w:numPr>
          <w:ilvl w:val="0"/>
          <w:numId w:val="12"/>
        </w:numPr>
        <w:spacing w:line="360" w:lineRule="auto"/>
      </w:pPr>
      <w:r w:rsidRPr="00BB6388">
        <w:rPr>
          <w:rtl/>
        </w:rPr>
        <w:t>מדיניות ציבורית, הסברתית וחינוכית למניעת</w:t>
      </w:r>
      <w:r w:rsidRPr="00BB6388">
        <w:t xml:space="preserve"> </w:t>
      </w:r>
      <w:r w:rsidRPr="00BB6388">
        <w:rPr>
          <w:rtl/>
        </w:rPr>
        <w:t>השימוש בסמים ושימוש לרעה באלכוהול בישראל</w:t>
      </w:r>
      <w:r w:rsidRPr="00BB6388">
        <w:rPr>
          <w:rFonts w:hint="cs"/>
          <w:rtl/>
        </w:rPr>
        <w:t>.</w:t>
      </w:r>
    </w:p>
    <w:p w:rsidR="00C270DC" w:rsidRPr="00BB6388" w:rsidRDefault="00C270DC" w:rsidP="00BB6388">
      <w:pPr>
        <w:spacing w:line="360" w:lineRule="auto"/>
        <w:rPr>
          <w:rtl/>
        </w:rPr>
      </w:pPr>
      <w:r w:rsidRPr="00BB6388">
        <w:rPr>
          <w:rFonts w:hint="cs"/>
          <w:rtl/>
        </w:rPr>
        <w:t>במהלך הכנסת ה- 19 נפגשה הוועדה 25 פעמים ודנה בנושאים רחבים של מדיניות, חקיקה, שיתופי פעולה בינלאומיים ואכיפה בתחום בארץ ובעולם,</w:t>
      </w:r>
      <w:r w:rsidRPr="00BB6388">
        <w:rPr>
          <w:rStyle w:val="ab"/>
          <w:rtl/>
        </w:rPr>
        <w:footnoteReference w:id="166"/>
      </w:r>
      <w:r w:rsidRPr="00BB6388">
        <w:rPr>
          <w:rFonts w:hint="cs"/>
          <w:rtl/>
        </w:rPr>
        <w:t xml:space="preserve"> וכן קיימה דיונים ממוקדים בתקציב רשויות מדינה העוסקות בתחום,</w:t>
      </w:r>
      <w:r w:rsidRPr="00BB6388">
        <w:rPr>
          <w:rStyle w:val="ab"/>
          <w:rtl/>
        </w:rPr>
        <w:footnoteReference w:id="167"/>
      </w:r>
      <w:r w:rsidRPr="00BB6388">
        <w:rPr>
          <w:rFonts w:hint="cs"/>
          <w:rtl/>
        </w:rPr>
        <w:t xml:space="preserve"> בהיבטים שונים של תחלואה כפולה,</w:t>
      </w:r>
      <w:r w:rsidRPr="00BB6388">
        <w:rPr>
          <w:rStyle w:val="ab"/>
          <w:rtl/>
        </w:rPr>
        <w:footnoteReference w:id="168"/>
      </w:r>
      <w:r w:rsidRPr="00BB6388">
        <w:rPr>
          <w:rFonts w:hint="cs"/>
          <w:rtl/>
        </w:rPr>
        <w:t xml:space="preserve"> בשימוש בחומרים פסיכואקטיביים על-ידי קטינים וצעירים,</w:t>
      </w:r>
      <w:r w:rsidRPr="00BB6388">
        <w:rPr>
          <w:rStyle w:val="ab"/>
          <w:rtl/>
        </w:rPr>
        <w:footnoteReference w:id="169"/>
      </w:r>
      <w:r w:rsidRPr="00BB6388">
        <w:rPr>
          <w:rFonts w:hint="cs"/>
          <w:rtl/>
        </w:rPr>
        <w:t xml:space="preserve"> פעילות ספורטיבית כטיפול בהתמכרות,</w:t>
      </w:r>
      <w:r w:rsidRPr="00BB6388">
        <w:rPr>
          <w:rStyle w:val="ab"/>
          <w:rtl/>
        </w:rPr>
        <w:footnoteReference w:id="170"/>
      </w:r>
      <w:r w:rsidRPr="00BB6388">
        <w:rPr>
          <w:rFonts w:hint="cs"/>
          <w:rtl/>
        </w:rPr>
        <w:t xml:space="preserve"> היבטים שונים של תופעת סמי הפיצוציות ויכולות האכיפה מולה,</w:t>
      </w:r>
      <w:r w:rsidRPr="00BB6388">
        <w:rPr>
          <w:rStyle w:val="ab"/>
          <w:rtl/>
        </w:rPr>
        <w:footnoteReference w:id="171"/>
      </w:r>
      <w:r w:rsidRPr="00BB6388">
        <w:rPr>
          <w:rFonts w:hint="cs"/>
          <w:rtl/>
        </w:rPr>
        <w:t xml:space="preserve"> סמים במגזר הערבי,</w:t>
      </w:r>
      <w:r w:rsidRPr="00BB6388">
        <w:rPr>
          <w:rStyle w:val="ab"/>
          <w:rtl/>
        </w:rPr>
        <w:footnoteReference w:id="172"/>
      </w:r>
      <w:r w:rsidRPr="00BB6388">
        <w:rPr>
          <w:rFonts w:hint="cs"/>
          <w:rtl/>
        </w:rPr>
        <w:t xml:space="preserve"> שתיית אלכוהול במהלך הריון והנקה,</w:t>
      </w:r>
      <w:r w:rsidRPr="00BB6388">
        <w:rPr>
          <w:rStyle w:val="ab"/>
          <w:rtl/>
        </w:rPr>
        <w:footnoteReference w:id="173"/>
      </w:r>
      <w:r w:rsidRPr="00BB6388">
        <w:rPr>
          <w:rFonts w:hint="cs"/>
          <w:rtl/>
        </w:rPr>
        <w:t xml:space="preserve"> וכן קיימה סיור בבית המכס שבנמל חיפה.</w:t>
      </w:r>
      <w:r w:rsidRPr="00BB6388">
        <w:rPr>
          <w:rStyle w:val="ab"/>
          <w:rtl/>
        </w:rPr>
        <w:footnoteReference w:id="174"/>
      </w:r>
    </w:p>
    <w:p w:rsidR="00210359" w:rsidRPr="00BB6388" w:rsidRDefault="00C270DC" w:rsidP="00210359">
      <w:pPr>
        <w:pStyle w:val="2"/>
        <w:rPr>
          <w:rtl/>
        </w:rPr>
      </w:pPr>
      <w:bookmarkStart w:id="173" w:name="_Toc418585130"/>
      <w:bookmarkStart w:id="174" w:name="_Toc419054675"/>
      <w:bookmarkStart w:id="175" w:name="_Toc419959720"/>
      <w:bookmarkStart w:id="176" w:name="_Toc419963071"/>
      <w:bookmarkStart w:id="177" w:name="_Toc419963291"/>
      <w:bookmarkStart w:id="178" w:name="_Toc421697062"/>
      <w:bookmarkStart w:id="179" w:name="_Toc418585106"/>
      <w:r w:rsidRPr="00BB6388">
        <w:rPr>
          <w:rFonts w:hint="cs"/>
          <w:rtl/>
        </w:rPr>
        <w:t>המשרד לביטחון הפנים</w:t>
      </w:r>
      <w:bookmarkEnd w:id="173"/>
      <w:bookmarkEnd w:id="174"/>
      <w:bookmarkEnd w:id="175"/>
      <w:bookmarkEnd w:id="176"/>
      <w:bookmarkEnd w:id="177"/>
      <w:bookmarkEnd w:id="178"/>
    </w:p>
    <w:p w:rsidR="00C270DC" w:rsidRPr="00BB6388" w:rsidRDefault="00C270DC" w:rsidP="00456830">
      <w:pPr>
        <w:pStyle w:val="a2"/>
        <w:rPr>
          <w:rtl/>
        </w:rPr>
      </w:pPr>
      <w:r w:rsidRPr="00BB6388">
        <w:rPr>
          <w:rFonts w:hint="cs"/>
          <w:rtl/>
        </w:rPr>
        <w:t xml:space="preserve">המשרד לבטחון הפנים (הבט"פ) הוא הזרוע המרכזית של ממשלת ישראל </w:t>
      </w:r>
      <w:r w:rsidR="00456830">
        <w:rPr>
          <w:rFonts w:hint="cs"/>
          <w:rtl/>
        </w:rPr>
        <w:t>ה</w:t>
      </w:r>
      <w:r w:rsidRPr="00BB6388">
        <w:rPr>
          <w:rFonts w:hint="cs"/>
          <w:rtl/>
        </w:rPr>
        <w:t xml:space="preserve">אמונה, בין היתר, על אכיפת החוק, מניעת פשיעה ואלימות, </w:t>
      </w:r>
      <w:r w:rsidR="00456830">
        <w:rPr>
          <w:rFonts w:hint="cs"/>
          <w:rtl/>
        </w:rPr>
        <w:t>ו</w:t>
      </w:r>
      <w:r w:rsidRPr="00BB6388">
        <w:rPr>
          <w:rFonts w:hint="cs"/>
          <w:rtl/>
        </w:rPr>
        <w:t>שמירה על הסדר הציבורי</w:t>
      </w:r>
      <w:r w:rsidR="00456830">
        <w:rPr>
          <w:rFonts w:hint="cs"/>
          <w:rtl/>
        </w:rPr>
        <w:t>. בחלק ה</w:t>
      </w:r>
      <w:r w:rsidRPr="00BB6388">
        <w:rPr>
          <w:rFonts w:hint="cs"/>
          <w:rtl/>
        </w:rPr>
        <w:t xml:space="preserve">נוכחי ייסקרו </w:t>
      </w:r>
      <w:r w:rsidR="00222479" w:rsidRPr="00BB6388">
        <w:rPr>
          <w:rFonts w:hint="cs"/>
          <w:rtl/>
        </w:rPr>
        <w:t xml:space="preserve">4 </w:t>
      </w:r>
      <w:r w:rsidRPr="00BB6388">
        <w:rPr>
          <w:rFonts w:hint="cs"/>
          <w:rtl/>
        </w:rPr>
        <w:t xml:space="preserve">מסגרות פעולה של הבט"פ הנוגעות לנושא המסמך: </w:t>
      </w:r>
      <w:r w:rsidRPr="00210359">
        <w:rPr>
          <w:rFonts w:hint="cs"/>
          <w:b/>
          <w:bCs/>
          <w:rtl/>
        </w:rPr>
        <w:t>הרשות הלאומית למלחמה בסמים ובאלכוהול</w:t>
      </w:r>
      <w:r w:rsidRPr="00BB6388">
        <w:rPr>
          <w:rFonts w:hint="cs"/>
          <w:rtl/>
        </w:rPr>
        <w:t>, עליה ממונה השר לבט"פ, המובילה את המדיניות הלאומית בתחום המאבק בסמים ובאלכוהול ומתאמת את ביצועה באמצעות משרדי ממשלה שונים;</w:t>
      </w:r>
      <w:r w:rsidR="00222479" w:rsidRPr="00BB6388">
        <w:rPr>
          <w:rFonts w:hint="cs"/>
          <w:rtl/>
        </w:rPr>
        <w:t xml:space="preserve"> </w:t>
      </w:r>
      <w:r w:rsidR="00222479" w:rsidRPr="00210359">
        <w:rPr>
          <w:rFonts w:hint="eastAsia"/>
          <w:b/>
          <w:bCs/>
          <w:rtl/>
        </w:rPr>
        <w:t>התוכנית</w:t>
      </w:r>
      <w:r w:rsidR="00222479" w:rsidRPr="00210359">
        <w:rPr>
          <w:b/>
          <w:bCs/>
          <w:rtl/>
        </w:rPr>
        <w:t xml:space="preserve"> </w:t>
      </w:r>
      <w:r w:rsidR="00222479" w:rsidRPr="00210359">
        <w:rPr>
          <w:rFonts w:hint="eastAsia"/>
          <w:b/>
          <w:bCs/>
          <w:rtl/>
        </w:rPr>
        <w:t>הלאומית</w:t>
      </w:r>
      <w:r w:rsidR="00222479" w:rsidRPr="00210359">
        <w:rPr>
          <w:b/>
          <w:bCs/>
          <w:rtl/>
        </w:rPr>
        <w:t xml:space="preserve"> </w:t>
      </w:r>
      <w:r w:rsidR="00222479" w:rsidRPr="00210359">
        <w:rPr>
          <w:rFonts w:hint="eastAsia"/>
          <w:b/>
          <w:bCs/>
          <w:rtl/>
        </w:rPr>
        <w:t>לצמצום</w:t>
      </w:r>
      <w:r w:rsidR="00222479" w:rsidRPr="00210359">
        <w:rPr>
          <w:b/>
          <w:bCs/>
          <w:rtl/>
        </w:rPr>
        <w:t xml:space="preserve"> </w:t>
      </w:r>
      <w:r w:rsidR="00222479" w:rsidRPr="00210359">
        <w:rPr>
          <w:rFonts w:hint="eastAsia"/>
          <w:b/>
          <w:bCs/>
          <w:rtl/>
        </w:rPr>
        <w:t>הצריכה</w:t>
      </w:r>
      <w:r w:rsidR="00222479" w:rsidRPr="00210359">
        <w:rPr>
          <w:b/>
          <w:bCs/>
          <w:rtl/>
        </w:rPr>
        <w:t xml:space="preserve"> </w:t>
      </w:r>
      <w:r w:rsidR="00222479" w:rsidRPr="00210359">
        <w:rPr>
          <w:rFonts w:hint="eastAsia"/>
          <w:b/>
          <w:bCs/>
          <w:rtl/>
        </w:rPr>
        <w:t>המופרזת</w:t>
      </w:r>
      <w:r w:rsidR="00222479" w:rsidRPr="00210359">
        <w:rPr>
          <w:b/>
          <w:bCs/>
          <w:rtl/>
        </w:rPr>
        <w:t xml:space="preserve"> </w:t>
      </w:r>
      <w:r w:rsidR="00222479" w:rsidRPr="00210359">
        <w:rPr>
          <w:rFonts w:hint="eastAsia"/>
          <w:b/>
          <w:bCs/>
          <w:rtl/>
        </w:rPr>
        <w:t>של</w:t>
      </w:r>
      <w:r w:rsidR="00222479" w:rsidRPr="00210359">
        <w:rPr>
          <w:b/>
          <w:bCs/>
          <w:rtl/>
        </w:rPr>
        <w:t xml:space="preserve"> </w:t>
      </w:r>
      <w:r w:rsidR="00222479" w:rsidRPr="00210359">
        <w:rPr>
          <w:rFonts w:hint="eastAsia"/>
          <w:b/>
          <w:bCs/>
          <w:rtl/>
        </w:rPr>
        <w:t>אלכוהול</w:t>
      </w:r>
      <w:r w:rsidR="00222479" w:rsidRPr="00210359">
        <w:rPr>
          <w:b/>
          <w:bCs/>
          <w:rtl/>
        </w:rPr>
        <w:t xml:space="preserve"> </w:t>
      </w:r>
      <w:r w:rsidR="00222479" w:rsidRPr="00210359">
        <w:rPr>
          <w:rFonts w:hint="eastAsia"/>
          <w:b/>
          <w:bCs/>
          <w:rtl/>
        </w:rPr>
        <w:t>ולצמצום</w:t>
      </w:r>
      <w:r w:rsidR="00222479" w:rsidRPr="00210359">
        <w:rPr>
          <w:b/>
          <w:bCs/>
          <w:rtl/>
        </w:rPr>
        <w:t xml:space="preserve"> </w:t>
      </w:r>
      <w:r w:rsidR="00222479" w:rsidRPr="00210359">
        <w:rPr>
          <w:rFonts w:hint="eastAsia"/>
          <w:b/>
          <w:bCs/>
          <w:rtl/>
        </w:rPr>
        <w:t>נזקיו</w:t>
      </w:r>
      <w:r w:rsidR="00222479" w:rsidRPr="00BB6388">
        <w:rPr>
          <w:rFonts w:hint="cs"/>
          <w:rtl/>
        </w:rPr>
        <w:t>, המתואמת על-ידי הרשות;</w:t>
      </w:r>
      <w:r w:rsidRPr="00BB6388">
        <w:rPr>
          <w:rFonts w:hint="cs"/>
          <w:rtl/>
        </w:rPr>
        <w:t xml:space="preserve"> </w:t>
      </w:r>
      <w:r w:rsidRPr="00210359">
        <w:rPr>
          <w:rFonts w:hint="cs"/>
          <w:b/>
          <w:bCs/>
          <w:rtl/>
        </w:rPr>
        <w:t>משטרת ישראל</w:t>
      </w:r>
      <w:r w:rsidRPr="00BB6388">
        <w:rPr>
          <w:rFonts w:hint="cs"/>
          <w:rtl/>
        </w:rPr>
        <w:t xml:space="preserve">, העוסקת </w:t>
      </w:r>
      <w:r w:rsidR="00456830">
        <w:rPr>
          <w:rFonts w:hint="cs"/>
          <w:rtl/>
        </w:rPr>
        <w:t xml:space="preserve">בתחום הסמים והאלכוהול </w:t>
      </w:r>
      <w:r w:rsidRPr="00BB6388">
        <w:rPr>
          <w:rFonts w:hint="cs"/>
          <w:rtl/>
        </w:rPr>
        <w:t>במניעת עבירות ובגילוין</w:t>
      </w:r>
      <w:r w:rsidR="00456830">
        <w:rPr>
          <w:rFonts w:hint="cs"/>
          <w:rtl/>
        </w:rPr>
        <w:t xml:space="preserve">, בתפיסת עבריינים ובהבאתם </w:t>
      </w:r>
      <w:r w:rsidRPr="00BB6388">
        <w:rPr>
          <w:rFonts w:hint="cs"/>
          <w:rtl/>
        </w:rPr>
        <w:t xml:space="preserve">לדין; והתכנית הלאומית </w:t>
      </w:r>
      <w:r w:rsidRPr="00210359">
        <w:rPr>
          <w:rFonts w:hint="cs"/>
          <w:b/>
          <w:bCs/>
          <w:rtl/>
        </w:rPr>
        <w:t>עיר ללא אלימות</w:t>
      </w:r>
      <w:r w:rsidRPr="00BB6388">
        <w:rPr>
          <w:rFonts w:hint="cs"/>
          <w:rtl/>
        </w:rPr>
        <w:t xml:space="preserve"> (להלן </w:t>
      </w:r>
      <w:r w:rsidRPr="00BB6388">
        <w:rPr>
          <w:rtl/>
        </w:rPr>
        <w:t>–</w:t>
      </w:r>
      <w:r w:rsidRPr="00BB6388">
        <w:rPr>
          <w:rFonts w:hint="cs"/>
          <w:rtl/>
        </w:rPr>
        <w:t xml:space="preserve"> על"א), הפועלת בשיתוף פעולה עם הרשויות המקומיות ואחד ממרכיביה הוא מניעת שימוש באלכוהול בקרב קטינים.</w:t>
      </w:r>
    </w:p>
    <w:p w:rsidR="006F3F8C" w:rsidRPr="00BB6388" w:rsidRDefault="00C270DC" w:rsidP="006F3F8C">
      <w:pPr>
        <w:pStyle w:val="3"/>
        <w:rPr>
          <w:rtl/>
        </w:rPr>
      </w:pPr>
      <w:bookmarkStart w:id="180" w:name="_Toc418585131"/>
      <w:bookmarkStart w:id="181" w:name="_Toc419054676"/>
      <w:bookmarkStart w:id="182" w:name="_Toc419959721"/>
      <w:bookmarkStart w:id="183" w:name="_Toc419963072"/>
      <w:bookmarkStart w:id="184" w:name="_Toc419963292"/>
      <w:bookmarkStart w:id="185" w:name="_Toc421697063"/>
      <w:r w:rsidRPr="00BB6388">
        <w:rPr>
          <w:rFonts w:hint="cs"/>
          <w:rtl/>
        </w:rPr>
        <w:t>הרשות הלאומית למלחמה בסמים ואלכוהול</w:t>
      </w:r>
      <w:bookmarkEnd w:id="180"/>
      <w:bookmarkEnd w:id="181"/>
      <w:bookmarkEnd w:id="182"/>
      <w:bookmarkEnd w:id="183"/>
      <w:bookmarkEnd w:id="184"/>
      <w:r w:rsidR="00CD691D">
        <w:rPr>
          <w:rStyle w:val="ab"/>
          <w:rtl/>
        </w:rPr>
        <w:footnoteReference w:id="175"/>
      </w:r>
      <w:bookmarkEnd w:id="185"/>
    </w:p>
    <w:p w:rsidR="00C270DC" w:rsidRPr="00BB6388" w:rsidRDefault="00C270DC" w:rsidP="006F3F8C">
      <w:pPr>
        <w:pStyle w:val="a2"/>
        <w:rPr>
          <w:rtl/>
        </w:rPr>
      </w:pPr>
      <w:r w:rsidRPr="00BB6388">
        <w:rPr>
          <w:rFonts w:hint="cs"/>
          <w:rtl/>
        </w:rPr>
        <w:t xml:space="preserve">הרשות הלאומית למלחמה בסמים ואלכוהול </w:t>
      </w:r>
      <w:r w:rsidR="00066182" w:rsidRPr="00BB6388">
        <w:rPr>
          <w:rFonts w:hint="cs"/>
          <w:rtl/>
        </w:rPr>
        <w:t xml:space="preserve">(להלן </w:t>
      </w:r>
      <w:r w:rsidR="00066182" w:rsidRPr="00BB6388">
        <w:rPr>
          <w:rtl/>
        </w:rPr>
        <w:t>–</w:t>
      </w:r>
      <w:r w:rsidR="00066182" w:rsidRPr="00BB6388">
        <w:rPr>
          <w:rFonts w:hint="cs"/>
          <w:rtl/>
        </w:rPr>
        <w:t xml:space="preserve"> הרשות) </w:t>
      </w:r>
      <w:r w:rsidRPr="00BB6388">
        <w:rPr>
          <w:rFonts w:hint="cs"/>
          <w:rtl/>
        </w:rPr>
        <w:t xml:space="preserve">היא הגוף המרכזי במדינת ישראל המוביל את המאבק בסמים ואלכוהול, קובע מדיניות לאומית ומתאם את ביצועה על-ידי משרדי הממשלה השונים. הרשות היא תאגיד שהוקם בשנת 1988 </w:t>
      </w:r>
      <w:r w:rsidRPr="00BB6388">
        <w:rPr>
          <w:rtl/>
        </w:rPr>
        <w:t xml:space="preserve">על-פי חוק הרשות </w:t>
      </w:r>
      <w:r w:rsidRPr="00BB6388">
        <w:rPr>
          <w:rFonts w:hint="cs"/>
          <w:rtl/>
        </w:rPr>
        <w:t xml:space="preserve">הלאומית </w:t>
      </w:r>
      <w:r w:rsidRPr="00BB6388">
        <w:rPr>
          <w:rtl/>
        </w:rPr>
        <w:t>למלחמה בסמים, התשמ"ח-1988</w:t>
      </w:r>
      <w:r w:rsidRPr="00BB6388">
        <w:rPr>
          <w:rFonts w:hint="cs"/>
          <w:rtl/>
        </w:rPr>
        <w:t>, והופקדה בתחילת דרכה על הטיפול בנושא הסמים.</w:t>
      </w:r>
      <w:r w:rsidRPr="00BB6388">
        <w:rPr>
          <w:rtl/>
        </w:rPr>
        <w:t xml:space="preserve"> </w:t>
      </w:r>
      <w:r w:rsidRPr="00BB6388">
        <w:rPr>
          <w:rFonts w:hint="cs"/>
          <w:rtl/>
        </w:rPr>
        <w:t>ביוני 2005 קבעה ממשלת ישראל כי "הטיפול במשקאות חריפים משכרים" יתווסף לתחומי אחריותה</w:t>
      </w:r>
      <w:r w:rsidR="00535A93">
        <w:rPr>
          <w:rFonts w:hint="cs"/>
          <w:rtl/>
        </w:rPr>
        <w:t xml:space="preserve"> של הרשות</w:t>
      </w:r>
      <w:r w:rsidRPr="00BB6388">
        <w:rPr>
          <w:rFonts w:hint="cs"/>
          <w:rtl/>
        </w:rPr>
        <w:t xml:space="preserve"> במסגרת המאבק בתופעת האלימות בחברה הישראלית,</w:t>
      </w:r>
      <w:r w:rsidRPr="00BB6388">
        <w:rPr>
          <w:rStyle w:val="ab"/>
          <w:rtl/>
        </w:rPr>
        <w:footnoteReference w:id="176"/>
      </w:r>
      <w:r w:rsidRPr="00BB6388">
        <w:rPr>
          <w:rFonts w:hint="cs"/>
          <w:rtl/>
        </w:rPr>
        <w:t xml:space="preserve"> וב</w:t>
      </w:r>
      <w:r w:rsidR="00535A93">
        <w:rPr>
          <w:rFonts w:hint="cs"/>
          <w:rtl/>
        </w:rPr>
        <w:t>שנת 2012 תוקן החוק ושמה</w:t>
      </w:r>
      <w:r w:rsidRPr="00BB6388">
        <w:rPr>
          <w:rFonts w:hint="cs"/>
          <w:rtl/>
        </w:rPr>
        <w:t xml:space="preserve"> שונה ל"רשות הלאומית למלחמה בסמים ובשימוש לרעה באלכוהול".</w:t>
      </w:r>
      <w:r w:rsidRPr="00BB6388">
        <w:rPr>
          <w:rStyle w:val="ab"/>
          <w:rtl/>
        </w:rPr>
        <w:footnoteReference w:id="177"/>
      </w:r>
      <w:r w:rsidRPr="00BB6388">
        <w:rPr>
          <w:rFonts w:hint="cs"/>
          <w:rtl/>
        </w:rPr>
        <w:t xml:space="preserve"> השר הממונה על הרשות בחוק הוא ראש הממשלה, אך באפריל 2009 החליטה הממשלה להעביר את הסמכויות לשר לביטחון פנים</w:t>
      </w:r>
      <w:r w:rsidR="00CE7F55" w:rsidRPr="00BB6388">
        <w:rPr>
          <w:rFonts w:hint="cs"/>
          <w:rtl/>
        </w:rPr>
        <w:t>.</w:t>
      </w:r>
      <w:r w:rsidRPr="00BB6388">
        <w:rPr>
          <w:rStyle w:val="ab"/>
          <w:rtl/>
        </w:rPr>
        <w:footnoteReference w:id="178"/>
      </w:r>
    </w:p>
    <w:p w:rsidR="00C270DC" w:rsidRPr="00BB6388" w:rsidRDefault="00407FC0" w:rsidP="009A0A0F">
      <w:pPr>
        <w:pStyle w:val="4"/>
        <w:rPr>
          <w:rtl/>
        </w:rPr>
      </w:pPr>
      <w:bookmarkStart w:id="186" w:name="_Toc418585132"/>
      <w:bookmarkStart w:id="187" w:name="_Toc419963073"/>
      <w:r>
        <w:rPr>
          <w:rFonts w:hint="cs"/>
          <w:rtl/>
        </w:rPr>
        <w:t>מ</w:t>
      </w:r>
      <w:r w:rsidR="00C270DC" w:rsidRPr="00BB6388">
        <w:rPr>
          <w:rFonts w:hint="cs"/>
          <w:rtl/>
        </w:rPr>
        <w:t>בנה</w:t>
      </w:r>
      <w:bookmarkEnd w:id="186"/>
      <w:bookmarkEnd w:id="187"/>
    </w:p>
    <w:p w:rsidR="00C270DC" w:rsidRPr="00BB6388" w:rsidRDefault="00C270DC" w:rsidP="004B2C20">
      <w:pPr>
        <w:spacing w:line="360" w:lineRule="auto"/>
        <w:rPr>
          <w:rtl/>
        </w:rPr>
      </w:pPr>
      <w:r w:rsidRPr="00BB6388">
        <w:rPr>
          <w:rFonts w:hint="cs"/>
          <w:rtl/>
        </w:rPr>
        <w:t xml:space="preserve">על-פי החוק, לרשות יש מועצה </w:t>
      </w:r>
      <w:r w:rsidRPr="00BB6388">
        <w:rPr>
          <w:rFonts w:hint="eastAsia"/>
          <w:rtl/>
        </w:rPr>
        <w:t>המורכבת</w:t>
      </w:r>
      <w:r w:rsidRPr="00BB6388">
        <w:rPr>
          <w:rtl/>
        </w:rPr>
        <w:t xml:space="preserve">  </w:t>
      </w:r>
      <w:r w:rsidRPr="00BB6388">
        <w:rPr>
          <w:rFonts w:hint="eastAsia"/>
          <w:rtl/>
        </w:rPr>
        <w:t>מ</w:t>
      </w:r>
      <w:r w:rsidRPr="00BB6388">
        <w:rPr>
          <w:rtl/>
        </w:rPr>
        <w:t>-</w:t>
      </w:r>
      <w:r w:rsidR="004B2C20">
        <w:rPr>
          <w:rFonts w:hint="cs"/>
          <w:rtl/>
        </w:rPr>
        <w:t xml:space="preserve"> </w:t>
      </w:r>
      <w:r w:rsidRPr="00BB6388">
        <w:rPr>
          <w:rtl/>
        </w:rPr>
        <w:t>43</w:t>
      </w:r>
      <w:r w:rsidRPr="00BB6388">
        <w:rPr>
          <w:rFonts w:hint="cs"/>
          <w:rtl/>
        </w:rPr>
        <w:t xml:space="preserve"> חברים הממונים על ידי השר באישור הממשלה,</w:t>
      </w:r>
      <w:r w:rsidR="000101B2">
        <w:rPr>
          <w:rStyle w:val="ab"/>
          <w:rtl/>
        </w:rPr>
        <w:footnoteReference w:id="179"/>
      </w:r>
      <w:r w:rsidRPr="00BB6388">
        <w:rPr>
          <w:rFonts w:hint="cs"/>
          <w:rtl/>
        </w:rPr>
        <w:t xml:space="preserve"> </w:t>
      </w:r>
      <w:r w:rsidR="004B2C20">
        <w:rPr>
          <w:rFonts w:hint="cs"/>
          <w:rtl/>
        </w:rPr>
        <w:t>ו</w:t>
      </w:r>
      <w:r w:rsidRPr="00BB6388">
        <w:rPr>
          <w:rFonts w:hint="cs"/>
          <w:rtl/>
        </w:rPr>
        <w:t>מנהל הרשות ממונה על ידי השר</w:t>
      </w:r>
      <w:r w:rsidR="00641D8E">
        <w:rPr>
          <w:rFonts w:hint="cs"/>
          <w:rtl/>
        </w:rPr>
        <w:t xml:space="preserve"> לביטחון הפנים</w:t>
      </w:r>
      <w:r w:rsidRPr="00BB6388">
        <w:rPr>
          <w:rFonts w:hint="cs"/>
          <w:rtl/>
        </w:rPr>
        <w:t xml:space="preserve"> באישור הממשלה.</w:t>
      </w:r>
      <w:r w:rsidRPr="00BB6388">
        <w:rPr>
          <w:rStyle w:val="ab"/>
          <w:rtl/>
        </w:rPr>
        <w:footnoteReference w:id="180"/>
      </w:r>
    </w:p>
    <w:p w:rsidR="00C270DC" w:rsidRPr="00BB6388" w:rsidRDefault="00C270DC" w:rsidP="00FF2103">
      <w:pPr>
        <w:pStyle w:val="a2"/>
        <w:spacing w:line="360" w:lineRule="auto"/>
        <w:rPr>
          <w:rtl/>
        </w:rPr>
      </w:pPr>
      <w:r w:rsidRPr="00BB6388">
        <w:rPr>
          <w:rFonts w:hint="cs"/>
          <w:rtl/>
        </w:rPr>
        <w:t>לרשות כיום 31.25 תקנים מאושרים, ו- 33 עובדי מטה.</w:t>
      </w:r>
      <w:r w:rsidRPr="00BB6388">
        <w:rPr>
          <w:rStyle w:val="ab"/>
          <w:rtl/>
        </w:rPr>
        <w:footnoteReference w:id="181"/>
      </w:r>
      <w:r w:rsidRPr="00BB6388">
        <w:rPr>
          <w:rFonts w:hint="cs"/>
          <w:rtl/>
        </w:rPr>
        <w:t xml:space="preserve"> בנוסף, מפעילה הרשות 130 מתאמים ישוביים בפריסה ארצית</w:t>
      </w:r>
      <w:r w:rsidRPr="00BB6388">
        <w:rPr>
          <w:rStyle w:val="ab"/>
          <w:rtl/>
        </w:rPr>
        <w:footnoteReference w:id="182"/>
      </w:r>
      <w:r w:rsidRPr="00BB6388">
        <w:rPr>
          <w:rFonts w:hint="cs"/>
          <w:rtl/>
        </w:rPr>
        <w:t xml:space="preserve"> ו- 40 רכזים מגזריים,</w:t>
      </w:r>
      <w:r w:rsidRPr="00BB6388">
        <w:rPr>
          <w:rStyle w:val="ab"/>
          <w:rtl/>
        </w:rPr>
        <w:footnoteReference w:id="183"/>
      </w:r>
      <w:r w:rsidRPr="00BB6388">
        <w:rPr>
          <w:rFonts w:hint="cs"/>
          <w:rtl/>
        </w:rPr>
        <w:t xml:space="preserve"> המונחים מקצועית על-ידי הרשות, המממנת גם חלק משכרם, אך להם יחסי עובד-מעביד עם הרשות השלטונית המקומית.</w:t>
      </w:r>
      <w:r w:rsidRPr="00BB6388">
        <w:rPr>
          <w:rStyle w:val="ab"/>
          <w:rtl/>
        </w:rPr>
        <w:t xml:space="preserve"> </w:t>
      </w:r>
      <w:r w:rsidRPr="00BB6388">
        <w:rPr>
          <w:rStyle w:val="ab"/>
          <w:rtl/>
        </w:rPr>
        <w:footnoteReference w:id="184"/>
      </w:r>
      <w:r w:rsidRPr="00BB6388">
        <w:rPr>
          <w:rFonts w:hint="cs"/>
          <w:rtl/>
        </w:rPr>
        <w:t xml:space="preserve"> המתאמים פועלים במסגרת ועדה סטטוטורית יישובית, המאשרת את תוכנית העבודה השנתית של היישוב בתחום המאבק בשימוש בסמים ובאלכוהול, בשיתוף עם הרשות.</w:t>
      </w:r>
      <w:r w:rsidRPr="00BB6388">
        <w:rPr>
          <w:rStyle w:val="ab"/>
          <w:rtl/>
        </w:rPr>
        <w:t xml:space="preserve"> </w:t>
      </w:r>
      <w:r w:rsidRPr="00BB6388">
        <w:rPr>
          <w:rStyle w:val="ab"/>
          <w:rtl/>
        </w:rPr>
        <w:footnoteReference w:id="185"/>
      </w:r>
      <w:r w:rsidRPr="00BB6388">
        <w:rPr>
          <w:rFonts w:hint="cs"/>
          <w:rtl/>
        </w:rPr>
        <w:t xml:space="preserve"> </w:t>
      </w:r>
    </w:p>
    <w:p w:rsidR="00C270DC" w:rsidRPr="00BB6388" w:rsidRDefault="00C270DC" w:rsidP="00100BB5">
      <w:pPr>
        <w:pStyle w:val="4"/>
        <w:rPr>
          <w:rtl/>
        </w:rPr>
      </w:pPr>
      <w:bookmarkStart w:id="188" w:name="_Toc418585133"/>
      <w:bookmarkStart w:id="189" w:name="_Toc419963074"/>
      <w:r w:rsidRPr="00BB6388">
        <w:rPr>
          <w:rFonts w:hint="cs"/>
          <w:rtl/>
        </w:rPr>
        <w:t>פעילות</w:t>
      </w:r>
      <w:bookmarkEnd w:id="188"/>
      <w:bookmarkEnd w:id="189"/>
    </w:p>
    <w:p w:rsidR="00C270DC" w:rsidRPr="00BB6388" w:rsidRDefault="00641D8E" w:rsidP="008D2071">
      <w:pPr>
        <w:pStyle w:val="a2"/>
        <w:spacing w:line="360" w:lineRule="auto"/>
        <w:rPr>
          <w:rtl/>
        </w:rPr>
      </w:pPr>
      <w:r>
        <w:rPr>
          <w:rFonts w:hint="cs"/>
          <w:rtl/>
        </w:rPr>
        <w:t xml:space="preserve">תפקידי הרשות הוגדרו במסגרת </w:t>
      </w:r>
      <w:r w:rsidRPr="008E78E1">
        <w:rPr>
          <w:rFonts w:asciiTheme="majorBidi" w:hAnsiTheme="majorBidi"/>
          <w:b/>
          <w:bCs/>
          <w:rtl/>
        </w:rPr>
        <w:t>חוק הרשות הלאומית למלחמה בסמים ובשימוש לרעה באלכוהול, התשמ"ח-1988</w:t>
      </w:r>
      <w:r w:rsidR="0033767E">
        <w:rPr>
          <w:rStyle w:val="ab"/>
          <w:rFonts w:asciiTheme="majorBidi" w:hAnsiTheme="majorBidi"/>
          <w:sz w:val="22"/>
          <w:szCs w:val="22"/>
          <w:rtl/>
        </w:rPr>
        <w:footnoteReference w:id="186"/>
      </w:r>
      <w:r w:rsidR="00C270DC" w:rsidRPr="00641D8E">
        <w:rPr>
          <w:rFonts w:hint="cs"/>
          <w:sz w:val="28"/>
          <w:szCs w:val="28"/>
          <w:rtl/>
        </w:rPr>
        <w:t xml:space="preserve"> </w:t>
      </w:r>
      <w:r w:rsidR="00C270DC" w:rsidRPr="00BB6388">
        <w:rPr>
          <w:rFonts w:hint="cs"/>
          <w:rtl/>
        </w:rPr>
        <w:t xml:space="preserve">והם כוללים, בין היתר: גיבוש וקידום שיתופי פעולה בין משרדי ממשלה, רשויות מקומיות וגופים אחרים הפועלים </w:t>
      </w:r>
      <w:r w:rsidR="00C270DC" w:rsidRPr="00BB6388">
        <w:rPr>
          <w:rtl/>
        </w:rPr>
        <w:t>בתחום השימוש לרעה בסמים ובאלכוהול</w:t>
      </w:r>
      <w:r w:rsidR="00C270DC" w:rsidRPr="00BB6388">
        <w:rPr>
          <w:rFonts w:hint="cs"/>
          <w:rtl/>
        </w:rPr>
        <w:t xml:space="preserve">; תכנון וקידום שירותי מניעה, טיפול, שיקום, וענישה בתחום </w:t>
      </w:r>
      <w:r w:rsidR="00C270DC" w:rsidRPr="00BB6388">
        <w:rPr>
          <w:rtl/>
        </w:rPr>
        <w:t>השימוש לרעה בסמים</w:t>
      </w:r>
      <w:r w:rsidR="00C270DC" w:rsidRPr="00BB6388">
        <w:rPr>
          <w:rFonts w:hint="cs"/>
          <w:rtl/>
        </w:rPr>
        <w:t>; הרחבת</w:t>
      </w:r>
      <w:r w:rsidR="00C270DC" w:rsidRPr="00BB6388">
        <w:rPr>
          <w:rtl/>
        </w:rPr>
        <w:t xml:space="preserve"> שירותים בתחומי החינוך וההסברה</w:t>
      </w:r>
      <w:r w:rsidR="00C270DC" w:rsidRPr="00BB6388">
        <w:rPr>
          <w:rFonts w:hint="cs"/>
          <w:rtl/>
        </w:rPr>
        <w:t xml:space="preserve"> להעמקת המודעות לשימוש לרעה בסמים ובאלכוהול; ייעוץ בנושא טיפול ושיקום של נפגעי סמים ואלכוהול; הקמה, פיתוח, ניהול ותחזוקה של שירותים ותכניות פעולה למניעה, טיפול, שיקום וענישה על פי חוק בתחום השימוש לרעה בסמים ובאלכוהול; ייזום ותיאום של </w:t>
      </w:r>
      <w:r w:rsidR="00C270DC" w:rsidRPr="00BB6388">
        <w:rPr>
          <w:rtl/>
        </w:rPr>
        <w:t>כוח אדם מקצועי במוסדות ובשירותים הפועלים בתחום</w:t>
      </w:r>
      <w:r w:rsidR="00C270DC" w:rsidRPr="00BB6388">
        <w:rPr>
          <w:rFonts w:hint="cs"/>
          <w:rtl/>
        </w:rPr>
        <w:t xml:space="preserve">; קביעת כללים להקצאת משאבים לגופים הפועלים בתחום מתקציב הרשות; קידום </w:t>
      </w:r>
      <w:r w:rsidR="00C270DC" w:rsidRPr="00BB6388">
        <w:rPr>
          <w:rtl/>
        </w:rPr>
        <w:t>פעילות מונעת בקהילה</w:t>
      </w:r>
      <w:r w:rsidR="00C270DC" w:rsidRPr="00BB6388">
        <w:rPr>
          <w:rFonts w:hint="cs"/>
          <w:rtl/>
        </w:rPr>
        <w:t>; ביצוע מחקרים וריכוז מידע בתחום פעילותה;</w:t>
      </w:r>
      <w:r w:rsidR="00C270DC" w:rsidRPr="00BB6388">
        <w:rPr>
          <w:rtl/>
        </w:rPr>
        <w:t xml:space="preserve"> אספקת</w:t>
      </w:r>
      <w:r w:rsidR="00C270DC" w:rsidRPr="00BB6388">
        <w:rPr>
          <w:rFonts w:hint="cs"/>
          <w:rtl/>
        </w:rPr>
        <w:t xml:space="preserve"> </w:t>
      </w:r>
      <w:r w:rsidR="00C270DC" w:rsidRPr="00BB6388">
        <w:rPr>
          <w:rtl/>
        </w:rPr>
        <w:t>שירותי מידע ועידוד ההתנדבות</w:t>
      </w:r>
      <w:r w:rsidR="00C270DC" w:rsidRPr="00BB6388">
        <w:rPr>
          <w:rFonts w:hint="cs"/>
          <w:rtl/>
        </w:rPr>
        <w:t>.</w:t>
      </w:r>
      <w:r w:rsidR="00C270DC" w:rsidRPr="00BB6388">
        <w:rPr>
          <w:rStyle w:val="ab"/>
          <w:rtl/>
        </w:rPr>
        <w:footnoteReference w:id="187"/>
      </w:r>
      <w:r w:rsidR="00F744E5" w:rsidRPr="00BB6388">
        <w:rPr>
          <w:rFonts w:hint="cs"/>
          <w:rtl/>
        </w:rPr>
        <w:t xml:space="preserve"> מנכ"ל הרשות הוא גם </w:t>
      </w:r>
      <w:r w:rsidR="00F744E5" w:rsidRPr="0033767E">
        <w:rPr>
          <w:rFonts w:hint="cs"/>
          <w:rtl/>
        </w:rPr>
        <w:t xml:space="preserve">ראש הוועדה הבינמשרדית לבחינת חומרים פסיכואקטיביים, שעיקר תפקידה הוא </w:t>
      </w:r>
      <w:r w:rsidR="00F744E5" w:rsidRPr="0033767E">
        <w:rPr>
          <w:rFonts w:hint="eastAsia"/>
          <w:rtl/>
        </w:rPr>
        <w:t>המלצה</w:t>
      </w:r>
      <w:r w:rsidR="00F744E5" w:rsidRPr="0033767E">
        <w:rPr>
          <w:rtl/>
        </w:rPr>
        <w:t xml:space="preserve"> </w:t>
      </w:r>
      <w:r w:rsidR="00F744E5" w:rsidRPr="0033767E">
        <w:rPr>
          <w:rFonts w:hint="eastAsia"/>
          <w:rtl/>
        </w:rPr>
        <w:t>בפני</w:t>
      </w:r>
      <w:r w:rsidR="00F744E5" w:rsidRPr="0033767E">
        <w:rPr>
          <w:rtl/>
        </w:rPr>
        <w:t xml:space="preserve"> </w:t>
      </w:r>
      <w:r w:rsidR="00F744E5" w:rsidRPr="0033767E">
        <w:rPr>
          <w:rFonts w:hint="eastAsia"/>
          <w:rtl/>
        </w:rPr>
        <w:t>שר</w:t>
      </w:r>
      <w:r w:rsidR="00F744E5" w:rsidRPr="0033767E">
        <w:rPr>
          <w:rtl/>
        </w:rPr>
        <w:t xml:space="preserve"> </w:t>
      </w:r>
      <w:r w:rsidR="00F744E5" w:rsidRPr="0033767E">
        <w:rPr>
          <w:rFonts w:hint="eastAsia"/>
          <w:rtl/>
        </w:rPr>
        <w:t>הבריאות</w:t>
      </w:r>
      <w:r w:rsidR="00F744E5" w:rsidRPr="0033767E">
        <w:rPr>
          <w:rtl/>
        </w:rPr>
        <w:t xml:space="preserve"> </w:t>
      </w:r>
      <w:r w:rsidR="00F744E5" w:rsidRPr="0033767E">
        <w:rPr>
          <w:rFonts w:hint="eastAsia"/>
          <w:rtl/>
        </w:rPr>
        <w:t>בדבר</w:t>
      </w:r>
      <w:r w:rsidR="00F744E5" w:rsidRPr="0033767E">
        <w:rPr>
          <w:rtl/>
        </w:rPr>
        <w:t xml:space="preserve"> </w:t>
      </w:r>
      <w:r w:rsidR="00F744E5" w:rsidRPr="0033767E">
        <w:rPr>
          <w:rFonts w:hint="eastAsia"/>
          <w:rtl/>
        </w:rPr>
        <w:t>שינוי</w:t>
      </w:r>
      <w:r w:rsidR="00F744E5" w:rsidRPr="0033767E">
        <w:rPr>
          <w:rtl/>
        </w:rPr>
        <w:t xml:space="preserve"> </w:t>
      </w:r>
      <w:r w:rsidR="00F744E5" w:rsidRPr="0033767E">
        <w:rPr>
          <w:rFonts w:hint="eastAsia"/>
          <w:rtl/>
        </w:rPr>
        <w:t>רשימת</w:t>
      </w:r>
      <w:r w:rsidR="00F744E5" w:rsidRPr="0033767E">
        <w:rPr>
          <w:rtl/>
        </w:rPr>
        <w:t xml:space="preserve"> </w:t>
      </w:r>
      <w:r w:rsidR="00F744E5" w:rsidRPr="0033767E">
        <w:rPr>
          <w:rFonts w:hint="eastAsia"/>
          <w:rtl/>
        </w:rPr>
        <w:t>החומרים</w:t>
      </w:r>
      <w:r w:rsidR="00F744E5" w:rsidRPr="0033767E">
        <w:rPr>
          <w:rtl/>
        </w:rPr>
        <w:t xml:space="preserve"> </w:t>
      </w:r>
      <w:r w:rsidR="00F744E5" w:rsidRPr="0033767E">
        <w:rPr>
          <w:rFonts w:hint="eastAsia"/>
          <w:rtl/>
        </w:rPr>
        <w:t>הנכללת</w:t>
      </w:r>
      <w:r w:rsidR="00F744E5" w:rsidRPr="0033767E">
        <w:rPr>
          <w:rtl/>
        </w:rPr>
        <w:t xml:space="preserve"> </w:t>
      </w:r>
      <w:r w:rsidR="00F744E5" w:rsidRPr="0033767E">
        <w:rPr>
          <w:rFonts w:hint="eastAsia"/>
          <w:rtl/>
        </w:rPr>
        <w:t>בפקודת</w:t>
      </w:r>
      <w:r w:rsidR="00F744E5" w:rsidRPr="0033767E">
        <w:rPr>
          <w:rtl/>
        </w:rPr>
        <w:t xml:space="preserve"> </w:t>
      </w:r>
      <w:r w:rsidR="00F744E5" w:rsidRPr="0033767E">
        <w:rPr>
          <w:rFonts w:hint="eastAsia"/>
          <w:rtl/>
        </w:rPr>
        <w:t>הסמים</w:t>
      </w:r>
      <w:r w:rsidR="00F744E5" w:rsidRPr="0033767E">
        <w:rPr>
          <w:rtl/>
        </w:rPr>
        <w:t xml:space="preserve"> </w:t>
      </w:r>
      <w:r w:rsidR="00F744E5" w:rsidRPr="0033767E">
        <w:rPr>
          <w:rFonts w:hint="eastAsia"/>
          <w:rtl/>
        </w:rPr>
        <w:t>המסוכנים</w:t>
      </w:r>
      <w:r w:rsidR="00F744E5" w:rsidRPr="0033767E">
        <w:rPr>
          <w:rFonts w:hint="cs"/>
          <w:rtl/>
        </w:rPr>
        <w:t xml:space="preserve"> [נוסח חדש], התשל"ג-1973.</w:t>
      </w:r>
      <w:r w:rsidR="00F744E5" w:rsidRPr="0033767E">
        <w:rPr>
          <w:rStyle w:val="ab"/>
          <w:rtl/>
        </w:rPr>
        <w:footnoteReference w:id="188"/>
      </w:r>
      <w:r w:rsidR="00F744E5" w:rsidRPr="0033767E">
        <w:rPr>
          <w:rFonts w:hint="cs"/>
          <w:rtl/>
        </w:rPr>
        <w:t xml:space="preserve"> שר הבריאות </w:t>
      </w:r>
      <w:r w:rsidR="00721C87" w:rsidRPr="0033767E">
        <w:rPr>
          <w:rFonts w:hint="cs"/>
          <w:rtl/>
        </w:rPr>
        <w:t>הוא ה</w:t>
      </w:r>
      <w:r w:rsidR="00F744E5" w:rsidRPr="0033767E">
        <w:rPr>
          <w:rFonts w:hint="cs"/>
          <w:rtl/>
        </w:rPr>
        <w:t xml:space="preserve">בוחן את המלצות הוועדה, והוא האמון על המלצה לוועדת העבודה, הרווחה </w:t>
      </w:r>
      <w:r w:rsidR="008D2071">
        <w:rPr>
          <w:rFonts w:hint="cs"/>
          <w:rtl/>
        </w:rPr>
        <w:t xml:space="preserve">והבריאות </w:t>
      </w:r>
      <w:r w:rsidR="00F744E5" w:rsidRPr="0033767E">
        <w:rPr>
          <w:rFonts w:hint="cs"/>
          <w:rtl/>
        </w:rPr>
        <w:t>של הכנסת על הוספת או החסרת חומרים מרשימות הסמים המפורטות בתוספות לפקודה</w:t>
      </w:r>
      <w:r w:rsidR="00F744E5" w:rsidRPr="00BB6388">
        <w:rPr>
          <w:rFonts w:hint="cs"/>
          <w:rtl/>
        </w:rPr>
        <w:t>.</w:t>
      </w:r>
      <w:r w:rsidR="00F744E5" w:rsidRPr="00BB6388">
        <w:rPr>
          <w:rStyle w:val="ab"/>
          <w:rtl/>
        </w:rPr>
        <w:footnoteReference w:id="189"/>
      </w:r>
    </w:p>
    <w:p w:rsidR="00C270DC" w:rsidRPr="00BB6388" w:rsidRDefault="00C270DC" w:rsidP="00BB6388">
      <w:pPr>
        <w:pStyle w:val="a2"/>
        <w:spacing w:line="360" w:lineRule="auto"/>
        <w:rPr>
          <w:rtl/>
        </w:rPr>
      </w:pPr>
      <w:r w:rsidRPr="00BB6388">
        <w:rPr>
          <w:rFonts w:hint="cs"/>
          <w:rtl/>
        </w:rPr>
        <w:t xml:space="preserve">יודגש כי </w:t>
      </w:r>
      <w:r w:rsidRPr="00BB6388">
        <w:rPr>
          <w:rFonts w:hint="cs"/>
          <w:b/>
          <w:bCs/>
          <w:rtl/>
        </w:rPr>
        <w:t>תפקידה המרכזי של הרשות הוא עיצוב מדיניות לאומית בתחום ופעולה עם משרדי הממשלה השונים הפועלים לביצועה של מדיניות זו</w:t>
      </w:r>
      <w:r w:rsidRPr="00BB6388">
        <w:rPr>
          <w:rFonts w:hint="cs"/>
          <w:rtl/>
        </w:rPr>
        <w:t>.</w:t>
      </w:r>
    </w:p>
    <w:p w:rsidR="00C270DC" w:rsidRPr="00BB6388" w:rsidRDefault="00C270DC" w:rsidP="008E32C3">
      <w:pPr>
        <w:pStyle w:val="a2"/>
        <w:spacing w:line="360" w:lineRule="auto"/>
        <w:rPr>
          <w:rtl/>
        </w:rPr>
      </w:pPr>
      <w:r w:rsidRPr="00BB6388">
        <w:rPr>
          <w:rFonts w:hint="cs"/>
          <w:rtl/>
        </w:rPr>
        <w:t>הנושאים המרכזיים העומדים על סדר יומה של הרשות לשנת 2015 הם השיח הציבורי הקורא ללגליזציה של קנביס, לגליזציה לה מתנגדת הרשות; המשך המאבק ב</w:t>
      </w:r>
      <w:r w:rsidR="00AE37DD">
        <w:rPr>
          <w:rFonts w:hint="cs"/>
          <w:rtl/>
        </w:rPr>
        <w:t>'</w:t>
      </w:r>
      <w:r w:rsidRPr="00BB6388">
        <w:rPr>
          <w:rFonts w:hint="cs"/>
          <w:rtl/>
        </w:rPr>
        <w:t>סמי הפיצוציות</w:t>
      </w:r>
      <w:r w:rsidR="00AE37DD">
        <w:rPr>
          <w:rFonts w:hint="cs"/>
          <w:rtl/>
        </w:rPr>
        <w:t>'</w:t>
      </w:r>
      <w:r w:rsidRPr="00BB6388">
        <w:rPr>
          <w:rFonts w:hint="cs"/>
          <w:rtl/>
        </w:rPr>
        <w:t xml:space="preserve">, הן בחקיקה והן בהסברה; </w:t>
      </w:r>
      <w:r w:rsidR="00AE37DD">
        <w:rPr>
          <w:rFonts w:hint="cs"/>
          <w:rtl/>
        </w:rPr>
        <w:t>ו</w:t>
      </w:r>
      <w:r w:rsidRPr="00BB6388">
        <w:rPr>
          <w:rFonts w:hint="cs"/>
          <w:rtl/>
        </w:rPr>
        <w:t>הרחבת הפעילות כנגד צריכה בלתי-אחראית של אלכוהול.</w:t>
      </w:r>
      <w:r w:rsidRPr="00BB6388">
        <w:rPr>
          <w:rStyle w:val="ab"/>
          <w:rtl/>
        </w:rPr>
        <w:footnoteReference w:id="190"/>
      </w:r>
    </w:p>
    <w:p w:rsidR="00054DB0" w:rsidRDefault="00054DB0" w:rsidP="00BB6388">
      <w:pPr>
        <w:pStyle w:val="4"/>
        <w:rPr>
          <w:rtl/>
        </w:rPr>
      </w:pPr>
      <w:bookmarkStart w:id="190" w:name="_Toc418585134"/>
      <w:bookmarkStart w:id="191" w:name="_Toc419963075"/>
      <w:r w:rsidRPr="00BB6388">
        <w:rPr>
          <w:rFonts w:hint="cs"/>
          <w:rtl/>
        </w:rPr>
        <w:t>תקציב</w:t>
      </w:r>
      <w:r w:rsidRPr="00100BB5">
        <w:rPr>
          <w:rStyle w:val="ab"/>
          <w:b w:val="0"/>
          <w:bCs w:val="0"/>
          <w:rtl/>
        </w:rPr>
        <w:footnoteReference w:id="191"/>
      </w:r>
      <w:bookmarkEnd w:id="190"/>
      <w:bookmarkEnd w:id="191"/>
    </w:p>
    <w:p w:rsidR="00E94012" w:rsidRPr="00BB6388" w:rsidRDefault="0045234B" w:rsidP="00E94012">
      <w:pPr>
        <w:pStyle w:val="a2"/>
        <w:spacing w:line="360" w:lineRule="auto"/>
        <w:rPr>
          <w:rtl/>
        </w:rPr>
      </w:pPr>
      <w:r w:rsidRPr="00BB6388">
        <w:rPr>
          <w:rFonts w:hint="cs"/>
          <w:rtl/>
        </w:rPr>
        <w:t xml:space="preserve">טבלה מס' </w:t>
      </w:r>
      <w:r>
        <w:rPr>
          <w:rFonts w:hint="cs"/>
          <w:rtl/>
        </w:rPr>
        <w:t>8</w:t>
      </w:r>
      <w:r w:rsidRPr="00BB6388">
        <w:rPr>
          <w:rFonts w:hint="cs"/>
          <w:rtl/>
        </w:rPr>
        <w:t xml:space="preserve"> מציגה את תקציב הרשות הלאומית למלחמה בסמים ובאלכוהול בין השנים </w:t>
      </w:r>
      <w:r w:rsidRPr="00BB6388">
        <w:rPr>
          <w:rtl/>
        </w:rPr>
        <w:t>2008-2014</w:t>
      </w:r>
      <w:r w:rsidRPr="00BB6388">
        <w:rPr>
          <w:rFonts w:hint="cs"/>
          <w:rtl/>
        </w:rPr>
        <w:t>.</w:t>
      </w:r>
      <w:r>
        <w:rPr>
          <w:rFonts w:hint="cs"/>
          <w:rtl/>
        </w:rPr>
        <w:t xml:space="preserve"> </w:t>
      </w:r>
      <w:r w:rsidRPr="00640370">
        <w:rPr>
          <w:rFonts w:hint="cs"/>
          <w:b/>
          <w:bCs/>
          <w:rtl/>
        </w:rPr>
        <w:t>על-פי חוק, רשאית הרשות לקבל הכנסות ממענקים ומתרומות</w:t>
      </w:r>
      <w:r w:rsidRPr="00BB6388">
        <w:rPr>
          <w:rFonts w:hint="cs"/>
          <w:rtl/>
        </w:rPr>
        <w:t>,</w:t>
      </w:r>
      <w:r w:rsidRPr="00BB6388">
        <w:rPr>
          <w:rStyle w:val="ab"/>
          <w:rtl/>
        </w:rPr>
        <w:t xml:space="preserve"> </w:t>
      </w:r>
      <w:r w:rsidRPr="00BB6388">
        <w:rPr>
          <w:rStyle w:val="ab"/>
          <w:rtl/>
        </w:rPr>
        <w:footnoteReference w:id="192"/>
      </w:r>
      <w:r w:rsidRPr="00BB6388">
        <w:rPr>
          <w:rFonts w:hint="cs"/>
          <w:rtl/>
        </w:rPr>
        <w:t xml:space="preserve"> </w:t>
      </w:r>
      <w:r w:rsidRPr="00640370">
        <w:rPr>
          <w:rFonts w:hint="cs"/>
          <w:b/>
          <w:bCs/>
          <w:rtl/>
        </w:rPr>
        <w:t>אך</w:t>
      </w:r>
      <w:r w:rsidRPr="00640370">
        <w:rPr>
          <w:b/>
          <w:bCs/>
          <w:rtl/>
        </w:rPr>
        <w:t xml:space="preserve"> </w:t>
      </w:r>
      <w:r w:rsidRPr="00640370">
        <w:rPr>
          <w:rFonts w:hint="cs"/>
          <w:b/>
          <w:bCs/>
          <w:rtl/>
        </w:rPr>
        <w:t xml:space="preserve">רובו המכריע של תקציב הרשות בשנת 2014 </w:t>
      </w:r>
      <w:r w:rsidRPr="00640370">
        <w:rPr>
          <w:b/>
          <w:bCs/>
          <w:rtl/>
        </w:rPr>
        <w:t>(</w:t>
      </w:r>
      <w:r w:rsidRPr="00640370">
        <w:rPr>
          <w:rFonts w:hint="cs"/>
          <w:b/>
          <w:bCs/>
          <w:rtl/>
        </w:rPr>
        <w:t>95%-92%</w:t>
      </w:r>
      <w:r w:rsidRPr="00640370">
        <w:rPr>
          <w:b/>
          <w:bCs/>
          <w:rtl/>
        </w:rPr>
        <w:t>)</w:t>
      </w:r>
      <w:r w:rsidRPr="00640370">
        <w:rPr>
          <w:rFonts w:hint="cs"/>
          <w:b/>
          <w:bCs/>
          <w:rtl/>
        </w:rPr>
        <w:t xml:space="preserve"> מקורו בתקציב המדינה</w:t>
      </w:r>
      <w:r w:rsidRPr="00BB6388">
        <w:rPr>
          <w:rFonts w:hint="cs"/>
          <w:rtl/>
        </w:rPr>
        <w:t>.</w:t>
      </w:r>
      <w:r w:rsidRPr="00BB6388">
        <w:rPr>
          <w:rStyle w:val="ab"/>
          <w:rtl/>
        </w:rPr>
        <w:footnoteReference w:id="193"/>
      </w:r>
      <w:r>
        <w:rPr>
          <w:rFonts w:hint="cs"/>
          <w:rtl/>
        </w:rPr>
        <w:t xml:space="preserve"> </w:t>
      </w:r>
      <w:r w:rsidR="00E94012">
        <w:rPr>
          <w:rFonts w:hint="cs"/>
          <w:rtl/>
        </w:rPr>
        <w:t xml:space="preserve">מנתוני התקציב עולים מספר דברים: </w:t>
      </w:r>
      <w:r w:rsidR="00E94012" w:rsidRPr="00BB6388">
        <w:rPr>
          <w:rFonts w:hint="cs"/>
          <w:rtl/>
        </w:rPr>
        <w:t xml:space="preserve"> </w:t>
      </w:r>
    </w:p>
    <w:p w:rsidR="00E94012" w:rsidRPr="00BE6FD1" w:rsidRDefault="00E94012" w:rsidP="00E94012">
      <w:pPr>
        <w:pStyle w:val="a2"/>
        <w:rPr>
          <w:rtl/>
        </w:rPr>
      </w:pPr>
      <w:r>
        <w:rPr>
          <w:rFonts w:hint="cs"/>
          <w:rtl/>
        </w:rPr>
        <w:t xml:space="preserve">ראשית, </w:t>
      </w:r>
      <w:r w:rsidRPr="00BE6FD1">
        <w:rPr>
          <w:rFonts w:hint="cs"/>
          <w:rtl/>
        </w:rPr>
        <w:t xml:space="preserve">בעוד שבין השנים 2012-2008 עמד התקציב המקורי שהוקצה לרשות על כ-12-10 מיליון ₪, </w:t>
      </w:r>
      <w:r w:rsidRPr="00BE6FD1">
        <w:rPr>
          <w:rFonts w:hint="cs"/>
          <w:b/>
          <w:bCs/>
          <w:rtl/>
        </w:rPr>
        <w:t>בשנים 2014-2013 עמד התקציב על יותר מ-31 מיליון ₪, כלומר הוא גדל בכמעט פי שלושה</w:t>
      </w:r>
      <w:r w:rsidRPr="00BE6FD1">
        <w:rPr>
          <w:rFonts w:hint="cs"/>
          <w:rtl/>
        </w:rPr>
        <w:t xml:space="preserve">. </w:t>
      </w:r>
    </w:p>
    <w:p w:rsidR="0045234B" w:rsidRPr="00BB6388" w:rsidRDefault="00E94012" w:rsidP="00E94012">
      <w:pPr>
        <w:pStyle w:val="a2"/>
        <w:spacing w:line="360" w:lineRule="auto"/>
        <w:rPr>
          <w:rtl/>
        </w:rPr>
      </w:pPr>
      <w:r>
        <w:rPr>
          <w:rFonts w:hint="cs"/>
          <w:rtl/>
        </w:rPr>
        <w:t xml:space="preserve">שנית, </w:t>
      </w:r>
      <w:r w:rsidRPr="00BE6FD1">
        <w:rPr>
          <w:rFonts w:hint="cs"/>
          <w:b/>
          <w:bCs/>
          <w:rtl/>
        </w:rPr>
        <w:t>בכל</w:t>
      </w:r>
      <w:r w:rsidRPr="00BE6FD1">
        <w:rPr>
          <w:b/>
          <w:bCs/>
          <w:rtl/>
        </w:rPr>
        <w:t xml:space="preserve"> </w:t>
      </w:r>
      <w:r w:rsidRPr="00BE6FD1">
        <w:rPr>
          <w:rFonts w:hint="cs"/>
          <w:b/>
          <w:bCs/>
          <w:rtl/>
        </w:rPr>
        <w:t>אחת</w:t>
      </w:r>
      <w:r w:rsidRPr="00BE6FD1">
        <w:rPr>
          <w:b/>
          <w:bCs/>
          <w:rtl/>
        </w:rPr>
        <w:t xml:space="preserve"> </w:t>
      </w:r>
      <w:r w:rsidRPr="00BE6FD1">
        <w:rPr>
          <w:rFonts w:hint="cs"/>
          <w:b/>
          <w:bCs/>
          <w:rtl/>
        </w:rPr>
        <w:t>מהשנים</w:t>
      </w:r>
      <w:r w:rsidRPr="00BE6FD1">
        <w:rPr>
          <w:b/>
          <w:bCs/>
          <w:rtl/>
        </w:rPr>
        <w:t xml:space="preserve"> </w:t>
      </w:r>
      <w:r w:rsidRPr="00BE6FD1">
        <w:rPr>
          <w:rFonts w:hint="cs"/>
          <w:b/>
          <w:bCs/>
          <w:rtl/>
        </w:rPr>
        <w:t>2008-2014</w:t>
      </w:r>
      <w:r w:rsidRPr="00BE6FD1">
        <w:rPr>
          <w:b/>
          <w:bCs/>
          <w:rtl/>
        </w:rPr>
        <w:t xml:space="preserve"> </w:t>
      </w:r>
      <w:r w:rsidRPr="00BE6FD1">
        <w:rPr>
          <w:rFonts w:hint="cs"/>
          <w:b/>
          <w:bCs/>
          <w:rtl/>
        </w:rPr>
        <w:t>היה</w:t>
      </w:r>
      <w:r w:rsidRPr="00BE6FD1">
        <w:rPr>
          <w:b/>
          <w:bCs/>
          <w:rtl/>
        </w:rPr>
        <w:t xml:space="preserve"> </w:t>
      </w:r>
      <w:r w:rsidRPr="00BE6FD1">
        <w:rPr>
          <w:rFonts w:hint="cs"/>
          <w:b/>
          <w:bCs/>
          <w:rtl/>
        </w:rPr>
        <w:t>התקציב</w:t>
      </w:r>
      <w:r w:rsidRPr="00BE6FD1">
        <w:rPr>
          <w:b/>
          <w:bCs/>
          <w:rtl/>
        </w:rPr>
        <w:t xml:space="preserve"> </w:t>
      </w:r>
      <w:r w:rsidRPr="00BE6FD1">
        <w:rPr>
          <w:rFonts w:hint="cs"/>
          <w:b/>
          <w:bCs/>
          <w:rtl/>
        </w:rPr>
        <w:t>על</w:t>
      </w:r>
      <w:r w:rsidRPr="00BE6FD1">
        <w:rPr>
          <w:b/>
          <w:bCs/>
          <w:rtl/>
        </w:rPr>
        <w:t xml:space="preserve"> </w:t>
      </w:r>
      <w:r w:rsidRPr="00BE6FD1">
        <w:rPr>
          <w:rFonts w:hint="cs"/>
          <w:b/>
          <w:bCs/>
          <w:rtl/>
        </w:rPr>
        <w:t>שינוייו</w:t>
      </w:r>
      <w:r w:rsidRPr="00BE6FD1">
        <w:rPr>
          <w:b/>
          <w:bCs/>
          <w:rtl/>
        </w:rPr>
        <w:t xml:space="preserve"> </w:t>
      </w:r>
      <w:r w:rsidRPr="00BE6FD1">
        <w:rPr>
          <w:rFonts w:hint="cs"/>
          <w:b/>
          <w:bCs/>
          <w:rtl/>
        </w:rPr>
        <w:t>גבוה</w:t>
      </w:r>
      <w:r w:rsidRPr="00BE6FD1">
        <w:rPr>
          <w:b/>
          <w:bCs/>
          <w:rtl/>
        </w:rPr>
        <w:t xml:space="preserve"> </w:t>
      </w:r>
      <w:r w:rsidRPr="00BE6FD1">
        <w:rPr>
          <w:rFonts w:hint="cs"/>
          <w:b/>
          <w:bCs/>
          <w:rtl/>
        </w:rPr>
        <w:t>יותר</w:t>
      </w:r>
      <w:r w:rsidRPr="00BE6FD1">
        <w:rPr>
          <w:b/>
          <w:bCs/>
          <w:rtl/>
        </w:rPr>
        <w:t xml:space="preserve"> </w:t>
      </w:r>
      <w:r w:rsidRPr="00BE6FD1">
        <w:rPr>
          <w:rFonts w:hint="cs"/>
          <w:b/>
          <w:bCs/>
          <w:rtl/>
        </w:rPr>
        <w:t>מהתקציב</w:t>
      </w:r>
      <w:r w:rsidRPr="00BE6FD1">
        <w:rPr>
          <w:b/>
          <w:bCs/>
          <w:rtl/>
        </w:rPr>
        <w:t xml:space="preserve"> </w:t>
      </w:r>
      <w:r w:rsidRPr="00BE6FD1">
        <w:rPr>
          <w:rFonts w:hint="cs"/>
          <w:b/>
          <w:bCs/>
          <w:rtl/>
        </w:rPr>
        <w:t>המקורי</w:t>
      </w:r>
      <w:r w:rsidRPr="00BB6388">
        <w:rPr>
          <w:rFonts w:hint="cs"/>
          <w:rtl/>
        </w:rPr>
        <w:t>. בשנים 2012-2008 התקציב על שינויו היה גבוה מהתקציב המקורי פי ארבעה ויותר. בשנים 2013-2014 גדל כאמור התקציב המקורי, והתקציב על שינויו בשנים אלו היה גבוה ממנו בכ-29%.</w:t>
      </w:r>
    </w:p>
    <w:p w:rsidR="00BE6FD1" w:rsidRDefault="00BE6FD1" w:rsidP="00351FCC">
      <w:pPr>
        <w:pStyle w:val="af2"/>
        <w:jc w:val="center"/>
        <w:rPr>
          <w:sz w:val="24"/>
          <w:szCs w:val="24"/>
          <w:rtl/>
        </w:rPr>
      </w:pPr>
    </w:p>
    <w:p w:rsidR="007B5846" w:rsidRDefault="007B5846" w:rsidP="00351FCC">
      <w:pPr>
        <w:pStyle w:val="af2"/>
        <w:jc w:val="center"/>
        <w:rPr>
          <w:sz w:val="24"/>
          <w:szCs w:val="24"/>
          <w:rtl/>
        </w:rPr>
      </w:pPr>
    </w:p>
    <w:p w:rsidR="00351FCC" w:rsidRPr="00BB6388" w:rsidRDefault="00351FCC" w:rsidP="00351FCC">
      <w:pPr>
        <w:pStyle w:val="af2"/>
        <w:jc w:val="center"/>
        <w:rPr>
          <w:rtl/>
        </w:rPr>
      </w:pPr>
      <w:r w:rsidRPr="0033767E">
        <w:rPr>
          <w:sz w:val="24"/>
          <w:szCs w:val="24"/>
          <w:rtl/>
        </w:rPr>
        <w:t xml:space="preserve">טבלה </w:t>
      </w:r>
      <w:r w:rsidRPr="0033767E">
        <w:rPr>
          <w:sz w:val="24"/>
          <w:szCs w:val="24"/>
          <w:rtl/>
        </w:rPr>
        <w:fldChar w:fldCharType="begin"/>
      </w:r>
      <w:r w:rsidRPr="0033767E">
        <w:rPr>
          <w:sz w:val="24"/>
          <w:szCs w:val="24"/>
          <w:rtl/>
        </w:rPr>
        <w:instrText xml:space="preserve"> </w:instrText>
      </w:r>
      <w:r w:rsidRPr="0033767E">
        <w:rPr>
          <w:sz w:val="24"/>
          <w:szCs w:val="24"/>
        </w:rPr>
        <w:instrText>SEQ</w:instrText>
      </w:r>
      <w:r w:rsidRPr="0033767E">
        <w:rPr>
          <w:sz w:val="24"/>
          <w:szCs w:val="24"/>
          <w:rtl/>
        </w:rPr>
        <w:instrText xml:space="preserve"> טבלה \* </w:instrText>
      </w:r>
      <w:r w:rsidRPr="0033767E">
        <w:rPr>
          <w:sz w:val="24"/>
          <w:szCs w:val="24"/>
        </w:rPr>
        <w:instrText>ARABIC</w:instrText>
      </w:r>
      <w:r w:rsidRPr="0033767E">
        <w:rPr>
          <w:sz w:val="24"/>
          <w:szCs w:val="24"/>
          <w:rtl/>
        </w:rPr>
        <w:instrText xml:space="preserve"> </w:instrText>
      </w:r>
      <w:r w:rsidRPr="0033767E">
        <w:rPr>
          <w:sz w:val="24"/>
          <w:szCs w:val="24"/>
          <w:rtl/>
        </w:rPr>
        <w:fldChar w:fldCharType="separate"/>
      </w:r>
      <w:r w:rsidR="007347AB">
        <w:rPr>
          <w:noProof/>
          <w:sz w:val="24"/>
          <w:szCs w:val="24"/>
          <w:rtl/>
        </w:rPr>
        <w:t>8</w:t>
      </w:r>
      <w:r w:rsidRPr="0033767E">
        <w:rPr>
          <w:sz w:val="24"/>
          <w:szCs w:val="24"/>
          <w:rtl/>
        </w:rPr>
        <w:fldChar w:fldCharType="end"/>
      </w:r>
      <w:r w:rsidRPr="0033767E">
        <w:rPr>
          <w:rFonts w:hint="cs"/>
          <w:sz w:val="24"/>
          <w:szCs w:val="24"/>
          <w:rtl/>
        </w:rPr>
        <w:t xml:space="preserve">: תקציב הרשות הלאומית למלחמה בסמים ובאלכוהול בשנים </w:t>
      </w:r>
      <w:r w:rsidRPr="0033767E">
        <w:rPr>
          <w:sz w:val="24"/>
          <w:szCs w:val="24"/>
          <w:rtl/>
        </w:rPr>
        <w:t>201</w:t>
      </w:r>
      <w:r w:rsidRPr="0033767E">
        <w:rPr>
          <w:rFonts w:hint="cs"/>
          <w:sz w:val="24"/>
          <w:szCs w:val="24"/>
          <w:rtl/>
        </w:rPr>
        <w:t>4</w:t>
      </w:r>
      <w:r w:rsidRPr="0033767E">
        <w:rPr>
          <w:sz w:val="24"/>
          <w:szCs w:val="24"/>
          <w:rtl/>
        </w:rPr>
        <w:t>-2008</w:t>
      </w:r>
      <w:r w:rsidRPr="00BB6388">
        <w:rPr>
          <w:rStyle w:val="ab"/>
          <w:b w:val="0"/>
          <w:bCs w:val="0"/>
          <w:rtl/>
        </w:rPr>
        <w:footnoteReference w:id="194"/>
      </w:r>
    </w:p>
    <w:tbl>
      <w:tblPr>
        <w:tblStyle w:val="afff5"/>
        <w:bidiVisual/>
        <w:tblW w:w="5763" w:type="dxa"/>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1381"/>
        <w:gridCol w:w="2131"/>
        <w:gridCol w:w="2251"/>
      </w:tblGrid>
      <w:tr w:rsidR="00351FCC" w:rsidRPr="0093506E" w:rsidTr="00847EA3">
        <w:trPr>
          <w:tblCellSpacing w:w="20" w:type="dxa"/>
          <w:jc w:val="center"/>
        </w:trPr>
        <w:tc>
          <w:tcPr>
            <w:tcW w:w="1321" w:type="dxa"/>
            <w:shd w:val="clear" w:color="auto" w:fill="auto"/>
          </w:tcPr>
          <w:p w:rsidR="00351FCC" w:rsidRPr="0093506E" w:rsidRDefault="00351FCC" w:rsidP="00C3078A">
            <w:pPr>
              <w:spacing w:before="60" w:after="0" w:line="240" w:lineRule="auto"/>
              <w:jc w:val="center"/>
              <w:rPr>
                <w:b/>
                <w:bCs/>
                <w:sz w:val="22"/>
                <w:szCs w:val="22"/>
                <w:rtl/>
              </w:rPr>
            </w:pPr>
            <w:r w:rsidRPr="0093506E">
              <w:rPr>
                <w:rFonts w:hint="cs"/>
                <w:b/>
                <w:bCs/>
                <w:sz w:val="22"/>
                <w:szCs w:val="22"/>
                <w:rtl/>
              </w:rPr>
              <w:t>שנת תקציב</w:t>
            </w:r>
          </w:p>
        </w:tc>
        <w:tc>
          <w:tcPr>
            <w:tcW w:w="2091" w:type="dxa"/>
            <w:shd w:val="clear" w:color="auto" w:fill="auto"/>
          </w:tcPr>
          <w:p w:rsidR="00351FCC" w:rsidRPr="0093506E" w:rsidRDefault="00351FCC" w:rsidP="00C3078A">
            <w:pPr>
              <w:spacing w:before="60" w:after="0" w:line="240" w:lineRule="auto"/>
              <w:jc w:val="center"/>
              <w:rPr>
                <w:b/>
                <w:bCs/>
                <w:sz w:val="22"/>
                <w:szCs w:val="22"/>
                <w:rtl/>
              </w:rPr>
            </w:pPr>
            <w:r w:rsidRPr="0093506E">
              <w:rPr>
                <w:rFonts w:hint="cs"/>
                <w:b/>
                <w:bCs/>
                <w:sz w:val="22"/>
                <w:szCs w:val="22"/>
                <w:rtl/>
              </w:rPr>
              <w:t>התקציב המקורי נטו</w:t>
            </w:r>
          </w:p>
        </w:tc>
        <w:tc>
          <w:tcPr>
            <w:tcW w:w="2191" w:type="dxa"/>
            <w:shd w:val="clear" w:color="auto" w:fill="auto"/>
          </w:tcPr>
          <w:p w:rsidR="00351FCC" w:rsidRPr="0093506E" w:rsidRDefault="00351FCC" w:rsidP="00C3078A">
            <w:pPr>
              <w:spacing w:before="60" w:after="0" w:line="240" w:lineRule="auto"/>
              <w:jc w:val="center"/>
              <w:rPr>
                <w:b/>
                <w:bCs/>
                <w:sz w:val="22"/>
                <w:szCs w:val="22"/>
                <w:rtl/>
              </w:rPr>
            </w:pPr>
            <w:r w:rsidRPr="0093506E">
              <w:rPr>
                <w:rFonts w:hint="cs"/>
                <w:b/>
                <w:bCs/>
                <w:sz w:val="22"/>
                <w:szCs w:val="22"/>
                <w:rtl/>
              </w:rPr>
              <w:t>התקציב על שינויו נטו</w:t>
            </w:r>
          </w:p>
        </w:tc>
      </w:tr>
      <w:tr w:rsidR="00351FCC" w:rsidRPr="0093506E" w:rsidTr="00847EA3">
        <w:trPr>
          <w:tblCellSpacing w:w="20" w:type="dxa"/>
          <w:jc w:val="center"/>
        </w:trPr>
        <w:tc>
          <w:tcPr>
            <w:tcW w:w="1321" w:type="dxa"/>
            <w:shd w:val="clear" w:color="auto" w:fill="auto"/>
          </w:tcPr>
          <w:p w:rsidR="00351FCC" w:rsidRPr="0093506E" w:rsidRDefault="00351FCC" w:rsidP="00C3078A">
            <w:pPr>
              <w:spacing w:before="60" w:after="0" w:line="240" w:lineRule="auto"/>
              <w:jc w:val="center"/>
              <w:rPr>
                <w:sz w:val="22"/>
                <w:szCs w:val="22"/>
                <w:rtl/>
              </w:rPr>
            </w:pPr>
            <w:r w:rsidRPr="0093506E">
              <w:rPr>
                <w:rFonts w:hint="cs"/>
                <w:sz w:val="22"/>
                <w:szCs w:val="22"/>
                <w:rtl/>
              </w:rPr>
              <w:t>2008</w:t>
            </w:r>
          </w:p>
        </w:tc>
        <w:tc>
          <w:tcPr>
            <w:tcW w:w="2091" w:type="dxa"/>
            <w:shd w:val="clear" w:color="auto" w:fill="auto"/>
          </w:tcPr>
          <w:p w:rsidR="00351FCC" w:rsidRPr="0093506E" w:rsidRDefault="00351FCC" w:rsidP="00C3078A">
            <w:pPr>
              <w:spacing w:before="60" w:after="0" w:line="240" w:lineRule="auto"/>
              <w:jc w:val="center"/>
              <w:rPr>
                <w:sz w:val="22"/>
                <w:szCs w:val="22"/>
                <w:rtl/>
              </w:rPr>
            </w:pPr>
            <w:r w:rsidRPr="0093506E">
              <w:rPr>
                <w:rFonts w:hint="cs"/>
                <w:sz w:val="22"/>
                <w:szCs w:val="22"/>
                <w:rtl/>
              </w:rPr>
              <w:t>12,093,000</w:t>
            </w:r>
          </w:p>
        </w:tc>
        <w:tc>
          <w:tcPr>
            <w:tcW w:w="2191" w:type="dxa"/>
            <w:shd w:val="clear" w:color="auto" w:fill="auto"/>
          </w:tcPr>
          <w:p w:rsidR="00351FCC" w:rsidRPr="0093506E" w:rsidRDefault="00351FCC" w:rsidP="00C3078A">
            <w:pPr>
              <w:spacing w:before="60" w:after="0" w:line="240" w:lineRule="auto"/>
              <w:jc w:val="center"/>
              <w:rPr>
                <w:sz w:val="22"/>
                <w:szCs w:val="22"/>
                <w:rtl/>
              </w:rPr>
            </w:pPr>
            <w:r w:rsidRPr="0093506E">
              <w:rPr>
                <w:rFonts w:hint="cs"/>
                <w:sz w:val="22"/>
                <w:szCs w:val="22"/>
                <w:rtl/>
              </w:rPr>
              <w:t>46,843,000</w:t>
            </w:r>
          </w:p>
        </w:tc>
      </w:tr>
      <w:tr w:rsidR="00351FCC" w:rsidRPr="0093506E" w:rsidTr="00847EA3">
        <w:trPr>
          <w:tblCellSpacing w:w="20" w:type="dxa"/>
          <w:jc w:val="center"/>
        </w:trPr>
        <w:tc>
          <w:tcPr>
            <w:tcW w:w="1321" w:type="dxa"/>
            <w:shd w:val="clear" w:color="auto" w:fill="auto"/>
          </w:tcPr>
          <w:p w:rsidR="00351FCC" w:rsidRPr="0093506E" w:rsidRDefault="00351FCC" w:rsidP="00C3078A">
            <w:pPr>
              <w:spacing w:before="60" w:after="0" w:line="240" w:lineRule="auto"/>
              <w:jc w:val="center"/>
              <w:rPr>
                <w:sz w:val="22"/>
                <w:szCs w:val="22"/>
                <w:rtl/>
              </w:rPr>
            </w:pPr>
            <w:r w:rsidRPr="0093506E">
              <w:rPr>
                <w:rFonts w:hint="cs"/>
                <w:sz w:val="22"/>
                <w:szCs w:val="22"/>
                <w:rtl/>
              </w:rPr>
              <w:t>2009</w:t>
            </w:r>
            <w:r w:rsidRPr="0093506E">
              <w:rPr>
                <w:rStyle w:val="ab"/>
                <w:sz w:val="22"/>
                <w:szCs w:val="22"/>
                <w:rtl/>
              </w:rPr>
              <w:footnoteReference w:id="195"/>
            </w:r>
          </w:p>
        </w:tc>
        <w:tc>
          <w:tcPr>
            <w:tcW w:w="2091" w:type="dxa"/>
            <w:shd w:val="clear" w:color="auto" w:fill="auto"/>
          </w:tcPr>
          <w:p w:rsidR="00351FCC" w:rsidRPr="0093506E" w:rsidRDefault="00351FCC" w:rsidP="00C3078A">
            <w:pPr>
              <w:spacing w:before="60" w:after="0" w:line="240" w:lineRule="auto"/>
              <w:jc w:val="center"/>
              <w:rPr>
                <w:sz w:val="22"/>
                <w:szCs w:val="22"/>
                <w:rtl/>
              </w:rPr>
            </w:pPr>
            <w:r w:rsidRPr="0093506E">
              <w:rPr>
                <w:rFonts w:hint="cs"/>
                <w:sz w:val="22"/>
                <w:szCs w:val="22"/>
                <w:rtl/>
              </w:rPr>
              <w:t>10,294,000</w:t>
            </w:r>
          </w:p>
        </w:tc>
        <w:tc>
          <w:tcPr>
            <w:tcW w:w="2191" w:type="dxa"/>
            <w:shd w:val="clear" w:color="auto" w:fill="auto"/>
          </w:tcPr>
          <w:p w:rsidR="00351FCC" w:rsidRPr="0093506E" w:rsidRDefault="00351FCC" w:rsidP="00C3078A">
            <w:pPr>
              <w:spacing w:before="60" w:after="0" w:line="240" w:lineRule="auto"/>
              <w:jc w:val="center"/>
              <w:rPr>
                <w:sz w:val="22"/>
                <w:szCs w:val="22"/>
                <w:rtl/>
              </w:rPr>
            </w:pPr>
            <w:r w:rsidRPr="0093506E">
              <w:rPr>
                <w:rFonts w:hint="cs"/>
                <w:sz w:val="22"/>
                <w:szCs w:val="22"/>
                <w:rtl/>
              </w:rPr>
              <w:t>33,883,000</w:t>
            </w:r>
          </w:p>
        </w:tc>
      </w:tr>
      <w:tr w:rsidR="00351FCC" w:rsidRPr="0093506E" w:rsidTr="00847EA3">
        <w:trPr>
          <w:tblCellSpacing w:w="20" w:type="dxa"/>
          <w:jc w:val="center"/>
        </w:trPr>
        <w:tc>
          <w:tcPr>
            <w:tcW w:w="1321" w:type="dxa"/>
            <w:shd w:val="clear" w:color="auto" w:fill="auto"/>
          </w:tcPr>
          <w:p w:rsidR="00351FCC" w:rsidRPr="0093506E" w:rsidRDefault="00351FCC" w:rsidP="00C3078A">
            <w:pPr>
              <w:spacing w:before="60" w:after="0" w:line="240" w:lineRule="auto"/>
              <w:jc w:val="center"/>
              <w:rPr>
                <w:sz w:val="22"/>
                <w:szCs w:val="22"/>
                <w:rtl/>
              </w:rPr>
            </w:pPr>
            <w:r w:rsidRPr="0093506E">
              <w:rPr>
                <w:rFonts w:hint="cs"/>
                <w:sz w:val="22"/>
                <w:szCs w:val="22"/>
                <w:rtl/>
              </w:rPr>
              <w:t>2010</w:t>
            </w:r>
          </w:p>
        </w:tc>
        <w:tc>
          <w:tcPr>
            <w:tcW w:w="2091" w:type="dxa"/>
            <w:shd w:val="clear" w:color="auto" w:fill="auto"/>
          </w:tcPr>
          <w:p w:rsidR="00351FCC" w:rsidRPr="0093506E" w:rsidRDefault="00351FCC" w:rsidP="00C3078A">
            <w:pPr>
              <w:spacing w:before="60" w:after="0" w:line="240" w:lineRule="auto"/>
              <w:jc w:val="center"/>
              <w:rPr>
                <w:sz w:val="22"/>
                <w:szCs w:val="22"/>
                <w:rtl/>
              </w:rPr>
            </w:pPr>
            <w:r w:rsidRPr="0093506E">
              <w:rPr>
                <w:rFonts w:hint="cs"/>
                <w:sz w:val="22"/>
                <w:szCs w:val="22"/>
                <w:rtl/>
              </w:rPr>
              <w:t>12,166,000</w:t>
            </w:r>
          </w:p>
        </w:tc>
        <w:tc>
          <w:tcPr>
            <w:tcW w:w="2191" w:type="dxa"/>
            <w:shd w:val="clear" w:color="auto" w:fill="auto"/>
          </w:tcPr>
          <w:p w:rsidR="00351FCC" w:rsidRPr="0093506E" w:rsidRDefault="00351FCC" w:rsidP="00C3078A">
            <w:pPr>
              <w:spacing w:before="60" w:after="0" w:line="240" w:lineRule="auto"/>
              <w:jc w:val="center"/>
              <w:rPr>
                <w:sz w:val="22"/>
                <w:szCs w:val="22"/>
                <w:rtl/>
              </w:rPr>
            </w:pPr>
            <w:r w:rsidRPr="0093506E">
              <w:rPr>
                <w:rFonts w:hint="cs"/>
                <w:sz w:val="22"/>
                <w:szCs w:val="22"/>
                <w:rtl/>
              </w:rPr>
              <w:t>43,757,000</w:t>
            </w:r>
          </w:p>
        </w:tc>
      </w:tr>
      <w:tr w:rsidR="00351FCC" w:rsidRPr="0093506E" w:rsidTr="00847EA3">
        <w:trPr>
          <w:tblCellSpacing w:w="20" w:type="dxa"/>
          <w:jc w:val="center"/>
        </w:trPr>
        <w:tc>
          <w:tcPr>
            <w:tcW w:w="1321" w:type="dxa"/>
            <w:shd w:val="clear" w:color="auto" w:fill="auto"/>
          </w:tcPr>
          <w:p w:rsidR="00351FCC" w:rsidRPr="0093506E" w:rsidRDefault="00351FCC" w:rsidP="00C3078A">
            <w:pPr>
              <w:spacing w:before="60" w:after="0" w:line="240" w:lineRule="auto"/>
              <w:jc w:val="center"/>
              <w:rPr>
                <w:sz w:val="22"/>
                <w:szCs w:val="22"/>
                <w:rtl/>
              </w:rPr>
            </w:pPr>
            <w:r w:rsidRPr="0093506E">
              <w:rPr>
                <w:rFonts w:hint="cs"/>
                <w:sz w:val="22"/>
                <w:szCs w:val="22"/>
                <w:rtl/>
              </w:rPr>
              <w:t>2011</w:t>
            </w:r>
          </w:p>
        </w:tc>
        <w:tc>
          <w:tcPr>
            <w:tcW w:w="2091" w:type="dxa"/>
            <w:shd w:val="clear" w:color="auto" w:fill="auto"/>
          </w:tcPr>
          <w:p w:rsidR="00351FCC" w:rsidRPr="0093506E" w:rsidRDefault="00351FCC" w:rsidP="00C3078A">
            <w:pPr>
              <w:spacing w:before="60" w:after="0" w:line="240" w:lineRule="auto"/>
              <w:jc w:val="center"/>
              <w:rPr>
                <w:sz w:val="22"/>
                <w:szCs w:val="22"/>
                <w:rtl/>
              </w:rPr>
            </w:pPr>
            <w:r w:rsidRPr="0093506E">
              <w:rPr>
                <w:rFonts w:hint="cs"/>
                <w:sz w:val="22"/>
                <w:szCs w:val="22"/>
                <w:rtl/>
              </w:rPr>
              <w:t>11,671,000</w:t>
            </w:r>
          </w:p>
        </w:tc>
        <w:tc>
          <w:tcPr>
            <w:tcW w:w="2191" w:type="dxa"/>
            <w:shd w:val="clear" w:color="auto" w:fill="auto"/>
          </w:tcPr>
          <w:p w:rsidR="00351FCC" w:rsidRPr="0093506E" w:rsidRDefault="00351FCC" w:rsidP="00C3078A">
            <w:pPr>
              <w:spacing w:before="60" w:after="0" w:line="240" w:lineRule="auto"/>
              <w:jc w:val="center"/>
              <w:rPr>
                <w:sz w:val="22"/>
                <w:szCs w:val="22"/>
                <w:rtl/>
              </w:rPr>
            </w:pPr>
            <w:r w:rsidRPr="0093506E">
              <w:rPr>
                <w:rFonts w:hint="cs"/>
                <w:sz w:val="22"/>
                <w:szCs w:val="22"/>
                <w:rtl/>
              </w:rPr>
              <w:t>52,166,000</w:t>
            </w:r>
          </w:p>
        </w:tc>
      </w:tr>
      <w:tr w:rsidR="00351FCC" w:rsidRPr="0093506E" w:rsidTr="00847EA3">
        <w:trPr>
          <w:tblCellSpacing w:w="20" w:type="dxa"/>
          <w:jc w:val="center"/>
        </w:trPr>
        <w:tc>
          <w:tcPr>
            <w:tcW w:w="1321" w:type="dxa"/>
            <w:shd w:val="clear" w:color="auto" w:fill="auto"/>
          </w:tcPr>
          <w:p w:rsidR="00351FCC" w:rsidRPr="0093506E" w:rsidRDefault="00351FCC" w:rsidP="00C3078A">
            <w:pPr>
              <w:spacing w:before="60" w:after="0" w:line="240" w:lineRule="auto"/>
              <w:jc w:val="center"/>
              <w:rPr>
                <w:sz w:val="22"/>
                <w:szCs w:val="22"/>
                <w:rtl/>
              </w:rPr>
            </w:pPr>
            <w:r w:rsidRPr="0093506E">
              <w:rPr>
                <w:rFonts w:hint="cs"/>
                <w:sz w:val="22"/>
                <w:szCs w:val="22"/>
                <w:rtl/>
              </w:rPr>
              <w:t>2012</w:t>
            </w:r>
          </w:p>
        </w:tc>
        <w:tc>
          <w:tcPr>
            <w:tcW w:w="2091" w:type="dxa"/>
            <w:shd w:val="clear" w:color="auto" w:fill="auto"/>
          </w:tcPr>
          <w:p w:rsidR="00351FCC" w:rsidRPr="0093506E" w:rsidRDefault="00351FCC" w:rsidP="00C3078A">
            <w:pPr>
              <w:spacing w:before="60" w:after="0" w:line="240" w:lineRule="auto"/>
              <w:jc w:val="center"/>
              <w:rPr>
                <w:sz w:val="22"/>
                <w:szCs w:val="22"/>
                <w:rtl/>
              </w:rPr>
            </w:pPr>
            <w:r w:rsidRPr="0093506E">
              <w:rPr>
                <w:rFonts w:hint="cs"/>
                <w:sz w:val="22"/>
                <w:szCs w:val="22"/>
                <w:rtl/>
              </w:rPr>
              <w:t>11,783,000</w:t>
            </w:r>
          </w:p>
        </w:tc>
        <w:tc>
          <w:tcPr>
            <w:tcW w:w="2191" w:type="dxa"/>
            <w:shd w:val="clear" w:color="auto" w:fill="auto"/>
          </w:tcPr>
          <w:p w:rsidR="00351FCC" w:rsidRPr="0093506E" w:rsidRDefault="00351FCC" w:rsidP="00C3078A">
            <w:pPr>
              <w:spacing w:before="60" w:after="0" w:line="240" w:lineRule="auto"/>
              <w:jc w:val="center"/>
              <w:rPr>
                <w:sz w:val="22"/>
                <w:szCs w:val="22"/>
                <w:rtl/>
              </w:rPr>
            </w:pPr>
            <w:r w:rsidRPr="0093506E">
              <w:rPr>
                <w:rFonts w:hint="cs"/>
                <w:sz w:val="22"/>
                <w:szCs w:val="22"/>
                <w:rtl/>
              </w:rPr>
              <w:t>52,297,000</w:t>
            </w:r>
          </w:p>
        </w:tc>
      </w:tr>
      <w:tr w:rsidR="00351FCC" w:rsidRPr="0093506E" w:rsidTr="00847EA3">
        <w:trPr>
          <w:tblCellSpacing w:w="20" w:type="dxa"/>
          <w:jc w:val="center"/>
        </w:trPr>
        <w:tc>
          <w:tcPr>
            <w:tcW w:w="1321" w:type="dxa"/>
            <w:shd w:val="clear" w:color="auto" w:fill="auto"/>
          </w:tcPr>
          <w:p w:rsidR="00351FCC" w:rsidRPr="0093506E" w:rsidRDefault="00351FCC" w:rsidP="00C3078A">
            <w:pPr>
              <w:spacing w:before="60" w:after="0" w:line="240" w:lineRule="auto"/>
              <w:jc w:val="center"/>
              <w:rPr>
                <w:sz w:val="22"/>
                <w:szCs w:val="22"/>
                <w:rtl/>
              </w:rPr>
            </w:pPr>
            <w:r w:rsidRPr="0093506E">
              <w:rPr>
                <w:rFonts w:hint="cs"/>
                <w:sz w:val="22"/>
                <w:szCs w:val="22"/>
                <w:rtl/>
              </w:rPr>
              <w:t>2013</w:t>
            </w:r>
          </w:p>
        </w:tc>
        <w:tc>
          <w:tcPr>
            <w:tcW w:w="2091" w:type="dxa"/>
            <w:shd w:val="clear" w:color="auto" w:fill="auto"/>
          </w:tcPr>
          <w:p w:rsidR="00351FCC" w:rsidRPr="0093506E" w:rsidRDefault="00351FCC" w:rsidP="00C3078A">
            <w:pPr>
              <w:spacing w:before="60" w:after="0" w:line="240" w:lineRule="auto"/>
              <w:jc w:val="center"/>
              <w:rPr>
                <w:sz w:val="22"/>
                <w:szCs w:val="22"/>
                <w:rtl/>
              </w:rPr>
            </w:pPr>
            <w:r w:rsidRPr="0093506E">
              <w:rPr>
                <w:rFonts w:hint="cs"/>
                <w:sz w:val="22"/>
                <w:szCs w:val="22"/>
                <w:rtl/>
              </w:rPr>
              <w:t>31,597,000</w:t>
            </w:r>
          </w:p>
        </w:tc>
        <w:tc>
          <w:tcPr>
            <w:tcW w:w="2191" w:type="dxa"/>
            <w:shd w:val="clear" w:color="auto" w:fill="auto"/>
          </w:tcPr>
          <w:p w:rsidR="00351FCC" w:rsidRPr="0093506E" w:rsidRDefault="00351FCC" w:rsidP="00C3078A">
            <w:pPr>
              <w:spacing w:before="60" w:after="0" w:line="240" w:lineRule="auto"/>
              <w:jc w:val="center"/>
              <w:rPr>
                <w:sz w:val="22"/>
                <w:szCs w:val="22"/>
                <w:rtl/>
              </w:rPr>
            </w:pPr>
            <w:r w:rsidRPr="0093506E">
              <w:rPr>
                <w:rFonts w:hint="cs"/>
                <w:sz w:val="22"/>
                <w:szCs w:val="22"/>
                <w:rtl/>
              </w:rPr>
              <w:t>44,264,000</w:t>
            </w:r>
          </w:p>
        </w:tc>
      </w:tr>
      <w:tr w:rsidR="00351FCC" w:rsidRPr="0093506E" w:rsidTr="00847EA3">
        <w:trPr>
          <w:tblCellSpacing w:w="20" w:type="dxa"/>
          <w:jc w:val="center"/>
        </w:trPr>
        <w:tc>
          <w:tcPr>
            <w:tcW w:w="1321" w:type="dxa"/>
            <w:shd w:val="clear" w:color="auto" w:fill="auto"/>
          </w:tcPr>
          <w:p w:rsidR="00351FCC" w:rsidRPr="0093506E" w:rsidRDefault="00351FCC" w:rsidP="00C3078A">
            <w:pPr>
              <w:spacing w:before="60" w:after="0" w:line="240" w:lineRule="auto"/>
              <w:jc w:val="center"/>
              <w:rPr>
                <w:sz w:val="22"/>
                <w:szCs w:val="22"/>
                <w:rtl/>
              </w:rPr>
            </w:pPr>
            <w:r w:rsidRPr="0093506E">
              <w:rPr>
                <w:rFonts w:hint="cs"/>
                <w:sz w:val="22"/>
                <w:szCs w:val="22"/>
                <w:rtl/>
              </w:rPr>
              <w:t>2014</w:t>
            </w:r>
          </w:p>
        </w:tc>
        <w:tc>
          <w:tcPr>
            <w:tcW w:w="2091" w:type="dxa"/>
            <w:shd w:val="clear" w:color="auto" w:fill="auto"/>
          </w:tcPr>
          <w:p w:rsidR="00351FCC" w:rsidRPr="00E878BB" w:rsidRDefault="00351FCC" w:rsidP="00C3078A">
            <w:pPr>
              <w:spacing w:before="60" w:after="0" w:line="240" w:lineRule="auto"/>
              <w:jc w:val="center"/>
              <w:rPr>
                <w:sz w:val="22"/>
                <w:szCs w:val="22"/>
                <w:rtl/>
              </w:rPr>
            </w:pPr>
            <w:r>
              <w:rPr>
                <w:rFonts w:hint="cs"/>
                <w:sz w:val="22"/>
                <w:szCs w:val="22"/>
                <w:rtl/>
              </w:rPr>
              <w:t>31,913,000</w:t>
            </w:r>
          </w:p>
        </w:tc>
        <w:tc>
          <w:tcPr>
            <w:tcW w:w="2191" w:type="dxa"/>
            <w:shd w:val="clear" w:color="auto" w:fill="auto"/>
          </w:tcPr>
          <w:p w:rsidR="00351FCC" w:rsidRPr="0093506E" w:rsidRDefault="00351FCC" w:rsidP="00C3078A">
            <w:pPr>
              <w:spacing w:before="60" w:after="0" w:line="240" w:lineRule="auto"/>
              <w:jc w:val="center"/>
              <w:rPr>
                <w:sz w:val="22"/>
                <w:szCs w:val="22"/>
              </w:rPr>
            </w:pPr>
            <w:r>
              <w:rPr>
                <w:rFonts w:hint="cs"/>
                <w:sz w:val="22"/>
                <w:szCs w:val="22"/>
                <w:rtl/>
              </w:rPr>
              <w:t>44,924,000</w:t>
            </w:r>
          </w:p>
        </w:tc>
      </w:tr>
    </w:tbl>
    <w:p w:rsidR="00847EA3" w:rsidRPr="00BB6388" w:rsidRDefault="00847EA3" w:rsidP="00847EA3">
      <w:pPr>
        <w:pStyle w:val="a2"/>
        <w:rPr>
          <w:rtl/>
        </w:rPr>
      </w:pPr>
    </w:p>
    <w:p w:rsidR="006F3F8C" w:rsidRPr="00BB6388" w:rsidRDefault="00054DB0" w:rsidP="006F3F8C">
      <w:pPr>
        <w:pStyle w:val="3"/>
        <w:rPr>
          <w:rtl/>
        </w:rPr>
      </w:pPr>
      <w:bookmarkStart w:id="192" w:name="_Toc419959722"/>
      <w:bookmarkStart w:id="193" w:name="_Toc419963077"/>
      <w:bookmarkStart w:id="194" w:name="_Toc419963293"/>
      <w:bookmarkStart w:id="195" w:name="_Toc421697064"/>
      <w:bookmarkStart w:id="196" w:name="_Toc418585135"/>
      <w:bookmarkStart w:id="197" w:name="_Toc419054677"/>
      <w:r w:rsidRPr="00BB6388">
        <w:rPr>
          <w:rFonts w:hint="cs"/>
          <w:rtl/>
        </w:rPr>
        <w:t>התוכנית הלאומית לצמצום הצריכה המופרזת של אלכוהול ולצמצום נזקיו</w:t>
      </w:r>
      <w:bookmarkEnd w:id="192"/>
      <w:bookmarkEnd w:id="193"/>
      <w:bookmarkEnd w:id="194"/>
      <w:bookmarkEnd w:id="195"/>
    </w:p>
    <w:p w:rsidR="00054DB0" w:rsidRPr="00BB6388" w:rsidRDefault="00054DB0" w:rsidP="006F3F8C">
      <w:pPr>
        <w:pStyle w:val="a2"/>
        <w:rPr>
          <w:rtl/>
        </w:rPr>
      </w:pPr>
      <w:r w:rsidRPr="00BB6388">
        <w:rPr>
          <w:rFonts w:hint="cs"/>
          <w:rtl/>
        </w:rPr>
        <w:t xml:space="preserve">אחת מהתכניות המרכזיות אותן מתאמת הרשות </w:t>
      </w:r>
      <w:r w:rsidR="008F005F">
        <w:rPr>
          <w:rFonts w:hint="cs"/>
          <w:rtl/>
        </w:rPr>
        <w:t xml:space="preserve">הלאומית למלחמה בסמים ובאלכוהול </w:t>
      </w:r>
      <w:r w:rsidRPr="00BB6388">
        <w:rPr>
          <w:rFonts w:hint="cs"/>
          <w:rtl/>
        </w:rPr>
        <w:t xml:space="preserve">היא </w:t>
      </w:r>
      <w:r w:rsidRPr="001E6B53">
        <w:rPr>
          <w:rFonts w:hint="cs"/>
          <w:rtl/>
        </w:rPr>
        <w:t>התוכנית הלאומית לצמצום הצריכה המופרזת של אלכוהול ולצמצום נזקיו</w:t>
      </w:r>
      <w:r w:rsidRPr="00BB6388">
        <w:rPr>
          <w:rFonts w:hint="cs"/>
          <w:rtl/>
        </w:rPr>
        <w:t>. תכנית זו, הידועה כיום כ</w:t>
      </w:r>
      <w:r w:rsidRPr="001E6B53">
        <w:rPr>
          <w:rFonts w:hint="cs"/>
          <w:b/>
          <w:bCs/>
          <w:rtl/>
        </w:rPr>
        <w:t>תכנית הלאומית לצמצום הצריכה הלא אחראית של אלכוהול</w:t>
      </w:r>
      <w:r w:rsidRPr="00BB6388">
        <w:rPr>
          <w:rFonts w:hint="cs"/>
          <w:rtl/>
        </w:rPr>
        <w:t>, גובשה בשנת 2009 על-ידי ועדה בינמשרדית בהובלת מנכ"ל הרשות, וזאת לפי בקשת השר לביטחון פנים.</w:t>
      </w:r>
      <w:r w:rsidRPr="00BB6388">
        <w:rPr>
          <w:rStyle w:val="ab"/>
          <w:rtl/>
        </w:rPr>
        <w:footnoteReference w:id="196"/>
      </w:r>
      <w:r w:rsidRPr="00BB6388">
        <w:rPr>
          <w:rFonts w:hint="cs"/>
          <w:rtl/>
        </w:rPr>
        <w:t xml:space="preserve"> עקרונות התוכנית אומצו על-ידי ממשלת ישראל בנובמבר 2009, והוקצב ליישומה סכום כולל של 27 מיליון ש"ח.</w:t>
      </w:r>
      <w:r w:rsidRPr="00BB6388">
        <w:rPr>
          <w:rStyle w:val="ab"/>
          <w:rtl/>
        </w:rPr>
        <w:footnoteReference w:id="197"/>
      </w:r>
      <w:r w:rsidRPr="00BB6388">
        <w:rPr>
          <w:rFonts w:hint="cs"/>
          <w:rtl/>
        </w:rPr>
        <w:t xml:space="preserve"> מאז, התכנית עודכנה והוארכה על-ידי הממשלה פעמיים: בהחלטה ממאי 2012 (הארכה לשנים 2012-2013, עם תקציב כולל של כ- 20.2 מיליון ש"ח)</w:t>
      </w:r>
      <w:r w:rsidRPr="00BB6388">
        <w:rPr>
          <w:rStyle w:val="ab"/>
          <w:rtl/>
        </w:rPr>
        <w:footnoteReference w:id="198"/>
      </w:r>
      <w:r w:rsidRPr="00BB6388">
        <w:rPr>
          <w:rFonts w:hint="cs"/>
          <w:rtl/>
        </w:rPr>
        <w:t xml:space="preserve"> ובהחלטה מאוגוסט 2013 (הארכה לשנים 2014-2017, עם תקציב כולל של כ- 11.42 מיליון ₪ בכל שנה).</w:t>
      </w:r>
      <w:r w:rsidRPr="00BB6388">
        <w:rPr>
          <w:rStyle w:val="ab"/>
          <w:rtl/>
        </w:rPr>
        <w:footnoteReference w:id="199"/>
      </w:r>
    </w:p>
    <w:p w:rsidR="00054DB0" w:rsidRPr="00BB6388" w:rsidRDefault="001E6B53" w:rsidP="00BB6388">
      <w:pPr>
        <w:pStyle w:val="a2"/>
        <w:spacing w:line="360" w:lineRule="auto"/>
        <w:rPr>
          <w:rtl/>
        </w:rPr>
      </w:pPr>
      <w:r>
        <w:rPr>
          <w:rFonts w:hint="cs"/>
          <w:rtl/>
        </w:rPr>
        <w:t xml:space="preserve">לתכנית </w:t>
      </w:r>
      <w:r w:rsidR="00054DB0" w:rsidRPr="00BB6388">
        <w:rPr>
          <w:rFonts w:hint="cs"/>
          <w:rtl/>
        </w:rPr>
        <w:t>שני שלבים:</w:t>
      </w:r>
    </w:p>
    <w:p w:rsidR="00054DB0" w:rsidRPr="00BB6388" w:rsidRDefault="00054DB0" w:rsidP="00BB6388">
      <w:pPr>
        <w:pStyle w:val="a2"/>
        <w:numPr>
          <w:ilvl w:val="0"/>
          <w:numId w:val="6"/>
        </w:numPr>
        <w:spacing w:line="360" w:lineRule="auto"/>
      </w:pPr>
      <w:r w:rsidRPr="001E6B53">
        <w:rPr>
          <w:rFonts w:hint="cs"/>
          <w:b/>
          <w:bCs/>
          <w:rtl/>
        </w:rPr>
        <w:t>השלב הראשון</w:t>
      </w:r>
      <w:r w:rsidRPr="00BB6388">
        <w:rPr>
          <w:rFonts w:hint="cs"/>
          <w:rtl/>
        </w:rPr>
        <w:t xml:space="preserve"> מתמקד בנקיטת צעדים מיידיים לצמצום השימוש לרעה באלכוהול בקרב ילדים, בני-נוער וצעירים</w:t>
      </w:r>
      <w:r w:rsidR="001E6B53">
        <w:rPr>
          <w:rFonts w:hint="cs"/>
          <w:rtl/>
        </w:rPr>
        <w:t>, וזאת במסגרת חקיקה והסברה</w:t>
      </w:r>
      <w:r w:rsidRPr="00BB6388">
        <w:rPr>
          <w:rFonts w:hint="cs"/>
          <w:rtl/>
        </w:rPr>
        <w:t xml:space="preserve">. בהתאם לכך, חוקקה הכנסת את </w:t>
      </w:r>
      <w:r w:rsidRPr="001E6B53">
        <w:rPr>
          <w:rFonts w:hint="cs"/>
          <w:b/>
          <w:bCs/>
          <w:rtl/>
        </w:rPr>
        <w:t xml:space="preserve">חוק רישוי עסקים (תיקון מס' 26 </w:t>
      </w:r>
      <w:r w:rsidRPr="001E6B53">
        <w:rPr>
          <w:b/>
          <w:bCs/>
          <w:rtl/>
        </w:rPr>
        <w:t>–</w:t>
      </w:r>
      <w:r w:rsidRPr="001E6B53">
        <w:rPr>
          <w:rFonts w:hint="cs"/>
          <w:b/>
          <w:bCs/>
          <w:rtl/>
        </w:rPr>
        <w:t xml:space="preserve"> הוראת שעה), התש"ע-2010</w:t>
      </w:r>
      <w:r w:rsidRPr="00BB6388">
        <w:rPr>
          <w:rFonts w:hint="cs"/>
          <w:rtl/>
        </w:rPr>
        <w:t>,</w:t>
      </w:r>
      <w:r w:rsidR="004E7C37">
        <w:rPr>
          <w:rStyle w:val="ab"/>
          <w:rtl/>
        </w:rPr>
        <w:footnoteReference w:id="200"/>
      </w:r>
      <w:r w:rsidR="00A74C98" w:rsidRPr="00BB6388">
        <w:rPr>
          <w:rFonts w:hint="cs"/>
          <w:rtl/>
        </w:rPr>
        <w:t xml:space="preserve"> </w:t>
      </w:r>
      <w:r w:rsidRPr="00BB6388">
        <w:rPr>
          <w:rFonts w:hint="cs"/>
          <w:rtl/>
        </w:rPr>
        <w:t xml:space="preserve">את </w:t>
      </w:r>
      <w:r w:rsidRPr="001E6B53">
        <w:rPr>
          <w:rFonts w:hint="cs"/>
          <w:b/>
          <w:bCs/>
          <w:rtl/>
        </w:rPr>
        <w:t>חוק המאבק בתופעת</w:t>
      </w:r>
      <w:r w:rsidR="005D2AB1">
        <w:rPr>
          <w:rFonts w:hint="cs"/>
          <w:b/>
          <w:bCs/>
          <w:rtl/>
        </w:rPr>
        <w:t xml:space="preserve"> השכרות</w:t>
      </w:r>
      <w:r w:rsidRPr="001E6B53">
        <w:rPr>
          <w:rFonts w:hint="cs"/>
          <w:b/>
          <w:bCs/>
          <w:rtl/>
        </w:rPr>
        <w:t>, התש"ע-2010</w:t>
      </w:r>
      <w:r w:rsidR="00A74C98" w:rsidRPr="00BB6388">
        <w:rPr>
          <w:rFonts w:hint="cs"/>
          <w:rtl/>
        </w:rPr>
        <w:t>,</w:t>
      </w:r>
      <w:r w:rsidR="005D2AB1">
        <w:rPr>
          <w:rStyle w:val="ab"/>
          <w:rtl/>
        </w:rPr>
        <w:footnoteReference w:id="201"/>
      </w:r>
      <w:r w:rsidR="00A74C98" w:rsidRPr="00BB6388">
        <w:rPr>
          <w:rFonts w:hint="cs"/>
          <w:rtl/>
        </w:rPr>
        <w:t xml:space="preserve"> ואת </w:t>
      </w:r>
      <w:r w:rsidR="00A74C98" w:rsidRPr="001E6B53">
        <w:rPr>
          <w:rFonts w:hint="cs"/>
          <w:b/>
          <w:bCs/>
          <w:rtl/>
        </w:rPr>
        <w:t xml:space="preserve">חוק </w:t>
      </w:r>
      <w:r w:rsidR="00A74C98" w:rsidRPr="001E6B53">
        <w:rPr>
          <w:b/>
          <w:bCs/>
          <w:rtl/>
        </w:rPr>
        <w:t>הגבלת הפרסומת והשיווק של משקאות אלכוהוליים, התשע"ב</w:t>
      </w:r>
      <w:r w:rsidR="00A74C98" w:rsidRPr="001E6B53">
        <w:rPr>
          <w:rFonts w:hint="cs"/>
          <w:b/>
          <w:bCs/>
          <w:rtl/>
        </w:rPr>
        <w:t>-</w:t>
      </w:r>
      <w:r w:rsidR="00A74C98" w:rsidRPr="001E6B53">
        <w:rPr>
          <w:b/>
          <w:bCs/>
          <w:rtl/>
        </w:rPr>
        <w:t>2012</w:t>
      </w:r>
      <w:r w:rsidRPr="00BB6388">
        <w:rPr>
          <w:rFonts w:hint="cs"/>
          <w:rtl/>
        </w:rPr>
        <w:t>.</w:t>
      </w:r>
      <w:r w:rsidR="00CA3951">
        <w:rPr>
          <w:rStyle w:val="ab"/>
          <w:rtl/>
        </w:rPr>
        <w:footnoteReference w:id="202"/>
      </w:r>
      <w:r w:rsidRPr="00BB6388">
        <w:rPr>
          <w:rFonts w:hint="cs"/>
          <w:rtl/>
        </w:rPr>
        <w:t xml:space="preserve"> נוסף על כך, הושק קמפיין הסברה בנושא זה, בהובלת המשרד לביטחון הפנים והרשות הלאומית למלחמה בסמים ואלכוהול.</w:t>
      </w:r>
    </w:p>
    <w:p w:rsidR="00054DB0" w:rsidRPr="00BB6388" w:rsidRDefault="00743D01" w:rsidP="00FC56D9">
      <w:pPr>
        <w:pStyle w:val="a2"/>
        <w:numPr>
          <w:ilvl w:val="0"/>
          <w:numId w:val="6"/>
        </w:numPr>
        <w:spacing w:line="360" w:lineRule="auto"/>
      </w:pPr>
      <w:r>
        <w:rPr>
          <w:rFonts w:hint="cs"/>
          <w:rtl/>
        </w:rPr>
        <w:t>ה</w:t>
      </w:r>
      <w:r w:rsidR="00054DB0" w:rsidRPr="00BB6388">
        <w:rPr>
          <w:rFonts w:hint="cs"/>
          <w:rtl/>
        </w:rPr>
        <w:t xml:space="preserve">שלב השני </w:t>
      </w:r>
      <w:r>
        <w:rPr>
          <w:rFonts w:hint="cs"/>
          <w:rtl/>
        </w:rPr>
        <w:t>מורכב</w:t>
      </w:r>
      <w:r w:rsidR="00054DB0" w:rsidRPr="00BB6388">
        <w:rPr>
          <w:rFonts w:hint="cs"/>
          <w:rtl/>
        </w:rPr>
        <w:t xml:space="preserve"> </w:t>
      </w:r>
      <w:r>
        <w:rPr>
          <w:rFonts w:hint="cs"/>
          <w:rtl/>
        </w:rPr>
        <w:t>מ</w:t>
      </w:r>
      <w:r w:rsidR="00054DB0" w:rsidRPr="00743D01">
        <w:rPr>
          <w:rFonts w:hint="cs"/>
          <w:b/>
          <w:bCs/>
          <w:rtl/>
        </w:rPr>
        <w:t xml:space="preserve">הפעלת תוכניות חינוך והסברה במוסדות החינוך </w:t>
      </w:r>
      <w:r w:rsidR="00054DB0" w:rsidRPr="00BB6388">
        <w:rPr>
          <w:rFonts w:hint="cs"/>
          <w:rtl/>
        </w:rPr>
        <w:t xml:space="preserve">הפורמלי והחינוך הבלתי פורמלי; </w:t>
      </w:r>
      <w:r w:rsidR="00054DB0" w:rsidRPr="00743D01">
        <w:rPr>
          <w:rFonts w:hint="cs"/>
          <w:b/>
          <w:bCs/>
          <w:rtl/>
        </w:rPr>
        <w:t>אכיפה ממוקדת של משטרת ישראל</w:t>
      </w:r>
      <w:r w:rsidR="00054DB0" w:rsidRPr="00BB6388">
        <w:rPr>
          <w:rFonts w:hint="cs"/>
          <w:rtl/>
        </w:rPr>
        <w:t xml:space="preserve"> במקומות ממכר של אלכוהול; </w:t>
      </w:r>
      <w:r w:rsidR="008F005F">
        <w:rPr>
          <w:rFonts w:hint="cs"/>
          <w:rtl/>
        </w:rPr>
        <w:t>ו</w:t>
      </w:r>
      <w:r w:rsidR="00054DB0" w:rsidRPr="00743D01">
        <w:rPr>
          <w:rFonts w:hint="cs"/>
          <w:b/>
          <w:bCs/>
          <w:rtl/>
        </w:rPr>
        <w:t>פריסת מערך איתור לילדים, בני-נוער וצעירים</w:t>
      </w:r>
      <w:r w:rsidR="00054DB0" w:rsidRPr="00BB6388">
        <w:rPr>
          <w:rFonts w:hint="cs"/>
          <w:rtl/>
        </w:rPr>
        <w:t xml:space="preserve"> המשתמשים לרעה באלכוהול, בהובלת משרד הרווחה והשירותים החברתיים. </w:t>
      </w:r>
      <w:r w:rsidR="00054DB0" w:rsidRPr="008F005F">
        <w:rPr>
          <w:rFonts w:hint="cs"/>
          <w:b/>
          <w:bCs/>
          <w:rtl/>
        </w:rPr>
        <w:t>לשם יישום שלב זה הוקמה ועדת מנכ"לים בין-משרדית</w:t>
      </w:r>
      <w:r w:rsidR="00054DB0" w:rsidRPr="00BB6388">
        <w:rPr>
          <w:rFonts w:hint="cs"/>
          <w:rtl/>
        </w:rPr>
        <w:t xml:space="preserve"> שבראשה עומד מנכ"ל המשרד לביטחון פנים וחברים בה </w:t>
      </w:r>
      <w:r w:rsidR="00054DB0" w:rsidRPr="00BB6388">
        <w:rPr>
          <w:rtl/>
        </w:rPr>
        <w:t>מנכ"ל משרד החינוך, מנכ"ל משרד המשפטים,</w:t>
      </w:r>
      <w:r w:rsidR="00054DB0" w:rsidRPr="00BB6388">
        <w:rPr>
          <w:rFonts w:hint="cs"/>
          <w:rtl/>
        </w:rPr>
        <w:t xml:space="preserve"> </w:t>
      </w:r>
      <w:r w:rsidR="00054DB0" w:rsidRPr="00BB6388">
        <w:rPr>
          <w:rtl/>
        </w:rPr>
        <w:t>מנכ"ל משרד הרווחה והשירותים החברתיים, מנכ"ל משרד הבריאות, מנכ"ל</w:t>
      </w:r>
      <w:r w:rsidR="00054DB0" w:rsidRPr="00BB6388">
        <w:rPr>
          <w:rFonts w:hint="cs"/>
          <w:rtl/>
        </w:rPr>
        <w:t xml:space="preserve"> </w:t>
      </w:r>
      <w:r w:rsidR="00054DB0" w:rsidRPr="00BB6388">
        <w:rPr>
          <w:rtl/>
        </w:rPr>
        <w:t xml:space="preserve">המשרד לקליטת העלייה, </w:t>
      </w:r>
      <w:r w:rsidR="00FC56D9">
        <w:rPr>
          <w:rFonts w:hint="cs"/>
          <w:rtl/>
        </w:rPr>
        <w:t xml:space="preserve">ראש </w:t>
      </w:r>
      <w:r w:rsidR="00054DB0" w:rsidRPr="00BB6388">
        <w:rPr>
          <w:rFonts w:hint="cs"/>
          <w:rtl/>
        </w:rPr>
        <w:t xml:space="preserve">אגף תקציבים במשרד האוצר, </w:t>
      </w:r>
      <w:r w:rsidR="00054DB0" w:rsidRPr="00BB6388">
        <w:rPr>
          <w:rtl/>
        </w:rPr>
        <w:t>מנהל הרשות הלאומית למלחמה בסמים ובאלכוהול</w:t>
      </w:r>
      <w:r w:rsidR="00054DB0" w:rsidRPr="00BB6388">
        <w:rPr>
          <w:rFonts w:hint="cs"/>
          <w:rtl/>
        </w:rPr>
        <w:t xml:space="preserve"> ו</w:t>
      </w:r>
      <w:r w:rsidR="00054DB0" w:rsidRPr="00BB6388">
        <w:rPr>
          <w:rtl/>
        </w:rPr>
        <w:t>נציג משרד ראש הממשלה.</w:t>
      </w:r>
    </w:p>
    <w:p w:rsidR="00054DB0" w:rsidRPr="00BB6388" w:rsidRDefault="00054DB0" w:rsidP="00BB6388">
      <w:pPr>
        <w:pStyle w:val="a2"/>
        <w:spacing w:line="360" w:lineRule="auto"/>
        <w:rPr>
          <w:b/>
          <w:bCs/>
          <w:sz w:val="28"/>
          <w:szCs w:val="28"/>
          <w:lang w:eastAsia="he-IL"/>
        </w:rPr>
      </w:pPr>
      <w:r w:rsidRPr="00BB6388">
        <w:rPr>
          <w:rFonts w:hint="cs"/>
          <w:b/>
          <w:bCs/>
          <w:rtl/>
        </w:rPr>
        <w:t>חשוב לציין כי אף שהדבר אינו מצוין בתוכנית במפורש, בשני שלבי התכנית עיקר ההתמקדות הוא בילדים, בצעירים ובבני-נוער, והתוכנית אינה פונה לבוגרים ולמבוגרים</w:t>
      </w:r>
      <w:r w:rsidRPr="00BB6388">
        <w:rPr>
          <w:rFonts w:hint="cs"/>
          <w:rtl/>
        </w:rPr>
        <w:t>.</w:t>
      </w:r>
    </w:p>
    <w:p w:rsidR="00054DB0" w:rsidRPr="00BB6388" w:rsidRDefault="00054DB0" w:rsidP="00FC56D9">
      <w:pPr>
        <w:pStyle w:val="a2"/>
        <w:spacing w:line="360" w:lineRule="auto"/>
        <w:rPr>
          <w:rtl/>
        </w:rPr>
      </w:pPr>
      <w:r w:rsidRPr="00BB6388">
        <w:rPr>
          <w:rFonts w:hint="cs"/>
          <w:rtl/>
        </w:rPr>
        <w:t xml:space="preserve"> בנוסף, החלה הרשות במחקר הערכה לתכנית בשלוש ערים - אשדוד, כרמיאל ומודיעין </w:t>
      </w:r>
      <w:r w:rsidRPr="00BB6388">
        <w:rPr>
          <w:rtl/>
        </w:rPr>
        <w:t>–</w:t>
      </w:r>
      <w:r w:rsidRPr="00BB6388">
        <w:rPr>
          <w:rFonts w:hint="cs"/>
          <w:rtl/>
        </w:rPr>
        <w:t xml:space="preserve"> ותוצאותיו צפויות בחודשים הקרובים.</w:t>
      </w:r>
      <w:r w:rsidRPr="00BB6388">
        <w:rPr>
          <w:rStyle w:val="ab"/>
          <w:rtl/>
        </w:rPr>
        <w:footnoteReference w:id="203"/>
      </w:r>
      <w:r w:rsidRPr="00BB6388">
        <w:rPr>
          <w:rFonts w:hint="cs"/>
          <w:rtl/>
        </w:rPr>
        <w:t xml:space="preserve"> במכתבה למרכז המחקר והמידע של הכנסת מתאריך 19 במרץ 2015 מציינת הרשות </w:t>
      </w:r>
      <w:r w:rsidRPr="00BB6388">
        <w:rPr>
          <w:rFonts w:hint="cs"/>
          <w:b/>
          <w:bCs/>
          <w:rtl/>
        </w:rPr>
        <w:t>3 אתגרים מרכזיים ליישומה</w:t>
      </w:r>
      <w:r w:rsidRPr="00BB6388">
        <w:rPr>
          <w:rFonts w:hint="cs"/>
          <w:rtl/>
        </w:rPr>
        <w:t xml:space="preserve"> והצלחתה של התכנית: </w:t>
      </w:r>
    </w:p>
    <w:p w:rsidR="00054DB0" w:rsidRPr="00BB6388" w:rsidRDefault="00054DB0" w:rsidP="00DC2DB0">
      <w:pPr>
        <w:pStyle w:val="a2"/>
        <w:numPr>
          <w:ilvl w:val="0"/>
          <w:numId w:val="13"/>
        </w:numPr>
        <w:spacing w:line="360" w:lineRule="auto"/>
      </w:pPr>
      <w:r w:rsidRPr="00BB6388">
        <w:rPr>
          <w:rFonts w:hint="cs"/>
          <w:b/>
          <w:bCs/>
          <w:rtl/>
        </w:rPr>
        <w:t>נורמה תרבותית חזקה</w:t>
      </w:r>
      <w:r w:rsidRPr="00BB6388">
        <w:rPr>
          <w:rFonts w:hint="cs"/>
          <w:rtl/>
        </w:rPr>
        <w:t xml:space="preserve"> </w:t>
      </w:r>
      <w:r w:rsidRPr="00BB6388">
        <w:rPr>
          <w:rFonts w:hint="cs"/>
          <w:b/>
          <w:bCs/>
          <w:rtl/>
        </w:rPr>
        <w:t>התומכת בשתיית אלכוהול</w:t>
      </w:r>
      <w:r w:rsidRPr="00BB6388">
        <w:rPr>
          <w:rFonts w:hint="cs"/>
          <w:rtl/>
        </w:rPr>
        <w:t>, גם בעבור קטינים.</w:t>
      </w:r>
    </w:p>
    <w:p w:rsidR="00054DB0" w:rsidRPr="00BB6388" w:rsidRDefault="00054DB0" w:rsidP="00DC2DB0">
      <w:pPr>
        <w:pStyle w:val="a2"/>
        <w:numPr>
          <w:ilvl w:val="0"/>
          <w:numId w:val="13"/>
        </w:numPr>
        <w:spacing w:line="360" w:lineRule="auto"/>
      </w:pPr>
      <w:r w:rsidRPr="00BB6388">
        <w:rPr>
          <w:rFonts w:hint="cs"/>
          <w:b/>
          <w:bCs/>
          <w:rtl/>
        </w:rPr>
        <w:t>נגישות רחבה לאלכוהול</w:t>
      </w:r>
      <w:r w:rsidRPr="00BB6388">
        <w:rPr>
          <w:rFonts w:hint="cs"/>
          <w:rtl/>
        </w:rPr>
        <w:t xml:space="preserve">, כגון בתחנות </w:t>
      </w:r>
      <w:r w:rsidR="00685552">
        <w:rPr>
          <w:rFonts w:hint="cs"/>
          <w:rtl/>
        </w:rPr>
        <w:t>תדלוק</w:t>
      </w:r>
      <w:r w:rsidRPr="00BB6388">
        <w:rPr>
          <w:rFonts w:hint="cs"/>
          <w:rtl/>
        </w:rPr>
        <w:t xml:space="preserve">, </w:t>
      </w:r>
      <w:r w:rsidR="00685552">
        <w:rPr>
          <w:rFonts w:hint="cs"/>
          <w:rtl/>
        </w:rPr>
        <w:t xml:space="preserve">וזאת </w:t>
      </w:r>
      <w:r w:rsidRPr="00BB6388">
        <w:rPr>
          <w:rFonts w:hint="cs"/>
          <w:rtl/>
        </w:rPr>
        <w:t>למרות פעולות החקיקה והאכיפה שנעשו עד כה.</w:t>
      </w:r>
    </w:p>
    <w:p w:rsidR="00054DB0" w:rsidRPr="00BB6388" w:rsidRDefault="00054DB0" w:rsidP="00DC2DB0">
      <w:pPr>
        <w:pStyle w:val="a2"/>
        <w:numPr>
          <w:ilvl w:val="0"/>
          <w:numId w:val="13"/>
        </w:numPr>
        <w:spacing w:line="360" w:lineRule="auto"/>
      </w:pPr>
      <w:r w:rsidRPr="00BB6388">
        <w:rPr>
          <w:rFonts w:hint="cs"/>
          <w:b/>
          <w:bCs/>
          <w:rtl/>
        </w:rPr>
        <w:t>העדרו של מסר אחיד בכלל מוסדות החינוך והמרחבים הציבוריים כנגד שתיית אלכוהול</w:t>
      </w:r>
      <w:r w:rsidRPr="00BB6388">
        <w:rPr>
          <w:rFonts w:hint="cs"/>
          <w:rtl/>
        </w:rPr>
        <w:t>, הזמין כיום עדיין באירועים כגון אלו במוסדות להשכלה גבוהה, במגרשי ספורט ובהופעות בידור.</w:t>
      </w:r>
    </w:p>
    <w:p w:rsidR="00B850C4" w:rsidRPr="00BB6388" w:rsidRDefault="00054DB0" w:rsidP="00261AAD">
      <w:pPr>
        <w:pStyle w:val="a2"/>
        <w:spacing w:line="360" w:lineRule="auto"/>
        <w:rPr>
          <w:rtl/>
        </w:rPr>
      </w:pPr>
      <w:r w:rsidRPr="00BB6388">
        <w:rPr>
          <w:rFonts w:hint="cs"/>
          <w:rtl/>
        </w:rPr>
        <w:t xml:space="preserve">בו-בזמן </w:t>
      </w:r>
      <w:r w:rsidRPr="00BB6388">
        <w:rPr>
          <w:rFonts w:hint="cs"/>
          <w:b/>
          <w:bCs/>
          <w:rtl/>
        </w:rPr>
        <w:t xml:space="preserve">הרשות </w:t>
      </w:r>
      <w:r w:rsidR="00BF7FDF" w:rsidRPr="00BB6388">
        <w:rPr>
          <w:rFonts w:hint="cs"/>
          <w:b/>
          <w:bCs/>
          <w:rtl/>
        </w:rPr>
        <w:t xml:space="preserve">קובעת </w:t>
      </w:r>
      <w:r w:rsidRPr="00BB6388">
        <w:rPr>
          <w:rFonts w:hint="cs"/>
          <w:b/>
          <w:bCs/>
          <w:rtl/>
        </w:rPr>
        <w:t xml:space="preserve">במכתבה כי נתוניה מראים </w:t>
      </w:r>
      <w:r w:rsidR="00BF7FDF" w:rsidRPr="00BB6388">
        <w:rPr>
          <w:rFonts w:hint="cs"/>
          <w:b/>
          <w:bCs/>
          <w:rtl/>
        </w:rPr>
        <w:t xml:space="preserve">בלימה של </w:t>
      </w:r>
      <w:r w:rsidRPr="00BB6388">
        <w:rPr>
          <w:rFonts w:hint="cs"/>
          <w:b/>
          <w:bCs/>
          <w:rtl/>
        </w:rPr>
        <w:t>מגמת העלייה בצריכת האלכוהול, אותה ז</w:t>
      </w:r>
      <w:r w:rsidR="00261AAD">
        <w:rPr>
          <w:rFonts w:hint="cs"/>
          <w:b/>
          <w:bCs/>
          <w:rtl/>
        </w:rPr>
        <w:t>י</w:t>
      </w:r>
      <w:r w:rsidRPr="00BB6388">
        <w:rPr>
          <w:rFonts w:hint="cs"/>
          <w:b/>
          <w:bCs/>
          <w:rtl/>
        </w:rPr>
        <w:t>התה בשנים שעד 2009</w:t>
      </w:r>
      <w:r w:rsidR="00BF7FDF" w:rsidRPr="00BB6388">
        <w:rPr>
          <w:rFonts w:hint="cs"/>
          <w:b/>
          <w:bCs/>
          <w:rtl/>
        </w:rPr>
        <w:t>, בעקבות התכנית</w:t>
      </w:r>
      <w:r w:rsidRPr="00BB6388">
        <w:rPr>
          <w:rFonts w:hint="cs"/>
          <w:rtl/>
        </w:rPr>
        <w:t>. היא ממתינה כעת לתוצאות מחקר ההערכה המלווה בכדי לבחון כיצד להמשיך ולהרחיב את התכנית.</w:t>
      </w:r>
      <w:r w:rsidRPr="00BB6388">
        <w:rPr>
          <w:rStyle w:val="ab"/>
          <w:rtl/>
        </w:rPr>
        <w:footnoteReference w:id="204"/>
      </w:r>
      <w:r w:rsidRPr="00BB6388">
        <w:rPr>
          <w:rFonts w:hint="cs"/>
          <w:rtl/>
        </w:rPr>
        <w:t xml:space="preserve"> </w:t>
      </w:r>
      <w:r w:rsidR="00746E94" w:rsidRPr="00BB6388">
        <w:rPr>
          <w:rFonts w:hint="cs"/>
          <w:b/>
          <w:bCs/>
          <w:rtl/>
        </w:rPr>
        <w:t xml:space="preserve">לא ידוע על אילו נתונים הסתמכה הרשות בקביעתה </w:t>
      </w:r>
      <w:r w:rsidR="00F11965" w:rsidRPr="00BB6388">
        <w:rPr>
          <w:rFonts w:hint="cs"/>
          <w:b/>
          <w:bCs/>
          <w:rtl/>
        </w:rPr>
        <w:t xml:space="preserve">בדבר מגמת עלייה או בדבר בלימתה </w:t>
      </w:r>
      <w:r w:rsidR="00AA20B4" w:rsidRPr="00BB6388">
        <w:rPr>
          <w:rFonts w:hint="cs"/>
          <w:b/>
          <w:bCs/>
          <w:rtl/>
        </w:rPr>
        <w:t xml:space="preserve">של צריכת האלכוהול </w:t>
      </w:r>
      <w:r w:rsidR="00F11965" w:rsidRPr="00BB6388">
        <w:rPr>
          <w:rFonts w:hint="cs"/>
          <w:b/>
          <w:bCs/>
          <w:rtl/>
        </w:rPr>
        <w:t>בעקבות מאמצי התכנית הלאומית</w:t>
      </w:r>
      <w:r w:rsidR="00746E94" w:rsidRPr="00BB6388">
        <w:rPr>
          <w:rFonts w:hint="cs"/>
          <w:rtl/>
        </w:rPr>
        <w:t xml:space="preserve">. </w:t>
      </w:r>
      <w:r w:rsidR="0053710C" w:rsidRPr="00BB6388">
        <w:rPr>
          <w:rFonts w:hint="cs"/>
          <w:rtl/>
        </w:rPr>
        <w:t xml:space="preserve">ראשית, נתוניה העדכניים ביותר של הרשות </w:t>
      </w:r>
      <w:r w:rsidR="00D368B4" w:rsidRPr="00BB6388">
        <w:rPr>
          <w:rFonts w:hint="cs"/>
          <w:rtl/>
        </w:rPr>
        <w:t xml:space="preserve">בנוגע להיקף צריכת אלכוהול הם </w:t>
      </w:r>
      <w:r w:rsidR="0053710C" w:rsidRPr="00BB6388">
        <w:rPr>
          <w:rFonts w:hint="cs"/>
          <w:rtl/>
        </w:rPr>
        <w:t>משנת 2011</w:t>
      </w:r>
      <w:r w:rsidR="003C5694" w:rsidRPr="00BB6388">
        <w:rPr>
          <w:rFonts w:hint="cs"/>
          <w:rtl/>
        </w:rPr>
        <w:t xml:space="preserve">, </w:t>
      </w:r>
      <w:r w:rsidR="00F11965" w:rsidRPr="00BB6388">
        <w:rPr>
          <w:rFonts w:hint="cs"/>
          <w:rtl/>
        </w:rPr>
        <w:t xml:space="preserve">רק </w:t>
      </w:r>
      <w:r w:rsidR="003C5694" w:rsidRPr="00BB6388">
        <w:rPr>
          <w:rFonts w:hint="cs"/>
          <w:rtl/>
        </w:rPr>
        <w:t>כשנה לאחר החלת התוכנית</w:t>
      </w:r>
      <w:r w:rsidR="00407FC0">
        <w:rPr>
          <w:rFonts w:hint="cs"/>
          <w:rtl/>
        </w:rPr>
        <w:t>.</w:t>
      </w:r>
      <w:r w:rsidR="00407FC0" w:rsidRPr="00407FC0">
        <w:rPr>
          <w:rStyle w:val="ab"/>
          <w:rtl/>
        </w:rPr>
        <w:t xml:space="preserve"> </w:t>
      </w:r>
      <w:r w:rsidR="00407FC0" w:rsidRPr="00BB6388">
        <w:rPr>
          <w:rStyle w:val="ab"/>
          <w:rtl/>
        </w:rPr>
        <w:footnoteReference w:id="205"/>
      </w:r>
      <w:r w:rsidR="00407FC0">
        <w:rPr>
          <w:rFonts w:hint="cs"/>
          <w:rtl/>
        </w:rPr>
        <w:t xml:space="preserve"> </w:t>
      </w:r>
      <w:r w:rsidR="0083534B" w:rsidRPr="00BB6388">
        <w:rPr>
          <w:rFonts w:hint="cs"/>
          <w:rtl/>
        </w:rPr>
        <w:t xml:space="preserve">לאור זאת </w:t>
      </w:r>
      <w:r w:rsidR="003C5694" w:rsidRPr="00BB6388">
        <w:rPr>
          <w:rFonts w:hint="cs"/>
          <w:b/>
          <w:bCs/>
          <w:rtl/>
        </w:rPr>
        <w:t xml:space="preserve">לא ניתן </w:t>
      </w:r>
      <w:r w:rsidR="00F11965" w:rsidRPr="00BB6388">
        <w:rPr>
          <w:rFonts w:hint="cs"/>
          <w:b/>
          <w:bCs/>
          <w:rtl/>
        </w:rPr>
        <w:t>לבחון מגמת שינוי</w:t>
      </w:r>
      <w:r w:rsidR="0083534B" w:rsidRPr="00BB6388">
        <w:rPr>
          <w:rFonts w:hint="cs"/>
          <w:b/>
          <w:bCs/>
          <w:rtl/>
        </w:rPr>
        <w:t>, בשל הזמן הקצר שחל מאז החלת התוכנית ועד לאיסוף נתוני המחקר</w:t>
      </w:r>
      <w:r w:rsidR="0083534B" w:rsidRPr="00BB6388">
        <w:rPr>
          <w:rFonts w:hint="cs"/>
          <w:rtl/>
        </w:rPr>
        <w:t xml:space="preserve">. </w:t>
      </w:r>
      <w:r w:rsidR="00407FC0">
        <w:rPr>
          <w:rFonts w:hint="cs"/>
          <w:rtl/>
        </w:rPr>
        <w:t xml:space="preserve">שנית, גם נתונים אלו מתייחסים אך ורק לנוער הלומד בבתי-הספר </w:t>
      </w:r>
      <w:r w:rsidR="00261AAD">
        <w:rPr>
          <w:rFonts w:hint="cs"/>
          <w:rtl/>
        </w:rPr>
        <w:t xml:space="preserve">של </w:t>
      </w:r>
      <w:r w:rsidR="00407FC0">
        <w:rPr>
          <w:rFonts w:hint="cs"/>
          <w:rtl/>
        </w:rPr>
        <w:t>משרד החינוך, ומכאן שאינם מהווים מדגם מייצג של כלל הנוער בישראל, וכן אין להסתמך על נתוני מחקר זה בהתייחס לצעירים ובגירים בישראל, שהנתונים העדכניים ביותר לגביהם הם משנת 2009. שלישית</w:t>
      </w:r>
      <w:r w:rsidR="00BA21F5" w:rsidRPr="00BB6388">
        <w:rPr>
          <w:rFonts w:hint="cs"/>
          <w:rtl/>
        </w:rPr>
        <w:t xml:space="preserve">, </w:t>
      </w:r>
      <w:r w:rsidR="00237F38" w:rsidRPr="00237F38">
        <w:rPr>
          <w:rFonts w:hint="cs"/>
          <w:b/>
          <w:bCs/>
          <w:rtl/>
        </w:rPr>
        <w:t>בחינה של</w:t>
      </w:r>
      <w:r w:rsidR="00237F38">
        <w:rPr>
          <w:rFonts w:hint="cs"/>
          <w:rtl/>
        </w:rPr>
        <w:t xml:space="preserve"> </w:t>
      </w:r>
      <w:r w:rsidR="00407FC0">
        <w:rPr>
          <w:rFonts w:hint="cs"/>
          <w:b/>
          <w:bCs/>
          <w:rtl/>
        </w:rPr>
        <w:t>נתוני 2011</w:t>
      </w:r>
      <w:r w:rsidR="00BA21F5" w:rsidRPr="00BB6388">
        <w:rPr>
          <w:rFonts w:hint="cs"/>
          <w:b/>
          <w:bCs/>
          <w:rtl/>
        </w:rPr>
        <w:t xml:space="preserve"> עצמם אינ</w:t>
      </w:r>
      <w:r w:rsidR="00237F38">
        <w:rPr>
          <w:rFonts w:hint="cs"/>
          <w:b/>
          <w:bCs/>
          <w:rtl/>
        </w:rPr>
        <w:t>ה</w:t>
      </w:r>
      <w:r w:rsidR="00BA21F5" w:rsidRPr="00BB6388">
        <w:rPr>
          <w:rFonts w:hint="cs"/>
          <w:b/>
          <w:bCs/>
          <w:rtl/>
        </w:rPr>
        <w:t xml:space="preserve"> מעיד</w:t>
      </w:r>
      <w:r w:rsidR="00237F38">
        <w:rPr>
          <w:rFonts w:hint="cs"/>
          <w:b/>
          <w:bCs/>
          <w:rtl/>
        </w:rPr>
        <w:t>ה</w:t>
      </w:r>
      <w:r w:rsidR="00BA21F5" w:rsidRPr="00BB6388">
        <w:rPr>
          <w:rFonts w:hint="cs"/>
          <w:b/>
          <w:bCs/>
          <w:rtl/>
        </w:rPr>
        <w:t xml:space="preserve"> על </w:t>
      </w:r>
      <w:r w:rsidR="00C0058A" w:rsidRPr="00BB6388">
        <w:rPr>
          <w:rFonts w:hint="cs"/>
          <w:b/>
          <w:bCs/>
          <w:rtl/>
        </w:rPr>
        <w:t xml:space="preserve">צמצום צריכת האלכוהול </w:t>
      </w:r>
      <w:r w:rsidR="00407FC0">
        <w:rPr>
          <w:rFonts w:hint="cs"/>
          <w:b/>
          <w:bCs/>
          <w:rtl/>
        </w:rPr>
        <w:t xml:space="preserve">בקרב נוער לומד </w:t>
      </w:r>
      <w:r w:rsidR="00C0058A" w:rsidRPr="00BB6388">
        <w:rPr>
          <w:rFonts w:hint="cs"/>
          <w:b/>
          <w:bCs/>
          <w:rtl/>
        </w:rPr>
        <w:t xml:space="preserve">או מגמה עקבית של שינוי דפוסי הצריכה </w:t>
      </w:r>
      <w:r w:rsidR="00407FC0">
        <w:rPr>
          <w:rFonts w:hint="cs"/>
          <w:b/>
          <w:bCs/>
          <w:rtl/>
        </w:rPr>
        <w:t>של אוכלוסיה זו</w:t>
      </w:r>
      <w:r w:rsidR="00C0058A" w:rsidRPr="00BB6388">
        <w:rPr>
          <w:rFonts w:hint="cs"/>
          <w:rtl/>
        </w:rPr>
        <w:t>.</w:t>
      </w:r>
      <w:r w:rsidR="00C0058A" w:rsidRPr="00BB6388">
        <w:rPr>
          <w:rStyle w:val="ab"/>
          <w:rtl/>
        </w:rPr>
        <w:footnoteReference w:id="206"/>
      </w:r>
      <w:r w:rsidR="00BA183B" w:rsidRPr="00BB6388">
        <w:rPr>
          <w:rFonts w:hint="cs"/>
          <w:rtl/>
        </w:rPr>
        <w:t xml:space="preserve"> שלישית, </w:t>
      </w:r>
      <w:r w:rsidR="009B0E4F" w:rsidRPr="00BB6388">
        <w:rPr>
          <w:rFonts w:hint="cs"/>
          <w:b/>
          <w:bCs/>
          <w:rtl/>
        </w:rPr>
        <w:t xml:space="preserve">קביעתו של קשר סיבתי בין שתי תופעות, במקרה זה </w:t>
      </w:r>
      <w:r w:rsidR="009B0E4F" w:rsidRPr="00BB6388">
        <w:rPr>
          <w:b/>
          <w:bCs/>
          <w:rtl/>
        </w:rPr>
        <w:t>–</w:t>
      </w:r>
      <w:r w:rsidR="009B0E4F" w:rsidRPr="00BB6388">
        <w:rPr>
          <w:rFonts w:hint="cs"/>
          <w:b/>
          <w:bCs/>
          <w:rtl/>
        </w:rPr>
        <w:t>צמצום בצריכת אלכוהול והחלתה של התוכנית הלאומית</w:t>
      </w:r>
      <w:r w:rsidR="00F32B2E" w:rsidRPr="00BB6388">
        <w:rPr>
          <w:rFonts w:hint="cs"/>
          <w:b/>
          <w:bCs/>
          <w:rtl/>
        </w:rPr>
        <w:t xml:space="preserve"> </w:t>
      </w:r>
      <w:r w:rsidR="00F32B2E" w:rsidRPr="00BB6388">
        <w:rPr>
          <w:b/>
          <w:bCs/>
          <w:rtl/>
        </w:rPr>
        <w:t>–</w:t>
      </w:r>
      <w:r w:rsidR="00F32B2E" w:rsidRPr="00BB6388">
        <w:rPr>
          <w:rFonts w:hint="cs"/>
          <w:b/>
          <w:bCs/>
          <w:rtl/>
        </w:rPr>
        <w:t xml:space="preserve"> מצריכה מבחנים סטטיסטיים</w:t>
      </w:r>
      <w:r w:rsidR="00F32B2E" w:rsidRPr="00BB6388">
        <w:rPr>
          <w:rFonts w:hint="cs"/>
          <w:rtl/>
        </w:rPr>
        <w:t xml:space="preserve"> שלא ידוע כרגע אם וכיצד</w:t>
      </w:r>
      <w:r w:rsidR="00261AAD">
        <w:rPr>
          <w:rFonts w:hint="cs"/>
          <w:rtl/>
        </w:rPr>
        <w:t xml:space="preserve"> בוצעו</w:t>
      </w:r>
      <w:r w:rsidR="00F32B2E" w:rsidRPr="00BB6388">
        <w:rPr>
          <w:rFonts w:hint="cs"/>
          <w:rtl/>
        </w:rPr>
        <w:t xml:space="preserve">  בנושא. </w:t>
      </w:r>
    </w:p>
    <w:p w:rsidR="006F3F8C" w:rsidRPr="00BB6388" w:rsidRDefault="00C270DC" w:rsidP="006F3F8C">
      <w:pPr>
        <w:pStyle w:val="3"/>
        <w:rPr>
          <w:rtl/>
        </w:rPr>
      </w:pPr>
      <w:bookmarkStart w:id="198" w:name="_Toc419959723"/>
      <w:bookmarkStart w:id="199" w:name="_Toc419963078"/>
      <w:bookmarkStart w:id="200" w:name="_Toc419963294"/>
      <w:bookmarkStart w:id="201" w:name="_Toc421697065"/>
      <w:r w:rsidRPr="00BB6388">
        <w:rPr>
          <w:rFonts w:hint="cs"/>
          <w:rtl/>
        </w:rPr>
        <w:t>משטרת ישראל</w:t>
      </w:r>
      <w:bookmarkEnd w:id="196"/>
      <w:bookmarkEnd w:id="197"/>
      <w:bookmarkEnd w:id="198"/>
      <w:bookmarkEnd w:id="199"/>
      <w:bookmarkEnd w:id="200"/>
      <w:bookmarkEnd w:id="201"/>
      <w:r w:rsidRPr="00BB6388">
        <w:rPr>
          <w:rFonts w:hint="cs"/>
          <w:rtl/>
        </w:rPr>
        <w:t xml:space="preserve"> </w:t>
      </w:r>
    </w:p>
    <w:p w:rsidR="00C270DC" w:rsidRPr="00BB6388" w:rsidRDefault="00C270DC" w:rsidP="00AF17D5">
      <w:pPr>
        <w:pStyle w:val="a2"/>
      </w:pPr>
      <w:r w:rsidRPr="00BB6388">
        <w:rPr>
          <w:rFonts w:hint="cs"/>
          <w:rtl/>
        </w:rPr>
        <w:t xml:space="preserve">משטרת ישראל </w:t>
      </w:r>
      <w:r w:rsidR="00E04544">
        <w:rPr>
          <w:rFonts w:hint="cs"/>
          <w:rtl/>
        </w:rPr>
        <w:t xml:space="preserve">אמונה על אכיפת חקיקה </w:t>
      </w:r>
      <w:r w:rsidRPr="00BB6388">
        <w:rPr>
          <w:rFonts w:hint="cs"/>
          <w:rtl/>
        </w:rPr>
        <w:t xml:space="preserve">בתחום </w:t>
      </w:r>
      <w:r w:rsidR="00E04544">
        <w:rPr>
          <w:rFonts w:hint="cs"/>
          <w:rtl/>
        </w:rPr>
        <w:t>ה</w:t>
      </w:r>
      <w:r w:rsidRPr="00BB6388">
        <w:rPr>
          <w:rFonts w:hint="cs"/>
          <w:rtl/>
        </w:rPr>
        <w:t>סמים ו</w:t>
      </w:r>
      <w:r w:rsidR="00E04544">
        <w:rPr>
          <w:rFonts w:hint="cs"/>
          <w:rtl/>
        </w:rPr>
        <w:t>ה</w:t>
      </w:r>
      <w:r w:rsidRPr="00BB6388">
        <w:rPr>
          <w:rFonts w:hint="cs"/>
          <w:rtl/>
        </w:rPr>
        <w:t>אלכוהול. עבירות סמים מוגדרות על-ידי המשטרה</w:t>
      </w:r>
      <w:r w:rsidR="00BF7FDF" w:rsidRPr="00BB6388">
        <w:rPr>
          <w:rFonts w:hint="cs"/>
          <w:rtl/>
        </w:rPr>
        <w:t xml:space="preserve"> </w:t>
      </w:r>
      <w:r w:rsidRPr="00BB6388">
        <w:rPr>
          <w:rFonts w:hint="cs"/>
          <w:rtl/>
        </w:rPr>
        <w:t xml:space="preserve">כ'עבירות חשיפה', כלומר עבירות שאין בהן מתלוננים </w:t>
      </w:r>
      <w:r w:rsidR="00AF17D5">
        <w:rPr>
          <w:rFonts w:hint="cs"/>
          <w:rtl/>
        </w:rPr>
        <w:t>ומכאן שהן</w:t>
      </w:r>
      <w:r w:rsidRPr="00BB6388">
        <w:rPr>
          <w:rFonts w:hint="cs"/>
          <w:rtl/>
        </w:rPr>
        <w:t xml:space="preserve"> אינן מדווחות </w:t>
      </w:r>
      <w:r w:rsidR="00587CD4">
        <w:rPr>
          <w:rFonts w:hint="cs"/>
          <w:rtl/>
        </w:rPr>
        <w:t>ו</w:t>
      </w:r>
      <w:r w:rsidRPr="00BB6388">
        <w:rPr>
          <w:rFonts w:hint="cs"/>
          <w:rtl/>
        </w:rPr>
        <w:t>ניתן לגלותן אך ורק על-ידי פעילות יזומה של המשטרה.</w:t>
      </w:r>
      <w:r w:rsidRPr="00BB6388">
        <w:rPr>
          <w:rStyle w:val="ab"/>
          <w:rtl/>
        </w:rPr>
        <w:footnoteReference w:id="207"/>
      </w:r>
      <w:r w:rsidR="00587CD4">
        <w:rPr>
          <w:rFonts w:hint="cs"/>
          <w:rtl/>
        </w:rPr>
        <w:t xml:space="preserve"> החלק הנוכחי יתמקד בהצגת</w:t>
      </w:r>
      <w:r w:rsidRPr="00BB6388">
        <w:rPr>
          <w:rFonts w:hint="cs"/>
          <w:rtl/>
        </w:rPr>
        <w:t xml:space="preserve"> פעילות המשטרה ב</w:t>
      </w:r>
      <w:r w:rsidR="00587CD4">
        <w:rPr>
          <w:rFonts w:hint="cs"/>
          <w:rtl/>
        </w:rPr>
        <w:t xml:space="preserve">מסגרת החוקים </w:t>
      </w:r>
      <w:r w:rsidRPr="00BB6388">
        <w:rPr>
          <w:rFonts w:hint="cs"/>
          <w:rtl/>
        </w:rPr>
        <w:t xml:space="preserve">בתחום הסמים והאלכוהול </w:t>
      </w:r>
      <w:r w:rsidR="00587CD4">
        <w:rPr>
          <w:rFonts w:hint="cs"/>
          <w:rtl/>
        </w:rPr>
        <w:t>שבאחריותה לאכוף</w:t>
      </w:r>
      <w:r w:rsidRPr="00BB6388">
        <w:rPr>
          <w:rFonts w:hint="cs"/>
          <w:rtl/>
        </w:rPr>
        <w:t>.</w:t>
      </w:r>
    </w:p>
    <w:p w:rsidR="00C270DC" w:rsidRPr="00BB6388" w:rsidRDefault="00AF17D5" w:rsidP="00D552DD">
      <w:pPr>
        <w:pStyle w:val="a2"/>
        <w:spacing w:line="360" w:lineRule="auto"/>
        <w:rPr>
          <w:rtl/>
        </w:rPr>
      </w:pPr>
      <w:r>
        <w:rPr>
          <w:rFonts w:hint="cs"/>
          <w:rtl/>
        </w:rPr>
        <w:t>בין השאר יוצגו מספר</w:t>
      </w:r>
      <w:r w:rsidR="00C270DC" w:rsidRPr="00BB6388">
        <w:rPr>
          <w:rFonts w:hint="cs"/>
          <w:rtl/>
        </w:rPr>
        <w:t xml:space="preserve"> התיקים שנפתחו </w:t>
      </w:r>
      <w:r>
        <w:rPr>
          <w:rFonts w:hint="cs"/>
          <w:rtl/>
        </w:rPr>
        <w:t>בגין חוק מסוים במהלך השנים, מספר</w:t>
      </w:r>
      <w:r w:rsidR="00C270DC" w:rsidRPr="00BB6388">
        <w:rPr>
          <w:rFonts w:hint="cs"/>
          <w:rtl/>
        </w:rPr>
        <w:t xml:space="preserve"> התיקים שנפתחו בעבור כל סעיף עבירה שהוגדר באותו החוק, מספר כתבי אישום, ועוד. </w:t>
      </w:r>
      <w:r w:rsidR="00C270DC" w:rsidRPr="00BB6388">
        <w:rPr>
          <w:rFonts w:hint="cs"/>
          <w:b/>
          <w:bCs/>
          <w:rtl/>
        </w:rPr>
        <w:t xml:space="preserve">מספרים אלו אינם תלויים זה בזה: בתיק אחד ייתכנו מספר עבירות וכן מספר חשודים; לחשוד אחד ייתכנו מספר תיקים; </w:t>
      </w:r>
      <w:r>
        <w:rPr>
          <w:rFonts w:hint="cs"/>
          <w:b/>
          <w:bCs/>
          <w:rtl/>
        </w:rPr>
        <w:t>כתבי האישום המוגשים</w:t>
      </w:r>
      <w:r w:rsidR="00C270DC" w:rsidRPr="00BB6388">
        <w:rPr>
          <w:rFonts w:hint="cs"/>
          <w:b/>
          <w:bCs/>
          <w:rtl/>
        </w:rPr>
        <w:t xml:space="preserve"> בשנה נתונ</w:t>
      </w:r>
      <w:r>
        <w:rPr>
          <w:rFonts w:hint="cs"/>
          <w:b/>
          <w:bCs/>
          <w:rtl/>
        </w:rPr>
        <w:t>ה</w:t>
      </w:r>
      <w:r w:rsidR="00C270DC" w:rsidRPr="00BB6388">
        <w:rPr>
          <w:rFonts w:hint="cs"/>
          <w:b/>
          <w:bCs/>
          <w:rtl/>
        </w:rPr>
        <w:t xml:space="preserve"> קשורים לעיתים קרובות לתיקים שנפתחו בשנים קודמות; וכן הלאה</w:t>
      </w:r>
      <w:r w:rsidR="00C270DC" w:rsidRPr="00BB6388">
        <w:rPr>
          <w:rFonts w:hint="cs"/>
          <w:rtl/>
        </w:rPr>
        <w:t xml:space="preserve">. </w:t>
      </w:r>
    </w:p>
    <w:p w:rsidR="00C270DC" w:rsidRPr="00BB6388" w:rsidRDefault="00C270DC" w:rsidP="00BB6388">
      <w:pPr>
        <w:pStyle w:val="4"/>
        <w:rPr>
          <w:rtl/>
        </w:rPr>
      </w:pPr>
      <w:bookmarkStart w:id="202" w:name="_Toc418585136"/>
      <w:bookmarkStart w:id="203" w:name="_Toc419963079"/>
      <w:r w:rsidRPr="00BB6388">
        <w:rPr>
          <w:rFonts w:hint="cs"/>
          <w:rtl/>
        </w:rPr>
        <w:t xml:space="preserve">פעילות </w:t>
      </w:r>
      <w:r w:rsidR="00B5414C" w:rsidRPr="00BB6388">
        <w:rPr>
          <w:rFonts w:hint="cs"/>
          <w:rtl/>
        </w:rPr>
        <w:t>בתחום הסמים: נתונים כלליים</w:t>
      </w:r>
      <w:bookmarkEnd w:id="202"/>
      <w:bookmarkEnd w:id="203"/>
    </w:p>
    <w:p w:rsidR="00C270DC" w:rsidRPr="00BB6388" w:rsidRDefault="00C270DC" w:rsidP="00BB6388">
      <w:pPr>
        <w:pStyle w:val="a2"/>
        <w:spacing w:line="360" w:lineRule="auto"/>
        <w:rPr>
          <w:rtl/>
        </w:rPr>
      </w:pPr>
      <w:r w:rsidRPr="00BB6388">
        <w:rPr>
          <w:rFonts w:hint="cs"/>
          <w:b/>
          <w:bCs/>
          <w:rtl/>
        </w:rPr>
        <w:t>נתוני תפיסות סמים</w:t>
      </w:r>
      <w:r w:rsidRPr="00BB6388">
        <w:rPr>
          <w:rFonts w:hint="cs"/>
          <w:rtl/>
        </w:rPr>
        <w:t xml:space="preserve"> </w:t>
      </w:r>
    </w:p>
    <w:p w:rsidR="00C270DC" w:rsidRDefault="00B11244" w:rsidP="00351FCC">
      <w:pPr>
        <w:pStyle w:val="a2"/>
        <w:spacing w:line="360" w:lineRule="auto"/>
        <w:rPr>
          <w:rtl/>
        </w:rPr>
      </w:pPr>
      <w:r>
        <w:rPr>
          <w:rFonts w:hint="cs"/>
          <w:rtl/>
        </w:rPr>
        <w:t xml:space="preserve">טבלה מס' 9 מציגה </w:t>
      </w:r>
      <w:r w:rsidR="00C270DC" w:rsidRPr="00BB6388">
        <w:rPr>
          <w:rFonts w:hint="cs"/>
          <w:rtl/>
        </w:rPr>
        <w:t>נתונים על תפ</w:t>
      </w:r>
      <w:r>
        <w:rPr>
          <w:rFonts w:hint="cs"/>
          <w:rtl/>
        </w:rPr>
        <w:t>יס</w:t>
      </w:r>
      <w:r w:rsidR="008D0BA7">
        <w:rPr>
          <w:rFonts w:hint="cs"/>
          <w:rtl/>
        </w:rPr>
        <w:t>ו</w:t>
      </w:r>
      <w:r>
        <w:rPr>
          <w:rFonts w:hint="cs"/>
          <w:rtl/>
        </w:rPr>
        <w:t>ת סמים בישראל בשנים 2010-2014.</w:t>
      </w:r>
      <w:r w:rsidR="00A75371">
        <w:rPr>
          <w:rFonts w:hint="cs"/>
          <w:rtl/>
        </w:rPr>
        <w:t xml:space="preserve"> </w:t>
      </w:r>
      <w:r w:rsidR="009F62C8" w:rsidRPr="00BB6388">
        <w:rPr>
          <w:rFonts w:hint="cs"/>
          <w:rtl/>
        </w:rPr>
        <w:t>נתונים אלו מבוססים על נתוני המעבדה לזיהוי פלילי</w:t>
      </w:r>
      <w:r w:rsidR="009F62C8">
        <w:rPr>
          <w:rFonts w:hint="cs"/>
          <w:rtl/>
        </w:rPr>
        <w:t xml:space="preserve"> של משטרת ישראל</w:t>
      </w:r>
      <w:r w:rsidR="009F62C8" w:rsidRPr="00BB6388">
        <w:rPr>
          <w:rFonts w:hint="cs"/>
          <w:rtl/>
        </w:rPr>
        <w:t xml:space="preserve">, </w:t>
      </w:r>
      <w:r w:rsidR="009F62C8">
        <w:rPr>
          <w:rFonts w:hint="cs"/>
          <w:rtl/>
        </w:rPr>
        <w:t xml:space="preserve">והם כוללים </w:t>
      </w:r>
      <w:r w:rsidR="009F62C8" w:rsidRPr="00BB6388">
        <w:rPr>
          <w:rFonts w:hint="cs"/>
          <w:rtl/>
        </w:rPr>
        <w:t xml:space="preserve">תפיסות שנעשו על-ידי </w:t>
      </w:r>
      <w:r w:rsidR="009F62C8">
        <w:rPr>
          <w:rFonts w:hint="cs"/>
          <w:rtl/>
        </w:rPr>
        <w:t xml:space="preserve">המשטרה, </w:t>
      </w:r>
      <w:r w:rsidR="009F62C8" w:rsidRPr="00BB6388">
        <w:rPr>
          <w:rFonts w:hint="cs"/>
          <w:rtl/>
        </w:rPr>
        <w:t>בתי המכס של רשות המיסים וצה"ל. לאור זאת, יש לראותם כמייצגים של פעילותם המשותפת של גופים אלו.</w:t>
      </w:r>
    </w:p>
    <w:p w:rsidR="009F62C8" w:rsidRDefault="009F62C8" w:rsidP="00D552DD">
      <w:pPr>
        <w:pStyle w:val="a2"/>
        <w:spacing w:line="360" w:lineRule="auto"/>
        <w:rPr>
          <w:rtl/>
        </w:rPr>
      </w:pPr>
      <w:r w:rsidRPr="00BB6388">
        <w:rPr>
          <w:rFonts w:hint="cs"/>
          <w:rtl/>
        </w:rPr>
        <w:t>התנודתיות הגדולה בנתונים בין שנה לשנה נובע</w:t>
      </w:r>
      <w:r w:rsidR="00D552DD">
        <w:rPr>
          <w:rFonts w:hint="cs"/>
          <w:rtl/>
        </w:rPr>
        <w:t xml:space="preserve">ת </w:t>
      </w:r>
      <w:r w:rsidRPr="00BB6388">
        <w:rPr>
          <w:rFonts w:hint="cs"/>
          <w:rtl/>
        </w:rPr>
        <w:t xml:space="preserve"> מגורמים שונים, ובהם היקף פעילות המשטרה, איכות המודיעין המשטרתי והמצב בגבולות עם לבנון ומצרים. בנוסף, </w:t>
      </w:r>
      <w:r>
        <w:rPr>
          <w:rFonts w:hint="cs"/>
          <w:rtl/>
        </w:rPr>
        <w:t>נמסר על-ידי המשרד לבטחון הפנים כי נתונים אלו מהווים הערכת חסר, וזאת מאחר וישנם סמים הנתפסים אך אינם מגיעים לבדיקת המעבדה לזיהוי פלילי במשטרה.</w:t>
      </w:r>
      <w:r w:rsidRPr="00BB6388">
        <w:rPr>
          <w:rStyle w:val="ab"/>
          <w:rtl/>
        </w:rPr>
        <w:footnoteReference w:id="208"/>
      </w:r>
    </w:p>
    <w:p w:rsidR="00CD1DB5" w:rsidRDefault="00CD1DB5" w:rsidP="004E7738">
      <w:pPr>
        <w:pStyle w:val="af2"/>
        <w:jc w:val="center"/>
        <w:rPr>
          <w:sz w:val="24"/>
          <w:szCs w:val="24"/>
          <w:rtl/>
        </w:rPr>
      </w:pPr>
      <w:bookmarkStart w:id="204" w:name="_Toc418585137"/>
      <w:bookmarkStart w:id="205" w:name="_Toc419963080"/>
    </w:p>
    <w:p w:rsidR="00C270DC" w:rsidRPr="00BB6388" w:rsidRDefault="000645E1" w:rsidP="004E7738">
      <w:pPr>
        <w:pStyle w:val="af2"/>
        <w:jc w:val="center"/>
        <w:rPr>
          <w:rtl/>
        </w:rPr>
      </w:pPr>
      <w:r w:rsidRPr="000645E1">
        <w:rPr>
          <w:sz w:val="24"/>
          <w:szCs w:val="24"/>
          <w:rtl/>
        </w:rPr>
        <w:t xml:space="preserve">טבלה </w:t>
      </w:r>
      <w:r w:rsidR="00F3448E" w:rsidRPr="000645E1">
        <w:rPr>
          <w:sz w:val="24"/>
          <w:szCs w:val="24"/>
          <w:rtl/>
        </w:rPr>
        <w:fldChar w:fldCharType="begin"/>
      </w:r>
      <w:r w:rsidRPr="000645E1">
        <w:rPr>
          <w:sz w:val="24"/>
          <w:szCs w:val="24"/>
          <w:rtl/>
        </w:rPr>
        <w:instrText xml:space="preserve"> </w:instrText>
      </w:r>
      <w:r w:rsidRPr="000645E1">
        <w:rPr>
          <w:sz w:val="24"/>
          <w:szCs w:val="24"/>
        </w:rPr>
        <w:instrText>SEQ</w:instrText>
      </w:r>
      <w:r w:rsidRPr="000645E1">
        <w:rPr>
          <w:sz w:val="24"/>
          <w:szCs w:val="24"/>
          <w:rtl/>
        </w:rPr>
        <w:instrText xml:space="preserve"> טבלה \* </w:instrText>
      </w:r>
      <w:r w:rsidRPr="000645E1">
        <w:rPr>
          <w:sz w:val="24"/>
          <w:szCs w:val="24"/>
        </w:rPr>
        <w:instrText>ARABIC</w:instrText>
      </w:r>
      <w:r w:rsidRPr="000645E1">
        <w:rPr>
          <w:sz w:val="24"/>
          <w:szCs w:val="24"/>
          <w:rtl/>
        </w:rPr>
        <w:instrText xml:space="preserve"> </w:instrText>
      </w:r>
      <w:r w:rsidR="00F3448E" w:rsidRPr="000645E1">
        <w:rPr>
          <w:sz w:val="24"/>
          <w:szCs w:val="24"/>
          <w:rtl/>
        </w:rPr>
        <w:fldChar w:fldCharType="separate"/>
      </w:r>
      <w:r w:rsidR="007347AB">
        <w:rPr>
          <w:noProof/>
          <w:sz w:val="24"/>
          <w:szCs w:val="24"/>
          <w:rtl/>
        </w:rPr>
        <w:t>9</w:t>
      </w:r>
      <w:r w:rsidR="00F3448E" w:rsidRPr="000645E1">
        <w:rPr>
          <w:sz w:val="24"/>
          <w:szCs w:val="24"/>
          <w:rtl/>
        </w:rPr>
        <w:fldChar w:fldCharType="end"/>
      </w:r>
      <w:r w:rsidR="00C270DC" w:rsidRPr="000645E1">
        <w:rPr>
          <w:rFonts w:hint="cs"/>
          <w:sz w:val="24"/>
          <w:szCs w:val="24"/>
          <w:rtl/>
        </w:rPr>
        <w:t>: תפיס</w:t>
      </w:r>
      <w:r w:rsidR="008D0BA7">
        <w:rPr>
          <w:rFonts w:hint="cs"/>
          <w:sz w:val="24"/>
          <w:szCs w:val="24"/>
          <w:rtl/>
        </w:rPr>
        <w:t>ו</w:t>
      </w:r>
      <w:r w:rsidR="00C270DC" w:rsidRPr="000645E1">
        <w:rPr>
          <w:rFonts w:hint="cs"/>
          <w:sz w:val="24"/>
          <w:szCs w:val="24"/>
          <w:rtl/>
        </w:rPr>
        <w:t xml:space="preserve">ת סמים בישראל בשנים </w:t>
      </w:r>
      <w:r w:rsidR="004E7738">
        <w:rPr>
          <w:rFonts w:hint="cs"/>
          <w:sz w:val="24"/>
          <w:szCs w:val="24"/>
          <w:rtl/>
        </w:rPr>
        <w:t>2014-2010</w:t>
      </w:r>
      <w:r w:rsidR="00C270DC" w:rsidRPr="00BB6388">
        <w:rPr>
          <w:rStyle w:val="ab"/>
          <w:rtl/>
        </w:rPr>
        <w:footnoteReference w:id="209"/>
      </w:r>
      <w:bookmarkEnd w:id="204"/>
      <w:bookmarkEnd w:id="205"/>
    </w:p>
    <w:tbl>
      <w:tblPr>
        <w:tblStyle w:val="afff5"/>
        <w:bidiVisual/>
        <w:tblW w:w="9125" w:type="dxa"/>
        <w:tblCellSpacing w:w="20" w:type="dxa"/>
        <w:tblInd w:w="23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1459"/>
        <w:gridCol w:w="1532"/>
        <w:gridCol w:w="1533"/>
        <w:gridCol w:w="1533"/>
        <w:gridCol w:w="1533"/>
        <w:gridCol w:w="1535"/>
      </w:tblGrid>
      <w:tr w:rsidR="004E7738" w:rsidRPr="00D85152" w:rsidTr="00351FCC">
        <w:trPr>
          <w:tblCellSpacing w:w="20" w:type="dxa"/>
        </w:trPr>
        <w:tc>
          <w:tcPr>
            <w:tcW w:w="1290" w:type="dxa"/>
            <w:shd w:val="clear" w:color="auto" w:fill="auto"/>
          </w:tcPr>
          <w:p w:rsidR="00C270DC" w:rsidRPr="00D85152" w:rsidRDefault="00C270DC" w:rsidP="00D85152">
            <w:pPr>
              <w:pStyle w:val="a2"/>
              <w:spacing w:before="60" w:after="0" w:line="240" w:lineRule="auto"/>
              <w:rPr>
                <w:b/>
                <w:bCs/>
                <w:sz w:val="22"/>
                <w:szCs w:val="22"/>
                <w:rtl/>
              </w:rPr>
            </w:pPr>
            <w:r w:rsidRPr="00D85152">
              <w:rPr>
                <w:rFonts w:hint="cs"/>
                <w:b/>
                <w:bCs/>
                <w:sz w:val="22"/>
                <w:szCs w:val="22"/>
                <w:rtl/>
              </w:rPr>
              <w:t>סוג הסם</w:t>
            </w:r>
          </w:p>
        </w:tc>
        <w:tc>
          <w:tcPr>
            <w:tcW w:w="1515" w:type="dxa"/>
            <w:shd w:val="clear" w:color="auto" w:fill="auto"/>
          </w:tcPr>
          <w:p w:rsidR="00C270DC" w:rsidRPr="00D85152" w:rsidRDefault="00C270DC" w:rsidP="00D85152">
            <w:pPr>
              <w:pStyle w:val="a2"/>
              <w:spacing w:before="60" w:after="0" w:line="240" w:lineRule="auto"/>
              <w:jc w:val="center"/>
              <w:rPr>
                <w:b/>
                <w:bCs/>
                <w:sz w:val="22"/>
                <w:szCs w:val="22"/>
                <w:rtl/>
              </w:rPr>
            </w:pPr>
            <w:r w:rsidRPr="00D85152">
              <w:rPr>
                <w:rFonts w:hint="cs"/>
                <w:b/>
                <w:bCs/>
                <w:sz w:val="22"/>
                <w:szCs w:val="22"/>
                <w:rtl/>
              </w:rPr>
              <w:t>2010</w:t>
            </w:r>
          </w:p>
        </w:tc>
        <w:tc>
          <w:tcPr>
            <w:tcW w:w="1515" w:type="dxa"/>
            <w:shd w:val="clear" w:color="auto" w:fill="auto"/>
          </w:tcPr>
          <w:p w:rsidR="00C270DC" w:rsidRPr="00D85152" w:rsidRDefault="00C270DC" w:rsidP="00D85152">
            <w:pPr>
              <w:pStyle w:val="a2"/>
              <w:spacing w:before="60" w:after="0" w:line="240" w:lineRule="auto"/>
              <w:jc w:val="center"/>
              <w:rPr>
                <w:b/>
                <w:bCs/>
                <w:sz w:val="22"/>
                <w:szCs w:val="22"/>
                <w:rtl/>
              </w:rPr>
            </w:pPr>
            <w:r w:rsidRPr="00D85152">
              <w:rPr>
                <w:rFonts w:hint="cs"/>
                <w:b/>
                <w:bCs/>
                <w:sz w:val="22"/>
                <w:szCs w:val="22"/>
                <w:rtl/>
              </w:rPr>
              <w:t>2011</w:t>
            </w:r>
          </w:p>
        </w:tc>
        <w:tc>
          <w:tcPr>
            <w:tcW w:w="1515" w:type="dxa"/>
            <w:shd w:val="clear" w:color="auto" w:fill="auto"/>
          </w:tcPr>
          <w:p w:rsidR="00C270DC" w:rsidRPr="00D85152" w:rsidRDefault="00C270DC" w:rsidP="00D85152">
            <w:pPr>
              <w:pStyle w:val="a2"/>
              <w:spacing w:before="60" w:after="0" w:line="240" w:lineRule="auto"/>
              <w:jc w:val="center"/>
              <w:rPr>
                <w:b/>
                <w:bCs/>
                <w:sz w:val="22"/>
                <w:szCs w:val="22"/>
                <w:rtl/>
              </w:rPr>
            </w:pPr>
            <w:r w:rsidRPr="00D85152">
              <w:rPr>
                <w:rFonts w:hint="cs"/>
                <w:b/>
                <w:bCs/>
                <w:sz w:val="22"/>
                <w:szCs w:val="22"/>
                <w:rtl/>
              </w:rPr>
              <w:t>2012</w:t>
            </w:r>
          </w:p>
        </w:tc>
        <w:tc>
          <w:tcPr>
            <w:tcW w:w="1515" w:type="dxa"/>
            <w:shd w:val="clear" w:color="auto" w:fill="auto"/>
          </w:tcPr>
          <w:p w:rsidR="00C270DC" w:rsidRPr="00D85152" w:rsidRDefault="00C270DC" w:rsidP="00D85152">
            <w:pPr>
              <w:pStyle w:val="a2"/>
              <w:spacing w:before="60" w:after="0" w:line="240" w:lineRule="auto"/>
              <w:jc w:val="center"/>
              <w:rPr>
                <w:b/>
                <w:bCs/>
                <w:sz w:val="22"/>
                <w:szCs w:val="22"/>
                <w:rtl/>
              </w:rPr>
            </w:pPr>
            <w:r w:rsidRPr="00D85152">
              <w:rPr>
                <w:rFonts w:hint="cs"/>
                <w:b/>
                <w:bCs/>
                <w:sz w:val="22"/>
                <w:szCs w:val="22"/>
                <w:rtl/>
              </w:rPr>
              <w:t>2013</w:t>
            </w:r>
          </w:p>
        </w:tc>
        <w:tc>
          <w:tcPr>
            <w:tcW w:w="1495" w:type="dxa"/>
            <w:shd w:val="clear" w:color="auto" w:fill="auto"/>
          </w:tcPr>
          <w:p w:rsidR="00C270DC" w:rsidRPr="00D85152" w:rsidRDefault="00C270DC" w:rsidP="00D85152">
            <w:pPr>
              <w:pStyle w:val="a2"/>
              <w:spacing w:before="60" w:after="0" w:line="240" w:lineRule="auto"/>
              <w:jc w:val="center"/>
              <w:rPr>
                <w:b/>
                <w:bCs/>
                <w:sz w:val="22"/>
                <w:szCs w:val="22"/>
                <w:rtl/>
              </w:rPr>
            </w:pPr>
            <w:r w:rsidRPr="00D85152">
              <w:rPr>
                <w:rFonts w:hint="cs"/>
                <w:b/>
                <w:bCs/>
                <w:sz w:val="22"/>
                <w:szCs w:val="22"/>
                <w:rtl/>
              </w:rPr>
              <w:t>2014</w:t>
            </w:r>
          </w:p>
        </w:tc>
      </w:tr>
      <w:tr w:rsidR="004E7738" w:rsidRPr="00D85152" w:rsidTr="002D4091">
        <w:trPr>
          <w:tblCellSpacing w:w="20" w:type="dxa"/>
        </w:trPr>
        <w:tc>
          <w:tcPr>
            <w:tcW w:w="1290" w:type="dxa"/>
            <w:shd w:val="clear" w:color="auto" w:fill="auto"/>
          </w:tcPr>
          <w:p w:rsidR="00C270DC" w:rsidRPr="00D85152" w:rsidRDefault="00C270DC" w:rsidP="00D85152">
            <w:pPr>
              <w:pStyle w:val="a2"/>
              <w:spacing w:before="60" w:after="0" w:line="240" w:lineRule="auto"/>
              <w:rPr>
                <w:sz w:val="22"/>
                <w:szCs w:val="22"/>
                <w:rtl/>
              </w:rPr>
            </w:pPr>
            <w:r w:rsidRPr="00D85152">
              <w:rPr>
                <w:rFonts w:hint="cs"/>
                <w:sz w:val="22"/>
                <w:szCs w:val="22"/>
                <w:rtl/>
              </w:rPr>
              <w:t>מריחואנה</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4,899 ק"ג</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740 ק"ג</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785 ק"ג</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1,171 ק"ג</w:t>
            </w:r>
          </w:p>
        </w:tc>
        <w:tc>
          <w:tcPr>
            <w:tcW w:w="1495" w:type="dxa"/>
            <w:shd w:val="clear" w:color="auto" w:fill="auto"/>
            <w:vAlign w:val="center"/>
          </w:tcPr>
          <w:p w:rsidR="00C270DC" w:rsidRPr="00D85152" w:rsidRDefault="009D6AC2" w:rsidP="002D4091">
            <w:pPr>
              <w:pStyle w:val="a2"/>
              <w:spacing w:before="60" w:after="0" w:line="240" w:lineRule="auto"/>
              <w:jc w:val="center"/>
              <w:rPr>
                <w:sz w:val="22"/>
                <w:szCs w:val="22"/>
                <w:rtl/>
              </w:rPr>
            </w:pPr>
            <w:r w:rsidRPr="00D85152">
              <w:rPr>
                <w:rFonts w:hint="cs"/>
                <w:sz w:val="22"/>
                <w:szCs w:val="22"/>
                <w:rtl/>
              </w:rPr>
              <w:t>4,339 ק"ג</w:t>
            </w:r>
          </w:p>
        </w:tc>
      </w:tr>
      <w:tr w:rsidR="004E7738" w:rsidRPr="00D85152" w:rsidTr="002D4091">
        <w:trPr>
          <w:tblCellSpacing w:w="20" w:type="dxa"/>
        </w:trPr>
        <w:tc>
          <w:tcPr>
            <w:tcW w:w="1290" w:type="dxa"/>
            <w:shd w:val="clear" w:color="auto" w:fill="auto"/>
          </w:tcPr>
          <w:p w:rsidR="00C270DC" w:rsidRPr="00D85152" w:rsidRDefault="00C270DC" w:rsidP="00D85152">
            <w:pPr>
              <w:pStyle w:val="a2"/>
              <w:spacing w:before="60" w:after="0" w:line="240" w:lineRule="auto"/>
              <w:rPr>
                <w:sz w:val="22"/>
                <w:szCs w:val="22"/>
                <w:rtl/>
              </w:rPr>
            </w:pPr>
            <w:r w:rsidRPr="00D85152">
              <w:rPr>
                <w:rFonts w:hint="cs"/>
                <w:sz w:val="22"/>
                <w:szCs w:val="22"/>
                <w:rtl/>
              </w:rPr>
              <w:t>חשיש</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1,218 ק"ג</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1,060 ק"ג</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1,594 ק"ג</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2,552 ק"ג</w:t>
            </w:r>
          </w:p>
        </w:tc>
        <w:tc>
          <w:tcPr>
            <w:tcW w:w="1495" w:type="dxa"/>
            <w:shd w:val="clear" w:color="auto" w:fill="auto"/>
            <w:vAlign w:val="center"/>
          </w:tcPr>
          <w:p w:rsidR="00C270DC" w:rsidRPr="00D85152" w:rsidRDefault="009D6AC2" w:rsidP="002D4091">
            <w:pPr>
              <w:pStyle w:val="a2"/>
              <w:spacing w:before="60" w:after="0" w:line="240" w:lineRule="auto"/>
              <w:jc w:val="center"/>
              <w:rPr>
                <w:sz w:val="22"/>
                <w:szCs w:val="22"/>
                <w:rtl/>
              </w:rPr>
            </w:pPr>
            <w:r w:rsidRPr="00D85152">
              <w:rPr>
                <w:rFonts w:hint="cs"/>
                <w:sz w:val="22"/>
                <w:szCs w:val="22"/>
                <w:rtl/>
              </w:rPr>
              <w:t>1,920 ק"ג</w:t>
            </w:r>
          </w:p>
        </w:tc>
      </w:tr>
      <w:tr w:rsidR="004E7738" w:rsidRPr="00D85152" w:rsidTr="002D4091">
        <w:trPr>
          <w:tblCellSpacing w:w="20" w:type="dxa"/>
        </w:trPr>
        <w:tc>
          <w:tcPr>
            <w:tcW w:w="1290" w:type="dxa"/>
            <w:shd w:val="clear" w:color="auto" w:fill="auto"/>
          </w:tcPr>
          <w:p w:rsidR="00C270DC" w:rsidRPr="00D85152" w:rsidRDefault="00C270DC" w:rsidP="00D85152">
            <w:pPr>
              <w:pStyle w:val="a2"/>
              <w:spacing w:before="60" w:after="0" w:line="240" w:lineRule="auto"/>
              <w:rPr>
                <w:sz w:val="22"/>
                <w:szCs w:val="22"/>
                <w:rtl/>
              </w:rPr>
            </w:pPr>
            <w:r w:rsidRPr="00D85152">
              <w:rPr>
                <w:rFonts w:hint="cs"/>
                <w:sz w:val="22"/>
                <w:szCs w:val="22"/>
                <w:rtl/>
              </w:rPr>
              <w:t>קוקאין</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71 ק"ג</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264 ק"ג</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171 ק"ג</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147.5 ק"ג</w:t>
            </w:r>
          </w:p>
        </w:tc>
        <w:tc>
          <w:tcPr>
            <w:tcW w:w="1495" w:type="dxa"/>
            <w:shd w:val="clear" w:color="auto" w:fill="auto"/>
            <w:vAlign w:val="center"/>
          </w:tcPr>
          <w:p w:rsidR="00C270DC" w:rsidRPr="00D85152" w:rsidRDefault="009D6AC2" w:rsidP="002D4091">
            <w:pPr>
              <w:pStyle w:val="a2"/>
              <w:spacing w:before="60" w:after="0" w:line="240" w:lineRule="auto"/>
              <w:jc w:val="center"/>
              <w:rPr>
                <w:sz w:val="22"/>
                <w:szCs w:val="22"/>
                <w:rtl/>
              </w:rPr>
            </w:pPr>
            <w:r w:rsidRPr="00D85152">
              <w:rPr>
                <w:rFonts w:hint="cs"/>
                <w:sz w:val="22"/>
                <w:szCs w:val="22"/>
                <w:rtl/>
              </w:rPr>
              <w:t>177 ק"ג</w:t>
            </w:r>
          </w:p>
        </w:tc>
      </w:tr>
      <w:tr w:rsidR="004E7738" w:rsidRPr="00D85152" w:rsidTr="002D4091">
        <w:trPr>
          <w:tblCellSpacing w:w="20" w:type="dxa"/>
        </w:trPr>
        <w:tc>
          <w:tcPr>
            <w:tcW w:w="1290" w:type="dxa"/>
            <w:shd w:val="clear" w:color="auto" w:fill="auto"/>
          </w:tcPr>
          <w:p w:rsidR="00C270DC" w:rsidRPr="00D85152" w:rsidRDefault="00C270DC" w:rsidP="00D85152">
            <w:pPr>
              <w:pStyle w:val="a2"/>
              <w:spacing w:before="60" w:after="0" w:line="240" w:lineRule="auto"/>
              <w:rPr>
                <w:sz w:val="22"/>
                <w:szCs w:val="22"/>
                <w:rtl/>
              </w:rPr>
            </w:pPr>
            <w:r w:rsidRPr="00D85152">
              <w:rPr>
                <w:rFonts w:hint="cs"/>
                <w:sz w:val="22"/>
                <w:szCs w:val="22"/>
                <w:rtl/>
              </w:rPr>
              <w:t>הרואין</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471 ק"ג</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18 ק"ג</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130 ק"ג</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52 ק"ג</w:t>
            </w:r>
          </w:p>
        </w:tc>
        <w:tc>
          <w:tcPr>
            <w:tcW w:w="1495" w:type="dxa"/>
            <w:shd w:val="clear" w:color="auto" w:fill="auto"/>
            <w:vAlign w:val="center"/>
          </w:tcPr>
          <w:p w:rsidR="00C270DC" w:rsidRPr="00D85152" w:rsidRDefault="009D6AC2" w:rsidP="002D4091">
            <w:pPr>
              <w:pStyle w:val="a2"/>
              <w:spacing w:before="60" w:after="0" w:line="240" w:lineRule="auto"/>
              <w:jc w:val="center"/>
              <w:rPr>
                <w:sz w:val="22"/>
                <w:szCs w:val="22"/>
                <w:rtl/>
              </w:rPr>
            </w:pPr>
            <w:r w:rsidRPr="00D85152">
              <w:rPr>
                <w:rFonts w:hint="cs"/>
                <w:sz w:val="22"/>
                <w:szCs w:val="22"/>
                <w:rtl/>
              </w:rPr>
              <w:t>14.5 ק"ג</w:t>
            </w:r>
          </w:p>
        </w:tc>
      </w:tr>
      <w:tr w:rsidR="004E7738" w:rsidRPr="00D85152" w:rsidTr="002D4091">
        <w:trPr>
          <w:tblCellSpacing w:w="20" w:type="dxa"/>
        </w:trPr>
        <w:tc>
          <w:tcPr>
            <w:tcW w:w="1290" w:type="dxa"/>
            <w:shd w:val="clear" w:color="auto" w:fill="auto"/>
          </w:tcPr>
          <w:p w:rsidR="00C270DC" w:rsidRPr="00D85152" w:rsidRDefault="00C270DC" w:rsidP="00D85152">
            <w:pPr>
              <w:pStyle w:val="a2"/>
              <w:spacing w:before="60" w:after="0" w:line="240" w:lineRule="auto"/>
              <w:rPr>
                <w:sz w:val="22"/>
                <w:szCs w:val="22"/>
                <w:rtl/>
              </w:rPr>
            </w:pPr>
            <w:r w:rsidRPr="00D85152">
              <w:rPr>
                <w:rFonts w:hint="cs"/>
                <w:sz w:val="22"/>
                <w:szCs w:val="22"/>
                <w:rtl/>
              </w:rPr>
              <w:t>אקסטזי</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1,448 טבליות</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20,502 טבליות</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6,919 טבליות</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4,178 טבליות</w:t>
            </w:r>
          </w:p>
        </w:tc>
        <w:tc>
          <w:tcPr>
            <w:tcW w:w="1495" w:type="dxa"/>
            <w:shd w:val="clear" w:color="auto" w:fill="auto"/>
            <w:vAlign w:val="center"/>
          </w:tcPr>
          <w:p w:rsidR="00C270DC" w:rsidRPr="00D85152" w:rsidRDefault="009D6AC2" w:rsidP="002D4091">
            <w:pPr>
              <w:pStyle w:val="a2"/>
              <w:spacing w:before="60" w:after="0" w:line="240" w:lineRule="auto"/>
              <w:jc w:val="center"/>
              <w:rPr>
                <w:sz w:val="22"/>
                <w:szCs w:val="22"/>
                <w:rtl/>
              </w:rPr>
            </w:pPr>
            <w:r w:rsidRPr="00D85152">
              <w:rPr>
                <w:rFonts w:hint="cs"/>
                <w:sz w:val="22"/>
                <w:szCs w:val="22"/>
                <w:rtl/>
              </w:rPr>
              <w:t>11,229 ק"ג</w:t>
            </w:r>
          </w:p>
        </w:tc>
      </w:tr>
      <w:tr w:rsidR="004E7738" w:rsidRPr="00D85152" w:rsidTr="002D4091">
        <w:trPr>
          <w:tblCellSpacing w:w="20" w:type="dxa"/>
        </w:trPr>
        <w:tc>
          <w:tcPr>
            <w:tcW w:w="1290" w:type="dxa"/>
            <w:shd w:val="clear" w:color="auto" w:fill="auto"/>
          </w:tcPr>
          <w:p w:rsidR="00C270DC" w:rsidRDefault="00E94012" w:rsidP="00D85152">
            <w:pPr>
              <w:pStyle w:val="a2"/>
              <w:spacing w:before="60" w:after="0" w:line="240" w:lineRule="auto"/>
              <w:rPr>
                <w:sz w:val="22"/>
                <w:szCs w:val="22"/>
                <w:rtl/>
              </w:rPr>
            </w:pPr>
            <w:r>
              <w:rPr>
                <w:sz w:val="22"/>
                <w:szCs w:val="22"/>
              </w:rPr>
              <w:t>BA</w:t>
            </w:r>
            <w:r>
              <w:rPr>
                <w:rFonts w:hint="cs"/>
                <w:sz w:val="22"/>
                <w:szCs w:val="22"/>
                <w:rtl/>
              </w:rPr>
              <w:t>-</w:t>
            </w:r>
            <w:r>
              <w:rPr>
                <w:sz w:val="22"/>
                <w:szCs w:val="22"/>
              </w:rPr>
              <w:t>YA</w:t>
            </w:r>
          </w:p>
          <w:p w:rsidR="00E94012" w:rsidRPr="00C87079" w:rsidRDefault="00E94012" w:rsidP="00D85152">
            <w:pPr>
              <w:pStyle w:val="a2"/>
              <w:spacing w:before="60" w:after="0" w:line="240" w:lineRule="auto"/>
              <w:rPr>
                <w:sz w:val="22"/>
                <w:szCs w:val="22"/>
                <w:rtl/>
              </w:rPr>
            </w:pPr>
            <w:r>
              <w:rPr>
                <w:rFonts w:hint="cs"/>
                <w:sz w:val="22"/>
                <w:szCs w:val="22"/>
                <w:rtl/>
              </w:rPr>
              <w:t>(מתאמפטמין)</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64,053 טבליות</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55,620 טבליות</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53,229 טבליות</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47,316 טבליות</w:t>
            </w:r>
          </w:p>
        </w:tc>
        <w:tc>
          <w:tcPr>
            <w:tcW w:w="1495" w:type="dxa"/>
            <w:shd w:val="clear" w:color="auto" w:fill="auto"/>
            <w:vAlign w:val="center"/>
          </w:tcPr>
          <w:p w:rsidR="00C270DC" w:rsidRPr="00D85152" w:rsidRDefault="009D6AC2" w:rsidP="002D4091">
            <w:pPr>
              <w:pStyle w:val="a2"/>
              <w:spacing w:before="60" w:after="0" w:line="240" w:lineRule="auto"/>
              <w:jc w:val="center"/>
              <w:rPr>
                <w:sz w:val="22"/>
                <w:szCs w:val="22"/>
                <w:rtl/>
              </w:rPr>
            </w:pPr>
            <w:r w:rsidRPr="00D85152">
              <w:rPr>
                <w:rFonts w:hint="cs"/>
                <w:sz w:val="22"/>
                <w:szCs w:val="22"/>
                <w:rtl/>
              </w:rPr>
              <w:t>18,610 טבליות</w:t>
            </w:r>
          </w:p>
        </w:tc>
      </w:tr>
      <w:tr w:rsidR="004E7738" w:rsidRPr="00D85152" w:rsidTr="002D4091">
        <w:trPr>
          <w:tblCellSpacing w:w="20" w:type="dxa"/>
        </w:trPr>
        <w:tc>
          <w:tcPr>
            <w:tcW w:w="1290" w:type="dxa"/>
            <w:shd w:val="clear" w:color="auto" w:fill="auto"/>
          </w:tcPr>
          <w:p w:rsidR="00C270DC" w:rsidRPr="00D85152" w:rsidRDefault="00C270DC" w:rsidP="00D85152">
            <w:pPr>
              <w:pStyle w:val="a2"/>
              <w:spacing w:before="60" w:after="0" w:line="240" w:lineRule="auto"/>
              <w:rPr>
                <w:sz w:val="22"/>
                <w:szCs w:val="22"/>
                <w:rtl/>
              </w:rPr>
            </w:pPr>
            <w:r w:rsidRPr="00D85152">
              <w:rPr>
                <w:rFonts w:hint="cs"/>
                <w:sz w:val="22"/>
                <w:szCs w:val="22"/>
                <w:rtl/>
              </w:rPr>
              <w:t>אמפטמין</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w:t>
            </w:r>
          </w:p>
        </w:tc>
        <w:tc>
          <w:tcPr>
            <w:tcW w:w="1515" w:type="dxa"/>
            <w:shd w:val="clear" w:color="auto" w:fill="auto"/>
            <w:vAlign w:val="center"/>
          </w:tcPr>
          <w:p w:rsidR="00C270DC" w:rsidRPr="00D85152" w:rsidRDefault="00C270DC" w:rsidP="002D4091">
            <w:pPr>
              <w:pStyle w:val="a2"/>
              <w:spacing w:before="60" w:after="0" w:line="240" w:lineRule="auto"/>
              <w:jc w:val="center"/>
              <w:rPr>
                <w:sz w:val="22"/>
                <w:szCs w:val="22"/>
                <w:rtl/>
              </w:rPr>
            </w:pPr>
            <w:r w:rsidRPr="00D85152">
              <w:rPr>
                <w:rFonts w:hint="cs"/>
                <w:sz w:val="22"/>
                <w:szCs w:val="22"/>
                <w:rtl/>
              </w:rPr>
              <w:t>10,796 טבליות</w:t>
            </w:r>
          </w:p>
        </w:tc>
        <w:tc>
          <w:tcPr>
            <w:tcW w:w="1495" w:type="dxa"/>
            <w:shd w:val="clear" w:color="auto" w:fill="auto"/>
            <w:vAlign w:val="center"/>
          </w:tcPr>
          <w:p w:rsidR="00C270DC" w:rsidRPr="00D85152" w:rsidRDefault="00417EDA" w:rsidP="002D4091">
            <w:pPr>
              <w:pStyle w:val="a2"/>
              <w:spacing w:before="60" w:after="0" w:line="240" w:lineRule="auto"/>
              <w:jc w:val="center"/>
              <w:rPr>
                <w:sz w:val="22"/>
                <w:szCs w:val="22"/>
                <w:rtl/>
              </w:rPr>
            </w:pPr>
            <w:r w:rsidRPr="00D85152">
              <w:rPr>
                <w:rFonts w:hint="cs"/>
                <w:sz w:val="22"/>
                <w:szCs w:val="22"/>
                <w:rtl/>
              </w:rPr>
              <w:t>-</w:t>
            </w:r>
          </w:p>
        </w:tc>
      </w:tr>
    </w:tbl>
    <w:p w:rsidR="004B2418" w:rsidRDefault="004B2418" w:rsidP="00BB6388">
      <w:pPr>
        <w:pStyle w:val="a2"/>
        <w:spacing w:line="360" w:lineRule="auto"/>
        <w:rPr>
          <w:rtl/>
        </w:rPr>
      </w:pPr>
    </w:p>
    <w:p w:rsidR="00C270DC" w:rsidRDefault="00C270DC" w:rsidP="00BB6388">
      <w:pPr>
        <w:pStyle w:val="a2"/>
        <w:spacing w:line="360" w:lineRule="auto"/>
        <w:rPr>
          <w:rtl/>
        </w:rPr>
      </w:pPr>
      <w:r w:rsidRPr="00BB6388">
        <w:rPr>
          <w:rFonts w:hint="cs"/>
          <w:b/>
          <w:bCs/>
          <w:rtl/>
        </w:rPr>
        <w:t>תיקים, חשודים, מעצרים</w:t>
      </w:r>
    </w:p>
    <w:p w:rsidR="008F7A53" w:rsidRDefault="002330B3" w:rsidP="00164B34">
      <w:pPr>
        <w:pStyle w:val="a2"/>
        <w:spacing w:line="360" w:lineRule="auto"/>
        <w:rPr>
          <w:rtl/>
        </w:rPr>
      </w:pPr>
      <w:r>
        <w:rPr>
          <w:rFonts w:hint="cs"/>
          <w:rtl/>
        </w:rPr>
        <w:t xml:space="preserve">על-פי המשרד לבטחון הפנים נפתחו </w:t>
      </w:r>
      <w:r w:rsidR="004B2418" w:rsidRPr="00BB6388">
        <w:rPr>
          <w:rFonts w:hint="cs"/>
          <w:rtl/>
        </w:rPr>
        <w:t xml:space="preserve">בשנת 2014 </w:t>
      </w:r>
      <w:r w:rsidR="00FE298D" w:rsidRPr="00BB6388">
        <w:rPr>
          <w:rFonts w:hint="cs"/>
          <w:rtl/>
        </w:rPr>
        <w:t xml:space="preserve">3,312 </w:t>
      </w:r>
      <w:r w:rsidR="00FE298D">
        <w:rPr>
          <w:rFonts w:hint="cs"/>
          <w:rtl/>
        </w:rPr>
        <w:t xml:space="preserve">תיקים </w:t>
      </w:r>
      <w:r w:rsidR="00FE298D" w:rsidRPr="00BB6388">
        <w:rPr>
          <w:rFonts w:hint="cs"/>
          <w:rtl/>
        </w:rPr>
        <w:t>לקטינים</w:t>
      </w:r>
      <w:r>
        <w:rPr>
          <w:rFonts w:hint="cs"/>
          <w:rtl/>
        </w:rPr>
        <w:t xml:space="preserve">, וכן </w:t>
      </w:r>
      <w:r w:rsidR="007F2448">
        <w:rPr>
          <w:rFonts w:hint="cs"/>
          <w:rtl/>
        </w:rPr>
        <w:t>נמסר כי מספר התיקים שנפתחו בגין עבירות סמים ב-2014 הוא</w:t>
      </w:r>
      <w:r w:rsidR="004B2418" w:rsidRPr="00BB6388">
        <w:rPr>
          <w:rFonts w:hint="cs"/>
          <w:rtl/>
        </w:rPr>
        <w:t xml:space="preserve"> 27,690</w:t>
      </w:r>
      <w:r w:rsidR="007F2448">
        <w:rPr>
          <w:rFonts w:hint="cs"/>
          <w:rtl/>
        </w:rPr>
        <w:t>;</w:t>
      </w:r>
      <w:r w:rsidR="001D1AA5" w:rsidRPr="00ED75D3">
        <w:rPr>
          <w:rStyle w:val="ab"/>
          <w:rtl/>
        </w:rPr>
        <w:footnoteReference w:id="210"/>
      </w:r>
      <w:r w:rsidR="004B2418" w:rsidRPr="00BB6388">
        <w:rPr>
          <w:rFonts w:hint="cs"/>
          <w:rtl/>
        </w:rPr>
        <w:t xml:space="preserve"> </w:t>
      </w:r>
      <w:r w:rsidR="00164B34">
        <w:rPr>
          <w:rFonts w:hint="cs"/>
          <w:rtl/>
        </w:rPr>
        <w:t xml:space="preserve">במסגרת תיקים אלו </w:t>
      </w:r>
      <w:r w:rsidR="004B2418" w:rsidRPr="00BB6388">
        <w:rPr>
          <w:rFonts w:hint="cs"/>
          <w:rtl/>
        </w:rPr>
        <w:t xml:space="preserve">היו 30,883 חשודים בגירים (לא נמסרו נתונים בנוגע למספר חשודים קטינים); ונעצרו 5,764 בגירים ו- 245 קטינים. </w:t>
      </w:r>
      <w:r w:rsidR="00C435CF" w:rsidRPr="00C435CF">
        <w:rPr>
          <w:rFonts w:hint="cs"/>
          <w:rtl/>
        </w:rPr>
        <w:t>טבלה מס' 10 מציגה את הנתונים הללו בפילוח לפי סוגי העבירות השונות הנמנות על החוק.</w:t>
      </w:r>
    </w:p>
    <w:p w:rsidR="00C270DC" w:rsidRPr="00BB6388" w:rsidRDefault="00B6444B" w:rsidP="002F2EC7">
      <w:pPr>
        <w:pStyle w:val="af2"/>
        <w:jc w:val="center"/>
        <w:rPr>
          <w:rtl/>
        </w:rPr>
      </w:pPr>
      <w:bookmarkStart w:id="206" w:name="_Toc419963081"/>
      <w:r w:rsidRPr="00B6444B">
        <w:rPr>
          <w:sz w:val="24"/>
          <w:szCs w:val="24"/>
          <w:rtl/>
        </w:rPr>
        <w:t xml:space="preserve">טבלה </w:t>
      </w:r>
      <w:r w:rsidR="00F3448E" w:rsidRPr="00B6444B">
        <w:rPr>
          <w:sz w:val="24"/>
          <w:szCs w:val="24"/>
          <w:rtl/>
        </w:rPr>
        <w:fldChar w:fldCharType="begin"/>
      </w:r>
      <w:r w:rsidRPr="00B6444B">
        <w:rPr>
          <w:sz w:val="24"/>
          <w:szCs w:val="24"/>
          <w:rtl/>
        </w:rPr>
        <w:instrText xml:space="preserve"> </w:instrText>
      </w:r>
      <w:r w:rsidRPr="00B6444B">
        <w:rPr>
          <w:sz w:val="24"/>
          <w:szCs w:val="24"/>
        </w:rPr>
        <w:instrText>SEQ</w:instrText>
      </w:r>
      <w:r w:rsidRPr="00B6444B">
        <w:rPr>
          <w:sz w:val="24"/>
          <w:szCs w:val="24"/>
          <w:rtl/>
        </w:rPr>
        <w:instrText xml:space="preserve"> טבלה \* </w:instrText>
      </w:r>
      <w:r w:rsidRPr="00B6444B">
        <w:rPr>
          <w:sz w:val="24"/>
          <w:szCs w:val="24"/>
        </w:rPr>
        <w:instrText>ARABIC</w:instrText>
      </w:r>
      <w:r w:rsidRPr="00B6444B">
        <w:rPr>
          <w:sz w:val="24"/>
          <w:szCs w:val="24"/>
          <w:rtl/>
        </w:rPr>
        <w:instrText xml:space="preserve"> </w:instrText>
      </w:r>
      <w:r w:rsidR="00F3448E" w:rsidRPr="00B6444B">
        <w:rPr>
          <w:sz w:val="24"/>
          <w:szCs w:val="24"/>
          <w:rtl/>
        </w:rPr>
        <w:fldChar w:fldCharType="separate"/>
      </w:r>
      <w:r w:rsidR="007347AB">
        <w:rPr>
          <w:noProof/>
          <w:sz w:val="24"/>
          <w:szCs w:val="24"/>
          <w:rtl/>
        </w:rPr>
        <w:t>10</w:t>
      </w:r>
      <w:r w:rsidR="00F3448E" w:rsidRPr="00B6444B">
        <w:rPr>
          <w:sz w:val="24"/>
          <w:szCs w:val="24"/>
          <w:rtl/>
        </w:rPr>
        <w:fldChar w:fldCharType="end"/>
      </w:r>
      <w:r w:rsidR="00C270DC" w:rsidRPr="00B6444B">
        <w:rPr>
          <w:rFonts w:hint="cs"/>
          <w:sz w:val="24"/>
          <w:szCs w:val="24"/>
          <w:rtl/>
        </w:rPr>
        <w:t>: תיקים ומעצרים בגין עבירות סמים בשנת 2014</w:t>
      </w:r>
      <w:r w:rsidR="00C270DC" w:rsidRPr="00BB6388">
        <w:rPr>
          <w:rStyle w:val="ab"/>
          <w:rtl/>
        </w:rPr>
        <w:footnoteReference w:id="211"/>
      </w:r>
      <w:bookmarkEnd w:id="206"/>
    </w:p>
    <w:tbl>
      <w:tblPr>
        <w:tblStyle w:val="afff5"/>
        <w:bidiVisual/>
        <w:tblW w:w="4861" w:type="pct"/>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4146"/>
        <w:gridCol w:w="1044"/>
        <w:gridCol w:w="1255"/>
        <w:gridCol w:w="1068"/>
        <w:gridCol w:w="1407"/>
      </w:tblGrid>
      <w:tr w:rsidR="00160011" w:rsidRPr="0039539A" w:rsidTr="004D5740">
        <w:trPr>
          <w:tblCellSpacing w:w="20" w:type="dxa"/>
          <w:jc w:val="center"/>
        </w:trPr>
        <w:tc>
          <w:tcPr>
            <w:tcW w:w="2312" w:type="pct"/>
            <w:vMerge w:val="restart"/>
            <w:shd w:val="clear" w:color="auto" w:fill="auto"/>
          </w:tcPr>
          <w:p w:rsidR="00C270DC" w:rsidRPr="00160011" w:rsidRDefault="00C270DC" w:rsidP="0039539A">
            <w:pPr>
              <w:pStyle w:val="a2"/>
              <w:spacing w:before="60" w:after="0" w:line="240" w:lineRule="auto"/>
              <w:rPr>
                <w:b/>
                <w:bCs/>
                <w:sz w:val="22"/>
                <w:szCs w:val="22"/>
                <w:rtl/>
              </w:rPr>
            </w:pPr>
            <w:r w:rsidRPr="00160011">
              <w:rPr>
                <w:rFonts w:hint="cs"/>
                <w:b/>
                <w:bCs/>
                <w:sz w:val="22"/>
                <w:szCs w:val="22"/>
                <w:rtl/>
              </w:rPr>
              <w:t>סוג העבירה</w:t>
            </w:r>
          </w:p>
        </w:tc>
        <w:tc>
          <w:tcPr>
            <w:tcW w:w="1256" w:type="pct"/>
            <w:gridSpan w:val="2"/>
            <w:shd w:val="clear" w:color="auto" w:fill="auto"/>
          </w:tcPr>
          <w:p w:rsidR="00C270DC" w:rsidRPr="00160011" w:rsidRDefault="00C270DC" w:rsidP="00160011">
            <w:pPr>
              <w:pStyle w:val="a2"/>
              <w:spacing w:before="60" w:after="0" w:line="240" w:lineRule="auto"/>
              <w:jc w:val="center"/>
              <w:rPr>
                <w:b/>
                <w:bCs/>
                <w:sz w:val="22"/>
                <w:szCs w:val="22"/>
                <w:rtl/>
              </w:rPr>
            </w:pPr>
            <w:r w:rsidRPr="00160011">
              <w:rPr>
                <w:rFonts w:hint="cs"/>
                <w:b/>
                <w:bCs/>
                <w:sz w:val="22"/>
                <w:szCs w:val="22"/>
                <w:rtl/>
              </w:rPr>
              <w:t>בגירים</w:t>
            </w:r>
          </w:p>
        </w:tc>
        <w:tc>
          <w:tcPr>
            <w:tcW w:w="1344" w:type="pct"/>
            <w:gridSpan w:val="2"/>
            <w:shd w:val="clear" w:color="auto" w:fill="auto"/>
          </w:tcPr>
          <w:p w:rsidR="00C270DC" w:rsidRPr="00160011" w:rsidRDefault="00C270DC" w:rsidP="00164B34">
            <w:pPr>
              <w:pStyle w:val="a2"/>
              <w:spacing w:before="60" w:after="0" w:line="240" w:lineRule="auto"/>
              <w:jc w:val="center"/>
              <w:rPr>
                <w:b/>
                <w:bCs/>
                <w:sz w:val="22"/>
                <w:szCs w:val="22"/>
                <w:rtl/>
              </w:rPr>
            </w:pPr>
            <w:r w:rsidRPr="00160011">
              <w:rPr>
                <w:rFonts w:hint="cs"/>
                <w:b/>
                <w:bCs/>
                <w:sz w:val="22"/>
                <w:szCs w:val="22"/>
                <w:rtl/>
              </w:rPr>
              <w:t>קטינים</w:t>
            </w:r>
          </w:p>
        </w:tc>
      </w:tr>
      <w:tr w:rsidR="00160011" w:rsidRPr="0039539A" w:rsidTr="004D5740">
        <w:trPr>
          <w:tblCellSpacing w:w="20" w:type="dxa"/>
          <w:jc w:val="center"/>
        </w:trPr>
        <w:tc>
          <w:tcPr>
            <w:tcW w:w="2312" w:type="pct"/>
            <w:vMerge/>
            <w:shd w:val="clear" w:color="auto" w:fill="auto"/>
          </w:tcPr>
          <w:p w:rsidR="00160011" w:rsidRPr="00160011" w:rsidRDefault="00160011" w:rsidP="0039539A">
            <w:pPr>
              <w:pStyle w:val="a2"/>
              <w:spacing w:before="60" w:after="0" w:line="240" w:lineRule="auto"/>
              <w:rPr>
                <w:b/>
                <w:bCs/>
                <w:sz w:val="22"/>
                <w:szCs w:val="22"/>
                <w:rtl/>
              </w:rPr>
            </w:pPr>
          </w:p>
        </w:tc>
        <w:tc>
          <w:tcPr>
            <w:tcW w:w="568" w:type="pct"/>
            <w:shd w:val="clear" w:color="auto" w:fill="auto"/>
          </w:tcPr>
          <w:p w:rsidR="00160011" w:rsidRPr="00160011" w:rsidRDefault="00160011" w:rsidP="00160011">
            <w:pPr>
              <w:pStyle w:val="a2"/>
              <w:spacing w:before="60" w:after="0" w:line="240" w:lineRule="auto"/>
              <w:jc w:val="center"/>
              <w:rPr>
                <w:b/>
                <w:bCs/>
                <w:sz w:val="22"/>
                <w:szCs w:val="22"/>
                <w:rtl/>
              </w:rPr>
            </w:pPr>
            <w:r w:rsidRPr="00160011">
              <w:rPr>
                <w:rFonts w:hint="cs"/>
                <w:b/>
                <w:bCs/>
                <w:sz w:val="22"/>
                <w:szCs w:val="22"/>
                <w:rtl/>
              </w:rPr>
              <w:t>מספר תיקים</w:t>
            </w:r>
          </w:p>
        </w:tc>
        <w:tc>
          <w:tcPr>
            <w:tcW w:w="666" w:type="pct"/>
            <w:shd w:val="clear" w:color="auto" w:fill="auto"/>
          </w:tcPr>
          <w:p w:rsidR="00160011" w:rsidRPr="00160011" w:rsidRDefault="00160011" w:rsidP="00160011">
            <w:pPr>
              <w:pStyle w:val="a2"/>
              <w:spacing w:before="60" w:after="0" w:line="240" w:lineRule="auto"/>
              <w:jc w:val="center"/>
              <w:rPr>
                <w:b/>
                <w:bCs/>
                <w:sz w:val="22"/>
                <w:szCs w:val="22"/>
                <w:rtl/>
              </w:rPr>
            </w:pPr>
            <w:r w:rsidRPr="00160011">
              <w:rPr>
                <w:rFonts w:hint="cs"/>
                <w:b/>
                <w:bCs/>
                <w:sz w:val="22"/>
                <w:szCs w:val="22"/>
                <w:rtl/>
              </w:rPr>
              <w:t>מספר מעצרים</w:t>
            </w:r>
          </w:p>
        </w:tc>
        <w:tc>
          <w:tcPr>
            <w:tcW w:w="582" w:type="pct"/>
            <w:shd w:val="clear" w:color="auto" w:fill="auto"/>
          </w:tcPr>
          <w:p w:rsidR="00160011" w:rsidRPr="00160011" w:rsidRDefault="00160011" w:rsidP="00160011">
            <w:pPr>
              <w:pStyle w:val="a2"/>
              <w:spacing w:before="60" w:after="0" w:line="240" w:lineRule="auto"/>
              <w:jc w:val="center"/>
              <w:rPr>
                <w:b/>
                <w:bCs/>
                <w:sz w:val="22"/>
                <w:szCs w:val="22"/>
                <w:rtl/>
              </w:rPr>
            </w:pPr>
            <w:r w:rsidRPr="00160011">
              <w:rPr>
                <w:rFonts w:hint="cs"/>
                <w:b/>
                <w:bCs/>
                <w:sz w:val="22"/>
                <w:szCs w:val="22"/>
                <w:rtl/>
              </w:rPr>
              <w:t>מספר תיקים</w:t>
            </w:r>
          </w:p>
        </w:tc>
        <w:tc>
          <w:tcPr>
            <w:tcW w:w="740" w:type="pct"/>
            <w:shd w:val="clear" w:color="auto" w:fill="auto"/>
          </w:tcPr>
          <w:p w:rsidR="00160011" w:rsidRPr="00160011" w:rsidRDefault="00160011" w:rsidP="00160011">
            <w:pPr>
              <w:pStyle w:val="a2"/>
              <w:spacing w:before="60" w:after="0" w:line="240" w:lineRule="auto"/>
              <w:jc w:val="center"/>
              <w:rPr>
                <w:b/>
                <w:bCs/>
                <w:sz w:val="22"/>
                <w:szCs w:val="22"/>
                <w:rtl/>
              </w:rPr>
            </w:pPr>
            <w:r w:rsidRPr="00160011">
              <w:rPr>
                <w:rFonts w:hint="cs"/>
                <w:b/>
                <w:bCs/>
                <w:sz w:val="22"/>
                <w:szCs w:val="22"/>
                <w:rtl/>
              </w:rPr>
              <w:t>מספר מעצרים</w:t>
            </w:r>
          </w:p>
        </w:tc>
      </w:tr>
      <w:tr w:rsidR="00160011" w:rsidRPr="0039539A" w:rsidTr="004D5740">
        <w:trPr>
          <w:tblCellSpacing w:w="20" w:type="dxa"/>
          <w:jc w:val="center"/>
        </w:trPr>
        <w:tc>
          <w:tcPr>
            <w:tcW w:w="2312" w:type="pct"/>
            <w:shd w:val="clear" w:color="auto" w:fill="auto"/>
          </w:tcPr>
          <w:p w:rsidR="00160011" w:rsidRPr="0039539A" w:rsidRDefault="00160011" w:rsidP="0039539A">
            <w:pPr>
              <w:pStyle w:val="a2"/>
              <w:spacing w:before="60" w:after="0" w:line="240" w:lineRule="auto"/>
              <w:rPr>
                <w:sz w:val="22"/>
                <w:szCs w:val="22"/>
                <w:rtl/>
              </w:rPr>
            </w:pPr>
            <w:r w:rsidRPr="0039539A">
              <w:rPr>
                <w:rFonts w:hint="cs"/>
                <w:sz w:val="22"/>
                <w:szCs w:val="22"/>
                <w:rtl/>
              </w:rPr>
              <w:t>סחר, ייבוא ויצוא סמים</w:t>
            </w:r>
          </w:p>
        </w:tc>
        <w:tc>
          <w:tcPr>
            <w:tcW w:w="568" w:type="pct"/>
            <w:shd w:val="clear" w:color="auto" w:fill="auto"/>
          </w:tcPr>
          <w:p w:rsidR="00160011" w:rsidRPr="0039539A" w:rsidRDefault="00160011" w:rsidP="00160011">
            <w:pPr>
              <w:pStyle w:val="a2"/>
              <w:spacing w:before="60" w:after="0" w:line="240" w:lineRule="auto"/>
              <w:jc w:val="center"/>
              <w:rPr>
                <w:sz w:val="22"/>
                <w:szCs w:val="22"/>
                <w:rtl/>
              </w:rPr>
            </w:pPr>
            <w:r w:rsidRPr="0039539A">
              <w:rPr>
                <w:rFonts w:hint="cs"/>
                <w:sz w:val="22"/>
                <w:szCs w:val="22"/>
                <w:rtl/>
              </w:rPr>
              <w:t>5,832</w:t>
            </w:r>
          </w:p>
        </w:tc>
        <w:tc>
          <w:tcPr>
            <w:tcW w:w="666" w:type="pct"/>
            <w:shd w:val="clear" w:color="auto" w:fill="auto"/>
          </w:tcPr>
          <w:p w:rsidR="00160011" w:rsidRPr="0039539A" w:rsidRDefault="00160011" w:rsidP="00160011">
            <w:pPr>
              <w:pStyle w:val="a2"/>
              <w:spacing w:before="60" w:after="0" w:line="240" w:lineRule="auto"/>
              <w:jc w:val="center"/>
              <w:rPr>
                <w:sz w:val="22"/>
                <w:szCs w:val="22"/>
                <w:rtl/>
              </w:rPr>
            </w:pPr>
            <w:r w:rsidRPr="0039539A">
              <w:rPr>
                <w:rFonts w:hint="cs"/>
                <w:sz w:val="22"/>
                <w:szCs w:val="22"/>
                <w:rtl/>
              </w:rPr>
              <w:t>2,677</w:t>
            </w:r>
          </w:p>
        </w:tc>
        <w:tc>
          <w:tcPr>
            <w:tcW w:w="582" w:type="pct"/>
            <w:shd w:val="clear" w:color="auto" w:fill="auto"/>
          </w:tcPr>
          <w:p w:rsidR="00160011" w:rsidRPr="0039539A" w:rsidRDefault="00B618DB" w:rsidP="00160011">
            <w:pPr>
              <w:pStyle w:val="a2"/>
              <w:spacing w:before="60" w:after="0" w:line="240" w:lineRule="auto"/>
              <w:jc w:val="center"/>
              <w:rPr>
                <w:sz w:val="22"/>
                <w:szCs w:val="22"/>
                <w:rtl/>
              </w:rPr>
            </w:pPr>
            <w:r>
              <w:rPr>
                <w:rFonts w:hint="cs"/>
                <w:sz w:val="22"/>
                <w:szCs w:val="22"/>
                <w:rtl/>
              </w:rPr>
              <w:t>735</w:t>
            </w:r>
          </w:p>
        </w:tc>
        <w:tc>
          <w:tcPr>
            <w:tcW w:w="740" w:type="pct"/>
            <w:shd w:val="clear" w:color="auto" w:fill="auto"/>
          </w:tcPr>
          <w:p w:rsidR="00160011" w:rsidRPr="0039539A" w:rsidRDefault="00160011" w:rsidP="00160011">
            <w:pPr>
              <w:pStyle w:val="a2"/>
              <w:spacing w:before="60" w:after="0" w:line="240" w:lineRule="auto"/>
              <w:jc w:val="center"/>
              <w:rPr>
                <w:sz w:val="22"/>
                <w:szCs w:val="22"/>
                <w:rtl/>
              </w:rPr>
            </w:pPr>
            <w:r w:rsidRPr="0039539A">
              <w:rPr>
                <w:rFonts w:hint="cs"/>
                <w:sz w:val="22"/>
                <w:szCs w:val="22"/>
                <w:rtl/>
              </w:rPr>
              <w:t>117</w:t>
            </w:r>
          </w:p>
        </w:tc>
      </w:tr>
      <w:tr w:rsidR="00160011" w:rsidRPr="0039539A" w:rsidTr="004D5740">
        <w:trPr>
          <w:tblCellSpacing w:w="20" w:type="dxa"/>
          <w:jc w:val="center"/>
        </w:trPr>
        <w:tc>
          <w:tcPr>
            <w:tcW w:w="2312" w:type="pct"/>
            <w:shd w:val="clear" w:color="auto" w:fill="auto"/>
          </w:tcPr>
          <w:p w:rsidR="00160011" w:rsidRPr="0039539A" w:rsidRDefault="00160011" w:rsidP="0039539A">
            <w:pPr>
              <w:pStyle w:val="a2"/>
              <w:spacing w:before="60" w:after="0" w:line="240" w:lineRule="auto"/>
              <w:rPr>
                <w:sz w:val="22"/>
                <w:szCs w:val="22"/>
                <w:rtl/>
              </w:rPr>
            </w:pPr>
            <w:r w:rsidRPr="0039539A">
              <w:rPr>
                <w:rFonts w:hint="cs"/>
                <w:sz w:val="22"/>
                <w:szCs w:val="22"/>
                <w:rtl/>
              </w:rPr>
              <w:t>גידול, ייצור והפקת סמים</w:t>
            </w:r>
          </w:p>
        </w:tc>
        <w:tc>
          <w:tcPr>
            <w:tcW w:w="568" w:type="pct"/>
            <w:shd w:val="clear" w:color="auto" w:fill="auto"/>
          </w:tcPr>
          <w:p w:rsidR="00160011" w:rsidRPr="0039539A" w:rsidRDefault="00160011" w:rsidP="00160011">
            <w:pPr>
              <w:pStyle w:val="a2"/>
              <w:spacing w:before="60" w:after="0" w:line="240" w:lineRule="auto"/>
              <w:jc w:val="center"/>
              <w:rPr>
                <w:sz w:val="22"/>
                <w:szCs w:val="22"/>
                <w:rtl/>
              </w:rPr>
            </w:pPr>
            <w:r w:rsidRPr="0039539A">
              <w:rPr>
                <w:rFonts w:hint="cs"/>
                <w:sz w:val="22"/>
                <w:szCs w:val="22"/>
                <w:rtl/>
              </w:rPr>
              <w:t>1,348</w:t>
            </w:r>
          </w:p>
        </w:tc>
        <w:tc>
          <w:tcPr>
            <w:tcW w:w="666" w:type="pct"/>
            <w:shd w:val="clear" w:color="auto" w:fill="auto"/>
          </w:tcPr>
          <w:p w:rsidR="00160011" w:rsidRPr="0039539A" w:rsidRDefault="00160011" w:rsidP="00160011">
            <w:pPr>
              <w:pStyle w:val="a2"/>
              <w:spacing w:before="60" w:after="0" w:line="240" w:lineRule="auto"/>
              <w:jc w:val="center"/>
              <w:rPr>
                <w:sz w:val="22"/>
                <w:szCs w:val="22"/>
                <w:rtl/>
              </w:rPr>
            </w:pPr>
            <w:r w:rsidRPr="0039539A">
              <w:rPr>
                <w:rFonts w:hint="cs"/>
                <w:sz w:val="22"/>
                <w:szCs w:val="22"/>
                <w:rtl/>
              </w:rPr>
              <w:t>737</w:t>
            </w:r>
          </w:p>
        </w:tc>
        <w:tc>
          <w:tcPr>
            <w:tcW w:w="582" w:type="pct"/>
            <w:shd w:val="clear" w:color="auto" w:fill="auto"/>
          </w:tcPr>
          <w:p w:rsidR="00160011" w:rsidRPr="0039539A" w:rsidRDefault="00B618DB" w:rsidP="00160011">
            <w:pPr>
              <w:pStyle w:val="a2"/>
              <w:spacing w:before="60" w:after="0" w:line="240" w:lineRule="auto"/>
              <w:jc w:val="center"/>
              <w:rPr>
                <w:sz w:val="22"/>
                <w:szCs w:val="22"/>
                <w:rtl/>
              </w:rPr>
            </w:pPr>
            <w:r>
              <w:rPr>
                <w:rFonts w:hint="cs"/>
                <w:sz w:val="22"/>
                <w:szCs w:val="22"/>
                <w:rtl/>
              </w:rPr>
              <w:t>131</w:t>
            </w:r>
          </w:p>
        </w:tc>
        <w:tc>
          <w:tcPr>
            <w:tcW w:w="740" w:type="pct"/>
            <w:shd w:val="clear" w:color="auto" w:fill="auto"/>
          </w:tcPr>
          <w:p w:rsidR="00160011" w:rsidRPr="0039539A" w:rsidRDefault="00160011" w:rsidP="00160011">
            <w:pPr>
              <w:pStyle w:val="a2"/>
              <w:spacing w:before="60" w:after="0" w:line="240" w:lineRule="auto"/>
              <w:jc w:val="center"/>
              <w:rPr>
                <w:sz w:val="22"/>
                <w:szCs w:val="22"/>
                <w:rtl/>
              </w:rPr>
            </w:pPr>
            <w:r w:rsidRPr="0039539A">
              <w:rPr>
                <w:rFonts w:hint="cs"/>
                <w:sz w:val="22"/>
                <w:szCs w:val="22"/>
                <w:rtl/>
              </w:rPr>
              <w:t>21</w:t>
            </w:r>
          </w:p>
        </w:tc>
      </w:tr>
      <w:tr w:rsidR="00160011" w:rsidRPr="0039539A" w:rsidTr="004D5740">
        <w:trPr>
          <w:tblCellSpacing w:w="20" w:type="dxa"/>
          <w:jc w:val="center"/>
        </w:trPr>
        <w:tc>
          <w:tcPr>
            <w:tcW w:w="2312" w:type="pct"/>
            <w:shd w:val="clear" w:color="auto" w:fill="auto"/>
          </w:tcPr>
          <w:p w:rsidR="00160011" w:rsidRPr="0039539A" w:rsidRDefault="00160011" w:rsidP="0039539A">
            <w:pPr>
              <w:pStyle w:val="a2"/>
              <w:spacing w:before="60" w:after="0" w:line="240" w:lineRule="auto"/>
              <w:rPr>
                <w:sz w:val="22"/>
                <w:szCs w:val="22"/>
                <w:rtl/>
              </w:rPr>
            </w:pPr>
            <w:r w:rsidRPr="0039539A">
              <w:rPr>
                <w:rFonts w:hint="cs"/>
                <w:sz w:val="22"/>
                <w:szCs w:val="22"/>
                <w:rtl/>
              </w:rPr>
              <w:t>החזקת סמים שלא לשימוש עצמי</w:t>
            </w:r>
          </w:p>
        </w:tc>
        <w:tc>
          <w:tcPr>
            <w:tcW w:w="568" w:type="pct"/>
            <w:shd w:val="clear" w:color="auto" w:fill="auto"/>
          </w:tcPr>
          <w:p w:rsidR="00160011" w:rsidRPr="0039539A" w:rsidRDefault="00160011" w:rsidP="00160011">
            <w:pPr>
              <w:pStyle w:val="a2"/>
              <w:spacing w:before="60" w:after="0" w:line="240" w:lineRule="auto"/>
              <w:jc w:val="center"/>
              <w:rPr>
                <w:sz w:val="22"/>
                <w:szCs w:val="22"/>
                <w:rtl/>
              </w:rPr>
            </w:pPr>
            <w:r w:rsidRPr="0039539A">
              <w:rPr>
                <w:rFonts w:hint="cs"/>
                <w:sz w:val="22"/>
                <w:szCs w:val="22"/>
                <w:rtl/>
              </w:rPr>
              <w:t>4,295</w:t>
            </w:r>
          </w:p>
        </w:tc>
        <w:tc>
          <w:tcPr>
            <w:tcW w:w="666" w:type="pct"/>
            <w:shd w:val="clear" w:color="auto" w:fill="auto"/>
          </w:tcPr>
          <w:p w:rsidR="00160011" w:rsidRPr="0039539A" w:rsidRDefault="00160011" w:rsidP="00160011">
            <w:pPr>
              <w:pStyle w:val="a2"/>
              <w:spacing w:before="60" w:after="0" w:line="240" w:lineRule="auto"/>
              <w:jc w:val="center"/>
              <w:rPr>
                <w:sz w:val="22"/>
                <w:szCs w:val="22"/>
                <w:rtl/>
              </w:rPr>
            </w:pPr>
            <w:r w:rsidRPr="0039539A">
              <w:rPr>
                <w:rFonts w:hint="cs"/>
                <w:sz w:val="22"/>
                <w:szCs w:val="22"/>
                <w:rtl/>
              </w:rPr>
              <w:t>2,731</w:t>
            </w:r>
          </w:p>
        </w:tc>
        <w:tc>
          <w:tcPr>
            <w:tcW w:w="582" w:type="pct"/>
            <w:shd w:val="clear" w:color="auto" w:fill="auto"/>
          </w:tcPr>
          <w:p w:rsidR="00160011" w:rsidRPr="0039539A" w:rsidRDefault="00B618DB" w:rsidP="00160011">
            <w:pPr>
              <w:pStyle w:val="a2"/>
              <w:spacing w:before="60" w:after="0" w:line="240" w:lineRule="auto"/>
              <w:jc w:val="center"/>
              <w:rPr>
                <w:sz w:val="22"/>
                <w:szCs w:val="22"/>
                <w:rtl/>
              </w:rPr>
            </w:pPr>
            <w:r>
              <w:rPr>
                <w:rFonts w:hint="cs"/>
                <w:sz w:val="22"/>
                <w:szCs w:val="22"/>
                <w:rtl/>
              </w:rPr>
              <w:t>158</w:t>
            </w:r>
          </w:p>
        </w:tc>
        <w:tc>
          <w:tcPr>
            <w:tcW w:w="740" w:type="pct"/>
            <w:shd w:val="clear" w:color="auto" w:fill="auto"/>
          </w:tcPr>
          <w:p w:rsidR="00160011" w:rsidRPr="0039539A" w:rsidRDefault="00160011" w:rsidP="00160011">
            <w:pPr>
              <w:pStyle w:val="a2"/>
              <w:spacing w:before="60" w:after="0" w:line="240" w:lineRule="auto"/>
              <w:jc w:val="center"/>
              <w:rPr>
                <w:sz w:val="22"/>
                <w:szCs w:val="22"/>
                <w:rtl/>
              </w:rPr>
            </w:pPr>
            <w:r w:rsidRPr="0039539A">
              <w:rPr>
                <w:rFonts w:hint="cs"/>
                <w:sz w:val="22"/>
                <w:szCs w:val="22"/>
                <w:rtl/>
              </w:rPr>
              <w:t>58</w:t>
            </w:r>
          </w:p>
        </w:tc>
      </w:tr>
      <w:tr w:rsidR="00160011" w:rsidRPr="0039539A" w:rsidTr="004D5740">
        <w:trPr>
          <w:tblCellSpacing w:w="20" w:type="dxa"/>
          <w:jc w:val="center"/>
        </w:trPr>
        <w:tc>
          <w:tcPr>
            <w:tcW w:w="2312" w:type="pct"/>
            <w:shd w:val="clear" w:color="auto" w:fill="auto"/>
          </w:tcPr>
          <w:p w:rsidR="00160011" w:rsidRPr="0039539A" w:rsidRDefault="00160011" w:rsidP="0039539A">
            <w:pPr>
              <w:pStyle w:val="a2"/>
              <w:spacing w:before="60" w:after="0" w:line="240" w:lineRule="auto"/>
              <w:rPr>
                <w:sz w:val="22"/>
                <w:szCs w:val="22"/>
                <w:rtl/>
              </w:rPr>
            </w:pPr>
            <w:r w:rsidRPr="0039539A">
              <w:rPr>
                <w:rFonts w:hint="cs"/>
                <w:sz w:val="22"/>
                <w:szCs w:val="22"/>
                <w:rtl/>
              </w:rPr>
              <w:t>שימוש אישי בסמים מסוכנים</w:t>
            </w:r>
          </w:p>
        </w:tc>
        <w:tc>
          <w:tcPr>
            <w:tcW w:w="568" w:type="pct"/>
            <w:shd w:val="clear" w:color="auto" w:fill="auto"/>
          </w:tcPr>
          <w:p w:rsidR="00160011" w:rsidRPr="0039539A" w:rsidRDefault="00160011" w:rsidP="00160011">
            <w:pPr>
              <w:pStyle w:val="a2"/>
              <w:spacing w:before="60" w:after="0" w:line="240" w:lineRule="auto"/>
              <w:jc w:val="center"/>
              <w:rPr>
                <w:sz w:val="22"/>
                <w:szCs w:val="22"/>
                <w:rtl/>
              </w:rPr>
            </w:pPr>
            <w:r w:rsidRPr="0039539A">
              <w:rPr>
                <w:rFonts w:hint="cs"/>
                <w:sz w:val="22"/>
                <w:szCs w:val="22"/>
                <w:rtl/>
              </w:rPr>
              <w:t>20,583</w:t>
            </w:r>
          </w:p>
        </w:tc>
        <w:tc>
          <w:tcPr>
            <w:tcW w:w="666" w:type="pct"/>
            <w:shd w:val="clear" w:color="auto" w:fill="auto"/>
          </w:tcPr>
          <w:p w:rsidR="00160011" w:rsidRPr="0039539A" w:rsidRDefault="00160011" w:rsidP="00160011">
            <w:pPr>
              <w:pStyle w:val="a2"/>
              <w:spacing w:before="60" w:after="0" w:line="240" w:lineRule="auto"/>
              <w:jc w:val="center"/>
              <w:rPr>
                <w:sz w:val="22"/>
                <w:szCs w:val="22"/>
                <w:rtl/>
              </w:rPr>
            </w:pPr>
            <w:r w:rsidRPr="0039539A">
              <w:rPr>
                <w:rFonts w:hint="cs"/>
                <w:sz w:val="22"/>
                <w:szCs w:val="22"/>
                <w:rtl/>
              </w:rPr>
              <w:t>1,909</w:t>
            </w:r>
          </w:p>
        </w:tc>
        <w:tc>
          <w:tcPr>
            <w:tcW w:w="582" w:type="pct"/>
            <w:shd w:val="clear" w:color="auto" w:fill="auto"/>
          </w:tcPr>
          <w:p w:rsidR="00160011" w:rsidRPr="0039539A" w:rsidRDefault="00160011" w:rsidP="00160011">
            <w:pPr>
              <w:pStyle w:val="a2"/>
              <w:spacing w:before="60" w:after="0" w:line="240" w:lineRule="auto"/>
              <w:jc w:val="center"/>
              <w:rPr>
                <w:sz w:val="22"/>
                <w:szCs w:val="22"/>
                <w:rtl/>
              </w:rPr>
            </w:pPr>
            <w:r w:rsidRPr="0039539A">
              <w:rPr>
                <w:rFonts w:hint="cs"/>
                <w:sz w:val="22"/>
                <w:szCs w:val="22"/>
                <w:rtl/>
              </w:rPr>
              <w:t>2,713</w:t>
            </w:r>
          </w:p>
        </w:tc>
        <w:tc>
          <w:tcPr>
            <w:tcW w:w="740" w:type="pct"/>
            <w:shd w:val="clear" w:color="auto" w:fill="auto"/>
          </w:tcPr>
          <w:p w:rsidR="00160011" w:rsidRPr="0039539A" w:rsidRDefault="00160011" w:rsidP="00160011">
            <w:pPr>
              <w:pStyle w:val="a2"/>
              <w:spacing w:before="60" w:after="0" w:line="240" w:lineRule="auto"/>
              <w:jc w:val="center"/>
              <w:rPr>
                <w:sz w:val="22"/>
                <w:szCs w:val="22"/>
                <w:rtl/>
              </w:rPr>
            </w:pPr>
            <w:r w:rsidRPr="0039539A">
              <w:rPr>
                <w:rFonts w:hint="cs"/>
                <w:sz w:val="22"/>
                <w:szCs w:val="22"/>
                <w:rtl/>
              </w:rPr>
              <w:t>134</w:t>
            </w:r>
          </w:p>
        </w:tc>
      </w:tr>
    </w:tbl>
    <w:p w:rsidR="009F62C8" w:rsidRPr="004D5740" w:rsidRDefault="004D5740" w:rsidP="00BB6388">
      <w:pPr>
        <w:pStyle w:val="4"/>
        <w:rPr>
          <w:sz w:val="24"/>
          <w:szCs w:val="24"/>
          <w:rtl/>
        </w:rPr>
      </w:pPr>
      <w:bookmarkStart w:id="207" w:name="_Toc418585140"/>
      <w:bookmarkStart w:id="208" w:name="_Toc419963082"/>
      <w:r w:rsidRPr="002B1DF5">
        <w:rPr>
          <w:rFonts w:hint="cs"/>
          <w:b w:val="0"/>
          <w:bCs w:val="0"/>
          <w:sz w:val="24"/>
          <w:szCs w:val="24"/>
          <w:rtl/>
        </w:rPr>
        <w:t>מאחר ויתכנו מספר עבירות, חשודים ומעצרים בתיק אחד, סכימת המספרים המוצגים בטבלה אינה זהה למספרים שהוצגו מוקדם יותר בפסקה זו. בנוסף,</w:t>
      </w:r>
      <w:r w:rsidRPr="004D5740">
        <w:rPr>
          <w:rFonts w:hint="cs"/>
          <w:sz w:val="24"/>
          <w:szCs w:val="24"/>
          <w:rtl/>
        </w:rPr>
        <w:t xml:space="preserve"> </w:t>
      </w:r>
      <w:r w:rsidRPr="004D5740">
        <w:rPr>
          <w:rFonts w:hint="cs"/>
          <w:b w:val="0"/>
          <w:bCs w:val="0"/>
          <w:sz w:val="24"/>
          <w:szCs w:val="24"/>
          <w:rtl/>
        </w:rPr>
        <w:t>י</w:t>
      </w:r>
      <w:r w:rsidRPr="002B1DF5">
        <w:rPr>
          <w:rFonts w:hint="cs"/>
          <w:sz w:val="24"/>
          <w:szCs w:val="24"/>
          <w:rtl/>
        </w:rPr>
        <w:t>ש לזכור כי מספר תיקי החקירה, מספר החשודים ומספר המעצרים אינם קשורים זה בזה</w:t>
      </w:r>
      <w:r w:rsidRPr="004D5740">
        <w:rPr>
          <w:rFonts w:hint="cs"/>
          <w:sz w:val="24"/>
          <w:szCs w:val="24"/>
          <w:rtl/>
        </w:rPr>
        <w:t xml:space="preserve"> </w:t>
      </w:r>
      <w:r w:rsidRPr="004D5740">
        <w:rPr>
          <w:sz w:val="24"/>
          <w:szCs w:val="24"/>
          <w:rtl/>
        </w:rPr>
        <w:t>–</w:t>
      </w:r>
      <w:r w:rsidRPr="004D5740">
        <w:rPr>
          <w:rFonts w:hint="cs"/>
          <w:sz w:val="24"/>
          <w:szCs w:val="24"/>
          <w:rtl/>
        </w:rPr>
        <w:t xml:space="preserve"> </w:t>
      </w:r>
      <w:r w:rsidRPr="002B1DF5">
        <w:rPr>
          <w:rFonts w:hint="cs"/>
          <w:b w:val="0"/>
          <w:bCs w:val="0"/>
          <w:sz w:val="24"/>
          <w:szCs w:val="24"/>
          <w:rtl/>
        </w:rPr>
        <w:t>תיק חקירה יכול לכלול מספר חשודים, וחשוד יכול להיות מעורב במספר תיקים שונים, והיותו של אדם חשוד אינה בהכרח מובילה למעצרו, כמו-גם שמעצר יכול לנבוע מתיק חקירה שנפתח בשנה קודמת, וכן הלאה. לאור זאת</w:t>
      </w:r>
      <w:r w:rsidRPr="004D5740">
        <w:rPr>
          <w:rFonts w:hint="cs"/>
          <w:sz w:val="24"/>
          <w:szCs w:val="24"/>
          <w:rtl/>
        </w:rPr>
        <w:t xml:space="preserve"> </w:t>
      </w:r>
      <w:r w:rsidRPr="004D5740">
        <w:rPr>
          <w:rFonts w:hint="cs"/>
          <w:b w:val="0"/>
          <w:bCs w:val="0"/>
          <w:sz w:val="24"/>
          <w:szCs w:val="24"/>
          <w:rtl/>
        </w:rPr>
        <w:t>יש לראות בטבלה נתונים המשקפים את היקף פעילותה של המשטרה בתחום בשנת 2014, ואין לגזור מהם מסקנות לגבי היקף האכיפה ביחס לעבירה זו או אחרת</w:t>
      </w:r>
      <w:r w:rsidRPr="004D5740">
        <w:rPr>
          <w:rFonts w:hint="cs"/>
          <w:sz w:val="24"/>
          <w:szCs w:val="24"/>
          <w:rtl/>
        </w:rPr>
        <w:t>.</w:t>
      </w:r>
    </w:p>
    <w:p w:rsidR="00C270DC" w:rsidRPr="00BB6388" w:rsidRDefault="00C270DC" w:rsidP="00BB6388">
      <w:pPr>
        <w:pStyle w:val="4"/>
        <w:rPr>
          <w:rtl/>
        </w:rPr>
      </w:pPr>
      <w:r w:rsidRPr="00BB6388">
        <w:rPr>
          <w:rFonts w:hint="cs"/>
          <w:rtl/>
        </w:rPr>
        <w:t xml:space="preserve">פעילות המשטרה </w:t>
      </w:r>
      <w:r w:rsidR="00BB3A0C" w:rsidRPr="00BB6388">
        <w:rPr>
          <w:rFonts w:hint="cs"/>
          <w:rtl/>
        </w:rPr>
        <w:t xml:space="preserve">במסגרת </w:t>
      </w:r>
      <w:r w:rsidRPr="00BB6388">
        <w:rPr>
          <w:rFonts w:hint="cs"/>
          <w:rtl/>
        </w:rPr>
        <w:t>חוק המאבק בתופעת השימוש בחומרים מסכנים, התשע"ג-2013</w:t>
      </w:r>
      <w:bookmarkEnd w:id="207"/>
      <w:bookmarkEnd w:id="208"/>
    </w:p>
    <w:p w:rsidR="00A808E5" w:rsidRDefault="00585439" w:rsidP="004F5307">
      <w:pPr>
        <w:pStyle w:val="a2"/>
        <w:spacing w:line="360" w:lineRule="auto"/>
        <w:rPr>
          <w:rtl/>
        </w:rPr>
      </w:pPr>
      <w:r>
        <w:rPr>
          <w:rFonts w:hint="cs"/>
          <w:rtl/>
        </w:rPr>
        <w:t xml:space="preserve">כאמור בחלק 3.2.2 במסמך זה, ב- 13 באוגוסט 2013 נכנס לתוקפו </w:t>
      </w:r>
      <w:r w:rsidR="004F5307" w:rsidRPr="006C70A9">
        <w:rPr>
          <w:rFonts w:hint="cs"/>
          <w:b/>
          <w:bCs/>
          <w:rtl/>
        </w:rPr>
        <w:t xml:space="preserve">חוק המאבק </w:t>
      </w:r>
      <w:r w:rsidR="004D048B">
        <w:rPr>
          <w:rFonts w:hint="cs"/>
          <w:b/>
          <w:bCs/>
          <w:rtl/>
        </w:rPr>
        <w:t>בתופעת השימוש בחומרים מְסַכְּנִי</w:t>
      </w:r>
      <w:r w:rsidR="004F5307" w:rsidRPr="006C70A9">
        <w:rPr>
          <w:rFonts w:hint="cs"/>
          <w:b/>
          <w:bCs/>
          <w:rtl/>
        </w:rPr>
        <w:t>ם, התשע"ג-2013</w:t>
      </w:r>
      <w:r w:rsidR="004F5307">
        <w:rPr>
          <w:rFonts w:hint="cs"/>
          <w:rtl/>
        </w:rPr>
        <w:t>,</w:t>
      </w:r>
      <w:r w:rsidR="004F5307" w:rsidRPr="00BB6388">
        <w:rPr>
          <w:rStyle w:val="ab"/>
          <w:rtl/>
        </w:rPr>
        <w:footnoteReference w:id="212"/>
      </w:r>
      <w:r w:rsidR="004F5307">
        <w:rPr>
          <w:rFonts w:hint="cs"/>
          <w:rtl/>
        </w:rPr>
        <w:t xml:space="preserve"> </w:t>
      </w:r>
      <w:r w:rsidR="004F5307" w:rsidRPr="00B97C6D">
        <w:rPr>
          <w:rFonts w:hint="cs"/>
          <w:rtl/>
        </w:rPr>
        <w:t>שמטרתו היא מתן מענה לתופעת השיווק והשימוש בחומרים בעלי השפעות מזיקות, כדוגמת 'סמי הפיצוציות',</w:t>
      </w:r>
      <w:r w:rsidR="004F5307">
        <w:rPr>
          <w:rStyle w:val="ab"/>
          <w:rtl/>
        </w:rPr>
        <w:footnoteReference w:id="213"/>
      </w:r>
      <w:r w:rsidR="004F5307">
        <w:rPr>
          <w:rFonts w:hint="cs"/>
          <w:rtl/>
        </w:rPr>
        <w:t xml:space="preserve"> </w:t>
      </w:r>
      <w:r w:rsidR="004F5307" w:rsidRPr="00B97C6D">
        <w:rPr>
          <w:rFonts w:hint="cs"/>
          <w:rtl/>
        </w:rPr>
        <w:t>המיוצרים ומופצים באופן גלוי מאחר והם אינם כלולים בפקודת הסמים המסוכנים [נוסח חדש], התשל</w:t>
      </w:r>
      <w:r w:rsidR="004F5307">
        <w:rPr>
          <w:rFonts w:hint="cs"/>
          <w:rtl/>
        </w:rPr>
        <w:t>"ג-1973.</w:t>
      </w:r>
      <w:r w:rsidR="004F5307" w:rsidRPr="00BB6388">
        <w:rPr>
          <w:rStyle w:val="ab"/>
          <w:rtl/>
        </w:rPr>
        <w:footnoteReference w:id="214"/>
      </w:r>
      <w:r w:rsidR="004F5307">
        <w:rPr>
          <w:rFonts w:hint="cs"/>
          <w:rtl/>
        </w:rPr>
        <w:t xml:space="preserve"> </w:t>
      </w:r>
    </w:p>
    <w:p w:rsidR="00C270DC" w:rsidRPr="00BB6388" w:rsidRDefault="004F5307" w:rsidP="003D723E">
      <w:pPr>
        <w:pStyle w:val="a2"/>
        <w:spacing w:line="360" w:lineRule="auto"/>
        <w:rPr>
          <w:rtl/>
        </w:rPr>
      </w:pPr>
      <w:r>
        <w:rPr>
          <w:rFonts w:hint="cs"/>
          <w:rtl/>
        </w:rPr>
        <w:t xml:space="preserve">על-פי המשרד לבטחון הפנים, </w:t>
      </w:r>
      <w:r w:rsidR="00C270DC" w:rsidRPr="00BB6388">
        <w:rPr>
          <w:rFonts w:hint="cs"/>
          <w:rtl/>
        </w:rPr>
        <w:t>מאחר ועיקר השימוש בסמי פיצוציות נעשה על-ידי נוער וצעירים,</w:t>
      </w:r>
      <w:r w:rsidR="007B5399" w:rsidRPr="00BB6388">
        <w:rPr>
          <w:rFonts w:hint="cs"/>
          <w:rtl/>
        </w:rPr>
        <w:t xml:space="preserve"> </w:t>
      </w:r>
      <w:r w:rsidR="00C270DC" w:rsidRPr="00BB6388">
        <w:rPr>
          <w:rFonts w:hint="cs"/>
          <w:rtl/>
        </w:rPr>
        <w:t>נקטה המשטרה</w:t>
      </w:r>
      <w:r>
        <w:rPr>
          <w:rFonts w:hint="cs"/>
          <w:rtl/>
        </w:rPr>
        <w:t xml:space="preserve"> </w:t>
      </w:r>
      <w:r w:rsidRPr="00BB6388">
        <w:rPr>
          <w:rFonts w:hint="cs"/>
          <w:rtl/>
        </w:rPr>
        <w:t>עד תח</w:t>
      </w:r>
      <w:r w:rsidR="003D723E">
        <w:rPr>
          <w:rFonts w:hint="cs"/>
          <w:rtl/>
        </w:rPr>
        <w:t>י</w:t>
      </w:r>
      <w:r w:rsidRPr="00BB6388">
        <w:rPr>
          <w:rFonts w:hint="cs"/>
          <w:rtl/>
        </w:rPr>
        <w:t xml:space="preserve">לתו של </w:t>
      </w:r>
      <w:r w:rsidR="004866BD">
        <w:rPr>
          <w:rFonts w:hint="cs"/>
          <w:rtl/>
        </w:rPr>
        <w:t>ה</w:t>
      </w:r>
      <w:r w:rsidRPr="00BB6388">
        <w:rPr>
          <w:rFonts w:hint="cs"/>
          <w:rtl/>
        </w:rPr>
        <w:t xml:space="preserve">חוק </w:t>
      </w:r>
      <w:r w:rsidR="00C270DC" w:rsidRPr="00BB6388">
        <w:rPr>
          <w:rFonts w:hint="cs"/>
          <w:rtl/>
        </w:rPr>
        <w:t xml:space="preserve">במדיניות שלא לעצור חשודים או נאשמים בעבירות </w:t>
      </w:r>
      <w:r w:rsidR="007B5399" w:rsidRPr="00BB6388">
        <w:rPr>
          <w:rFonts w:hint="cs"/>
          <w:rtl/>
        </w:rPr>
        <w:t>הקשורות בסמים אלו</w:t>
      </w:r>
      <w:r w:rsidR="00C270DC" w:rsidRPr="00BB6388">
        <w:rPr>
          <w:rFonts w:hint="cs"/>
          <w:rtl/>
        </w:rPr>
        <w:t xml:space="preserve"> אלא להסתפק בחלופת מעצר.</w:t>
      </w:r>
      <w:r w:rsidR="00C270DC" w:rsidRPr="00BB6388">
        <w:rPr>
          <w:rStyle w:val="ab"/>
          <w:rtl/>
        </w:rPr>
        <w:footnoteReference w:id="215"/>
      </w:r>
      <w:r w:rsidR="00C270DC" w:rsidRPr="00BB6388">
        <w:rPr>
          <w:rFonts w:hint="cs"/>
          <w:rtl/>
        </w:rPr>
        <w:t xml:space="preserve"> </w:t>
      </w:r>
      <w:r w:rsidR="004B24BF" w:rsidRPr="006C70A9">
        <w:rPr>
          <w:rFonts w:hint="cs"/>
          <w:b/>
          <w:bCs/>
          <w:rtl/>
        </w:rPr>
        <w:t xml:space="preserve">חוק המאבק </w:t>
      </w:r>
      <w:r w:rsidR="004D048B">
        <w:rPr>
          <w:rFonts w:hint="cs"/>
          <w:b/>
          <w:bCs/>
          <w:rtl/>
        </w:rPr>
        <w:t>בתופעת השימוש בחומרים מְסַכְּנִי</w:t>
      </w:r>
      <w:r w:rsidR="004B24BF" w:rsidRPr="006C70A9">
        <w:rPr>
          <w:rFonts w:hint="cs"/>
          <w:b/>
          <w:bCs/>
          <w:rtl/>
        </w:rPr>
        <w:t>ם, התשע"ג-2013</w:t>
      </w:r>
      <w:r w:rsidR="004B24BF" w:rsidRPr="00BB6388">
        <w:rPr>
          <w:rStyle w:val="ab"/>
          <w:rtl/>
        </w:rPr>
        <w:footnoteReference w:id="216"/>
      </w:r>
      <w:r w:rsidR="004B24BF">
        <w:rPr>
          <w:rFonts w:hint="cs"/>
          <w:rtl/>
        </w:rPr>
        <w:t xml:space="preserve"> הרחיב</w:t>
      </w:r>
      <w:r w:rsidR="009C33B1" w:rsidRPr="00BB6388">
        <w:rPr>
          <w:rFonts w:hint="cs"/>
          <w:rtl/>
        </w:rPr>
        <w:t xml:space="preserve"> את סמכויות המשטרה בתחום החיפוש, התפיסה וההשמדה של חומרים מסכנים</w:t>
      </w:r>
      <w:r w:rsidR="005778FE" w:rsidRPr="00BB6388">
        <w:rPr>
          <w:rFonts w:hint="cs"/>
          <w:rtl/>
        </w:rPr>
        <w:t xml:space="preserve"> או החשודים ככאלה</w:t>
      </w:r>
      <w:r w:rsidR="00C270DC" w:rsidRPr="00BB6388">
        <w:rPr>
          <w:rFonts w:hint="cs"/>
          <w:rtl/>
        </w:rPr>
        <w:t>.</w:t>
      </w:r>
      <w:r w:rsidR="009C33B1" w:rsidRPr="00BB6388">
        <w:rPr>
          <w:rStyle w:val="ab"/>
          <w:rtl/>
        </w:rPr>
        <w:footnoteReference w:id="217"/>
      </w:r>
      <w:r w:rsidR="00C270DC" w:rsidRPr="00BB6388">
        <w:rPr>
          <w:rFonts w:hint="cs"/>
          <w:rtl/>
        </w:rPr>
        <w:t xml:space="preserve"> </w:t>
      </w:r>
      <w:r w:rsidR="004866BD">
        <w:rPr>
          <w:rFonts w:hint="cs"/>
          <w:rtl/>
        </w:rPr>
        <w:t>בעקבות זאת, לפי</w:t>
      </w:r>
      <w:r w:rsidR="004B24BF">
        <w:rPr>
          <w:rFonts w:hint="cs"/>
          <w:rtl/>
        </w:rPr>
        <w:t xml:space="preserve"> המשרד לבטחון הפנים</w:t>
      </w:r>
      <w:r w:rsidR="004866BD">
        <w:rPr>
          <w:rFonts w:hint="cs"/>
          <w:rtl/>
        </w:rPr>
        <w:t>,</w:t>
      </w:r>
      <w:r w:rsidR="004B24BF">
        <w:rPr>
          <w:rFonts w:hint="cs"/>
          <w:rtl/>
        </w:rPr>
        <w:t xml:space="preserve"> </w:t>
      </w:r>
      <w:r w:rsidR="00C270DC" w:rsidRPr="00BB6388">
        <w:rPr>
          <w:rFonts w:hint="cs"/>
          <w:rtl/>
        </w:rPr>
        <w:t xml:space="preserve">מתמקדת המשטרה </w:t>
      </w:r>
      <w:r w:rsidR="004866BD">
        <w:rPr>
          <w:rFonts w:hint="cs"/>
          <w:rtl/>
        </w:rPr>
        <w:t xml:space="preserve">כעת </w:t>
      </w:r>
      <w:r w:rsidR="00C270DC" w:rsidRPr="00BB6388">
        <w:rPr>
          <w:rFonts w:hint="cs"/>
          <w:rtl/>
        </w:rPr>
        <w:t>בפעילות  כנגד יבואני, יצרני ומפיצי החומרים המסכנים בבתי הממכר, ברשת ובאמצעות שליחים.</w:t>
      </w:r>
      <w:r w:rsidR="004866BD" w:rsidRPr="004866BD">
        <w:rPr>
          <w:rStyle w:val="ab"/>
          <w:rtl/>
        </w:rPr>
        <w:t xml:space="preserve"> </w:t>
      </w:r>
      <w:r w:rsidR="004866BD" w:rsidRPr="00BB6388">
        <w:rPr>
          <w:rStyle w:val="ab"/>
          <w:rtl/>
        </w:rPr>
        <w:footnoteReference w:id="218"/>
      </w:r>
      <w:r w:rsidR="00C270DC" w:rsidRPr="00BB6388">
        <w:rPr>
          <w:rFonts w:hint="cs"/>
          <w:rtl/>
        </w:rPr>
        <w:t xml:space="preserve"> בו-בזמן, מחלקת הנוער היא הממונה על אכיפת החוק, וזאת מאחר ו</w:t>
      </w:r>
      <w:r w:rsidR="00A34799" w:rsidRPr="00BB6388">
        <w:rPr>
          <w:rFonts w:hint="cs"/>
          <w:rtl/>
        </w:rPr>
        <w:t xml:space="preserve">לפי המשטרה </w:t>
      </w:r>
      <w:r w:rsidR="00C270DC" w:rsidRPr="00BB6388">
        <w:rPr>
          <w:rFonts w:hint="cs"/>
          <w:rtl/>
        </w:rPr>
        <w:t>קבוצת גיל זה מהווה הן חלק ניכר מנפגעי סמים אלו והן מהחשודים בעבירות השונות בתחום.</w:t>
      </w:r>
      <w:r w:rsidR="004866BD" w:rsidRPr="00BB6388">
        <w:rPr>
          <w:rStyle w:val="ab"/>
          <w:rtl/>
        </w:rPr>
        <w:footnoteReference w:id="219"/>
      </w:r>
    </w:p>
    <w:p w:rsidR="00C270DC" w:rsidRPr="00BB6388" w:rsidRDefault="00C270DC" w:rsidP="00720CBA">
      <w:pPr>
        <w:pStyle w:val="a2"/>
        <w:spacing w:line="360" w:lineRule="auto"/>
        <w:rPr>
          <w:rtl/>
        </w:rPr>
      </w:pPr>
      <w:r w:rsidRPr="00BB6388">
        <w:rPr>
          <w:rFonts w:hint="cs"/>
          <w:rtl/>
        </w:rPr>
        <w:t>מחלקת הנוער מובילה מבצעי</w:t>
      </w:r>
      <w:r w:rsidR="00720CBA">
        <w:rPr>
          <w:rFonts w:hint="cs"/>
          <w:rtl/>
        </w:rPr>
        <w:t>ם ארציים הכוללים איסוף מודיעין ו</w:t>
      </w:r>
      <w:r w:rsidRPr="00BB6388">
        <w:rPr>
          <w:rFonts w:hint="cs"/>
          <w:rtl/>
        </w:rPr>
        <w:t>חקירות ישירות, תוך שיתוף פעולה עם רשויות מקומיות לסגירת עסקים הפועלים בניגוד לחוק.</w:t>
      </w:r>
      <w:r w:rsidRPr="00BB6388">
        <w:rPr>
          <w:rStyle w:val="ab"/>
          <w:rtl/>
        </w:rPr>
        <w:footnoteReference w:id="220"/>
      </w:r>
    </w:p>
    <w:p w:rsidR="00C270DC" w:rsidRPr="00BB6388" w:rsidRDefault="00C270DC" w:rsidP="0048615B">
      <w:pPr>
        <w:pStyle w:val="a2"/>
        <w:spacing w:line="360" w:lineRule="auto"/>
        <w:rPr>
          <w:rtl/>
        </w:rPr>
      </w:pPr>
      <w:r w:rsidRPr="00BB6388">
        <w:rPr>
          <w:rFonts w:hint="cs"/>
          <w:rtl/>
        </w:rPr>
        <w:t xml:space="preserve">טבלה </w:t>
      </w:r>
      <w:r w:rsidR="00F9240F">
        <w:rPr>
          <w:rFonts w:hint="cs"/>
          <w:rtl/>
        </w:rPr>
        <w:t>11</w:t>
      </w:r>
      <w:r w:rsidRPr="00BB6388">
        <w:t xml:space="preserve"> </w:t>
      </w:r>
      <w:r w:rsidRPr="00BB6388">
        <w:rPr>
          <w:rFonts w:hint="cs"/>
          <w:rtl/>
        </w:rPr>
        <w:t>מתארת את מספר התיקים</w:t>
      </w:r>
      <w:r w:rsidR="0048615B">
        <w:rPr>
          <w:rFonts w:hint="cs"/>
          <w:rtl/>
        </w:rPr>
        <w:t xml:space="preserve"> בשנת 2014</w:t>
      </w:r>
      <w:r w:rsidRPr="00BB6388">
        <w:rPr>
          <w:rFonts w:hint="cs"/>
          <w:rtl/>
        </w:rPr>
        <w:t xml:space="preserve"> שנפתחו תחת העבירות שהוגדרו בחוק המאבק בתופעת השימוש בחו</w:t>
      </w:r>
      <w:r w:rsidR="0048615B">
        <w:rPr>
          <w:rFonts w:hint="cs"/>
          <w:rtl/>
        </w:rPr>
        <w:t>מרים מסכנים.</w:t>
      </w:r>
      <w:r w:rsidRPr="00BB6388">
        <w:rPr>
          <w:rStyle w:val="ab"/>
          <w:rtl/>
        </w:rPr>
        <w:footnoteReference w:id="221"/>
      </w:r>
      <w:r w:rsidRPr="00BB6388">
        <w:rPr>
          <w:rFonts w:hint="cs"/>
          <w:rtl/>
        </w:rPr>
        <w:t xml:space="preserve"> </w:t>
      </w:r>
    </w:p>
    <w:p w:rsidR="007B5846" w:rsidRDefault="007B5846" w:rsidP="003D723E">
      <w:pPr>
        <w:pStyle w:val="af2"/>
        <w:jc w:val="center"/>
        <w:rPr>
          <w:sz w:val="24"/>
          <w:szCs w:val="24"/>
          <w:rtl/>
        </w:rPr>
      </w:pPr>
      <w:bookmarkStart w:id="209" w:name="_Toc419963083"/>
    </w:p>
    <w:p w:rsidR="007B5846" w:rsidRDefault="007B5846" w:rsidP="003D723E">
      <w:pPr>
        <w:pStyle w:val="af2"/>
        <w:jc w:val="center"/>
        <w:rPr>
          <w:sz w:val="24"/>
          <w:szCs w:val="24"/>
          <w:rtl/>
        </w:rPr>
      </w:pPr>
    </w:p>
    <w:p w:rsidR="00C270DC" w:rsidRPr="00BB6388" w:rsidRDefault="00F9240F" w:rsidP="003D723E">
      <w:pPr>
        <w:pStyle w:val="af2"/>
        <w:jc w:val="center"/>
        <w:rPr>
          <w:rtl/>
        </w:rPr>
      </w:pPr>
      <w:r w:rsidRPr="004B2418">
        <w:rPr>
          <w:sz w:val="24"/>
          <w:szCs w:val="24"/>
          <w:rtl/>
        </w:rPr>
        <w:t xml:space="preserve">טבלה </w:t>
      </w:r>
      <w:r w:rsidR="00F3448E" w:rsidRPr="004B2418">
        <w:rPr>
          <w:sz w:val="24"/>
          <w:szCs w:val="24"/>
          <w:rtl/>
        </w:rPr>
        <w:fldChar w:fldCharType="begin"/>
      </w:r>
      <w:r w:rsidRPr="004B2418">
        <w:rPr>
          <w:sz w:val="24"/>
          <w:szCs w:val="24"/>
          <w:rtl/>
        </w:rPr>
        <w:instrText xml:space="preserve"> </w:instrText>
      </w:r>
      <w:r w:rsidRPr="004B2418">
        <w:rPr>
          <w:sz w:val="24"/>
          <w:szCs w:val="24"/>
        </w:rPr>
        <w:instrText>SEQ</w:instrText>
      </w:r>
      <w:r w:rsidRPr="004B2418">
        <w:rPr>
          <w:sz w:val="24"/>
          <w:szCs w:val="24"/>
          <w:rtl/>
        </w:rPr>
        <w:instrText xml:space="preserve"> טבלה \* </w:instrText>
      </w:r>
      <w:r w:rsidRPr="004B2418">
        <w:rPr>
          <w:sz w:val="24"/>
          <w:szCs w:val="24"/>
        </w:rPr>
        <w:instrText>ARABIC</w:instrText>
      </w:r>
      <w:r w:rsidRPr="004B2418">
        <w:rPr>
          <w:sz w:val="24"/>
          <w:szCs w:val="24"/>
          <w:rtl/>
        </w:rPr>
        <w:instrText xml:space="preserve"> </w:instrText>
      </w:r>
      <w:r w:rsidR="00F3448E" w:rsidRPr="004B2418">
        <w:rPr>
          <w:sz w:val="24"/>
          <w:szCs w:val="24"/>
          <w:rtl/>
        </w:rPr>
        <w:fldChar w:fldCharType="separate"/>
      </w:r>
      <w:r w:rsidR="007347AB">
        <w:rPr>
          <w:noProof/>
          <w:sz w:val="24"/>
          <w:szCs w:val="24"/>
          <w:rtl/>
        </w:rPr>
        <w:t>11</w:t>
      </w:r>
      <w:r w:rsidR="00F3448E" w:rsidRPr="004B2418">
        <w:rPr>
          <w:sz w:val="24"/>
          <w:szCs w:val="24"/>
          <w:rtl/>
        </w:rPr>
        <w:fldChar w:fldCharType="end"/>
      </w:r>
      <w:r w:rsidR="00C270DC" w:rsidRPr="004B2418">
        <w:rPr>
          <w:rFonts w:hint="cs"/>
          <w:sz w:val="24"/>
          <w:szCs w:val="24"/>
          <w:rtl/>
        </w:rPr>
        <w:t>:</w:t>
      </w:r>
      <w:bookmarkStart w:id="210" w:name="_Toc419963084"/>
      <w:bookmarkEnd w:id="209"/>
      <w:r w:rsidR="004B2418" w:rsidRPr="004B2418">
        <w:rPr>
          <w:rFonts w:hint="cs"/>
          <w:sz w:val="24"/>
          <w:szCs w:val="24"/>
          <w:rtl/>
        </w:rPr>
        <w:t xml:space="preserve"> </w:t>
      </w:r>
      <w:r w:rsidR="00C270DC" w:rsidRPr="004B2418">
        <w:rPr>
          <w:rFonts w:hint="cs"/>
          <w:sz w:val="24"/>
          <w:szCs w:val="24"/>
          <w:rtl/>
        </w:rPr>
        <w:t xml:space="preserve">מספר תיקים שנפתחו </w:t>
      </w:r>
      <w:r w:rsidR="0048615B">
        <w:rPr>
          <w:rFonts w:hint="cs"/>
          <w:sz w:val="24"/>
          <w:szCs w:val="24"/>
          <w:rtl/>
        </w:rPr>
        <w:t xml:space="preserve">בשנת 2014 </w:t>
      </w:r>
      <w:r w:rsidR="003D723E">
        <w:rPr>
          <w:rFonts w:hint="cs"/>
          <w:sz w:val="24"/>
          <w:szCs w:val="24"/>
          <w:rtl/>
        </w:rPr>
        <w:t xml:space="preserve">בגין </w:t>
      </w:r>
      <w:r w:rsidR="00C270DC" w:rsidRPr="004B2418">
        <w:rPr>
          <w:rFonts w:hint="cs"/>
          <w:sz w:val="24"/>
          <w:szCs w:val="24"/>
          <w:rtl/>
        </w:rPr>
        <w:t>עבירות המוגדרות בחוק המאבק בתופעת השימוש בחומרים מסכנים</w:t>
      </w:r>
      <w:r w:rsidR="008D6AD6" w:rsidRPr="008D6AD6">
        <w:rPr>
          <w:rFonts w:hint="cs"/>
          <w:sz w:val="24"/>
          <w:szCs w:val="24"/>
          <w:rtl/>
        </w:rPr>
        <w:t xml:space="preserve"> </w:t>
      </w:r>
      <w:r w:rsidR="008D6AD6">
        <w:rPr>
          <w:rFonts w:hint="cs"/>
          <w:sz w:val="24"/>
          <w:szCs w:val="24"/>
          <w:rtl/>
        </w:rPr>
        <w:t>התשע"ג-2013</w:t>
      </w:r>
      <w:r w:rsidR="00C270DC" w:rsidRPr="00BB6388">
        <w:rPr>
          <w:rStyle w:val="ab"/>
          <w:rtl/>
        </w:rPr>
        <w:footnoteReference w:id="222"/>
      </w:r>
      <w:bookmarkEnd w:id="210"/>
    </w:p>
    <w:tbl>
      <w:tblPr>
        <w:tblStyle w:val="afff5"/>
        <w:bidiVisual/>
        <w:tblW w:w="3659" w:type="pct"/>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4663"/>
        <w:gridCol w:w="2051"/>
      </w:tblGrid>
      <w:tr w:rsidR="0048615B" w:rsidRPr="00712861" w:rsidTr="007B5846">
        <w:trPr>
          <w:tblCellSpacing w:w="20" w:type="dxa"/>
          <w:jc w:val="center"/>
        </w:trPr>
        <w:tc>
          <w:tcPr>
            <w:tcW w:w="3429" w:type="pct"/>
            <w:shd w:val="clear" w:color="auto" w:fill="auto"/>
          </w:tcPr>
          <w:p w:rsidR="0048615B" w:rsidRPr="00712861" w:rsidRDefault="0048615B" w:rsidP="00712861">
            <w:pPr>
              <w:pStyle w:val="a2"/>
              <w:spacing w:before="60" w:after="0" w:line="240" w:lineRule="auto"/>
              <w:rPr>
                <w:b/>
                <w:bCs/>
                <w:sz w:val="22"/>
                <w:szCs w:val="22"/>
                <w:rtl/>
              </w:rPr>
            </w:pPr>
            <w:r w:rsidRPr="00712861">
              <w:rPr>
                <w:rFonts w:hint="cs"/>
                <w:b/>
                <w:bCs/>
                <w:sz w:val="22"/>
                <w:szCs w:val="22"/>
                <w:rtl/>
              </w:rPr>
              <w:t>תיאור העבירה</w:t>
            </w:r>
          </w:p>
        </w:tc>
        <w:tc>
          <w:tcPr>
            <w:tcW w:w="1483" w:type="pct"/>
            <w:shd w:val="clear" w:color="auto" w:fill="auto"/>
          </w:tcPr>
          <w:p w:rsidR="0048615B" w:rsidRPr="00712861" w:rsidRDefault="0048615B" w:rsidP="00712861">
            <w:pPr>
              <w:pStyle w:val="a2"/>
              <w:spacing w:before="60" w:after="0" w:line="240" w:lineRule="auto"/>
              <w:jc w:val="center"/>
              <w:rPr>
                <w:b/>
                <w:bCs/>
                <w:sz w:val="22"/>
                <w:szCs w:val="22"/>
                <w:rtl/>
              </w:rPr>
            </w:pPr>
            <w:r w:rsidRPr="00712861">
              <w:rPr>
                <w:rFonts w:hint="cs"/>
                <w:b/>
                <w:bCs/>
                <w:sz w:val="22"/>
                <w:szCs w:val="22"/>
                <w:rtl/>
              </w:rPr>
              <w:t>2014</w:t>
            </w:r>
          </w:p>
        </w:tc>
      </w:tr>
      <w:tr w:rsidR="0048615B" w:rsidRPr="00712861" w:rsidTr="007B5846">
        <w:trPr>
          <w:tblCellSpacing w:w="20" w:type="dxa"/>
          <w:jc w:val="center"/>
        </w:trPr>
        <w:tc>
          <w:tcPr>
            <w:tcW w:w="3429" w:type="pct"/>
            <w:shd w:val="clear" w:color="auto" w:fill="auto"/>
          </w:tcPr>
          <w:p w:rsidR="0048615B" w:rsidRPr="00712861" w:rsidRDefault="0048615B" w:rsidP="00712861">
            <w:pPr>
              <w:pStyle w:val="a2"/>
              <w:spacing w:before="60" w:after="0" w:line="240" w:lineRule="auto"/>
              <w:rPr>
                <w:sz w:val="22"/>
                <w:szCs w:val="22"/>
                <w:rtl/>
              </w:rPr>
            </w:pPr>
            <w:r w:rsidRPr="00712861">
              <w:rPr>
                <w:rFonts w:hint="cs"/>
                <w:sz w:val="22"/>
                <w:szCs w:val="22"/>
                <w:rtl/>
              </w:rPr>
              <w:t>איסור ייצור חומר אסור בהפצה</w:t>
            </w:r>
          </w:p>
        </w:tc>
        <w:tc>
          <w:tcPr>
            <w:tcW w:w="1483" w:type="pct"/>
            <w:shd w:val="clear" w:color="auto" w:fill="auto"/>
          </w:tcPr>
          <w:p w:rsidR="0048615B" w:rsidRPr="00712861" w:rsidRDefault="0048615B" w:rsidP="00712861">
            <w:pPr>
              <w:spacing w:before="60" w:after="0" w:line="240" w:lineRule="auto"/>
              <w:jc w:val="center"/>
              <w:rPr>
                <w:sz w:val="22"/>
                <w:szCs w:val="22"/>
              </w:rPr>
            </w:pPr>
            <w:r w:rsidRPr="00712861">
              <w:rPr>
                <w:rFonts w:hint="cs"/>
                <w:sz w:val="22"/>
                <w:szCs w:val="22"/>
                <w:rtl/>
              </w:rPr>
              <w:t>531</w:t>
            </w:r>
          </w:p>
        </w:tc>
      </w:tr>
      <w:tr w:rsidR="0048615B" w:rsidRPr="00712861" w:rsidTr="007B5846">
        <w:trPr>
          <w:tblCellSpacing w:w="20" w:type="dxa"/>
          <w:jc w:val="center"/>
        </w:trPr>
        <w:tc>
          <w:tcPr>
            <w:tcW w:w="3429" w:type="pct"/>
            <w:shd w:val="clear" w:color="auto" w:fill="auto"/>
          </w:tcPr>
          <w:p w:rsidR="0048615B" w:rsidRPr="00712861" w:rsidRDefault="0048615B" w:rsidP="00712861">
            <w:pPr>
              <w:pStyle w:val="a2"/>
              <w:spacing w:before="60" w:after="0" w:line="240" w:lineRule="auto"/>
              <w:rPr>
                <w:sz w:val="22"/>
                <w:szCs w:val="22"/>
                <w:rtl/>
              </w:rPr>
            </w:pPr>
            <w:r w:rsidRPr="00712861">
              <w:rPr>
                <w:rFonts w:hint="cs"/>
                <w:sz w:val="22"/>
                <w:szCs w:val="22"/>
                <w:rtl/>
              </w:rPr>
              <w:t>איסור מכירה, יבוא וייצור חומר אסור בהפצה</w:t>
            </w:r>
          </w:p>
        </w:tc>
        <w:tc>
          <w:tcPr>
            <w:tcW w:w="1483" w:type="pct"/>
            <w:shd w:val="clear" w:color="auto" w:fill="auto"/>
          </w:tcPr>
          <w:p w:rsidR="0048615B" w:rsidRPr="00712861" w:rsidRDefault="0048615B" w:rsidP="00712861">
            <w:pPr>
              <w:spacing w:before="60" w:after="0" w:line="240" w:lineRule="auto"/>
              <w:jc w:val="center"/>
              <w:rPr>
                <w:sz w:val="22"/>
                <w:szCs w:val="22"/>
              </w:rPr>
            </w:pPr>
            <w:r w:rsidRPr="00712861">
              <w:rPr>
                <w:rFonts w:hint="cs"/>
                <w:sz w:val="22"/>
                <w:szCs w:val="22"/>
                <w:rtl/>
              </w:rPr>
              <w:t>1,242</w:t>
            </w:r>
          </w:p>
        </w:tc>
      </w:tr>
      <w:tr w:rsidR="0048615B" w:rsidRPr="00712861" w:rsidTr="007B5846">
        <w:trPr>
          <w:tblCellSpacing w:w="20" w:type="dxa"/>
          <w:jc w:val="center"/>
        </w:trPr>
        <w:tc>
          <w:tcPr>
            <w:tcW w:w="3429" w:type="pct"/>
            <w:shd w:val="clear" w:color="auto" w:fill="auto"/>
          </w:tcPr>
          <w:p w:rsidR="0048615B" w:rsidRPr="00712861" w:rsidRDefault="0048615B" w:rsidP="00712861">
            <w:pPr>
              <w:pStyle w:val="a2"/>
              <w:spacing w:before="60" w:after="0" w:line="240" w:lineRule="auto"/>
              <w:rPr>
                <w:sz w:val="22"/>
                <w:szCs w:val="22"/>
                <w:rtl/>
              </w:rPr>
            </w:pPr>
            <w:r w:rsidRPr="00712861">
              <w:rPr>
                <w:rFonts w:hint="cs"/>
                <w:sz w:val="22"/>
                <w:szCs w:val="22"/>
                <w:rtl/>
              </w:rPr>
              <w:t>מתן חומר אסור בהפצה לקטין</w:t>
            </w:r>
          </w:p>
        </w:tc>
        <w:tc>
          <w:tcPr>
            <w:tcW w:w="1483" w:type="pct"/>
            <w:shd w:val="clear" w:color="auto" w:fill="auto"/>
          </w:tcPr>
          <w:p w:rsidR="0048615B" w:rsidRPr="00712861" w:rsidRDefault="0048615B" w:rsidP="00712861">
            <w:pPr>
              <w:spacing w:before="60" w:after="0" w:line="240" w:lineRule="auto"/>
              <w:jc w:val="center"/>
              <w:rPr>
                <w:sz w:val="22"/>
                <w:szCs w:val="22"/>
              </w:rPr>
            </w:pPr>
            <w:r w:rsidRPr="00712861">
              <w:rPr>
                <w:rFonts w:hint="cs"/>
                <w:sz w:val="22"/>
                <w:szCs w:val="22"/>
                <w:rtl/>
              </w:rPr>
              <w:t>207</w:t>
            </w:r>
          </w:p>
        </w:tc>
      </w:tr>
      <w:tr w:rsidR="0048615B" w:rsidRPr="00712861" w:rsidTr="007B5846">
        <w:trPr>
          <w:tblCellSpacing w:w="20" w:type="dxa"/>
          <w:jc w:val="center"/>
        </w:trPr>
        <w:tc>
          <w:tcPr>
            <w:tcW w:w="3429" w:type="pct"/>
            <w:shd w:val="clear" w:color="auto" w:fill="auto"/>
          </w:tcPr>
          <w:p w:rsidR="0048615B" w:rsidRPr="00712861" w:rsidRDefault="0048615B" w:rsidP="00712861">
            <w:pPr>
              <w:pStyle w:val="a2"/>
              <w:spacing w:before="60" w:after="0" w:line="240" w:lineRule="auto"/>
              <w:rPr>
                <w:sz w:val="22"/>
                <w:szCs w:val="22"/>
                <w:rtl/>
              </w:rPr>
            </w:pPr>
            <w:r w:rsidRPr="00712861">
              <w:rPr>
                <w:rFonts w:hint="cs"/>
                <w:sz w:val="22"/>
                <w:szCs w:val="22"/>
                <w:rtl/>
              </w:rPr>
              <w:t>שידול קטין להשגת ו/או לשימוש בחומר אסור</w:t>
            </w:r>
          </w:p>
        </w:tc>
        <w:tc>
          <w:tcPr>
            <w:tcW w:w="1483" w:type="pct"/>
            <w:shd w:val="clear" w:color="auto" w:fill="auto"/>
          </w:tcPr>
          <w:p w:rsidR="0048615B" w:rsidRPr="00712861" w:rsidRDefault="0048615B" w:rsidP="00712861">
            <w:pPr>
              <w:spacing w:before="60" w:after="0" w:line="240" w:lineRule="auto"/>
              <w:jc w:val="center"/>
              <w:rPr>
                <w:sz w:val="22"/>
                <w:szCs w:val="22"/>
              </w:rPr>
            </w:pPr>
            <w:r w:rsidRPr="00712861">
              <w:rPr>
                <w:rFonts w:hint="cs"/>
                <w:sz w:val="22"/>
                <w:szCs w:val="22"/>
                <w:rtl/>
              </w:rPr>
              <w:t>48</w:t>
            </w:r>
          </w:p>
        </w:tc>
      </w:tr>
    </w:tbl>
    <w:p w:rsidR="00C270DC" w:rsidRPr="00BB6388" w:rsidRDefault="00C270DC" w:rsidP="00BB6388">
      <w:pPr>
        <w:pStyle w:val="a2"/>
        <w:spacing w:line="360" w:lineRule="auto"/>
        <w:rPr>
          <w:rtl/>
        </w:rPr>
      </w:pPr>
    </w:p>
    <w:p w:rsidR="00C270DC" w:rsidRDefault="00C270DC" w:rsidP="002D6E68">
      <w:pPr>
        <w:pStyle w:val="a2"/>
        <w:spacing w:line="360" w:lineRule="auto"/>
        <w:rPr>
          <w:rtl/>
        </w:rPr>
      </w:pPr>
      <w:r w:rsidRPr="00BB6388">
        <w:rPr>
          <w:rFonts w:hint="cs"/>
          <w:rtl/>
        </w:rPr>
        <w:t xml:space="preserve">עיון בנתוני הטבלה מעלה כי </w:t>
      </w:r>
      <w:r w:rsidR="00720B0C">
        <w:rPr>
          <w:rFonts w:hint="cs"/>
          <w:rtl/>
        </w:rPr>
        <w:t xml:space="preserve">בשנת 2014 </w:t>
      </w:r>
      <w:r w:rsidR="00F14D37" w:rsidRPr="00BB6388">
        <w:rPr>
          <w:rFonts w:hint="cs"/>
          <w:rtl/>
        </w:rPr>
        <w:t xml:space="preserve">מספר </w:t>
      </w:r>
      <w:r w:rsidR="00BB0631">
        <w:rPr>
          <w:rFonts w:hint="cs"/>
          <w:rtl/>
        </w:rPr>
        <w:t>ה</w:t>
      </w:r>
      <w:r w:rsidR="00F14D37" w:rsidRPr="00BB6388">
        <w:rPr>
          <w:rFonts w:hint="cs"/>
          <w:rtl/>
        </w:rPr>
        <w:t>תיקי</w:t>
      </w:r>
      <w:r w:rsidR="00BB0631">
        <w:rPr>
          <w:rFonts w:hint="cs"/>
          <w:rtl/>
        </w:rPr>
        <w:t xml:space="preserve">ם </w:t>
      </w:r>
      <w:r w:rsidR="00F14D37" w:rsidRPr="00BB6388">
        <w:rPr>
          <w:rFonts w:hint="cs"/>
          <w:rtl/>
        </w:rPr>
        <w:t xml:space="preserve">הנמוך ביותר </w:t>
      </w:r>
      <w:r w:rsidR="00BB0631">
        <w:rPr>
          <w:rFonts w:hint="cs"/>
          <w:rtl/>
        </w:rPr>
        <w:t xml:space="preserve">היה בגין </w:t>
      </w:r>
      <w:r w:rsidRPr="00BB6388">
        <w:rPr>
          <w:rFonts w:hint="cs"/>
          <w:rtl/>
        </w:rPr>
        <w:t>עבירה בדבר שידול קטין להגשת ו/או לשימוש בחומר אסור</w:t>
      </w:r>
      <w:r w:rsidR="002D6E68">
        <w:rPr>
          <w:rFonts w:hint="cs"/>
          <w:rtl/>
        </w:rPr>
        <w:t xml:space="preserve"> (48</w:t>
      </w:r>
      <w:r w:rsidR="00DA66FB">
        <w:rPr>
          <w:rFonts w:hint="cs"/>
          <w:rtl/>
        </w:rPr>
        <w:t xml:space="preserve"> תיקים</w:t>
      </w:r>
      <w:r w:rsidR="002D6E68">
        <w:rPr>
          <w:rFonts w:hint="cs"/>
          <w:rtl/>
        </w:rPr>
        <w:t>)</w:t>
      </w:r>
      <w:r w:rsidRPr="00BB6388">
        <w:rPr>
          <w:rFonts w:hint="cs"/>
          <w:rtl/>
        </w:rPr>
        <w:t xml:space="preserve">, </w:t>
      </w:r>
      <w:r w:rsidR="00720B0C">
        <w:rPr>
          <w:rFonts w:hint="cs"/>
          <w:rtl/>
        </w:rPr>
        <w:t>ו</w:t>
      </w:r>
      <w:r w:rsidRPr="00BB6388">
        <w:rPr>
          <w:rFonts w:hint="cs"/>
          <w:rtl/>
        </w:rPr>
        <w:t xml:space="preserve">מספר התיקים </w:t>
      </w:r>
      <w:r w:rsidR="00BE1230">
        <w:rPr>
          <w:rFonts w:hint="cs"/>
          <w:rtl/>
        </w:rPr>
        <w:t xml:space="preserve">הגבוה ביותר היה </w:t>
      </w:r>
      <w:r w:rsidRPr="00BB6388">
        <w:rPr>
          <w:rFonts w:hint="cs"/>
          <w:rtl/>
        </w:rPr>
        <w:t>בגין מכירה, ייבוא ויצוא של חומר א</w:t>
      </w:r>
      <w:r w:rsidR="00BE1230">
        <w:rPr>
          <w:rFonts w:hint="cs"/>
          <w:rtl/>
        </w:rPr>
        <w:t>ס</w:t>
      </w:r>
      <w:r w:rsidRPr="00BB6388">
        <w:rPr>
          <w:rFonts w:hint="cs"/>
          <w:rtl/>
        </w:rPr>
        <w:t xml:space="preserve">ור בהפצה </w:t>
      </w:r>
      <w:r w:rsidR="002D6E68" w:rsidRPr="00BB6388">
        <w:rPr>
          <w:rFonts w:hint="cs"/>
          <w:rtl/>
        </w:rPr>
        <w:t>(1,242 תיקים).</w:t>
      </w:r>
      <w:r w:rsidR="002D6E68">
        <w:rPr>
          <w:rFonts w:hint="cs"/>
          <w:rtl/>
        </w:rPr>
        <w:t xml:space="preserve"> </w:t>
      </w:r>
    </w:p>
    <w:p w:rsidR="00712861" w:rsidRPr="00BB6388" w:rsidRDefault="00712861" w:rsidP="00DA66FB">
      <w:pPr>
        <w:pStyle w:val="a2"/>
        <w:spacing w:line="360" w:lineRule="auto"/>
        <w:rPr>
          <w:rtl/>
        </w:rPr>
      </w:pPr>
      <w:r w:rsidRPr="00BB6388">
        <w:rPr>
          <w:rFonts w:hint="cs"/>
          <w:rtl/>
        </w:rPr>
        <w:t>טבלה</w:t>
      </w:r>
      <w:r>
        <w:rPr>
          <w:rFonts w:hint="cs"/>
          <w:rtl/>
        </w:rPr>
        <w:t xml:space="preserve"> מס' 12</w:t>
      </w:r>
      <w:r w:rsidRPr="00BB6388">
        <w:rPr>
          <w:rFonts w:hint="cs"/>
          <w:rtl/>
        </w:rPr>
        <w:t xml:space="preserve"> מציגה את סך כתבי האישום שהוגשו תחת חוק זה </w:t>
      </w:r>
      <w:r w:rsidR="00720CBA">
        <w:rPr>
          <w:rFonts w:hint="cs"/>
          <w:rtl/>
        </w:rPr>
        <w:t xml:space="preserve">בשנת 2014 </w:t>
      </w:r>
      <w:r w:rsidRPr="00BB6388">
        <w:rPr>
          <w:rFonts w:hint="cs"/>
          <w:rtl/>
        </w:rPr>
        <w:t>ומספר המעורבים בכתבי אישום אלו, וזאת בחלוקה למחוזות.</w:t>
      </w:r>
      <w:r w:rsidRPr="00BB6388">
        <w:rPr>
          <w:rStyle w:val="ab"/>
          <w:rtl/>
        </w:rPr>
        <w:footnoteReference w:id="223"/>
      </w:r>
      <w:r w:rsidRPr="00BB6388">
        <w:rPr>
          <w:rFonts w:hint="cs"/>
          <w:rtl/>
        </w:rPr>
        <w:t xml:space="preserve"> </w:t>
      </w:r>
    </w:p>
    <w:p w:rsidR="00C270DC" w:rsidRPr="00BB6388" w:rsidRDefault="00885289" w:rsidP="00373E9A">
      <w:pPr>
        <w:pStyle w:val="af2"/>
        <w:jc w:val="center"/>
        <w:rPr>
          <w:rtl/>
        </w:rPr>
      </w:pPr>
      <w:bookmarkStart w:id="211" w:name="_Toc419963085"/>
      <w:r w:rsidRPr="00885289">
        <w:rPr>
          <w:sz w:val="24"/>
          <w:szCs w:val="24"/>
          <w:rtl/>
        </w:rPr>
        <w:t xml:space="preserve">טבלה </w:t>
      </w:r>
      <w:r w:rsidR="00F3448E" w:rsidRPr="00885289">
        <w:rPr>
          <w:sz w:val="24"/>
          <w:szCs w:val="24"/>
          <w:rtl/>
        </w:rPr>
        <w:fldChar w:fldCharType="begin"/>
      </w:r>
      <w:r w:rsidRPr="00885289">
        <w:rPr>
          <w:sz w:val="24"/>
          <w:szCs w:val="24"/>
          <w:rtl/>
        </w:rPr>
        <w:instrText xml:space="preserve"> </w:instrText>
      </w:r>
      <w:r w:rsidRPr="00885289">
        <w:rPr>
          <w:sz w:val="24"/>
          <w:szCs w:val="24"/>
        </w:rPr>
        <w:instrText>SEQ</w:instrText>
      </w:r>
      <w:r w:rsidRPr="00885289">
        <w:rPr>
          <w:sz w:val="24"/>
          <w:szCs w:val="24"/>
          <w:rtl/>
        </w:rPr>
        <w:instrText xml:space="preserve"> טבלה \* </w:instrText>
      </w:r>
      <w:r w:rsidRPr="00885289">
        <w:rPr>
          <w:sz w:val="24"/>
          <w:szCs w:val="24"/>
        </w:rPr>
        <w:instrText>ARABIC</w:instrText>
      </w:r>
      <w:r w:rsidRPr="00885289">
        <w:rPr>
          <w:sz w:val="24"/>
          <w:szCs w:val="24"/>
          <w:rtl/>
        </w:rPr>
        <w:instrText xml:space="preserve"> </w:instrText>
      </w:r>
      <w:r w:rsidR="00F3448E" w:rsidRPr="00885289">
        <w:rPr>
          <w:sz w:val="24"/>
          <w:szCs w:val="24"/>
          <w:rtl/>
        </w:rPr>
        <w:fldChar w:fldCharType="separate"/>
      </w:r>
      <w:r w:rsidR="007347AB">
        <w:rPr>
          <w:noProof/>
          <w:sz w:val="24"/>
          <w:szCs w:val="24"/>
          <w:rtl/>
        </w:rPr>
        <w:t>12</w:t>
      </w:r>
      <w:r w:rsidR="00F3448E" w:rsidRPr="00885289">
        <w:rPr>
          <w:sz w:val="24"/>
          <w:szCs w:val="24"/>
          <w:rtl/>
        </w:rPr>
        <w:fldChar w:fldCharType="end"/>
      </w:r>
      <w:r w:rsidR="00C270DC" w:rsidRPr="00885289">
        <w:rPr>
          <w:rFonts w:hint="cs"/>
          <w:sz w:val="24"/>
          <w:szCs w:val="24"/>
          <w:rtl/>
        </w:rPr>
        <w:t>:</w:t>
      </w:r>
      <w:bookmarkEnd w:id="211"/>
      <w:r w:rsidR="004B2418">
        <w:rPr>
          <w:rFonts w:hint="cs"/>
          <w:sz w:val="24"/>
          <w:szCs w:val="24"/>
          <w:rtl/>
        </w:rPr>
        <w:t xml:space="preserve"> </w:t>
      </w:r>
      <w:bookmarkStart w:id="212" w:name="_Toc419963086"/>
      <w:r w:rsidR="00C270DC" w:rsidRPr="004B2418">
        <w:rPr>
          <w:rFonts w:hint="cs"/>
          <w:sz w:val="24"/>
          <w:szCs w:val="24"/>
          <w:rtl/>
        </w:rPr>
        <w:t>מספר כתבי אישום</w:t>
      </w:r>
      <w:r w:rsidR="00734DC3">
        <w:rPr>
          <w:rFonts w:hint="cs"/>
          <w:sz w:val="24"/>
          <w:szCs w:val="24"/>
          <w:rtl/>
        </w:rPr>
        <w:t xml:space="preserve"> </w:t>
      </w:r>
      <w:r w:rsidR="00734DC3" w:rsidRPr="004B2418">
        <w:rPr>
          <w:rFonts w:hint="cs"/>
          <w:sz w:val="24"/>
          <w:szCs w:val="24"/>
          <w:rtl/>
        </w:rPr>
        <w:t xml:space="preserve">שנפתחו </w:t>
      </w:r>
      <w:r w:rsidR="00373E9A">
        <w:rPr>
          <w:rFonts w:hint="cs"/>
          <w:sz w:val="24"/>
          <w:szCs w:val="24"/>
          <w:rtl/>
        </w:rPr>
        <w:t xml:space="preserve">בגין </w:t>
      </w:r>
      <w:r w:rsidR="00734DC3" w:rsidRPr="004B2418">
        <w:rPr>
          <w:rFonts w:hint="cs"/>
          <w:sz w:val="24"/>
          <w:szCs w:val="24"/>
          <w:rtl/>
        </w:rPr>
        <w:t>עבירות המוגדרות בחוק המאבק בתופעת השימוש בחומרים מסכנים</w:t>
      </w:r>
      <w:r w:rsidR="008D6AD6">
        <w:rPr>
          <w:rFonts w:hint="cs"/>
          <w:sz w:val="24"/>
          <w:szCs w:val="24"/>
          <w:rtl/>
        </w:rPr>
        <w:t xml:space="preserve"> התשע"ג-2013 בשנת 2014</w:t>
      </w:r>
      <w:r w:rsidR="00C270DC" w:rsidRPr="004B2418">
        <w:rPr>
          <w:rFonts w:hint="cs"/>
          <w:sz w:val="24"/>
          <w:szCs w:val="24"/>
          <w:rtl/>
        </w:rPr>
        <w:t xml:space="preserve"> וכמות </w:t>
      </w:r>
      <w:r w:rsidR="00734DC3">
        <w:rPr>
          <w:rFonts w:hint="cs"/>
          <w:sz w:val="24"/>
          <w:szCs w:val="24"/>
          <w:rtl/>
        </w:rPr>
        <w:t>ה</w:t>
      </w:r>
      <w:r w:rsidR="00C270DC" w:rsidRPr="004B2418">
        <w:rPr>
          <w:rFonts w:hint="cs"/>
          <w:sz w:val="24"/>
          <w:szCs w:val="24"/>
          <w:rtl/>
        </w:rPr>
        <w:t>מעורבים</w:t>
      </w:r>
      <w:r w:rsidR="00734DC3">
        <w:rPr>
          <w:rFonts w:hint="cs"/>
          <w:sz w:val="24"/>
          <w:szCs w:val="24"/>
          <w:rtl/>
        </w:rPr>
        <w:t xml:space="preserve"> בהם</w:t>
      </w:r>
      <w:r w:rsidR="00C270DC" w:rsidRPr="004B2418">
        <w:rPr>
          <w:rFonts w:hint="cs"/>
          <w:sz w:val="24"/>
          <w:szCs w:val="24"/>
          <w:rtl/>
        </w:rPr>
        <w:t>, בחלוקה למחוזות</w:t>
      </w:r>
      <w:r w:rsidR="00C270DC" w:rsidRPr="00885289">
        <w:rPr>
          <w:rStyle w:val="ab"/>
          <w:b w:val="0"/>
          <w:bCs w:val="0"/>
          <w:rtl/>
        </w:rPr>
        <w:footnoteReference w:id="224"/>
      </w:r>
      <w:bookmarkEnd w:id="212"/>
    </w:p>
    <w:tbl>
      <w:tblPr>
        <w:tblStyle w:val="afff5"/>
        <w:bidiVisual/>
        <w:tblW w:w="5263" w:type="dxa"/>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1681"/>
        <w:gridCol w:w="1841"/>
        <w:gridCol w:w="1741"/>
      </w:tblGrid>
      <w:tr w:rsidR="00720CBA" w:rsidRPr="00817787" w:rsidTr="00720CBA">
        <w:trPr>
          <w:tblCellSpacing w:w="20" w:type="dxa"/>
          <w:jc w:val="center"/>
        </w:trPr>
        <w:tc>
          <w:tcPr>
            <w:tcW w:w="1621" w:type="dxa"/>
            <w:vMerge w:val="restart"/>
            <w:shd w:val="clear" w:color="auto" w:fill="auto"/>
          </w:tcPr>
          <w:p w:rsidR="00720CBA" w:rsidRPr="00817787" w:rsidRDefault="00720CBA" w:rsidP="00817787">
            <w:pPr>
              <w:pStyle w:val="a2"/>
              <w:spacing w:before="60" w:after="0" w:line="240" w:lineRule="auto"/>
              <w:rPr>
                <w:sz w:val="22"/>
                <w:szCs w:val="22"/>
                <w:rtl/>
              </w:rPr>
            </w:pPr>
            <w:r w:rsidRPr="00196E38">
              <w:rPr>
                <w:rFonts w:hint="cs"/>
                <w:b/>
                <w:bCs/>
                <w:sz w:val="22"/>
                <w:szCs w:val="22"/>
                <w:rtl/>
              </w:rPr>
              <w:t>מחוז</w:t>
            </w:r>
          </w:p>
        </w:tc>
        <w:tc>
          <w:tcPr>
            <w:tcW w:w="3522" w:type="dxa"/>
            <w:gridSpan w:val="2"/>
            <w:shd w:val="clear" w:color="auto" w:fill="auto"/>
          </w:tcPr>
          <w:p w:rsidR="00720CBA" w:rsidRPr="00196E38" w:rsidRDefault="00720CBA" w:rsidP="00196E38">
            <w:pPr>
              <w:pStyle w:val="a2"/>
              <w:spacing w:before="60" w:after="0" w:line="240" w:lineRule="auto"/>
              <w:jc w:val="center"/>
              <w:rPr>
                <w:b/>
                <w:bCs/>
                <w:sz w:val="22"/>
                <w:szCs w:val="22"/>
                <w:rtl/>
              </w:rPr>
            </w:pPr>
            <w:r w:rsidRPr="00196E38">
              <w:rPr>
                <w:rFonts w:hint="cs"/>
                <w:b/>
                <w:bCs/>
                <w:sz w:val="22"/>
                <w:szCs w:val="22"/>
                <w:rtl/>
              </w:rPr>
              <w:t>2014</w:t>
            </w:r>
          </w:p>
        </w:tc>
      </w:tr>
      <w:tr w:rsidR="00720CBA" w:rsidRPr="00817787" w:rsidTr="00720CBA">
        <w:trPr>
          <w:tblCellSpacing w:w="20" w:type="dxa"/>
          <w:jc w:val="center"/>
        </w:trPr>
        <w:tc>
          <w:tcPr>
            <w:tcW w:w="1621" w:type="dxa"/>
            <w:vMerge/>
            <w:shd w:val="clear" w:color="auto" w:fill="auto"/>
          </w:tcPr>
          <w:p w:rsidR="00720CBA" w:rsidRPr="00196E38" w:rsidRDefault="00720CBA" w:rsidP="00817787">
            <w:pPr>
              <w:pStyle w:val="a2"/>
              <w:spacing w:before="60" w:after="0" w:line="240" w:lineRule="auto"/>
              <w:rPr>
                <w:b/>
                <w:bCs/>
                <w:sz w:val="22"/>
                <w:szCs w:val="22"/>
                <w:rtl/>
              </w:rPr>
            </w:pPr>
          </w:p>
        </w:tc>
        <w:tc>
          <w:tcPr>
            <w:tcW w:w="1801" w:type="dxa"/>
            <w:shd w:val="clear" w:color="auto" w:fill="auto"/>
          </w:tcPr>
          <w:p w:rsidR="00720CBA" w:rsidRPr="00196E38" w:rsidRDefault="00720CBA" w:rsidP="00196E38">
            <w:pPr>
              <w:pStyle w:val="a2"/>
              <w:spacing w:before="60" w:after="0" w:line="240" w:lineRule="auto"/>
              <w:jc w:val="center"/>
              <w:rPr>
                <w:b/>
                <w:bCs/>
                <w:sz w:val="22"/>
                <w:szCs w:val="22"/>
                <w:rtl/>
              </w:rPr>
            </w:pPr>
            <w:r w:rsidRPr="00196E38">
              <w:rPr>
                <w:rFonts w:hint="cs"/>
                <w:b/>
                <w:bCs/>
                <w:sz w:val="22"/>
                <w:szCs w:val="22"/>
                <w:rtl/>
              </w:rPr>
              <w:t>מספר כתבי אישום</w:t>
            </w:r>
          </w:p>
        </w:tc>
        <w:tc>
          <w:tcPr>
            <w:tcW w:w="1681" w:type="dxa"/>
            <w:shd w:val="clear" w:color="auto" w:fill="auto"/>
          </w:tcPr>
          <w:p w:rsidR="00720CBA" w:rsidRPr="00196E38" w:rsidRDefault="00720CBA" w:rsidP="00196E38">
            <w:pPr>
              <w:pStyle w:val="a2"/>
              <w:spacing w:before="60" w:after="0" w:line="240" w:lineRule="auto"/>
              <w:jc w:val="center"/>
              <w:rPr>
                <w:b/>
                <w:bCs/>
                <w:sz w:val="22"/>
                <w:szCs w:val="22"/>
                <w:rtl/>
              </w:rPr>
            </w:pPr>
            <w:r w:rsidRPr="00196E38">
              <w:rPr>
                <w:rFonts w:hint="cs"/>
                <w:b/>
                <w:bCs/>
                <w:sz w:val="22"/>
                <w:szCs w:val="22"/>
                <w:rtl/>
              </w:rPr>
              <w:t>כמות מעורבים</w:t>
            </w:r>
          </w:p>
        </w:tc>
      </w:tr>
      <w:tr w:rsidR="00720CBA" w:rsidRPr="00817787" w:rsidTr="00720CBA">
        <w:trPr>
          <w:tblCellSpacing w:w="20" w:type="dxa"/>
          <w:jc w:val="center"/>
        </w:trPr>
        <w:tc>
          <w:tcPr>
            <w:tcW w:w="1621" w:type="dxa"/>
            <w:shd w:val="clear" w:color="auto" w:fill="auto"/>
          </w:tcPr>
          <w:p w:rsidR="00720CBA" w:rsidRPr="00817787" w:rsidRDefault="00720CBA" w:rsidP="00817787">
            <w:pPr>
              <w:pStyle w:val="a2"/>
              <w:spacing w:before="60" w:after="0" w:line="240" w:lineRule="auto"/>
              <w:rPr>
                <w:sz w:val="22"/>
                <w:szCs w:val="22"/>
                <w:rtl/>
              </w:rPr>
            </w:pPr>
            <w:r w:rsidRPr="00817787">
              <w:rPr>
                <w:rFonts w:hint="cs"/>
                <w:sz w:val="22"/>
                <w:szCs w:val="22"/>
                <w:rtl/>
              </w:rPr>
              <w:t>דרום</w:t>
            </w:r>
          </w:p>
        </w:tc>
        <w:tc>
          <w:tcPr>
            <w:tcW w:w="1801" w:type="dxa"/>
            <w:shd w:val="clear" w:color="auto" w:fill="auto"/>
          </w:tcPr>
          <w:p w:rsidR="00720CBA" w:rsidRPr="00817787" w:rsidRDefault="00720CBA" w:rsidP="00734DC3">
            <w:pPr>
              <w:pStyle w:val="a2"/>
              <w:spacing w:before="60" w:after="0" w:line="240" w:lineRule="auto"/>
              <w:jc w:val="center"/>
              <w:rPr>
                <w:sz w:val="22"/>
                <w:szCs w:val="22"/>
                <w:rtl/>
              </w:rPr>
            </w:pPr>
            <w:r w:rsidRPr="00817787">
              <w:rPr>
                <w:rFonts w:hint="cs"/>
                <w:sz w:val="22"/>
                <w:szCs w:val="22"/>
                <w:rtl/>
              </w:rPr>
              <w:t>104</w:t>
            </w:r>
          </w:p>
        </w:tc>
        <w:tc>
          <w:tcPr>
            <w:tcW w:w="1681" w:type="dxa"/>
            <w:shd w:val="clear" w:color="auto" w:fill="auto"/>
          </w:tcPr>
          <w:p w:rsidR="00720CBA" w:rsidRPr="00817787" w:rsidRDefault="00720CBA" w:rsidP="00734DC3">
            <w:pPr>
              <w:pStyle w:val="a2"/>
              <w:spacing w:before="60" w:after="0" w:line="240" w:lineRule="auto"/>
              <w:jc w:val="center"/>
              <w:rPr>
                <w:sz w:val="22"/>
                <w:szCs w:val="22"/>
                <w:rtl/>
              </w:rPr>
            </w:pPr>
            <w:r w:rsidRPr="00817787">
              <w:rPr>
                <w:rFonts w:hint="cs"/>
                <w:sz w:val="22"/>
                <w:szCs w:val="22"/>
                <w:rtl/>
              </w:rPr>
              <w:t>95</w:t>
            </w:r>
          </w:p>
        </w:tc>
      </w:tr>
      <w:tr w:rsidR="00720CBA" w:rsidRPr="00817787" w:rsidTr="00720CBA">
        <w:trPr>
          <w:tblCellSpacing w:w="20" w:type="dxa"/>
          <w:jc w:val="center"/>
        </w:trPr>
        <w:tc>
          <w:tcPr>
            <w:tcW w:w="1621" w:type="dxa"/>
            <w:shd w:val="clear" w:color="auto" w:fill="auto"/>
          </w:tcPr>
          <w:p w:rsidR="00720CBA" w:rsidRPr="00817787" w:rsidRDefault="00720CBA" w:rsidP="00817787">
            <w:pPr>
              <w:pStyle w:val="a2"/>
              <w:spacing w:before="60" w:after="0" w:line="240" w:lineRule="auto"/>
              <w:rPr>
                <w:sz w:val="22"/>
                <w:szCs w:val="22"/>
                <w:rtl/>
              </w:rPr>
            </w:pPr>
            <w:r w:rsidRPr="00817787">
              <w:rPr>
                <w:rFonts w:hint="cs"/>
                <w:sz w:val="22"/>
                <w:szCs w:val="22"/>
                <w:rtl/>
              </w:rPr>
              <w:t>חוף</w:t>
            </w:r>
          </w:p>
        </w:tc>
        <w:tc>
          <w:tcPr>
            <w:tcW w:w="1801" w:type="dxa"/>
            <w:shd w:val="clear" w:color="auto" w:fill="auto"/>
          </w:tcPr>
          <w:p w:rsidR="00720CBA" w:rsidRPr="00817787" w:rsidRDefault="00720CBA" w:rsidP="00734DC3">
            <w:pPr>
              <w:pStyle w:val="a2"/>
              <w:spacing w:before="60" w:after="0" w:line="240" w:lineRule="auto"/>
              <w:jc w:val="center"/>
              <w:rPr>
                <w:sz w:val="22"/>
                <w:szCs w:val="22"/>
                <w:rtl/>
              </w:rPr>
            </w:pPr>
            <w:r w:rsidRPr="00817787">
              <w:rPr>
                <w:rFonts w:hint="cs"/>
                <w:sz w:val="22"/>
                <w:szCs w:val="22"/>
                <w:rtl/>
              </w:rPr>
              <w:t>44</w:t>
            </w:r>
          </w:p>
        </w:tc>
        <w:tc>
          <w:tcPr>
            <w:tcW w:w="1681" w:type="dxa"/>
            <w:shd w:val="clear" w:color="auto" w:fill="auto"/>
          </w:tcPr>
          <w:p w:rsidR="00720CBA" w:rsidRPr="00817787" w:rsidRDefault="00720CBA" w:rsidP="00734DC3">
            <w:pPr>
              <w:pStyle w:val="a2"/>
              <w:spacing w:before="60" w:after="0" w:line="240" w:lineRule="auto"/>
              <w:jc w:val="center"/>
              <w:rPr>
                <w:sz w:val="22"/>
                <w:szCs w:val="22"/>
                <w:rtl/>
              </w:rPr>
            </w:pPr>
            <w:r w:rsidRPr="00817787">
              <w:rPr>
                <w:rFonts w:hint="cs"/>
                <w:sz w:val="22"/>
                <w:szCs w:val="22"/>
                <w:rtl/>
              </w:rPr>
              <w:t>11</w:t>
            </w:r>
          </w:p>
        </w:tc>
      </w:tr>
      <w:tr w:rsidR="00720CBA" w:rsidRPr="00817787" w:rsidTr="00720CBA">
        <w:trPr>
          <w:tblCellSpacing w:w="20" w:type="dxa"/>
          <w:jc w:val="center"/>
        </w:trPr>
        <w:tc>
          <w:tcPr>
            <w:tcW w:w="1621" w:type="dxa"/>
            <w:shd w:val="clear" w:color="auto" w:fill="auto"/>
          </w:tcPr>
          <w:p w:rsidR="00720CBA" w:rsidRPr="00817787" w:rsidRDefault="00720CBA" w:rsidP="00817787">
            <w:pPr>
              <w:pStyle w:val="a2"/>
              <w:spacing w:before="60" w:after="0" w:line="240" w:lineRule="auto"/>
              <w:rPr>
                <w:sz w:val="22"/>
                <w:szCs w:val="22"/>
                <w:rtl/>
              </w:rPr>
            </w:pPr>
            <w:r w:rsidRPr="00817787">
              <w:rPr>
                <w:rFonts w:hint="cs"/>
                <w:sz w:val="22"/>
                <w:szCs w:val="22"/>
                <w:rtl/>
              </w:rPr>
              <w:t>ירושלים</w:t>
            </w:r>
          </w:p>
        </w:tc>
        <w:tc>
          <w:tcPr>
            <w:tcW w:w="1801" w:type="dxa"/>
            <w:shd w:val="clear" w:color="auto" w:fill="auto"/>
          </w:tcPr>
          <w:p w:rsidR="00720CBA" w:rsidRPr="00817787" w:rsidRDefault="00720CBA" w:rsidP="00734DC3">
            <w:pPr>
              <w:pStyle w:val="a2"/>
              <w:spacing w:before="60" w:after="0" w:line="240" w:lineRule="auto"/>
              <w:jc w:val="center"/>
              <w:rPr>
                <w:sz w:val="22"/>
                <w:szCs w:val="22"/>
                <w:rtl/>
              </w:rPr>
            </w:pPr>
            <w:r w:rsidRPr="00817787">
              <w:rPr>
                <w:rFonts w:hint="cs"/>
                <w:sz w:val="22"/>
                <w:szCs w:val="22"/>
                <w:rtl/>
              </w:rPr>
              <w:t>22</w:t>
            </w:r>
          </w:p>
        </w:tc>
        <w:tc>
          <w:tcPr>
            <w:tcW w:w="1681" w:type="dxa"/>
            <w:shd w:val="clear" w:color="auto" w:fill="auto"/>
          </w:tcPr>
          <w:p w:rsidR="00720CBA" w:rsidRPr="00817787" w:rsidRDefault="00720CBA" w:rsidP="00734DC3">
            <w:pPr>
              <w:pStyle w:val="a2"/>
              <w:spacing w:before="60" w:after="0" w:line="240" w:lineRule="auto"/>
              <w:jc w:val="center"/>
              <w:rPr>
                <w:sz w:val="22"/>
                <w:szCs w:val="22"/>
                <w:rtl/>
              </w:rPr>
            </w:pPr>
            <w:r w:rsidRPr="00817787">
              <w:rPr>
                <w:rFonts w:hint="cs"/>
                <w:sz w:val="22"/>
                <w:szCs w:val="22"/>
                <w:rtl/>
              </w:rPr>
              <w:t>7</w:t>
            </w:r>
          </w:p>
        </w:tc>
      </w:tr>
      <w:tr w:rsidR="00720CBA" w:rsidRPr="00817787" w:rsidTr="00720CBA">
        <w:trPr>
          <w:tblCellSpacing w:w="20" w:type="dxa"/>
          <w:jc w:val="center"/>
        </w:trPr>
        <w:tc>
          <w:tcPr>
            <w:tcW w:w="1621" w:type="dxa"/>
            <w:shd w:val="clear" w:color="auto" w:fill="auto"/>
          </w:tcPr>
          <w:p w:rsidR="00720CBA" w:rsidRPr="00817787" w:rsidRDefault="00720CBA" w:rsidP="00817787">
            <w:pPr>
              <w:pStyle w:val="a2"/>
              <w:spacing w:before="60" w:after="0" w:line="240" w:lineRule="auto"/>
              <w:rPr>
                <w:sz w:val="22"/>
                <w:szCs w:val="22"/>
                <w:rtl/>
              </w:rPr>
            </w:pPr>
            <w:r w:rsidRPr="00817787">
              <w:rPr>
                <w:rFonts w:hint="cs"/>
                <w:sz w:val="22"/>
                <w:szCs w:val="22"/>
                <w:rtl/>
              </w:rPr>
              <w:t>מרכז</w:t>
            </w:r>
          </w:p>
        </w:tc>
        <w:tc>
          <w:tcPr>
            <w:tcW w:w="1801" w:type="dxa"/>
            <w:shd w:val="clear" w:color="auto" w:fill="auto"/>
          </w:tcPr>
          <w:p w:rsidR="00720CBA" w:rsidRPr="00817787" w:rsidRDefault="00720CBA" w:rsidP="00734DC3">
            <w:pPr>
              <w:pStyle w:val="a2"/>
              <w:spacing w:before="60" w:after="0" w:line="240" w:lineRule="auto"/>
              <w:jc w:val="center"/>
              <w:rPr>
                <w:sz w:val="22"/>
                <w:szCs w:val="22"/>
                <w:rtl/>
              </w:rPr>
            </w:pPr>
            <w:r w:rsidRPr="00817787">
              <w:rPr>
                <w:rFonts w:hint="cs"/>
                <w:sz w:val="22"/>
                <w:szCs w:val="22"/>
                <w:rtl/>
              </w:rPr>
              <w:t>65</w:t>
            </w:r>
          </w:p>
        </w:tc>
        <w:tc>
          <w:tcPr>
            <w:tcW w:w="1681" w:type="dxa"/>
            <w:shd w:val="clear" w:color="auto" w:fill="auto"/>
          </w:tcPr>
          <w:p w:rsidR="00720CBA" w:rsidRPr="00817787" w:rsidRDefault="00720CBA" w:rsidP="00734DC3">
            <w:pPr>
              <w:pStyle w:val="a2"/>
              <w:spacing w:before="60" w:after="0" w:line="240" w:lineRule="auto"/>
              <w:jc w:val="center"/>
              <w:rPr>
                <w:sz w:val="22"/>
                <w:szCs w:val="22"/>
                <w:rtl/>
              </w:rPr>
            </w:pPr>
            <w:r w:rsidRPr="00817787">
              <w:rPr>
                <w:rFonts w:hint="cs"/>
                <w:sz w:val="22"/>
                <w:szCs w:val="22"/>
                <w:rtl/>
              </w:rPr>
              <w:t>34</w:t>
            </w:r>
          </w:p>
        </w:tc>
      </w:tr>
      <w:tr w:rsidR="00720CBA" w:rsidRPr="00817787" w:rsidTr="00720CBA">
        <w:trPr>
          <w:tblCellSpacing w:w="20" w:type="dxa"/>
          <w:jc w:val="center"/>
        </w:trPr>
        <w:tc>
          <w:tcPr>
            <w:tcW w:w="1621" w:type="dxa"/>
            <w:shd w:val="clear" w:color="auto" w:fill="auto"/>
          </w:tcPr>
          <w:p w:rsidR="00720CBA" w:rsidRPr="00817787" w:rsidRDefault="00720CBA" w:rsidP="00817787">
            <w:pPr>
              <w:pStyle w:val="a2"/>
              <w:spacing w:before="60" w:after="0" w:line="240" w:lineRule="auto"/>
              <w:rPr>
                <w:sz w:val="22"/>
                <w:szCs w:val="22"/>
                <w:rtl/>
              </w:rPr>
            </w:pPr>
            <w:r w:rsidRPr="00817787">
              <w:rPr>
                <w:rFonts w:hint="cs"/>
                <w:sz w:val="22"/>
                <w:szCs w:val="22"/>
                <w:rtl/>
              </w:rPr>
              <w:t>צפון</w:t>
            </w:r>
          </w:p>
        </w:tc>
        <w:tc>
          <w:tcPr>
            <w:tcW w:w="1801" w:type="dxa"/>
            <w:shd w:val="clear" w:color="auto" w:fill="auto"/>
          </w:tcPr>
          <w:p w:rsidR="00720CBA" w:rsidRPr="00817787" w:rsidRDefault="00720CBA" w:rsidP="00734DC3">
            <w:pPr>
              <w:pStyle w:val="a2"/>
              <w:spacing w:before="60" w:after="0" w:line="240" w:lineRule="auto"/>
              <w:jc w:val="center"/>
              <w:rPr>
                <w:sz w:val="22"/>
                <w:szCs w:val="22"/>
                <w:rtl/>
              </w:rPr>
            </w:pPr>
            <w:r w:rsidRPr="00817787">
              <w:rPr>
                <w:rFonts w:hint="cs"/>
                <w:sz w:val="22"/>
                <w:szCs w:val="22"/>
                <w:rtl/>
              </w:rPr>
              <w:t>18</w:t>
            </w:r>
          </w:p>
        </w:tc>
        <w:tc>
          <w:tcPr>
            <w:tcW w:w="1681" w:type="dxa"/>
            <w:shd w:val="clear" w:color="auto" w:fill="auto"/>
          </w:tcPr>
          <w:p w:rsidR="00720CBA" w:rsidRPr="00817787" w:rsidRDefault="00720CBA" w:rsidP="00734DC3">
            <w:pPr>
              <w:pStyle w:val="a2"/>
              <w:spacing w:before="60" w:after="0" w:line="240" w:lineRule="auto"/>
              <w:jc w:val="center"/>
              <w:rPr>
                <w:sz w:val="22"/>
                <w:szCs w:val="22"/>
                <w:rtl/>
              </w:rPr>
            </w:pPr>
            <w:r w:rsidRPr="00817787">
              <w:rPr>
                <w:rFonts w:hint="cs"/>
                <w:sz w:val="22"/>
                <w:szCs w:val="22"/>
                <w:rtl/>
              </w:rPr>
              <w:t>9</w:t>
            </w:r>
          </w:p>
        </w:tc>
      </w:tr>
      <w:tr w:rsidR="00720CBA" w:rsidRPr="00817787" w:rsidTr="00720CBA">
        <w:trPr>
          <w:tblCellSpacing w:w="20" w:type="dxa"/>
          <w:jc w:val="center"/>
        </w:trPr>
        <w:tc>
          <w:tcPr>
            <w:tcW w:w="1621" w:type="dxa"/>
            <w:shd w:val="clear" w:color="auto" w:fill="auto"/>
          </w:tcPr>
          <w:p w:rsidR="00720CBA" w:rsidRPr="00817787" w:rsidRDefault="00720CBA" w:rsidP="00817787">
            <w:pPr>
              <w:pStyle w:val="a2"/>
              <w:spacing w:before="60" w:after="0" w:line="240" w:lineRule="auto"/>
              <w:rPr>
                <w:sz w:val="22"/>
                <w:szCs w:val="22"/>
                <w:rtl/>
              </w:rPr>
            </w:pPr>
            <w:r w:rsidRPr="00817787">
              <w:rPr>
                <w:rFonts w:hint="cs"/>
                <w:sz w:val="22"/>
                <w:szCs w:val="22"/>
                <w:rtl/>
              </w:rPr>
              <w:t>שומרון-יהודה</w:t>
            </w:r>
          </w:p>
        </w:tc>
        <w:tc>
          <w:tcPr>
            <w:tcW w:w="1801" w:type="dxa"/>
            <w:shd w:val="clear" w:color="auto" w:fill="auto"/>
          </w:tcPr>
          <w:p w:rsidR="00720CBA" w:rsidRPr="00817787" w:rsidRDefault="00720CBA" w:rsidP="00734DC3">
            <w:pPr>
              <w:pStyle w:val="a2"/>
              <w:spacing w:before="60" w:after="0" w:line="240" w:lineRule="auto"/>
              <w:jc w:val="center"/>
              <w:rPr>
                <w:sz w:val="22"/>
                <w:szCs w:val="22"/>
                <w:rtl/>
              </w:rPr>
            </w:pPr>
            <w:r w:rsidRPr="00817787">
              <w:rPr>
                <w:rFonts w:hint="cs"/>
                <w:sz w:val="22"/>
                <w:szCs w:val="22"/>
                <w:rtl/>
              </w:rPr>
              <w:t>20</w:t>
            </w:r>
          </w:p>
        </w:tc>
        <w:tc>
          <w:tcPr>
            <w:tcW w:w="1681" w:type="dxa"/>
            <w:shd w:val="clear" w:color="auto" w:fill="auto"/>
          </w:tcPr>
          <w:p w:rsidR="00720CBA" w:rsidRPr="00817787" w:rsidRDefault="00720CBA" w:rsidP="00734DC3">
            <w:pPr>
              <w:pStyle w:val="a2"/>
              <w:spacing w:before="60" w:after="0" w:line="240" w:lineRule="auto"/>
              <w:jc w:val="center"/>
              <w:rPr>
                <w:sz w:val="22"/>
                <w:szCs w:val="22"/>
                <w:rtl/>
              </w:rPr>
            </w:pPr>
            <w:r w:rsidRPr="00817787">
              <w:rPr>
                <w:rFonts w:hint="cs"/>
                <w:sz w:val="22"/>
                <w:szCs w:val="22"/>
                <w:rtl/>
              </w:rPr>
              <w:t>20</w:t>
            </w:r>
          </w:p>
        </w:tc>
      </w:tr>
      <w:tr w:rsidR="00720CBA" w:rsidRPr="00817787" w:rsidTr="00720CBA">
        <w:trPr>
          <w:tblCellSpacing w:w="20" w:type="dxa"/>
          <w:jc w:val="center"/>
        </w:trPr>
        <w:tc>
          <w:tcPr>
            <w:tcW w:w="1621" w:type="dxa"/>
            <w:shd w:val="clear" w:color="auto" w:fill="auto"/>
          </w:tcPr>
          <w:p w:rsidR="00720CBA" w:rsidRPr="00817787" w:rsidRDefault="00720CBA" w:rsidP="00817787">
            <w:pPr>
              <w:pStyle w:val="a2"/>
              <w:spacing w:before="60" w:after="0" w:line="240" w:lineRule="auto"/>
              <w:rPr>
                <w:sz w:val="22"/>
                <w:szCs w:val="22"/>
                <w:rtl/>
              </w:rPr>
            </w:pPr>
            <w:r w:rsidRPr="00817787">
              <w:rPr>
                <w:rFonts w:hint="cs"/>
                <w:sz w:val="22"/>
                <w:szCs w:val="22"/>
                <w:rtl/>
              </w:rPr>
              <w:t>תל-אביב</w:t>
            </w:r>
          </w:p>
        </w:tc>
        <w:tc>
          <w:tcPr>
            <w:tcW w:w="1801" w:type="dxa"/>
            <w:shd w:val="clear" w:color="auto" w:fill="auto"/>
          </w:tcPr>
          <w:p w:rsidR="00720CBA" w:rsidRPr="00817787" w:rsidRDefault="00720CBA" w:rsidP="00734DC3">
            <w:pPr>
              <w:pStyle w:val="a2"/>
              <w:spacing w:before="60" w:after="0" w:line="240" w:lineRule="auto"/>
              <w:jc w:val="center"/>
              <w:rPr>
                <w:sz w:val="22"/>
                <w:szCs w:val="22"/>
                <w:rtl/>
              </w:rPr>
            </w:pPr>
            <w:r w:rsidRPr="00817787">
              <w:rPr>
                <w:rFonts w:hint="cs"/>
                <w:sz w:val="22"/>
                <w:szCs w:val="22"/>
                <w:rtl/>
              </w:rPr>
              <w:t>36</w:t>
            </w:r>
          </w:p>
        </w:tc>
        <w:tc>
          <w:tcPr>
            <w:tcW w:w="1681" w:type="dxa"/>
            <w:shd w:val="clear" w:color="auto" w:fill="auto"/>
          </w:tcPr>
          <w:p w:rsidR="00720CBA" w:rsidRPr="00817787" w:rsidRDefault="00720CBA" w:rsidP="00734DC3">
            <w:pPr>
              <w:pStyle w:val="a2"/>
              <w:spacing w:before="60" w:after="0" w:line="240" w:lineRule="auto"/>
              <w:jc w:val="center"/>
              <w:rPr>
                <w:sz w:val="22"/>
                <w:szCs w:val="22"/>
                <w:rtl/>
              </w:rPr>
            </w:pPr>
            <w:r w:rsidRPr="00817787">
              <w:rPr>
                <w:rFonts w:hint="cs"/>
                <w:sz w:val="22"/>
                <w:szCs w:val="22"/>
                <w:rtl/>
              </w:rPr>
              <w:t>38</w:t>
            </w:r>
          </w:p>
        </w:tc>
      </w:tr>
      <w:tr w:rsidR="00720CBA" w:rsidRPr="00817787" w:rsidTr="00720CBA">
        <w:trPr>
          <w:tblCellSpacing w:w="20" w:type="dxa"/>
          <w:jc w:val="center"/>
        </w:trPr>
        <w:tc>
          <w:tcPr>
            <w:tcW w:w="1621" w:type="dxa"/>
            <w:shd w:val="clear" w:color="auto" w:fill="auto"/>
          </w:tcPr>
          <w:p w:rsidR="00720CBA" w:rsidRPr="00DA66FB" w:rsidRDefault="00720CBA" w:rsidP="00817787">
            <w:pPr>
              <w:pStyle w:val="a2"/>
              <w:spacing w:before="60" w:after="0" w:line="240" w:lineRule="auto"/>
              <w:rPr>
                <w:b/>
                <w:bCs/>
                <w:sz w:val="22"/>
                <w:szCs w:val="22"/>
                <w:rtl/>
              </w:rPr>
            </w:pPr>
            <w:r w:rsidRPr="00DA66FB">
              <w:rPr>
                <w:rFonts w:hint="cs"/>
                <w:b/>
                <w:bCs/>
                <w:sz w:val="22"/>
                <w:szCs w:val="22"/>
                <w:rtl/>
              </w:rPr>
              <w:t>סך הכל</w:t>
            </w:r>
          </w:p>
        </w:tc>
        <w:tc>
          <w:tcPr>
            <w:tcW w:w="1801" w:type="dxa"/>
            <w:shd w:val="clear" w:color="auto" w:fill="auto"/>
          </w:tcPr>
          <w:p w:rsidR="00720CBA" w:rsidRPr="00DA66FB" w:rsidRDefault="00720CBA" w:rsidP="00734DC3">
            <w:pPr>
              <w:spacing w:before="60" w:after="0" w:line="240" w:lineRule="auto"/>
              <w:jc w:val="center"/>
              <w:rPr>
                <w:b/>
                <w:bCs/>
                <w:sz w:val="22"/>
                <w:szCs w:val="22"/>
              </w:rPr>
            </w:pPr>
            <w:r w:rsidRPr="00DA66FB">
              <w:rPr>
                <w:rFonts w:hint="cs"/>
                <w:b/>
                <w:bCs/>
                <w:sz w:val="22"/>
                <w:szCs w:val="22"/>
                <w:rtl/>
              </w:rPr>
              <w:t>309</w:t>
            </w:r>
          </w:p>
        </w:tc>
        <w:tc>
          <w:tcPr>
            <w:tcW w:w="1681" w:type="dxa"/>
            <w:shd w:val="clear" w:color="auto" w:fill="auto"/>
          </w:tcPr>
          <w:p w:rsidR="00720CBA" w:rsidRPr="00DA66FB" w:rsidRDefault="00720CBA" w:rsidP="00734DC3">
            <w:pPr>
              <w:spacing w:before="60" w:after="0" w:line="240" w:lineRule="auto"/>
              <w:jc w:val="center"/>
              <w:rPr>
                <w:b/>
                <w:bCs/>
                <w:sz w:val="22"/>
                <w:szCs w:val="22"/>
              </w:rPr>
            </w:pPr>
            <w:r w:rsidRPr="00DA66FB">
              <w:rPr>
                <w:rFonts w:hint="cs"/>
                <w:b/>
                <w:bCs/>
                <w:sz w:val="22"/>
                <w:szCs w:val="22"/>
                <w:rtl/>
              </w:rPr>
              <w:t>214</w:t>
            </w:r>
          </w:p>
        </w:tc>
      </w:tr>
    </w:tbl>
    <w:p w:rsidR="00164B34" w:rsidRDefault="00164B34" w:rsidP="00982A7A">
      <w:pPr>
        <w:pStyle w:val="a2"/>
        <w:spacing w:line="360" w:lineRule="auto"/>
        <w:rPr>
          <w:rtl/>
        </w:rPr>
      </w:pPr>
    </w:p>
    <w:p w:rsidR="00C270DC" w:rsidRPr="00BB6388" w:rsidRDefault="008D6AD6" w:rsidP="00982A7A">
      <w:pPr>
        <w:pStyle w:val="a2"/>
        <w:spacing w:line="360" w:lineRule="auto"/>
        <w:rPr>
          <w:rtl/>
        </w:rPr>
      </w:pPr>
      <w:r>
        <w:rPr>
          <w:rFonts w:hint="cs"/>
          <w:rtl/>
        </w:rPr>
        <w:t>במכתבו</w:t>
      </w:r>
      <w:r w:rsidR="00C270DC" w:rsidRPr="00BB6388">
        <w:rPr>
          <w:rFonts w:hint="cs"/>
          <w:rtl/>
        </w:rPr>
        <w:t xml:space="preserve"> </w:t>
      </w:r>
      <w:r w:rsidR="007D6F2E" w:rsidRPr="00BB6388">
        <w:rPr>
          <w:rFonts w:hint="cs"/>
          <w:rtl/>
        </w:rPr>
        <w:t>למרכז המחקר והמידע של הכנסת</w:t>
      </w:r>
      <w:r>
        <w:rPr>
          <w:rFonts w:hint="cs"/>
          <w:rtl/>
        </w:rPr>
        <w:t xml:space="preserve"> מוסר המשרד לבטחון הפנים כי </w:t>
      </w:r>
      <w:r w:rsidR="00C270DC" w:rsidRPr="00BB6388">
        <w:rPr>
          <w:rFonts w:hint="cs"/>
          <w:rtl/>
        </w:rPr>
        <w:t xml:space="preserve">במסגרת יישום </w:t>
      </w:r>
      <w:r w:rsidR="00982A7A" w:rsidRPr="004B2418">
        <w:rPr>
          <w:rFonts w:hint="cs"/>
          <w:rtl/>
        </w:rPr>
        <w:t>חוק המאבק בתופעת השימוש בחומרים מסכנים</w:t>
      </w:r>
      <w:r w:rsidR="00982A7A">
        <w:rPr>
          <w:rFonts w:hint="cs"/>
          <w:rtl/>
        </w:rPr>
        <w:t xml:space="preserve"> התשע"ג-2013 במתכונתו הנוכחית עומדים בפני המשטרה</w:t>
      </w:r>
      <w:r w:rsidR="00C270DC" w:rsidRPr="00BB6388">
        <w:rPr>
          <w:rFonts w:hint="cs"/>
          <w:rtl/>
        </w:rPr>
        <w:t xml:space="preserve"> מספר אתגרים:</w:t>
      </w:r>
      <w:r>
        <w:rPr>
          <w:rStyle w:val="ab"/>
          <w:rtl/>
        </w:rPr>
        <w:footnoteReference w:id="225"/>
      </w:r>
      <w:r w:rsidR="00C270DC" w:rsidRPr="00BB6388">
        <w:rPr>
          <w:rFonts w:hint="cs"/>
          <w:rtl/>
        </w:rPr>
        <w:t xml:space="preserve"> </w:t>
      </w:r>
    </w:p>
    <w:p w:rsidR="00C270DC" w:rsidRPr="00BB6388" w:rsidRDefault="0065686F" w:rsidP="0065686F">
      <w:pPr>
        <w:pStyle w:val="a2"/>
        <w:numPr>
          <w:ilvl w:val="0"/>
          <w:numId w:val="15"/>
        </w:numPr>
        <w:spacing w:line="360" w:lineRule="auto"/>
      </w:pPr>
      <w:r>
        <w:rPr>
          <w:rFonts w:hint="cs"/>
          <w:rtl/>
        </w:rPr>
        <w:t>תופעת השימוש והסחר</w:t>
      </w:r>
      <w:r w:rsidR="00C270DC" w:rsidRPr="00BB6388">
        <w:rPr>
          <w:rFonts w:hint="cs"/>
          <w:rtl/>
        </w:rPr>
        <w:t xml:space="preserve"> </w:t>
      </w:r>
      <w:r>
        <w:rPr>
          <w:rFonts w:hint="cs"/>
          <w:rtl/>
        </w:rPr>
        <w:t>ב</w:t>
      </w:r>
      <w:r w:rsidR="00C270DC" w:rsidRPr="0065686F">
        <w:rPr>
          <w:rFonts w:hint="eastAsia"/>
          <w:rtl/>
        </w:rPr>
        <w:t>תחליפי</w:t>
      </w:r>
      <w:r w:rsidR="00C270DC" w:rsidRPr="0065686F">
        <w:rPr>
          <w:rtl/>
        </w:rPr>
        <w:t xml:space="preserve"> </w:t>
      </w:r>
      <w:r w:rsidR="00C270DC" w:rsidRPr="0065686F">
        <w:rPr>
          <w:rFonts w:hint="eastAsia"/>
          <w:rtl/>
        </w:rPr>
        <w:t>הסם</w:t>
      </w:r>
      <w:r w:rsidR="00C270DC" w:rsidRPr="0065686F">
        <w:rPr>
          <w:rtl/>
        </w:rPr>
        <w:t xml:space="preserve"> </w:t>
      </w:r>
      <w:r>
        <w:rPr>
          <w:rFonts w:hint="cs"/>
          <w:rtl/>
        </w:rPr>
        <w:t>ממשיכה</w:t>
      </w:r>
      <w:r w:rsidR="00C270DC" w:rsidRPr="00BB6388">
        <w:rPr>
          <w:rFonts w:hint="cs"/>
          <w:rtl/>
        </w:rPr>
        <w:t xml:space="preserve"> לצמוח ולהתרחב; </w:t>
      </w:r>
    </w:p>
    <w:p w:rsidR="00C270DC" w:rsidRPr="00BB6388" w:rsidRDefault="009D2817" w:rsidP="00B47FDC">
      <w:pPr>
        <w:pStyle w:val="a2"/>
        <w:numPr>
          <w:ilvl w:val="0"/>
          <w:numId w:val="15"/>
        </w:numPr>
        <w:spacing w:line="360" w:lineRule="auto"/>
      </w:pPr>
      <w:r>
        <w:rPr>
          <w:rFonts w:hint="cs"/>
          <w:rtl/>
        </w:rPr>
        <w:t xml:space="preserve">החומרים המשמשים להכנת הסמים מיוצרים ברובם בחו"ל, לעיתים באופן חוקי, ובישראל נעשית פעילות עיבוד החומרים ליצורו של המוצר הסופי, וזאת </w:t>
      </w:r>
      <w:r w:rsidR="00C270DC" w:rsidRPr="00BB6388">
        <w:rPr>
          <w:rFonts w:hint="cs"/>
          <w:rtl/>
        </w:rPr>
        <w:t xml:space="preserve">במעבדות זמניות ומאולתרות; </w:t>
      </w:r>
    </w:p>
    <w:p w:rsidR="00C270DC" w:rsidRPr="00BB6388" w:rsidRDefault="00982A7A" w:rsidP="00DC2DB0">
      <w:pPr>
        <w:pStyle w:val="a2"/>
        <w:numPr>
          <w:ilvl w:val="0"/>
          <w:numId w:val="15"/>
        </w:numPr>
        <w:spacing w:line="360" w:lineRule="auto"/>
      </w:pPr>
      <w:r>
        <w:rPr>
          <w:rFonts w:hint="cs"/>
          <w:rtl/>
        </w:rPr>
        <w:t xml:space="preserve">נראה כי </w:t>
      </w:r>
      <w:r w:rsidR="00C270DC" w:rsidRPr="00BB6388">
        <w:rPr>
          <w:rFonts w:hint="cs"/>
          <w:rtl/>
        </w:rPr>
        <w:t xml:space="preserve">רשת </w:t>
      </w:r>
      <w:r>
        <w:rPr>
          <w:rFonts w:hint="cs"/>
          <w:rtl/>
        </w:rPr>
        <w:t xml:space="preserve">האינטרנט </w:t>
      </w:r>
      <w:r w:rsidR="00C270DC" w:rsidRPr="00BB6388">
        <w:rPr>
          <w:rFonts w:hint="cs"/>
          <w:rtl/>
        </w:rPr>
        <w:t>הולכת ותופסת את מקומן של הפיצוציות</w:t>
      </w:r>
      <w:r w:rsidR="009C7146">
        <w:rPr>
          <w:rFonts w:hint="cs"/>
          <w:rtl/>
        </w:rPr>
        <w:t xml:space="preserve"> כאתר מ</w:t>
      </w:r>
      <w:r w:rsidR="00B47FDC">
        <w:rPr>
          <w:rFonts w:hint="cs"/>
          <w:rtl/>
        </w:rPr>
        <w:t>י</w:t>
      </w:r>
      <w:r w:rsidR="009C7146">
        <w:rPr>
          <w:rFonts w:hint="cs"/>
          <w:rtl/>
        </w:rPr>
        <w:t>מכר</w:t>
      </w:r>
      <w:r w:rsidR="00C270DC" w:rsidRPr="00BB6388">
        <w:rPr>
          <w:rFonts w:hint="cs"/>
          <w:rtl/>
        </w:rPr>
        <w:t xml:space="preserve">; </w:t>
      </w:r>
    </w:p>
    <w:p w:rsidR="00C270DC" w:rsidRPr="00BB6388" w:rsidRDefault="00C270DC" w:rsidP="00DC2DB0">
      <w:pPr>
        <w:pStyle w:val="a2"/>
        <w:numPr>
          <w:ilvl w:val="0"/>
          <w:numId w:val="15"/>
        </w:numPr>
        <w:spacing w:line="360" w:lineRule="auto"/>
      </w:pPr>
      <w:r w:rsidRPr="00BB6388">
        <w:rPr>
          <w:rFonts w:hint="cs"/>
          <w:rtl/>
        </w:rPr>
        <w:t xml:space="preserve">בתי המשפט מבקשים חוות דעת מקצועיות מהמעבדה לזיהוי פלילי (העוסקת בזיהוי החומר הנחשד כמסכן) בפרק זמן שהוא לעיתים קצר יותר ממשך הזמן הנדרש בפועל לזיהויו של אותו החומר, מה שמוביל לעיתים לשחרורם של חשודים ממעצר; </w:t>
      </w:r>
    </w:p>
    <w:p w:rsidR="00C270DC" w:rsidRPr="00BB6388" w:rsidRDefault="00C270DC" w:rsidP="00DC2DB0">
      <w:pPr>
        <w:pStyle w:val="a2"/>
        <w:numPr>
          <w:ilvl w:val="0"/>
          <w:numId w:val="15"/>
        </w:numPr>
        <w:spacing w:line="360" w:lineRule="auto"/>
      </w:pPr>
      <w:r w:rsidRPr="00BB6388">
        <w:rPr>
          <w:rFonts w:hint="cs"/>
          <w:rtl/>
        </w:rPr>
        <w:t xml:space="preserve">החוק עבר בכנסת ללא מסגרת תקציבית. </w:t>
      </w:r>
      <w:r w:rsidR="00982A7A">
        <w:rPr>
          <w:rFonts w:hint="cs"/>
          <w:rtl/>
        </w:rPr>
        <w:t xml:space="preserve">המשרד מעיד כי </w:t>
      </w:r>
      <w:r w:rsidRPr="00BB6388">
        <w:rPr>
          <w:rFonts w:hint="cs"/>
          <w:rtl/>
        </w:rPr>
        <w:t xml:space="preserve">נפח העבודה של המשטרה התרחב, </w:t>
      </w:r>
      <w:r w:rsidR="00982A7A">
        <w:rPr>
          <w:rFonts w:hint="cs"/>
          <w:rtl/>
        </w:rPr>
        <w:t xml:space="preserve">אך זאת ללא </w:t>
      </w:r>
      <w:r w:rsidRPr="00BB6388">
        <w:rPr>
          <w:rFonts w:hint="cs"/>
          <w:rtl/>
        </w:rPr>
        <w:t xml:space="preserve">תוספת תקציבית. </w:t>
      </w:r>
    </w:p>
    <w:p w:rsidR="00FB063E" w:rsidRDefault="00C270DC" w:rsidP="00FB063E">
      <w:pPr>
        <w:pStyle w:val="4"/>
        <w:rPr>
          <w:rtl/>
        </w:rPr>
      </w:pPr>
      <w:bookmarkStart w:id="213" w:name="_Toc418585143"/>
      <w:bookmarkStart w:id="214" w:name="_Toc419963090"/>
      <w:r w:rsidRPr="00BB6388">
        <w:rPr>
          <w:rFonts w:hint="cs"/>
          <w:rtl/>
        </w:rPr>
        <w:t xml:space="preserve">פעילות </w:t>
      </w:r>
      <w:r w:rsidR="00AC0BCD" w:rsidRPr="00BB6388">
        <w:rPr>
          <w:rFonts w:hint="cs"/>
          <w:rtl/>
        </w:rPr>
        <w:t xml:space="preserve">במסגרת </w:t>
      </w:r>
      <w:bookmarkEnd w:id="213"/>
      <w:bookmarkEnd w:id="214"/>
      <w:r w:rsidR="00FB063E" w:rsidRPr="00B94AC1">
        <w:rPr>
          <w:rtl/>
        </w:rPr>
        <w:t>חוק המאבק בתופעת השכרות</w:t>
      </w:r>
      <w:r w:rsidR="00FB063E" w:rsidRPr="00B94AC1">
        <w:rPr>
          <w:rFonts w:hint="cs"/>
          <w:rtl/>
        </w:rPr>
        <w:t>, התש"ע-2010</w:t>
      </w:r>
      <w:r w:rsidR="00FB063E" w:rsidRPr="00DC3038">
        <w:rPr>
          <w:rStyle w:val="ab"/>
          <w:b w:val="0"/>
          <w:bCs w:val="0"/>
          <w:sz w:val="24"/>
          <w:szCs w:val="24"/>
          <w:rtl/>
        </w:rPr>
        <w:footnoteReference w:id="226"/>
      </w:r>
    </w:p>
    <w:p w:rsidR="00FB063E" w:rsidRDefault="00FB063E" w:rsidP="00332B4A">
      <w:pPr>
        <w:pStyle w:val="a2"/>
        <w:rPr>
          <w:rtl/>
        </w:rPr>
      </w:pPr>
      <w:r w:rsidRPr="007336C3">
        <w:rPr>
          <w:rFonts w:hint="cs"/>
          <w:b/>
          <w:bCs/>
          <w:rtl/>
        </w:rPr>
        <w:t>חוק המאבק בתופעת השכרות, התש"ע-2010</w:t>
      </w:r>
      <w:r w:rsidR="007336C3" w:rsidRPr="00DC3038">
        <w:rPr>
          <w:rStyle w:val="ab"/>
          <w:b/>
          <w:bCs/>
          <w:rtl/>
        </w:rPr>
        <w:footnoteReference w:id="227"/>
      </w:r>
      <w:r w:rsidR="007336C3">
        <w:rPr>
          <w:rFonts w:hint="cs"/>
          <w:rtl/>
        </w:rPr>
        <w:t xml:space="preserve"> </w:t>
      </w:r>
      <w:r w:rsidR="000F7780">
        <w:rPr>
          <w:rFonts w:hint="cs"/>
          <w:rtl/>
        </w:rPr>
        <w:t xml:space="preserve">מעניק </w:t>
      </w:r>
      <w:r w:rsidR="007336C3">
        <w:rPr>
          <w:rFonts w:hint="cs"/>
          <w:rtl/>
        </w:rPr>
        <w:t>לשוטר סמכויות נרחבות של תפיסת והשמדת משקה משכר היה ומדובר בקטי</w:t>
      </w:r>
      <w:r w:rsidR="00B47FDC">
        <w:rPr>
          <w:rFonts w:hint="cs"/>
          <w:rtl/>
        </w:rPr>
        <w:t>ן</w:t>
      </w:r>
      <w:r w:rsidR="007336C3">
        <w:rPr>
          <w:rFonts w:hint="cs"/>
          <w:rtl/>
        </w:rPr>
        <w:t xml:space="preserve"> שלא בנוכחות האחראי עליו או בחשש להפרת בסדר הציבורי.</w:t>
      </w:r>
      <w:r w:rsidR="000F7780">
        <w:rPr>
          <w:rStyle w:val="ab"/>
          <w:rtl/>
        </w:rPr>
        <w:footnoteReference w:id="228"/>
      </w:r>
    </w:p>
    <w:p w:rsidR="00C270DC" w:rsidRPr="00BB6388" w:rsidRDefault="004628C0" w:rsidP="00B47FDC">
      <w:pPr>
        <w:pStyle w:val="a2"/>
        <w:spacing w:line="360" w:lineRule="auto"/>
        <w:rPr>
          <w:rtl/>
        </w:rPr>
      </w:pPr>
      <w:r w:rsidRPr="00BB6388">
        <w:rPr>
          <w:rFonts w:hint="cs"/>
          <w:rtl/>
        </w:rPr>
        <w:t xml:space="preserve">בתשובת </w:t>
      </w:r>
      <w:r>
        <w:rPr>
          <w:rFonts w:hint="cs"/>
          <w:rtl/>
        </w:rPr>
        <w:t>ה</w:t>
      </w:r>
      <w:r w:rsidRPr="00BB6388">
        <w:rPr>
          <w:rFonts w:hint="cs"/>
          <w:rtl/>
        </w:rPr>
        <w:t xml:space="preserve">משרד </w:t>
      </w:r>
      <w:r>
        <w:rPr>
          <w:rFonts w:hint="cs"/>
          <w:rtl/>
        </w:rPr>
        <w:t xml:space="preserve">לבטחון </w:t>
      </w:r>
      <w:r w:rsidRPr="00BB6388">
        <w:rPr>
          <w:rFonts w:hint="cs"/>
          <w:rtl/>
        </w:rPr>
        <w:t xml:space="preserve">הפנים למרכז המחקר והמידע </w:t>
      </w:r>
      <w:r w:rsidR="000F7780">
        <w:rPr>
          <w:rFonts w:hint="cs"/>
          <w:rtl/>
        </w:rPr>
        <w:t xml:space="preserve">של הכנסת </w:t>
      </w:r>
      <w:r w:rsidRPr="00BB6388">
        <w:rPr>
          <w:rFonts w:hint="cs"/>
          <w:rtl/>
        </w:rPr>
        <w:t>נכתב כי המשרד רואה במאבק בתופעת השכרות חשיבות עליונה, וכי בנתונים להלן (מספר החקירות שנפתחו בגין העבירות המוגדרות בחוק זה וכתבי האישום שהוגשו בעקבותיה</w:t>
      </w:r>
      <w:r w:rsidR="00332B4A">
        <w:rPr>
          <w:rFonts w:hint="cs"/>
          <w:rtl/>
        </w:rPr>
        <w:t>ן</w:t>
      </w:r>
      <w:r w:rsidRPr="00BB6388">
        <w:rPr>
          <w:rFonts w:hint="cs"/>
          <w:rtl/>
        </w:rPr>
        <w:t>) יש להעיד בדבר שיפור משמעותי בהתמודדות המשטרה עם התופעה.</w:t>
      </w:r>
      <w:r w:rsidRPr="00BB6388">
        <w:rPr>
          <w:rStyle w:val="ab"/>
          <w:rtl/>
        </w:rPr>
        <w:footnoteReference w:id="229"/>
      </w:r>
      <w:r w:rsidR="000F7780">
        <w:rPr>
          <w:rFonts w:hint="cs"/>
          <w:rtl/>
        </w:rPr>
        <w:t xml:space="preserve"> </w:t>
      </w:r>
      <w:r w:rsidR="00C270DC" w:rsidRPr="00BB6388">
        <w:rPr>
          <w:rFonts w:hint="cs"/>
          <w:rtl/>
        </w:rPr>
        <w:t xml:space="preserve">הנתונים </w:t>
      </w:r>
      <w:r w:rsidR="00755059">
        <w:rPr>
          <w:rFonts w:hint="cs"/>
          <w:rtl/>
        </w:rPr>
        <w:t>המוצגים כאן</w:t>
      </w:r>
      <w:r w:rsidR="00C270DC" w:rsidRPr="00BB6388">
        <w:rPr>
          <w:rFonts w:hint="cs"/>
          <w:rtl/>
        </w:rPr>
        <w:t xml:space="preserve"> הם הנתונים שנמסרו על-ידי </w:t>
      </w:r>
      <w:r>
        <w:rPr>
          <w:rFonts w:hint="cs"/>
          <w:rtl/>
        </w:rPr>
        <w:t>השר לבטחון הפנים</w:t>
      </w:r>
      <w:r w:rsidRPr="00BB6388">
        <w:rPr>
          <w:rFonts w:hint="cs"/>
          <w:rtl/>
        </w:rPr>
        <w:t xml:space="preserve"> </w:t>
      </w:r>
      <w:r>
        <w:rPr>
          <w:rFonts w:hint="cs"/>
          <w:rtl/>
        </w:rPr>
        <w:t xml:space="preserve">ב- 25 </w:t>
      </w:r>
      <w:r w:rsidRPr="00BB6388">
        <w:rPr>
          <w:rFonts w:hint="cs"/>
          <w:rtl/>
        </w:rPr>
        <w:t>במרץ 2015</w:t>
      </w:r>
      <w:r>
        <w:rPr>
          <w:rFonts w:hint="cs"/>
          <w:rtl/>
        </w:rPr>
        <w:t xml:space="preserve"> </w:t>
      </w:r>
      <w:r w:rsidRPr="00BB6388">
        <w:rPr>
          <w:rFonts w:hint="cs"/>
          <w:rtl/>
        </w:rPr>
        <w:t xml:space="preserve">לוועדת הפנים והגנת הסביבה של הכנסת ולוועדת </w:t>
      </w:r>
      <w:r w:rsidR="00DB4F0D">
        <w:rPr>
          <w:rFonts w:hint="cs"/>
          <w:rtl/>
        </w:rPr>
        <w:t>ה</w:t>
      </w:r>
      <w:r w:rsidRPr="00BB6388">
        <w:rPr>
          <w:rFonts w:hint="cs"/>
          <w:rtl/>
        </w:rPr>
        <w:t>חוקה</w:t>
      </w:r>
      <w:r w:rsidR="00DB4F0D">
        <w:rPr>
          <w:rFonts w:hint="cs"/>
          <w:rtl/>
        </w:rPr>
        <w:t>,</w:t>
      </w:r>
      <w:r w:rsidRPr="00BB6388">
        <w:rPr>
          <w:rFonts w:hint="cs"/>
          <w:rtl/>
        </w:rPr>
        <w:t xml:space="preserve"> חוק ומשפט של הכנסת,</w:t>
      </w:r>
      <w:r>
        <w:rPr>
          <w:rFonts w:hint="cs"/>
          <w:rtl/>
        </w:rPr>
        <w:t xml:space="preserve"> וזאת </w:t>
      </w:r>
      <w:r w:rsidR="00C270DC" w:rsidRPr="00BB6388">
        <w:rPr>
          <w:rFonts w:hint="cs"/>
          <w:rtl/>
        </w:rPr>
        <w:t xml:space="preserve">במסגרת </w:t>
      </w:r>
      <w:r>
        <w:rPr>
          <w:rFonts w:hint="cs"/>
          <w:rtl/>
        </w:rPr>
        <w:t xml:space="preserve">חובת הדיווח שהושתה עליו במסגרת </w:t>
      </w:r>
      <w:r w:rsidR="00C270DC" w:rsidRPr="00BB6388">
        <w:rPr>
          <w:rFonts w:hint="cs"/>
          <w:rtl/>
        </w:rPr>
        <w:t>חוק זה.</w:t>
      </w:r>
      <w:r w:rsidR="00F87F05" w:rsidRPr="00BB6388">
        <w:rPr>
          <w:rStyle w:val="ab"/>
          <w:rtl/>
        </w:rPr>
        <w:footnoteReference w:id="230"/>
      </w:r>
      <w:r w:rsidR="00C270DC" w:rsidRPr="00BB6388">
        <w:rPr>
          <w:rFonts w:hint="cs"/>
          <w:rtl/>
        </w:rPr>
        <w:t xml:space="preserve"> </w:t>
      </w:r>
    </w:p>
    <w:p w:rsidR="00C270DC" w:rsidRPr="00BB6388" w:rsidRDefault="00C270DC" w:rsidP="00BB6388">
      <w:pPr>
        <w:pStyle w:val="a2"/>
        <w:spacing w:line="360" w:lineRule="auto"/>
        <w:rPr>
          <w:rtl/>
        </w:rPr>
      </w:pPr>
      <w:r w:rsidRPr="00BB6388">
        <w:rPr>
          <w:rFonts w:hint="cs"/>
          <w:b/>
          <w:bCs/>
          <w:rtl/>
        </w:rPr>
        <w:t>תדירות השימוש בסמכות תפיסה והשמדה</w:t>
      </w:r>
    </w:p>
    <w:p w:rsidR="00C270DC" w:rsidRPr="00BB6388" w:rsidRDefault="00755059" w:rsidP="00755059">
      <w:pPr>
        <w:pStyle w:val="a2"/>
        <w:spacing w:line="360" w:lineRule="auto"/>
        <w:rPr>
          <w:rtl/>
        </w:rPr>
      </w:pPr>
      <w:r>
        <w:rPr>
          <w:rFonts w:hint="cs"/>
          <w:rtl/>
        </w:rPr>
        <w:t xml:space="preserve">מהמשרד לבטחון הפנים </w:t>
      </w:r>
      <w:r w:rsidR="00C270DC" w:rsidRPr="00BB6388">
        <w:rPr>
          <w:rFonts w:hint="cs"/>
          <w:rtl/>
        </w:rPr>
        <w:t>נמסר כי אין במערכת המחשוב של משטרת ישראל יכולת לאסוף נתונים סטטיסטיים בנוגע לתפיסת או שפיכת אלכוהול. בו-בזמן, נמסר כי קיימת 'פעילות ענפה' של שפיכת אלכוהול, בעיקר בקרב קטינים, על-ידי זרועות השיטור השונות (שיטור עירוני, בילוש וכד'), וכן סנקציות כנגד בעלי עסקים העוברים על החוק. מצויין ע</w:t>
      </w:r>
      <w:r>
        <w:rPr>
          <w:rFonts w:hint="cs"/>
          <w:rtl/>
        </w:rPr>
        <w:t xml:space="preserve">וד בתשובת המשרד </w:t>
      </w:r>
      <w:r w:rsidR="00C270DC" w:rsidRPr="00BB6388">
        <w:rPr>
          <w:rFonts w:hint="cs"/>
          <w:rtl/>
        </w:rPr>
        <w:t>כי במסגרת סנקציות כאלו לרוב לא מוחרמת הסחורה (אלא אם היא גנובה). לא נמסרו נתונים מדוייקים באשר להיקפה של פעילות זו.</w:t>
      </w:r>
    </w:p>
    <w:p w:rsidR="00C270DC" w:rsidRPr="00BB6388" w:rsidRDefault="00C270DC" w:rsidP="00BB6388">
      <w:pPr>
        <w:pStyle w:val="a2"/>
        <w:spacing w:line="360" w:lineRule="auto"/>
        <w:rPr>
          <w:rtl/>
        </w:rPr>
      </w:pPr>
      <w:r w:rsidRPr="00BB6388">
        <w:rPr>
          <w:rFonts w:hint="cs"/>
          <w:b/>
          <w:bCs/>
          <w:rtl/>
        </w:rPr>
        <w:t>היקף פתיחת תיקים, כתבי אישום וגזרי דין</w:t>
      </w:r>
    </w:p>
    <w:p w:rsidR="000F7780" w:rsidRDefault="00C270DC" w:rsidP="00332B4A">
      <w:pPr>
        <w:pStyle w:val="a2"/>
        <w:spacing w:line="360" w:lineRule="auto"/>
        <w:rPr>
          <w:rtl/>
        </w:rPr>
      </w:pPr>
      <w:r w:rsidRPr="00BB6388">
        <w:rPr>
          <w:rFonts w:hint="cs"/>
          <w:rtl/>
        </w:rPr>
        <w:t>בשנת 2014 נפתחו במשטרת ישראל 1,908 תיקים בגין עבירות של איסור, מכירה ואספקת משקה משכר לקטינים; 1,071 תיקים נגנזו; הוגשו כתבי אישום ב- 715 תיקי</w:t>
      </w:r>
      <w:r w:rsidR="00DC391E">
        <w:rPr>
          <w:rFonts w:hint="cs"/>
          <w:rtl/>
        </w:rPr>
        <w:t>ם</w:t>
      </w:r>
      <w:r w:rsidRPr="00BB6388">
        <w:rPr>
          <w:rFonts w:hint="cs"/>
          <w:rtl/>
        </w:rPr>
        <w:t>; והוטלו 158 גזרי דין, מתוכם 59 ללא הרשעה</w:t>
      </w:r>
      <w:r w:rsidR="00332B4A">
        <w:rPr>
          <w:rFonts w:hint="cs"/>
          <w:rtl/>
        </w:rPr>
        <w:t xml:space="preserve"> פלילית</w:t>
      </w:r>
      <w:r w:rsidRPr="00BB6388">
        <w:rPr>
          <w:rFonts w:hint="cs"/>
          <w:rtl/>
        </w:rPr>
        <w:t>.</w:t>
      </w:r>
      <w:r w:rsidR="00DC391E">
        <w:rPr>
          <w:rStyle w:val="ab"/>
          <w:rtl/>
        </w:rPr>
        <w:footnoteReference w:id="231"/>
      </w:r>
      <w:r w:rsidR="000F7780">
        <w:rPr>
          <w:rFonts w:hint="cs"/>
          <w:rtl/>
        </w:rPr>
        <w:t xml:space="preserve"> </w:t>
      </w:r>
    </w:p>
    <w:p w:rsidR="00C270DC" w:rsidRPr="00BB6388" w:rsidRDefault="00C270DC" w:rsidP="00997BFB">
      <w:pPr>
        <w:pStyle w:val="a2"/>
        <w:spacing w:line="360" w:lineRule="auto"/>
        <w:rPr>
          <w:rtl/>
        </w:rPr>
      </w:pPr>
      <w:r w:rsidRPr="00BB6388">
        <w:rPr>
          <w:rFonts w:hint="cs"/>
          <w:rtl/>
        </w:rPr>
        <w:t xml:space="preserve">טבלה מס' </w:t>
      </w:r>
      <w:r w:rsidR="00997BFB">
        <w:rPr>
          <w:rFonts w:hint="cs"/>
          <w:rtl/>
        </w:rPr>
        <w:t>13</w:t>
      </w:r>
      <w:r w:rsidRPr="00BB6388">
        <w:rPr>
          <w:rFonts w:hint="cs"/>
          <w:rtl/>
        </w:rPr>
        <w:t xml:space="preserve"> מציגה את </w:t>
      </w:r>
      <w:r w:rsidRPr="00E21F65">
        <w:rPr>
          <w:rFonts w:hint="cs"/>
          <w:u w:val="single"/>
          <w:rtl/>
        </w:rPr>
        <w:t>מספר הת</w:t>
      </w:r>
      <w:r w:rsidR="00853B7D" w:rsidRPr="00E21F65">
        <w:rPr>
          <w:rFonts w:hint="cs"/>
          <w:u w:val="single"/>
          <w:rtl/>
        </w:rPr>
        <w:t>יקים</w:t>
      </w:r>
      <w:r w:rsidR="00853B7D">
        <w:rPr>
          <w:rFonts w:hint="cs"/>
          <w:rtl/>
        </w:rPr>
        <w:t xml:space="preserve"> שנפתחו בין השנים 2010-2014, ו</w:t>
      </w:r>
      <w:r w:rsidR="00853B7D" w:rsidRPr="00BB6388">
        <w:rPr>
          <w:rFonts w:hint="cs"/>
          <w:rtl/>
        </w:rPr>
        <w:t xml:space="preserve">איור 2 מציג את פילוח </w:t>
      </w:r>
      <w:r w:rsidR="00853B7D" w:rsidRPr="00BB6388">
        <w:rPr>
          <w:rFonts w:hint="cs"/>
          <w:u w:val="single"/>
          <w:rtl/>
        </w:rPr>
        <w:t>העבירות</w:t>
      </w:r>
      <w:r w:rsidR="00853B7D" w:rsidRPr="00BB6388">
        <w:rPr>
          <w:rFonts w:hint="cs"/>
          <w:rtl/>
        </w:rPr>
        <w:t xml:space="preserve"> השונות בתיקים שנפתחו תחת חוק זה</w:t>
      </w:r>
      <w:r w:rsidR="00853B7D">
        <w:rPr>
          <w:rFonts w:hint="cs"/>
          <w:rtl/>
        </w:rPr>
        <w:t xml:space="preserve"> בשנת 2014.</w:t>
      </w:r>
    </w:p>
    <w:p w:rsidR="00C270DC" w:rsidRPr="00BB6388" w:rsidRDefault="00FE2162" w:rsidP="00FE2162">
      <w:pPr>
        <w:pStyle w:val="af2"/>
        <w:jc w:val="center"/>
        <w:rPr>
          <w:rtl/>
        </w:rPr>
      </w:pPr>
      <w:bookmarkStart w:id="215" w:name="_Toc419963091"/>
      <w:r w:rsidRPr="00FE2162">
        <w:rPr>
          <w:sz w:val="24"/>
          <w:szCs w:val="24"/>
          <w:rtl/>
        </w:rPr>
        <w:t xml:space="preserve">טבלה </w:t>
      </w:r>
      <w:r w:rsidRPr="00FE2162">
        <w:rPr>
          <w:sz w:val="24"/>
          <w:szCs w:val="24"/>
          <w:rtl/>
        </w:rPr>
        <w:fldChar w:fldCharType="begin"/>
      </w:r>
      <w:r w:rsidRPr="00FE2162">
        <w:rPr>
          <w:sz w:val="24"/>
          <w:szCs w:val="24"/>
          <w:rtl/>
        </w:rPr>
        <w:instrText xml:space="preserve"> </w:instrText>
      </w:r>
      <w:r w:rsidRPr="00FE2162">
        <w:rPr>
          <w:rFonts w:hint="cs"/>
          <w:sz w:val="24"/>
          <w:szCs w:val="24"/>
        </w:rPr>
        <w:instrText>SEQ</w:instrText>
      </w:r>
      <w:r w:rsidRPr="00FE2162">
        <w:rPr>
          <w:rFonts w:hint="cs"/>
          <w:sz w:val="24"/>
          <w:szCs w:val="24"/>
          <w:rtl/>
        </w:rPr>
        <w:instrText xml:space="preserve"> טבלה \* </w:instrText>
      </w:r>
      <w:r w:rsidRPr="00FE2162">
        <w:rPr>
          <w:rFonts w:hint="cs"/>
          <w:sz w:val="24"/>
          <w:szCs w:val="24"/>
        </w:rPr>
        <w:instrText>ARABIC</w:instrText>
      </w:r>
      <w:r w:rsidRPr="00FE2162">
        <w:rPr>
          <w:sz w:val="24"/>
          <w:szCs w:val="24"/>
          <w:rtl/>
        </w:rPr>
        <w:instrText xml:space="preserve"> </w:instrText>
      </w:r>
      <w:r w:rsidRPr="00FE2162">
        <w:rPr>
          <w:sz w:val="24"/>
          <w:szCs w:val="24"/>
          <w:rtl/>
        </w:rPr>
        <w:fldChar w:fldCharType="separate"/>
      </w:r>
      <w:r w:rsidR="007347AB">
        <w:rPr>
          <w:noProof/>
          <w:sz w:val="24"/>
          <w:szCs w:val="24"/>
          <w:rtl/>
        </w:rPr>
        <w:t>13</w:t>
      </w:r>
      <w:r w:rsidRPr="00FE2162">
        <w:rPr>
          <w:sz w:val="24"/>
          <w:szCs w:val="24"/>
          <w:rtl/>
        </w:rPr>
        <w:fldChar w:fldCharType="end"/>
      </w:r>
      <w:r w:rsidR="00C270DC" w:rsidRPr="00FE2162">
        <w:rPr>
          <w:rFonts w:hint="cs"/>
          <w:sz w:val="24"/>
          <w:szCs w:val="24"/>
          <w:rtl/>
        </w:rPr>
        <w:t>: מספר תיקים שנפתחו תחת חוק המאבק בתופעת השכרות בשנים 201</w:t>
      </w:r>
      <w:r w:rsidR="00701835" w:rsidRPr="00FE2162">
        <w:rPr>
          <w:rFonts w:hint="cs"/>
          <w:sz w:val="24"/>
          <w:szCs w:val="24"/>
          <w:rtl/>
        </w:rPr>
        <w:t>1</w:t>
      </w:r>
      <w:r w:rsidR="00C270DC" w:rsidRPr="00FE2162">
        <w:rPr>
          <w:rFonts w:hint="cs"/>
          <w:sz w:val="24"/>
          <w:szCs w:val="24"/>
          <w:rtl/>
        </w:rPr>
        <w:t>-2014</w:t>
      </w:r>
      <w:r w:rsidR="00C270DC" w:rsidRPr="00BB6388">
        <w:rPr>
          <w:rStyle w:val="ab"/>
          <w:rtl/>
        </w:rPr>
        <w:footnoteReference w:id="232"/>
      </w:r>
      <w:bookmarkEnd w:id="215"/>
    </w:p>
    <w:tbl>
      <w:tblPr>
        <w:bidiVisual/>
        <w:tblW w:w="5000" w:type="pct"/>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5996"/>
        <w:gridCol w:w="817"/>
        <w:gridCol w:w="746"/>
        <w:gridCol w:w="789"/>
        <w:gridCol w:w="827"/>
      </w:tblGrid>
      <w:tr w:rsidR="000536D4" w:rsidRPr="00E21F65" w:rsidTr="000536D4">
        <w:trPr>
          <w:tblCellSpacing w:w="20" w:type="dxa"/>
        </w:trPr>
        <w:tc>
          <w:tcPr>
            <w:tcW w:w="3234" w:type="pct"/>
            <w:shd w:val="clear" w:color="auto" w:fill="auto"/>
          </w:tcPr>
          <w:p w:rsidR="00701835" w:rsidRPr="00E21F65" w:rsidRDefault="00701835" w:rsidP="00E21F65">
            <w:pPr>
              <w:pStyle w:val="a2"/>
              <w:spacing w:before="60" w:after="0" w:line="240" w:lineRule="auto"/>
              <w:rPr>
                <w:sz w:val="22"/>
                <w:szCs w:val="22"/>
                <w:rtl/>
              </w:rPr>
            </w:pPr>
          </w:p>
        </w:tc>
        <w:tc>
          <w:tcPr>
            <w:tcW w:w="424" w:type="pct"/>
            <w:shd w:val="clear" w:color="auto" w:fill="auto"/>
          </w:tcPr>
          <w:p w:rsidR="00701835" w:rsidRPr="000536D4" w:rsidRDefault="00701835" w:rsidP="00E21F65">
            <w:pPr>
              <w:pStyle w:val="a2"/>
              <w:spacing w:before="60" w:after="0" w:line="240" w:lineRule="auto"/>
              <w:rPr>
                <w:b/>
                <w:bCs/>
                <w:sz w:val="22"/>
                <w:szCs w:val="22"/>
                <w:rtl/>
              </w:rPr>
            </w:pPr>
            <w:r w:rsidRPr="000536D4">
              <w:rPr>
                <w:rFonts w:hint="cs"/>
                <w:b/>
                <w:bCs/>
                <w:sz w:val="22"/>
                <w:szCs w:val="22"/>
                <w:rtl/>
              </w:rPr>
              <w:t>2011</w:t>
            </w:r>
          </w:p>
        </w:tc>
        <w:tc>
          <w:tcPr>
            <w:tcW w:w="385" w:type="pct"/>
            <w:shd w:val="clear" w:color="auto" w:fill="auto"/>
          </w:tcPr>
          <w:p w:rsidR="00701835" w:rsidRPr="000536D4" w:rsidRDefault="00701835" w:rsidP="00E21F65">
            <w:pPr>
              <w:pStyle w:val="a2"/>
              <w:spacing w:before="60" w:after="0" w:line="240" w:lineRule="auto"/>
              <w:rPr>
                <w:b/>
                <w:bCs/>
                <w:sz w:val="22"/>
                <w:szCs w:val="22"/>
                <w:rtl/>
              </w:rPr>
            </w:pPr>
            <w:r w:rsidRPr="000536D4">
              <w:rPr>
                <w:rFonts w:hint="cs"/>
                <w:b/>
                <w:bCs/>
                <w:sz w:val="22"/>
                <w:szCs w:val="22"/>
                <w:rtl/>
              </w:rPr>
              <w:t>2012</w:t>
            </w:r>
          </w:p>
        </w:tc>
        <w:tc>
          <w:tcPr>
            <w:tcW w:w="408" w:type="pct"/>
            <w:shd w:val="clear" w:color="auto" w:fill="auto"/>
          </w:tcPr>
          <w:p w:rsidR="00701835" w:rsidRPr="000536D4" w:rsidRDefault="00701835" w:rsidP="00E21F65">
            <w:pPr>
              <w:pStyle w:val="a2"/>
              <w:spacing w:before="60" w:after="0" w:line="240" w:lineRule="auto"/>
              <w:rPr>
                <w:b/>
                <w:bCs/>
                <w:sz w:val="22"/>
                <w:szCs w:val="22"/>
                <w:rtl/>
              </w:rPr>
            </w:pPr>
            <w:r w:rsidRPr="000536D4">
              <w:rPr>
                <w:rFonts w:hint="cs"/>
                <w:b/>
                <w:bCs/>
                <w:sz w:val="22"/>
                <w:szCs w:val="22"/>
                <w:rtl/>
              </w:rPr>
              <w:t>2013</w:t>
            </w:r>
          </w:p>
        </w:tc>
        <w:tc>
          <w:tcPr>
            <w:tcW w:w="418" w:type="pct"/>
            <w:shd w:val="clear" w:color="auto" w:fill="auto"/>
          </w:tcPr>
          <w:p w:rsidR="00701835" w:rsidRPr="000536D4" w:rsidRDefault="00701835" w:rsidP="00E21F65">
            <w:pPr>
              <w:pStyle w:val="a2"/>
              <w:spacing w:before="60" w:after="0" w:line="240" w:lineRule="auto"/>
              <w:rPr>
                <w:b/>
                <w:bCs/>
                <w:sz w:val="22"/>
                <w:szCs w:val="22"/>
                <w:rtl/>
              </w:rPr>
            </w:pPr>
            <w:r w:rsidRPr="000536D4">
              <w:rPr>
                <w:rFonts w:hint="cs"/>
                <w:b/>
                <w:bCs/>
                <w:sz w:val="22"/>
                <w:szCs w:val="22"/>
                <w:rtl/>
              </w:rPr>
              <w:t>2014</w:t>
            </w:r>
          </w:p>
        </w:tc>
      </w:tr>
      <w:tr w:rsidR="000536D4" w:rsidRPr="00E21F65" w:rsidTr="000536D4">
        <w:trPr>
          <w:tblCellSpacing w:w="20" w:type="dxa"/>
        </w:trPr>
        <w:tc>
          <w:tcPr>
            <w:tcW w:w="3234" w:type="pct"/>
            <w:shd w:val="clear" w:color="auto" w:fill="auto"/>
          </w:tcPr>
          <w:p w:rsidR="00701835" w:rsidRPr="00E21F65" w:rsidRDefault="00E46D93" w:rsidP="00E21F65">
            <w:pPr>
              <w:pStyle w:val="a2"/>
              <w:spacing w:before="60" w:after="0" w:line="240" w:lineRule="auto"/>
              <w:rPr>
                <w:sz w:val="22"/>
                <w:szCs w:val="22"/>
                <w:rtl/>
              </w:rPr>
            </w:pPr>
            <w:r w:rsidRPr="00E21F65">
              <w:rPr>
                <w:rFonts w:hint="cs"/>
                <w:sz w:val="22"/>
                <w:szCs w:val="22"/>
                <w:rtl/>
              </w:rPr>
              <w:t>סך</w:t>
            </w:r>
            <w:r w:rsidR="000B30D6" w:rsidRPr="00E21F65">
              <w:rPr>
                <w:rFonts w:hint="cs"/>
                <w:sz w:val="22"/>
                <w:szCs w:val="22"/>
                <w:rtl/>
              </w:rPr>
              <w:t xml:space="preserve"> תיקי</w:t>
            </w:r>
            <w:r w:rsidRPr="00E21F65">
              <w:rPr>
                <w:rFonts w:hint="cs"/>
                <w:sz w:val="22"/>
                <w:szCs w:val="22"/>
                <w:rtl/>
              </w:rPr>
              <w:t>ם בגין</w:t>
            </w:r>
            <w:r w:rsidR="000B30D6" w:rsidRPr="00E21F65">
              <w:rPr>
                <w:rFonts w:hint="cs"/>
                <w:sz w:val="22"/>
                <w:szCs w:val="22"/>
                <w:rtl/>
              </w:rPr>
              <w:t xml:space="preserve"> איסור מכירה, מכירת משקה לקטין</w:t>
            </w:r>
            <w:r w:rsidR="00701835" w:rsidRPr="00E21F65">
              <w:rPr>
                <w:rFonts w:hint="cs"/>
                <w:sz w:val="22"/>
                <w:szCs w:val="22"/>
                <w:rtl/>
              </w:rPr>
              <w:t xml:space="preserve"> ואספקת משקה לקטין</w:t>
            </w:r>
          </w:p>
        </w:tc>
        <w:tc>
          <w:tcPr>
            <w:tcW w:w="424" w:type="pct"/>
            <w:shd w:val="clear" w:color="auto" w:fill="auto"/>
          </w:tcPr>
          <w:p w:rsidR="00701835" w:rsidRPr="00E21F65" w:rsidRDefault="00701835" w:rsidP="00E21F65">
            <w:pPr>
              <w:pStyle w:val="a2"/>
              <w:spacing w:before="60" w:after="0" w:line="240" w:lineRule="auto"/>
              <w:rPr>
                <w:sz w:val="22"/>
                <w:szCs w:val="22"/>
                <w:rtl/>
              </w:rPr>
            </w:pPr>
            <w:r w:rsidRPr="00E21F65">
              <w:rPr>
                <w:rFonts w:hint="cs"/>
                <w:sz w:val="22"/>
                <w:szCs w:val="22"/>
                <w:rtl/>
              </w:rPr>
              <w:t>1,110</w:t>
            </w:r>
          </w:p>
        </w:tc>
        <w:tc>
          <w:tcPr>
            <w:tcW w:w="385" w:type="pct"/>
            <w:shd w:val="clear" w:color="auto" w:fill="auto"/>
          </w:tcPr>
          <w:p w:rsidR="00701835" w:rsidRPr="00E21F65" w:rsidRDefault="00701835" w:rsidP="00E21F65">
            <w:pPr>
              <w:pStyle w:val="a2"/>
              <w:spacing w:before="60" w:after="0" w:line="240" w:lineRule="auto"/>
              <w:rPr>
                <w:sz w:val="22"/>
                <w:szCs w:val="22"/>
                <w:rtl/>
              </w:rPr>
            </w:pPr>
            <w:r w:rsidRPr="00E21F65">
              <w:rPr>
                <w:rFonts w:hint="cs"/>
                <w:sz w:val="22"/>
                <w:szCs w:val="22"/>
                <w:rtl/>
              </w:rPr>
              <w:t>1,450</w:t>
            </w:r>
          </w:p>
        </w:tc>
        <w:tc>
          <w:tcPr>
            <w:tcW w:w="408" w:type="pct"/>
            <w:shd w:val="clear" w:color="auto" w:fill="auto"/>
          </w:tcPr>
          <w:p w:rsidR="00701835" w:rsidRPr="00E21F65" w:rsidRDefault="00701835" w:rsidP="00E21F65">
            <w:pPr>
              <w:pStyle w:val="a2"/>
              <w:spacing w:before="60" w:after="0" w:line="240" w:lineRule="auto"/>
              <w:rPr>
                <w:sz w:val="22"/>
                <w:szCs w:val="22"/>
                <w:rtl/>
              </w:rPr>
            </w:pPr>
            <w:r w:rsidRPr="00E21F65">
              <w:rPr>
                <w:rFonts w:hint="cs"/>
                <w:sz w:val="22"/>
                <w:szCs w:val="22"/>
                <w:rtl/>
              </w:rPr>
              <w:t>1,679</w:t>
            </w:r>
          </w:p>
        </w:tc>
        <w:tc>
          <w:tcPr>
            <w:tcW w:w="418" w:type="pct"/>
            <w:shd w:val="clear" w:color="auto" w:fill="auto"/>
          </w:tcPr>
          <w:p w:rsidR="00701835" w:rsidRPr="00E21F65" w:rsidRDefault="00701835" w:rsidP="00E21F65">
            <w:pPr>
              <w:pStyle w:val="a2"/>
              <w:spacing w:before="60" w:after="0" w:line="240" w:lineRule="auto"/>
              <w:rPr>
                <w:sz w:val="22"/>
                <w:szCs w:val="22"/>
                <w:rtl/>
              </w:rPr>
            </w:pPr>
            <w:r w:rsidRPr="00E21F65">
              <w:rPr>
                <w:rFonts w:hint="cs"/>
                <w:sz w:val="22"/>
                <w:szCs w:val="22"/>
                <w:rtl/>
              </w:rPr>
              <w:t>1,908</w:t>
            </w:r>
          </w:p>
        </w:tc>
      </w:tr>
    </w:tbl>
    <w:p w:rsidR="000F7780" w:rsidRDefault="000F7780" w:rsidP="00FE2162">
      <w:pPr>
        <w:pStyle w:val="af2"/>
        <w:jc w:val="center"/>
        <w:rPr>
          <w:sz w:val="24"/>
          <w:szCs w:val="24"/>
          <w:rtl/>
        </w:rPr>
      </w:pPr>
      <w:bookmarkStart w:id="216" w:name="_Toc419963092"/>
    </w:p>
    <w:p w:rsidR="00C270DC" w:rsidRPr="00BB6388" w:rsidRDefault="00FE2162" w:rsidP="00222AC9">
      <w:pPr>
        <w:pStyle w:val="af2"/>
        <w:jc w:val="center"/>
        <w:rPr>
          <w:rtl/>
        </w:rPr>
      </w:pPr>
      <w:r w:rsidRPr="00FE2162">
        <w:rPr>
          <w:sz w:val="24"/>
          <w:szCs w:val="24"/>
          <w:rtl/>
        </w:rPr>
        <w:t xml:space="preserve">איור </w:t>
      </w:r>
      <w:r w:rsidRPr="00FE2162">
        <w:rPr>
          <w:sz w:val="24"/>
          <w:szCs w:val="24"/>
          <w:rtl/>
        </w:rPr>
        <w:fldChar w:fldCharType="begin"/>
      </w:r>
      <w:r w:rsidRPr="00FE2162">
        <w:rPr>
          <w:sz w:val="24"/>
          <w:szCs w:val="24"/>
          <w:rtl/>
        </w:rPr>
        <w:instrText xml:space="preserve"> </w:instrText>
      </w:r>
      <w:r w:rsidRPr="00FE2162">
        <w:rPr>
          <w:rFonts w:hint="cs"/>
          <w:sz w:val="24"/>
          <w:szCs w:val="24"/>
        </w:rPr>
        <w:instrText>SEQ</w:instrText>
      </w:r>
      <w:r w:rsidRPr="00FE2162">
        <w:rPr>
          <w:rFonts w:hint="cs"/>
          <w:sz w:val="24"/>
          <w:szCs w:val="24"/>
          <w:rtl/>
        </w:rPr>
        <w:instrText xml:space="preserve"> איור \* </w:instrText>
      </w:r>
      <w:r w:rsidRPr="00FE2162">
        <w:rPr>
          <w:rFonts w:hint="cs"/>
          <w:sz w:val="24"/>
          <w:szCs w:val="24"/>
        </w:rPr>
        <w:instrText>ARABIC</w:instrText>
      </w:r>
      <w:r w:rsidRPr="00FE2162">
        <w:rPr>
          <w:sz w:val="24"/>
          <w:szCs w:val="24"/>
          <w:rtl/>
        </w:rPr>
        <w:instrText xml:space="preserve"> </w:instrText>
      </w:r>
      <w:r w:rsidRPr="00FE2162">
        <w:rPr>
          <w:sz w:val="24"/>
          <w:szCs w:val="24"/>
          <w:rtl/>
        </w:rPr>
        <w:fldChar w:fldCharType="separate"/>
      </w:r>
      <w:r w:rsidR="007347AB">
        <w:rPr>
          <w:noProof/>
          <w:sz w:val="24"/>
          <w:szCs w:val="24"/>
          <w:rtl/>
        </w:rPr>
        <w:t>2</w:t>
      </w:r>
      <w:r w:rsidRPr="00FE2162">
        <w:rPr>
          <w:sz w:val="24"/>
          <w:szCs w:val="24"/>
          <w:rtl/>
        </w:rPr>
        <w:fldChar w:fldCharType="end"/>
      </w:r>
      <w:r w:rsidR="00C270DC" w:rsidRPr="00FE2162">
        <w:rPr>
          <w:rFonts w:hint="cs"/>
          <w:sz w:val="24"/>
          <w:szCs w:val="24"/>
          <w:rtl/>
        </w:rPr>
        <w:t xml:space="preserve">: התפלגות העבירות בתיקים שנפתחו  </w:t>
      </w:r>
      <w:r w:rsidR="00222AC9">
        <w:rPr>
          <w:rFonts w:hint="cs"/>
          <w:sz w:val="24"/>
          <w:szCs w:val="24"/>
          <w:rtl/>
        </w:rPr>
        <w:t xml:space="preserve">בגין </w:t>
      </w:r>
      <w:r w:rsidR="00C270DC" w:rsidRPr="00FE2162">
        <w:rPr>
          <w:rFonts w:hint="cs"/>
          <w:sz w:val="24"/>
          <w:szCs w:val="24"/>
          <w:rtl/>
        </w:rPr>
        <w:t>חוק המאבק בתופעת השכרות בשנת 2014, במספרים ובאחוזים</w:t>
      </w:r>
      <w:r w:rsidR="00C270DC" w:rsidRPr="00BB6388">
        <w:rPr>
          <w:rStyle w:val="ab"/>
          <w:rtl/>
        </w:rPr>
        <w:footnoteReference w:id="233"/>
      </w:r>
      <w:bookmarkEnd w:id="216"/>
    </w:p>
    <w:p w:rsidR="00C270DC" w:rsidRPr="00BB6388" w:rsidRDefault="00C270DC" w:rsidP="00BB6388">
      <w:pPr>
        <w:pStyle w:val="a2"/>
        <w:spacing w:line="360" w:lineRule="auto"/>
        <w:jc w:val="center"/>
        <w:rPr>
          <w:rtl/>
        </w:rPr>
      </w:pPr>
      <w:r w:rsidRPr="00BB6388">
        <w:rPr>
          <w:noProof/>
        </w:rPr>
        <w:drawing>
          <wp:inline distT="0" distB="0" distL="0" distR="0" wp14:anchorId="28BB58C0" wp14:editId="3648939F">
            <wp:extent cx="5069434" cy="2545690"/>
            <wp:effectExtent l="0" t="0" r="0" b="7620"/>
            <wp:docPr id="6" name="תרשים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F68CE" w:rsidRDefault="00C270DC" w:rsidP="009800E6">
      <w:pPr>
        <w:pStyle w:val="a2"/>
        <w:spacing w:line="360" w:lineRule="auto"/>
        <w:rPr>
          <w:rtl/>
        </w:rPr>
      </w:pPr>
      <w:r w:rsidRPr="00BB6388">
        <w:rPr>
          <w:rFonts w:hint="cs"/>
          <w:rtl/>
        </w:rPr>
        <w:t xml:space="preserve">ניתן לראות כי </w:t>
      </w:r>
      <w:r w:rsidRPr="00BB6388">
        <w:rPr>
          <w:rFonts w:hint="cs"/>
          <w:b/>
          <w:bCs/>
          <w:rtl/>
        </w:rPr>
        <w:t>ב- 2014 העבירה הנפוצה ביותר בתיקי משטרה תחת חוק המאבק בשכרות היתה מכירת משקה משכר לקטין (939 עבירות, שהן 40%)</w:t>
      </w:r>
      <w:r w:rsidRPr="00BB6388">
        <w:rPr>
          <w:rFonts w:hint="cs"/>
          <w:rtl/>
        </w:rPr>
        <w:t>, אחריה הספקת או רכישת משקה משכר לקטין (801 עבירות, המהוות 34%), ולבסוף איסור מכירת משקה משכר לקטין (598 עבירות, שהן 26%).</w:t>
      </w:r>
      <w:r w:rsidR="00425B26">
        <w:rPr>
          <w:rFonts w:hint="cs"/>
          <w:rtl/>
        </w:rPr>
        <w:t xml:space="preserve"> </w:t>
      </w:r>
      <w:r w:rsidRPr="00BB6388">
        <w:rPr>
          <w:rFonts w:hint="cs"/>
          <w:rtl/>
        </w:rPr>
        <w:t>בנוסף, נמסרו ב- 2014, 334 צווי סגירה לעסקים בכל רחבי הארץ.</w:t>
      </w:r>
      <w:r w:rsidR="009800E6">
        <w:rPr>
          <w:rFonts w:hint="cs"/>
          <w:rtl/>
        </w:rPr>
        <w:t xml:space="preserve"> </w:t>
      </w:r>
    </w:p>
    <w:p w:rsidR="000E67F6" w:rsidRDefault="00C270DC" w:rsidP="00C435CF">
      <w:pPr>
        <w:pStyle w:val="a2"/>
        <w:spacing w:line="360" w:lineRule="auto"/>
        <w:rPr>
          <w:rtl/>
        </w:rPr>
      </w:pPr>
      <w:r w:rsidRPr="00BB6388">
        <w:rPr>
          <w:rFonts w:hint="cs"/>
          <w:rtl/>
        </w:rPr>
        <w:t xml:space="preserve">טבלה </w:t>
      </w:r>
      <w:r w:rsidR="00C435CF">
        <w:rPr>
          <w:rFonts w:hint="cs"/>
          <w:rtl/>
        </w:rPr>
        <w:t>14</w:t>
      </w:r>
      <w:r w:rsidRPr="00BB6388">
        <w:rPr>
          <w:rFonts w:hint="cs"/>
          <w:rtl/>
        </w:rPr>
        <w:t xml:space="preserve"> מציגה נתונים לשנים 2013 ו- 2014 בדבר שימועים, צווי סגירה לעסקים, ומספר כתבי אישום תחת חוק המאבק</w:t>
      </w:r>
      <w:r w:rsidR="00B3633B">
        <w:rPr>
          <w:rFonts w:hint="cs"/>
          <w:rtl/>
        </w:rPr>
        <w:t xml:space="preserve"> בשכרות, וזאת בחלוקה לפי מחוזות.</w:t>
      </w:r>
      <w:r w:rsidR="000E67F6">
        <w:rPr>
          <w:rFonts w:hint="cs"/>
          <w:rtl/>
        </w:rPr>
        <w:t xml:space="preserve"> </w:t>
      </w:r>
      <w:r w:rsidR="002B1DF5">
        <w:rPr>
          <w:rFonts w:hint="cs"/>
          <w:rtl/>
        </w:rPr>
        <w:t xml:space="preserve">מן הטבלה עולה, </w:t>
      </w:r>
      <w:r w:rsidR="002B1DF5" w:rsidRPr="00BB6388">
        <w:rPr>
          <w:rFonts w:hint="cs"/>
          <w:rtl/>
        </w:rPr>
        <w:t xml:space="preserve">ראשית, </w:t>
      </w:r>
      <w:r w:rsidR="002B1DF5" w:rsidRPr="00B3633B">
        <w:rPr>
          <w:rFonts w:hint="cs"/>
          <w:b/>
          <w:bCs/>
          <w:rtl/>
        </w:rPr>
        <w:t>כי בשנים 2013 ו- 2014</w:t>
      </w:r>
      <w:r w:rsidR="002B1DF5">
        <w:rPr>
          <w:rFonts w:hint="cs"/>
          <w:rtl/>
        </w:rPr>
        <w:t xml:space="preserve"> </w:t>
      </w:r>
      <w:r w:rsidR="002B1DF5" w:rsidRPr="00425B26">
        <w:rPr>
          <w:rFonts w:hint="cs"/>
          <w:b/>
          <w:bCs/>
          <w:rtl/>
        </w:rPr>
        <w:t xml:space="preserve">במחוז שומרון יהודה </w:t>
      </w:r>
      <w:r w:rsidR="002B1DF5">
        <w:rPr>
          <w:rFonts w:hint="cs"/>
          <w:b/>
          <w:bCs/>
          <w:rtl/>
        </w:rPr>
        <w:t>לא היתה</w:t>
      </w:r>
      <w:r w:rsidR="002B1DF5" w:rsidRPr="00425B26">
        <w:rPr>
          <w:rFonts w:hint="cs"/>
          <w:b/>
          <w:bCs/>
          <w:rtl/>
        </w:rPr>
        <w:t xml:space="preserve"> כלל פעילות של שימועים, צווי סגירה לעסקים וכתבי אישום תחת החוק</w:t>
      </w:r>
      <w:r w:rsidR="002B1DF5" w:rsidRPr="00BB6388">
        <w:rPr>
          <w:rFonts w:hint="cs"/>
          <w:rtl/>
        </w:rPr>
        <w:t>.</w:t>
      </w:r>
      <w:r w:rsidR="002B1DF5">
        <w:rPr>
          <w:rFonts w:hint="cs"/>
          <w:rtl/>
        </w:rPr>
        <w:t xml:space="preserve"> </w:t>
      </w:r>
      <w:r w:rsidR="002B1DF5" w:rsidRPr="00BB6388">
        <w:rPr>
          <w:rFonts w:hint="cs"/>
          <w:rtl/>
        </w:rPr>
        <w:t xml:space="preserve">שנית, כי </w:t>
      </w:r>
      <w:r w:rsidR="002B1DF5" w:rsidRPr="00425B26">
        <w:rPr>
          <w:rFonts w:hint="cs"/>
          <w:b/>
          <w:bCs/>
          <w:rtl/>
        </w:rPr>
        <w:t xml:space="preserve">בכלל המחוזות האחרים, בכלל קטגוריות </w:t>
      </w:r>
      <w:r w:rsidR="002B1DF5">
        <w:rPr>
          <w:rFonts w:hint="cs"/>
          <w:b/>
          <w:bCs/>
          <w:rtl/>
        </w:rPr>
        <w:t xml:space="preserve">האכיפה </w:t>
      </w:r>
      <w:r w:rsidR="002B1DF5" w:rsidRPr="00425B26">
        <w:rPr>
          <w:rFonts w:hint="cs"/>
          <w:b/>
          <w:bCs/>
          <w:rtl/>
        </w:rPr>
        <w:t>המוצגות</w:t>
      </w:r>
      <w:r w:rsidR="002B1DF5">
        <w:rPr>
          <w:rFonts w:hint="cs"/>
          <w:b/>
          <w:bCs/>
          <w:rtl/>
        </w:rPr>
        <w:t>,</w:t>
      </w:r>
      <w:r w:rsidR="002B1DF5" w:rsidRPr="00425B26">
        <w:rPr>
          <w:rFonts w:hint="cs"/>
          <w:b/>
          <w:bCs/>
          <w:rtl/>
        </w:rPr>
        <w:t xml:space="preserve"> ניכרת עליה בין השנים 2013 ל- 2014, וזאת מלבד חריג אחד </w:t>
      </w:r>
      <w:r w:rsidR="002B1DF5" w:rsidRPr="00425B26">
        <w:rPr>
          <w:b/>
          <w:bCs/>
          <w:rtl/>
        </w:rPr>
        <w:t>–</w:t>
      </w:r>
      <w:r w:rsidR="002B1DF5" w:rsidRPr="00425B26">
        <w:rPr>
          <w:rFonts w:hint="cs"/>
          <w:b/>
          <w:bCs/>
          <w:rtl/>
        </w:rPr>
        <w:t xml:space="preserve"> מספר צווי הסגירה שנמסרו במחוז מרכז, שירדו מ- 253 ב- 2013 ל- 199 ב- 2014</w:t>
      </w:r>
      <w:r w:rsidR="002B1DF5" w:rsidRPr="00BB6388">
        <w:rPr>
          <w:rFonts w:hint="cs"/>
          <w:rtl/>
        </w:rPr>
        <w:t>.</w:t>
      </w:r>
    </w:p>
    <w:p w:rsidR="002B1DF5" w:rsidRDefault="002B1DF5" w:rsidP="00425B26">
      <w:pPr>
        <w:pStyle w:val="af2"/>
        <w:jc w:val="center"/>
        <w:rPr>
          <w:sz w:val="24"/>
          <w:szCs w:val="24"/>
          <w:rtl/>
        </w:rPr>
      </w:pPr>
      <w:bookmarkStart w:id="217" w:name="_Toc419963093"/>
    </w:p>
    <w:p w:rsidR="00C270DC" w:rsidRPr="00BB6388" w:rsidRDefault="00425B26" w:rsidP="00425B26">
      <w:pPr>
        <w:pStyle w:val="af2"/>
        <w:jc w:val="center"/>
        <w:rPr>
          <w:rtl/>
        </w:rPr>
      </w:pPr>
      <w:r w:rsidRPr="00425B26">
        <w:rPr>
          <w:sz w:val="24"/>
          <w:szCs w:val="24"/>
          <w:rtl/>
        </w:rPr>
        <w:t xml:space="preserve">טבלה </w:t>
      </w:r>
      <w:r w:rsidRPr="00425B26">
        <w:rPr>
          <w:sz w:val="24"/>
          <w:szCs w:val="24"/>
          <w:rtl/>
        </w:rPr>
        <w:fldChar w:fldCharType="begin"/>
      </w:r>
      <w:r w:rsidRPr="00425B26">
        <w:rPr>
          <w:sz w:val="24"/>
          <w:szCs w:val="24"/>
          <w:rtl/>
        </w:rPr>
        <w:instrText xml:space="preserve"> </w:instrText>
      </w:r>
      <w:r w:rsidRPr="00425B26">
        <w:rPr>
          <w:rFonts w:hint="cs"/>
          <w:sz w:val="24"/>
          <w:szCs w:val="24"/>
        </w:rPr>
        <w:instrText>SEQ</w:instrText>
      </w:r>
      <w:r w:rsidRPr="00425B26">
        <w:rPr>
          <w:rFonts w:hint="cs"/>
          <w:sz w:val="24"/>
          <w:szCs w:val="24"/>
          <w:rtl/>
        </w:rPr>
        <w:instrText xml:space="preserve"> טבלה \* </w:instrText>
      </w:r>
      <w:r w:rsidRPr="00425B26">
        <w:rPr>
          <w:rFonts w:hint="cs"/>
          <w:sz w:val="24"/>
          <w:szCs w:val="24"/>
        </w:rPr>
        <w:instrText>ARABIC</w:instrText>
      </w:r>
      <w:r w:rsidRPr="00425B26">
        <w:rPr>
          <w:sz w:val="24"/>
          <w:szCs w:val="24"/>
          <w:rtl/>
        </w:rPr>
        <w:instrText xml:space="preserve"> </w:instrText>
      </w:r>
      <w:r w:rsidRPr="00425B26">
        <w:rPr>
          <w:sz w:val="24"/>
          <w:szCs w:val="24"/>
          <w:rtl/>
        </w:rPr>
        <w:fldChar w:fldCharType="separate"/>
      </w:r>
      <w:r w:rsidR="007347AB">
        <w:rPr>
          <w:noProof/>
          <w:sz w:val="24"/>
          <w:szCs w:val="24"/>
          <w:rtl/>
        </w:rPr>
        <w:t>14</w:t>
      </w:r>
      <w:r w:rsidRPr="00425B26">
        <w:rPr>
          <w:sz w:val="24"/>
          <w:szCs w:val="24"/>
          <w:rtl/>
        </w:rPr>
        <w:fldChar w:fldCharType="end"/>
      </w:r>
      <w:r w:rsidR="00C270DC" w:rsidRPr="00425B26">
        <w:rPr>
          <w:rFonts w:hint="cs"/>
          <w:sz w:val="24"/>
          <w:szCs w:val="24"/>
          <w:rtl/>
        </w:rPr>
        <w:t>:</w:t>
      </w:r>
      <w:bookmarkEnd w:id="217"/>
      <w:r w:rsidRPr="00425B26">
        <w:rPr>
          <w:rFonts w:hint="cs"/>
          <w:sz w:val="24"/>
          <w:szCs w:val="24"/>
          <w:rtl/>
        </w:rPr>
        <w:t xml:space="preserve"> </w:t>
      </w:r>
      <w:bookmarkStart w:id="218" w:name="_Toc419963094"/>
      <w:r w:rsidR="00C270DC" w:rsidRPr="00425B26">
        <w:rPr>
          <w:rFonts w:hint="cs"/>
          <w:sz w:val="24"/>
          <w:szCs w:val="24"/>
          <w:rtl/>
        </w:rPr>
        <w:t>שימועים, צווי סגירה לעסקים, ומספר כתבי אישום תחת חוק המאבק בשכרות לשנים 2013-2014, לפי מחוז</w:t>
      </w:r>
      <w:r w:rsidR="00C270DC" w:rsidRPr="00BB6388">
        <w:rPr>
          <w:rStyle w:val="ab"/>
          <w:rtl/>
        </w:rPr>
        <w:footnoteReference w:id="234"/>
      </w:r>
      <w:bookmarkEnd w:id="218"/>
    </w:p>
    <w:tbl>
      <w:tblPr>
        <w:bidiVisual/>
        <w:tblW w:w="0" w:type="auto"/>
        <w:tblCellSpacing w:w="20" w:type="dxa"/>
        <w:tblInd w:w="1075"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1591"/>
        <w:gridCol w:w="841"/>
        <w:gridCol w:w="1372"/>
        <w:gridCol w:w="1373"/>
        <w:gridCol w:w="1373"/>
      </w:tblGrid>
      <w:tr w:rsidR="00EF68CE" w:rsidRPr="00EF68CE" w:rsidTr="00222AC9">
        <w:trPr>
          <w:tblHeader/>
          <w:tblCellSpacing w:w="20" w:type="dxa"/>
        </w:trPr>
        <w:tc>
          <w:tcPr>
            <w:tcW w:w="1531" w:type="dxa"/>
            <w:shd w:val="clear" w:color="auto" w:fill="auto"/>
            <w:vAlign w:val="center"/>
          </w:tcPr>
          <w:p w:rsidR="00C270DC" w:rsidRPr="00B3633B" w:rsidRDefault="00C270DC" w:rsidP="00EF68CE">
            <w:pPr>
              <w:pStyle w:val="a2"/>
              <w:spacing w:before="60" w:after="0" w:line="240" w:lineRule="auto"/>
              <w:rPr>
                <w:b/>
                <w:bCs/>
                <w:sz w:val="22"/>
                <w:szCs w:val="22"/>
                <w:rtl/>
              </w:rPr>
            </w:pPr>
            <w:r w:rsidRPr="00B3633B">
              <w:rPr>
                <w:rFonts w:hint="cs"/>
                <w:b/>
                <w:bCs/>
                <w:sz w:val="22"/>
                <w:szCs w:val="22"/>
                <w:rtl/>
              </w:rPr>
              <w:t>מחוז</w:t>
            </w:r>
          </w:p>
        </w:tc>
        <w:tc>
          <w:tcPr>
            <w:tcW w:w="801" w:type="dxa"/>
            <w:shd w:val="clear" w:color="auto" w:fill="auto"/>
            <w:vAlign w:val="center"/>
          </w:tcPr>
          <w:p w:rsidR="00C270DC" w:rsidRPr="00B3633B" w:rsidRDefault="00C270DC" w:rsidP="00EF68CE">
            <w:pPr>
              <w:pStyle w:val="a2"/>
              <w:spacing w:before="60" w:after="0" w:line="240" w:lineRule="auto"/>
              <w:rPr>
                <w:b/>
                <w:bCs/>
                <w:sz w:val="22"/>
                <w:szCs w:val="22"/>
                <w:rtl/>
              </w:rPr>
            </w:pPr>
            <w:r w:rsidRPr="00B3633B">
              <w:rPr>
                <w:rFonts w:hint="cs"/>
                <w:b/>
                <w:bCs/>
                <w:sz w:val="22"/>
                <w:szCs w:val="22"/>
                <w:rtl/>
              </w:rPr>
              <w:t>שנה</w:t>
            </w:r>
          </w:p>
        </w:tc>
        <w:tc>
          <w:tcPr>
            <w:tcW w:w="1332" w:type="dxa"/>
            <w:shd w:val="clear" w:color="auto" w:fill="auto"/>
            <w:vAlign w:val="center"/>
          </w:tcPr>
          <w:p w:rsidR="00C270DC" w:rsidRPr="00B3633B" w:rsidRDefault="00C270DC" w:rsidP="00B3633B">
            <w:pPr>
              <w:pStyle w:val="a2"/>
              <w:spacing w:before="60" w:after="0" w:line="240" w:lineRule="auto"/>
              <w:jc w:val="center"/>
              <w:rPr>
                <w:b/>
                <w:bCs/>
                <w:sz w:val="22"/>
                <w:szCs w:val="22"/>
                <w:rtl/>
              </w:rPr>
            </w:pPr>
            <w:r w:rsidRPr="00B3633B">
              <w:rPr>
                <w:rFonts w:hint="cs"/>
                <w:b/>
                <w:bCs/>
                <w:sz w:val="22"/>
                <w:szCs w:val="22"/>
                <w:rtl/>
              </w:rPr>
              <w:t>שימועים</w:t>
            </w:r>
          </w:p>
        </w:tc>
        <w:tc>
          <w:tcPr>
            <w:tcW w:w="1333" w:type="dxa"/>
            <w:shd w:val="clear" w:color="auto" w:fill="auto"/>
            <w:vAlign w:val="center"/>
          </w:tcPr>
          <w:p w:rsidR="00C270DC" w:rsidRPr="00B3633B" w:rsidRDefault="00C270DC" w:rsidP="00B3633B">
            <w:pPr>
              <w:pStyle w:val="a2"/>
              <w:spacing w:before="60" w:after="0" w:line="240" w:lineRule="auto"/>
              <w:jc w:val="center"/>
              <w:rPr>
                <w:b/>
                <w:bCs/>
                <w:sz w:val="22"/>
                <w:szCs w:val="22"/>
                <w:rtl/>
              </w:rPr>
            </w:pPr>
            <w:r w:rsidRPr="00B3633B">
              <w:rPr>
                <w:rFonts w:hint="cs"/>
                <w:b/>
                <w:bCs/>
                <w:sz w:val="22"/>
                <w:szCs w:val="22"/>
                <w:rtl/>
              </w:rPr>
              <w:t>צווי סגירה</w:t>
            </w:r>
          </w:p>
        </w:tc>
        <w:tc>
          <w:tcPr>
            <w:tcW w:w="1313" w:type="dxa"/>
            <w:shd w:val="clear" w:color="auto" w:fill="auto"/>
            <w:vAlign w:val="center"/>
          </w:tcPr>
          <w:p w:rsidR="00C270DC" w:rsidRPr="00B3633B" w:rsidRDefault="00C270DC" w:rsidP="00B3633B">
            <w:pPr>
              <w:pStyle w:val="a2"/>
              <w:spacing w:before="60" w:after="0" w:line="240" w:lineRule="auto"/>
              <w:jc w:val="center"/>
              <w:rPr>
                <w:b/>
                <w:bCs/>
                <w:sz w:val="22"/>
                <w:szCs w:val="22"/>
                <w:rtl/>
              </w:rPr>
            </w:pPr>
            <w:r w:rsidRPr="00B3633B">
              <w:rPr>
                <w:rFonts w:hint="cs"/>
                <w:b/>
                <w:bCs/>
                <w:sz w:val="22"/>
                <w:szCs w:val="22"/>
                <w:rtl/>
              </w:rPr>
              <w:t>כתבי אישום</w:t>
            </w:r>
          </w:p>
        </w:tc>
      </w:tr>
      <w:tr w:rsidR="00EF68CE" w:rsidRPr="00EF68CE" w:rsidTr="00222AC9">
        <w:trPr>
          <w:tblHeader/>
          <w:tblCellSpacing w:w="20" w:type="dxa"/>
        </w:trPr>
        <w:tc>
          <w:tcPr>
            <w:tcW w:w="1531" w:type="dxa"/>
            <w:vMerge w:val="restart"/>
            <w:shd w:val="clear" w:color="auto" w:fill="auto"/>
            <w:vAlign w:val="center"/>
          </w:tcPr>
          <w:p w:rsidR="00C270DC" w:rsidRPr="00EF68CE" w:rsidRDefault="00C270DC" w:rsidP="00EF68CE">
            <w:pPr>
              <w:pStyle w:val="a2"/>
              <w:spacing w:before="60" w:after="0" w:line="240" w:lineRule="auto"/>
              <w:rPr>
                <w:sz w:val="22"/>
                <w:szCs w:val="22"/>
                <w:rtl/>
              </w:rPr>
            </w:pPr>
            <w:r w:rsidRPr="00EF68CE">
              <w:rPr>
                <w:rFonts w:hint="cs"/>
                <w:sz w:val="22"/>
                <w:szCs w:val="22"/>
                <w:rtl/>
              </w:rPr>
              <w:t>צפון</w:t>
            </w:r>
          </w:p>
        </w:tc>
        <w:tc>
          <w:tcPr>
            <w:tcW w:w="801" w:type="dxa"/>
            <w:shd w:val="clear" w:color="auto" w:fill="auto"/>
            <w:vAlign w:val="center"/>
          </w:tcPr>
          <w:p w:rsidR="00C270DC" w:rsidRPr="00EF68CE" w:rsidRDefault="00C270DC" w:rsidP="00EF68CE">
            <w:pPr>
              <w:pStyle w:val="a2"/>
              <w:spacing w:before="60" w:after="0" w:line="240" w:lineRule="auto"/>
              <w:rPr>
                <w:sz w:val="22"/>
                <w:szCs w:val="22"/>
                <w:rtl/>
              </w:rPr>
            </w:pPr>
            <w:r w:rsidRPr="00EF68CE">
              <w:rPr>
                <w:rFonts w:hint="cs"/>
                <w:sz w:val="22"/>
                <w:szCs w:val="22"/>
                <w:rtl/>
              </w:rPr>
              <w:t>2013</w:t>
            </w:r>
          </w:p>
        </w:tc>
        <w:tc>
          <w:tcPr>
            <w:tcW w:w="1332"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59</w:t>
            </w:r>
          </w:p>
        </w:tc>
        <w:tc>
          <w:tcPr>
            <w:tcW w:w="1333"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23</w:t>
            </w:r>
          </w:p>
        </w:tc>
        <w:tc>
          <w:tcPr>
            <w:tcW w:w="1313"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9</w:t>
            </w:r>
          </w:p>
        </w:tc>
      </w:tr>
      <w:tr w:rsidR="00EF68CE" w:rsidRPr="00EF68CE" w:rsidTr="00222AC9">
        <w:trPr>
          <w:tblHeader/>
          <w:tblCellSpacing w:w="20" w:type="dxa"/>
        </w:trPr>
        <w:tc>
          <w:tcPr>
            <w:tcW w:w="1531" w:type="dxa"/>
            <w:vMerge/>
            <w:shd w:val="clear" w:color="auto" w:fill="auto"/>
            <w:vAlign w:val="center"/>
          </w:tcPr>
          <w:p w:rsidR="00C270DC" w:rsidRPr="00EF68CE" w:rsidRDefault="00C270DC" w:rsidP="00EF68CE">
            <w:pPr>
              <w:pStyle w:val="a2"/>
              <w:spacing w:before="60" w:after="0" w:line="240" w:lineRule="auto"/>
              <w:rPr>
                <w:sz w:val="22"/>
                <w:szCs w:val="22"/>
                <w:rtl/>
              </w:rPr>
            </w:pPr>
          </w:p>
        </w:tc>
        <w:tc>
          <w:tcPr>
            <w:tcW w:w="801" w:type="dxa"/>
            <w:shd w:val="clear" w:color="auto" w:fill="auto"/>
            <w:vAlign w:val="center"/>
          </w:tcPr>
          <w:p w:rsidR="00C270DC" w:rsidRPr="00EF68CE" w:rsidRDefault="00C270DC" w:rsidP="00EF68CE">
            <w:pPr>
              <w:pStyle w:val="a2"/>
              <w:spacing w:before="60" w:after="0" w:line="240" w:lineRule="auto"/>
              <w:rPr>
                <w:sz w:val="22"/>
                <w:szCs w:val="22"/>
                <w:rtl/>
              </w:rPr>
            </w:pPr>
            <w:r w:rsidRPr="00EF68CE">
              <w:rPr>
                <w:rFonts w:hint="cs"/>
                <w:sz w:val="22"/>
                <w:szCs w:val="22"/>
                <w:rtl/>
              </w:rPr>
              <w:t>2014</w:t>
            </w:r>
          </w:p>
        </w:tc>
        <w:tc>
          <w:tcPr>
            <w:tcW w:w="1332"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67</w:t>
            </w:r>
          </w:p>
        </w:tc>
        <w:tc>
          <w:tcPr>
            <w:tcW w:w="1333"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25</w:t>
            </w:r>
          </w:p>
        </w:tc>
        <w:tc>
          <w:tcPr>
            <w:tcW w:w="1313"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13</w:t>
            </w:r>
          </w:p>
        </w:tc>
      </w:tr>
      <w:tr w:rsidR="00EF68CE" w:rsidRPr="00EF68CE" w:rsidTr="00222AC9">
        <w:trPr>
          <w:tblHeader/>
          <w:tblCellSpacing w:w="20" w:type="dxa"/>
        </w:trPr>
        <w:tc>
          <w:tcPr>
            <w:tcW w:w="1531" w:type="dxa"/>
            <w:vMerge w:val="restart"/>
            <w:shd w:val="clear" w:color="auto" w:fill="auto"/>
            <w:vAlign w:val="center"/>
          </w:tcPr>
          <w:p w:rsidR="00C270DC" w:rsidRPr="00EF68CE" w:rsidRDefault="00C270DC" w:rsidP="00EF68CE">
            <w:pPr>
              <w:pStyle w:val="a2"/>
              <w:spacing w:before="60" w:after="0" w:line="240" w:lineRule="auto"/>
              <w:rPr>
                <w:sz w:val="22"/>
                <w:szCs w:val="22"/>
                <w:rtl/>
              </w:rPr>
            </w:pPr>
            <w:r w:rsidRPr="00EF68CE">
              <w:rPr>
                <w:rFonts w:hint="cs"/>
                <w:sz w:val="22"/>
                <w:szCs w:val="22"/>
                <w:rtl/>
              </w:rPr>
              <w:t>חוף</w:t>
            </w:r>
          </w:p>
        </w:tc>
        <w:tc>
          <w:tcPr>
            <w:tcW w:w="801" w:type="dxa"/>
            <w:shd w:val="clear" w:color="auto" w:fill="auto"/>
            <w:vAlign w:val="center"/>
          </w:tcPr>
          <w:p w:rsidR="00C270DC" w:rsidRPr="00EF68CE" w:rsidRDefault="00C270DC" w:rsidP="00EF68CE">
            <w:pPr>
              <w:pStyle w:val="a2"/>
              <w:spacing w:before="60" w:after="0" w:line="240" w:lineRule="auto"/>
              <w:rPr>
                <w:sz w:val="22"/>
                <w:szCs w:val="22"/>
                <w:rtl/>
              </w:rPr>
            </w:pPr>
            <w:r w:rsidRPr="00EF68CE">
              <w:rPr>
                <w:rFonts w:hint="cs"/>
                <w:sz w:val="22"/>
                <w:szCs w:val="22"/>
                <w:rtl/>
              </w:rPr>
              <w:t>2013</w:t>
            </w:r>
          </w:p>
        </w:tc>
        <w:tc>
          <w:tcPr>
            <w:tcW w:w="1332"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w:t>
            </w:r>
          </w:p>
        </w:tc>
        <w:tc>
          <w:tcPr>
            <w:tcW w:w="1333"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w:t>
            </w:r>
          </w:p>
        </w:tc>
        <w:tc>
          <w:tcPr>
            <w:tcW w:w="1313"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w:t>
            </w:r>
          </w:p>
        </w:tc>
      </w:tr>
      <w:tr w:rsidR="00EF68CE" w:rsidRPr="00EF68CE" w:rsidTr="00222AC9">
        <w:trPr>
          <w:tblHeader/>
          <w:tblCellSpacing w:w="20" w:type="dxa"/>
        </w:trPr>
        <w:tc>
          <w:tcPr>
            <w:tcW w:w="1531" w:type="dxa"/>
            <w:vMerge/>
            <w:shd w:val="clear" w:color="auto" w:fill="auto"/>
            <w:vAlign w:val="center"/>
          </w:tcPr>
          <w:p w:rsidR="00C270DC" w:rsidRPr="00EF68CE" w:rsidRDefault="00C270DC" w:rsidP="00EF68CE">
            <w:pPr>
              <w:pStyle w:val="a2"/>
              <w:spacing w:before="60" w:after="0" w:line="240" w:lineRule="auto"/>
              <w:rPr>
                <w:sz w:val="22"/>
                <w:szCs w:val="22"/>
                <w:rtl/>
              </w:rPr>
            </w:pPr>
          </w:p>
        </w:tc>
        <w:tc>
          <w:tcPr>
            <w:tcW w:w="801" w:type="dxa"/>
            <w:shd w:val="clear" w:color="auto" w:fill="auto"/>
            <w:vAlign w:val="center"/>
          </w:tcPr>
          <w:p w:rsidR="00C270DC" w:rsidRPr="00EF68CE" w:rsidRDefault="00C270DC" w:rsidP="00EF68CE">
            <w:pPr>
              <w:pStyle w:val="a2"/>
              <w:spacing w:before="60" w:after="0" w:line="240" w:lineRule="auto"/>
              <w:rPr>
                <w:sz w:val="22"/>
                <w:szCs w:val="22"/>
                <w:rtl/>
              </w:rPr>
            </w:pPr>
            <w:r w:rsidRPr="00EF68CE">
              <w:rPr>
                <w:rFonts w:hint="cs"/>
                <w:sz w:val="22"/>
                <w:szCs w:val="22"/>
                <w:rtl/>
              </w:rPr>
              <w:t>2014</w:t>
            </w:r>
          </w:p>
        </w:tc>
        <w:tc>
          <w:tcPr>
            <w:tcW w:w="1332"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w:t>
            </w:r>
          </w:p>
        </w:tc>
        <w:tc>
          <w:tcPr>
            <w:tcW w:w="1333"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15</w:t>
            </w:r>
          </w:p>
        </w:tc>
        <w:tc>
          <w:tcPr>
            <w:tcW w:w="1313"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w:t>
            </w:r>
          </w:p>
        </w:tc>
      </w:tr>
      <w:tr w:rsidR="00EF68CE" w:rsidRPr="00EF68CE" w:rsidTr="00222AC9">
        <w:trPr>
          <w:tblHeader/>
          <w:tblCellSpacing w:w="20" w:type="dxa"/>
        </w:trPr>
        <w:tc>
          <w:tcPr>
            <w:tcW w:w="1531" w:type="dxa"/>
            <w:vMerge w:val="restart"/>
            <w:shd w:val="clear" w:color="auto" w:fill="auto"/>
            <w:vAlign w:val="center"/>
          </w:tcPr>
          <w:p w:rsidR="00C270DC" w:rsidRPr="00EF68CE" w:rsidRDefault="00C270DC" w:rsidP="00EF68CE">
            <w:pPr>
              <w:pStyle w:val="a2"/>
              <w:spacing w:before="60" w:after="0" w:line="240" w:lineRule="auto"/>
              <w:rPr>
                <w:sz w:val="22"/>
                <w:szCs w:val="22"/>
                <w:rtl/>
              </w:rPr>
            </w:pPr>
            <w:r w:rsidRPr="00EF68CE">
              <w:rPr>
                <w:rFonts w:hint="cs"/>
                <w:sz w:val="22"/>
                <w:szCs w:val="22"/>
                <w:rtl/>
              </w:rPr>
              <w:t>תל-אביב</w:t>
            </w:r>
          </w:p>
        </w:tc>
        <w:tc>
          <w:tcPr>
            <w:tcW w:w="801" w:type="dxa"/>
            <w:shd w:val="clear" w:color="auto" w:fill="auto"/>
            <w:vAlign w:val="center"/>
          </w:tcPr>
          <w:p w:rsidR="00C270DC" w:rsidRPr="00EF68CE" w:rsidRDefault="00C270DC" w:rsidP="00EF68CE">
            <w:pPr>
              <w:pStyle w:val="a2"/>
              <w:spacing w:before="60" w:after="0" w:line="240" w:lineRule="auto"/>
              <w:rPr>
                <w:sz w:val="22"/>
                <w:szCs w:val="22"/>
                <w:rtl/>
              </w:rPr>
            </w:pPr>
            <w:r w:rsidRPr="00EF68CE">
              <w:rPr>
                <w:rFonts w:hint="cs"/>
                <w:sz w:val="22"/>
                <w:szCs w:val="22"/>
                <w:rtl/>
              </w:rPr>
              <w:t>2013</w:t>
            </w:r>
          </w:p>
        </w:tc>
        <w:tc>
          <w:tcPr>
            <w:tcW w:w="1332"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w:t>
            </w:r>
          </w:p>
        </w:tc>
        <w:tc>
          <w:tcPr>
            <w:tcW w:w="1333"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w:t>
            </w:r>
          </w:p>
        </w:tc>
        <w:tc>
          <w:tcPr>
            <w:tcW w:w="1313"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w:t>
            </w:r>
          </w:p>
        </w:tc>
      </w:tr>
      <w:tr w:rsidR="00EF68CE" w:rsidRPr="00EF68CE" w:rsidTr="00222AC9">
        <w:trPr>
          <w:tblHeader/>
          <w:tblCellSpacing w:w="20" w:type="dxa"/>
        </w:trPr>
        <w:tc>
          <w:tcPr>
            <w:tcW w:w="1531" w:type="dxa"/>
            <w:vMerge/>
            <w:shd w:val="clear" w:color="auto" w:fill="auto"/>
            <w:vAlign w:val="center"/>
          </w:tcPr>
          <w:p w:rsidR="00C270DC" w:rsidRPr="00EF68CE" w:rsidRDefault="00C270DC" w:rsidP="00EF68CE">
            <w:pPr>
              <w:pStyle w:val="a2"/>
              <w:spacing w:before="60" w:after="0" w:line="240" w:lineRule="auto"/>
              <w:rPr>
                <w:sz w:val="22"/>
                <w:szCs w:val="22"/>
                <w:rtl/>
              </w:rPr>
            </w:pPr>
          </w:p>
        </w:tc>
        <w:tc>
          <w:tcPr>
            <w:tcW w:w="801" w:type="dxa"/>
            <w:shd w:val="clear" w:color="auto" w:fill="auto"/>
            <w:vAlign w:val="center"/>
          </w:tcPr>
          <w:p w:rsidR="00C270DC" w:rsidRPr="00EF68CE" w:rsidRDefault="00C270DC" w:rsidP="00EF68CE">
            <w:pPr>
              <w:pStyle w:val="a2"/>
              <w:spacing w:before="60" w:after="0" w:line="240" w:lineRule="auto"/>
              <w:rPr>
                <w:sz w:val="22"/>
                <w:szCs w:val="22"/>
                <w:rtl/>
              </w:rPr>
            </w:pPr>
            <w:r w:rsidRPr="00EF68CE">
              <w:rPr>
                <w:rFonts w:hint="cs"/>
                <w:sz w:val="22"/>
                <w:szCs w:val="22"/>
                <w:rtl/>
              </w:rPr>
              <w:t>2014</w:t>
            </w:r>
          </w:p>
        </w:tc>
        <w:tc>
          <w:tcPr>
            <w:tcW w:w="1332"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134</w:t>
            </w:r>
          </w:p>
        </w:tc>
        <w:tc>
          <w:tcPr>
            <w:tcW w:w="1333"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w:t>
            </w:r>
          </w:p>
        </w:tc>
        <w:tc>
          <w:tcPr>
            <w:tcW w:w="1313"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w:t>
            </w:r>
          </w:p>
        </w:tc>
      </w:tr>
      <w:tr w:rsidR="001631AF" w:rsidRPr="00EF68CE" w:rsidTr="00222AC9">
        <w:trPr>
          <w:tblHeader/>
          <w:tblCellSpacing w:w="20" w:type="dxa"/>
        </w:trPr>
        <w:tc>
          <w:tcPr>
            <w:tcW w:w="1531" w:type="dxa"/>
            <w:vMerge w:val="restart"/>
            <w:shd w:val="clear" w:color="auto" w:fill="auto"/>
            <w:vAlign w:val="center"/>
          </w:tcPr>
          <w:p w:rsidR="001631AF" w:rsidRPr="00EF68CE" w:rsidRDefault="001631AF" w:rsidP="0028067D">
            <w:pPr>
              <w:pStyle w:val="a2"/>
              <w:spacing w:before="60" w:after="0" w:line="240" w:lineRule="auto"/>
              <w:rPr>
                <w:sz w:val="22"/>
                <w:szCs w:val="22"/>
                <w:rtl/>
              </w:rPr>
            </w:pPr>
            <w:r w:rsidRPr="00EF68CE">
              <w:rPr>
                <w:rFonts w:hint="cs"/>
                <w:sz w:val="22"/>
                <w:szCs w:val="22"/>
                <w:rtl/>
              </w:rPr>
              <w:t>מרכז</w:t>
            </w:r>
          </w:p>
        </w:tc>
        <w:tc>
          <w:tcPr>
            <w:tcW w:w="801" w:type="dxa"/>
            <w:shd w:val="clear" w:color="auto" w:fill="auto"/>
            <w:vAlign w:val="center"/>
          </w:tcPr>
          <w:p w:rsidR="001631AF" w:rsidRPr="00EF68CE" w:rsidRDefault="001631AF" w:rsidP="0028067D">
            <w:pPr>
              <w:pStyle w:val="a2"/>
              <w:spacing w:before="60" w:after="0" w:line="240" w:lineRule="auto"/>
              <w:rPr>
                <w:sz w:val="22"/>
                <w:szCs w:val="22"/>
                <w:rtl/>
              </w:rPr>
            </w:pPr>
            <w:r w:rsidRPr="00EF68CE">
              <w:rPr>
                <w:rFonts w:hint="cs"/>
                <w:sz w:val="22"/>
                <w:szCs w:val="22"/>
                <w:rtl/>
              </w:rPr>
              <w:t>2013</w:t>
            </w:r>
          </w:p>
        </w:tc>
        <w:tc>
          <w:tcPr>
            <w:tcW w:w="1332" w:type="dxa"/>
            <w:shd w:val="clear" w:color="auto" w:fill="auto"/>
            <w:vAlign w:val="center"/>
          </w:tcPr>
          <w:p w:rsidR="001631AF" w:rsidRPr="00EF68CE" w:rsidRDefault="001631AF" w:rsidP="00B3633B">
            <w:pPr>
              <w:pStyle w:val="a2"/>
              <w:spacing w:before="60" w:after="0" w:line="240" w:lineRule="auto"/>
              <w:jc w:val="center"/>
              <w:rPr>
                <w:sz w:val="22"/>
                <w:szCs w:val="22"/>
                <w:rtl/>
              </w:rPr>
            </w:pPr>
            <w:r w:rsidRPr="00EF68CE">
              <w:rPr>
                <w:rFonts w:hint="cs"/>
                <w:sz w:val="22"/>
                <w:szCs w:val="22"/>
                <w:rtl/>
              </w:rPr>
              <w:t>315</w:t>
            </w:r>
          </w:p>
        </w:tc>
        <w:tc>
          <w:tcPr>
            <w:tcW w:w="1333" w:type="dxa"/>
            <w:shd w:val="clear" w:color="auto" w:fill="auto"/>
            <w:vAlign w:val="center"/>
          </w:tcPr>
          <w:p w:rsidR="001631AF" w:rsidRPr="00EF68CE" w:rsidRDefault="001631AF" w:rsidP="00B3633B">
            <w:pPr>
              <w:pStyle w:val="a2"/>
              <w:spacing w:before="60" w:after="0" w:line="240" w:lineRule="auto"/>
              <w:jc w:val="center"/>
              <w:rPr>
                <w:sz w:val="22"/>
                <w:szCs w:val="22"/>
                <w:rtl/>
              </w:rPr>
            </w:pPr>
            <w:r w:rsidRPr="00EF68CE">
              <w:rPr>
                <w:rFonts w:hint="cs"/>
                <w:sz w:val="22"/>
                <w:szCs w:val="22"/>
                <w:rtl/>
              </w:rPr>
              <w:t>253</w:t>
            </w:r>
          </w:p>
        </w:tc>
        <w:tc>
          <w:tcPr>
            <w:tcW w:w="1313" w:type="dxa"/>
            <w:shd w:val="clear" w:color="auto" w:fill="auto"/>
            <w:vAlign w:val="center"/>
          </w:tcPr>
          <w:p w:rsidR="001631AF" w:rsidRPr="00EF68CE" w:rsidRDefault="001631AF" w:rsidP="00B3633B">
            <w:pPr>
              <w:pStyle w:val="a2"/>
              <w:spacing w:before="60" w:after="0" w:line="240" w:lineRule="auto"/>
              <w:jc w:val="center"/>
              <w:rPr>
                <w:sz w:val="22"/>
                <w:szCs w:val="22"/>
                <w:rtl/>
              </w:rPr>
            </w:pPr>
            <w:r w:rsidRPr="00EF68CE">
              <w:rPr>
                <w:rFonts w:hint="cs"/>
                <w:sz w:val="22"/>
                <w:szCs w:val="22"/>
                <w:rtl/>
              </w:rPr>
              <w:t>300</w:t>
            </w:r>
          </w:p>
        </w:tc>
      </w:tr>
      <w:tr w:rsidR="001631AF" w:rsidRPr="00EF68CE" w:rsidTr="00222AC9">
        <w:trPr>
          <w:tblHeader/>
          <w:tblCellSpacing w:w="20" w:type="dxa"/>
        </w:trPr>
        <w:tc>
          <w:tcPr>
            <w:tcW w:w="1531" w:type="dxa"/>
            <w:vMerge/>
            <w:shd w:val="clear" w:color="auto" w:fill="auto"/>
            <w:vAlign w:val="center"/>
          </w:tcPr>
          <w:p w:rsidR="001631AF" w:rsidRPr="00EF68CE" w:rsidRDefault="001631AF" w:rsidP="0028067D">
            <w:pPr>
              <w:pStyle w:val="a2"/>
              <w:spacing w:before="60" w:after="0" w:line="240" w:lineRule="auto"/>
              <w:rPr>
                <w:sz w:val="22"/>
                <w:szCs w:val="22"/>
                <w:rtl/>
              </w:rPr>
            </w:pPr>
          </w:p>
        </w:tc>
        <w:tc>
          <w:tcPr>
            <w:tcW w:w="801" w:type="dxa"/>
            <w:shd w:val="clear" w:color="auto" w:fill="auto"/>
            <w:vAlign w:val="center"/>
          </w:tcPr>
          <w:p w:rsidR="001631AF" w:rsidRPr="00EF68CE" w:rsidRDefault="001631AF" w:rsidP="0028067D">
            <w:pPr>
              <w:pStyle w:val="a2"/>
              <w:spacing w:before="60" w:after="0" w:line="240" w:lineRule="auto"/>
              <w:rPr>
                <w:sz w:val="22"/>
                <w:szCs w:val="22"/>
                <w:rtl/>
              </w:rPr>
            </w:pPr>
            <w:r w:rsidRPr="00EF68CE">
              <w:rPr>
                <w:rFonts w:hint="cs"/>
                <w:sz w:val="22"/>
                <w:szCs w:val="22"/>
                <w:rtl/>
              </w:rPr>
              <w:t>2014</w:t>
            </w:r>
          </w:p>
        </w:tc>
        <w:tc>
          <w:tcPr>
            <w:tcW w:w="1332" w:type="dxa"/>
            <w:shd w:val="clear" w:color="auto" w:fill="auto"/>
            <w:vAlign w:val="center"/>
          </w:tcPr>
          <w:p w:rsidR="001631AF" w:rsidRPr="00EF68CE" w:rsidRDefault="001631AF" w:rsidP="00B3633B">
            <w:pPr>
              <w:pStyle w:val="a2"/>
              <w:spacing w:before="60" w:after="0" w:line="240" w:lineRule="auto"/>
              <w:jc w:val="center"/>
              <w:rPr>
                <w:sz w:val="22"/>
                <w:szCs w:val="22"/>
                <w:rtl/>
              </w:rPr>
            </w:pPr>
            <w:r w:rsidRPr="00EF68CE">
              <w:rPr>
                <w:rFonts w:hint="cs"/>
                <w:sz w:val="22"/>
                <w:szCs w:val="22"/>
                <w:rtl/>
              </w:rPr>
              <w:t>512</w:t>
            </w:r>
          </w:p>
        </w:tc>
        <w:tc>
          <w:tcPr>
            <w:tcW w:w="1333" w:type="dxa"/>
            <w:shd w:val="clear" w:color="auto" w:fill="auto"/>
            <w:vAlign w:val="center"/>
          </w:tcPr>
          <w:p w:rsidR="001631AF" w:rsidRPr="00EF68CE" w:rsidRDefault="001631AF" w:rsidP="00B3633B">
            <w:pPr>
              <w:pStyle w:val="a2"/>
              <w:spacing w:before="60" w:after="0" w:line="240" w:lineRule="auto"/>
              <w:jc w:val="center"/>
              <w:rPr>
                <w:sz w:val="22"/>
                <w:szCs w:val="22"/>
                <w:rtl/>
              </w:rPr>
            </w:pPr>
            <w:r w:rsidRPr="00EF68CE">
              <w:rPr>
                <w:rFonts w:hint="cs"/>
                <w:sz w:val="22"/>
                <w:szCs w:val="22"/>
                <w:rtl/>
              </w:rPr>
              <w:t>199</w:t>
            </w:r>
          </w:p>
        </w:tc>
        <w:tc>
          <w:tcPr>
            <w:tcW w:w="1313" w:type="dxa"/>
            <w:shd w:val="clear" w:color="auto" w:fill="auto"/>
            <w:vAlign w:val="center"/>
          </w:tcPr>
          <w:p w:rsidR="001631AF" w:rsidRPr="00EF68CE" w:rsidRDefault="001631AF" w:rsidP="00B3633B">
            <w:pPr>
              <w:pStyle w:val="a2"/>
              <w:spacing w:before="60" w:after="0" w:line="240" w:lineRule="auto"/>
              <w:jc w:val="center"/>
              <w:rPr>
                <w:sz w:val="22"/>
                <w:szCs w:val="22"/>
                <w:rtl/>
              </w:rPr>
            </w:pPr>
            <w:r w:rsidRPr="00EF68CE">
              <w:rPr>
                <w:rFonts w:hint="cs"/>
                <w:sz w:val="22"/>
                <w:szCs w:val="22"/>
                <w:rtl/>
              </w:rPr>
              <w:t>365</w:t>
            </w:r>
          </w:p>
        </w:tc>
      </w:tr>
      <w:tr w:rsidR="001631AF" w:rsidRPr="00EF68CE" w:rsidTr="00222AC9">
        <w:trPr>
          <w:tblHeader/>
          <w:tblCellSpacing w:w="20" w:type="dxa"/>
        </w:trPr>
        <w:tc>
          <w:tcPr>
            <w:tcW w:w="1531" w:type="dxa"/>
            <w:vMerge w:val="restart"/>
            <w:shd w:val="clear" w:color="auto" w:fill="auto"/>
            <w:vAlign w:val="center"/>
          </w:tcPr>
          <w:p w:rsidR="001631AF" w:rsidRPr="00EF68CE" w:rsidRDefault="001631AF" w:rsidP="00EF68CE">
            <w:pPr>
              <w:pStyle w:val="a2"/>
              <w:spacing w:before="60" w:after="0" w:line="240" w:lineRule="auto"/>
              <w:rPr>
                <w:sz w:val="22"/>
                <w:szCs w:val="22"/>
                <w:rtl/>
              </w:rPr>
            </w:pPr>
            <w:r w:rsidRPr="00EF68CE">
              <w:rPr>
                <w:rFonts w:hint="cs"/>
                <w:sz w:val="22"/>
                <w:szCs w:val="22"/>
                <w:rtl/>
              </w:rPr>
              <w:t>שומרון-יהודה</w:t>
            </w:r>
          </w:p>
        </w:tc>
        <w:tc>
          <w:tcPr>
            <w:tcW w:w="801" w:type="dxa"/>
            <w:shd w:val="clear" w:color="auto" w:fill="auto"/>
            <w:vAlign w:val="center"/>
          </w:tcPr>
          <w:p w:rsidR="001631AF" w:rsidRPr="00EF68CE" w:rsidRDefault="001631AF" w:rsidP="00EF68CE">
            <w:pPr>
              <w:pStyle w:val="a2"/>
              <w:spacing w:before="60" w:after="0" w:line="240" w:lineRule="auto"/>
              <w:rPr>
                <w:sz w:val="22"/>
                <w:szCs w:val="22"/>
                <w:rtl/>
              </w:rPr>
            </w:pPr>
            <w:r w:rsidRPr="00EF68CE">
              <w:rPr>
                <w:rFonts w:hint="cs"/>
                <w:sz w:val="22"/>
                <w:szCs w:val="22"/>
                <w:rtl/>
              </w:rPr>
              <w:t>2013</w:t>
            </w:r>
          </w:p>
        </w:tc>
        <w:tc>
          <w:tcPr>
            <w:tcW w:w="4058" w:type="dxa"/>
            <w:gridSpan w:val="3"/>
            <w:shd w:val="clear" w:color="auto" w:fill="auto"/>
            <w:vAlign w:val="center"/>
          </w:tcPr>
          <w:p w:rsidR="001631AF" w:rsidRPr="00EF68CE" w:rsidRDefault="00B3633B" w:rsidP="00B3633B">
            <w:pPr>
              <w:pStyle w:val="a2"/>
              <w:spacing w:before="60" w:after="0" w:line="240" w:lineRule="auto"/>
              <w:jc w:val="center"/>
              <w:rPr>
                <w:sz w:val="22"/>
                <w:szCs w:val="22"/>
                <w:rtl/>
              </w:rPr>
            </w:pPr>
            <w:r>
              <w:rPr>
                <w:rFonts w:hint="cs"/>
                <w:sz w:val="22"/>
                <w:szCs w:val="22"/>
                <w:rtl/>
              </w:rPr>
              <w:t>אין פעילות במחוז</w:t>
            </w:r>
          </w:p>
        </w:tc>
      </w:tr>
      <w:tr w:rsidR="001631AF" w:rsidRPr="00EF68CE" w:rsidTr="00222AC9">
        <w:trPr>
          <w:tblHeader/>
          <w:tblCellSpacing w:w="20" w:type="dxa"/>
        </w:trPr>
        <w:tc>
          <w:tcPr>
            <w:tcW w:w="1531" w:type="dxa"/>
            <w:vMerge/>
            <w:shd w:val="clear" w:color="auto" w:fill="auto"/>
            <w:vAlign w:val="center"/>
          </w:tcPr>
          <w:p w:rsidR="001631AF" w:rsidRPr="00EF68CE" w:rsidRDefault="001631AF" w:rsidP="00EF68CE">
            <w:pPr>
              <w:pStyle w:val="a2"/>
              <w:spacing w:before="60" w:after="0" w:line="240" w:lineRule="auto"/>
              <w:rPr>
                <w:sz w:val="22"/>
                <w:szCs w:val="22"/>
                <w:rtl/>
              </w:rPr>
            </w:pPr>
          </w:p>
        </w:tc>
        <w:tc>
          <w:tcPr>
            <w:tcW w:w="801" w:type="dxa"/>
            <w:shd w:val="clear" w:color="auto" w:fill="auto"/>
            <w:vAlign w:val="center"/>
          </w:tcPr>
          <w:p w:rsidR="001631AF" w:rsidRPr="00EF68CE" w:rsidRDefault="001631AF" w:rsidP="00EF68CE">
            <w:pPr>
              <w:pStyle w:val="a2"/>
              <w:spacing w:before="60" w:after="0" w:line="240" w:lineRule="auto"/>
              <w:rPr>
                <w:sz w:val="22"/>
                <w:szCs w:val="22"/>
                <w:rtl/>
              </w:rPr>
            </w:pPr>
            <w:r w:rsidRPr="00EF68CE">
              <w:rPr>
                <w:rFonts w:hint="cs"/>
                <w:sz w:val="22"/>
                <w:szCs w:val="22"/>
                <w:rtl/>
              </w:rPr>
              <w:t>2014</w:t>
            </w:r>
          </w:p>
        </w:tc>
        <w:tc>
          <w:tcPr>
            <w:tcW w:w="4058" w:type="dxa"/>
            <w:gridSpan w:val="3"/>
            <w:tcBorders>
              <w:top w:val="nil"/>
            </w:tcBorders>
            <w:shd w:val="clear" w:color="auto" w:fill="auto"/>
            <w:vAlign w:val="center"/>
          </w:tcPr>
          <w:p w:rsidR="001631AF" w:rsidRPr="00EF68CE" w:rsidRDefault="001631AF" w:rsidP="00B3633B">
            <w:pPr>
              <w:pStyle w:val="a2"/>
              <w:spacing w:before="60" w:after="0" w:line="240" w:lineRule="auto"/>
              <w:jc w:val="center"/>
              <w:rPr>
                <w:sz w:val="22"/>
                <w:szCs w:val="22"/>
                <w:rtl/>
              </w:rPr>
            </w:pPr>
          </w:p>
        </w:tc>
      </w:tr>
      <w:tr w:rsidR="00EF68CE" w:rsidRPr="00EF68CE" w:rsidTr="00222AC9">
        <w:trPr>
          <w:tblHeader/>
          <w:tblCellSpacing w:w="20" w:type="dxa"/>
        </w:trPr>
        <w:tc>
          <w:tcPr>
            <w:tcW w:w="1531" w:type="dxa"/>
            <w:vMerge w:val="restart"/>
            <w:shd w:val="clear" w:color="auto" w:fill="auto"/>
            <w:vAlign w:val="center"/>
          </w:tcPr>
          <w:p w:rsidR="00C270DC" w:rsidRPr="00EF68CE" w:rsidRDefault="00C270DC" w:rsidP="00EF68CE">
            <w:pPr>
              <w:pStyle w:val="a2"/>
              <w:spacing w:before="60" w:after="0" w:line="240" w:lineRule="auto"/>
              <w:rPr>
                <w:sz w:val="22"/>
                <w:szCs w:val="22"/>
                <w:rtl/>
              </w:rPr>
            </w:pPr>
            <w:r w:rsidRPr="00EF68CE">
              <w:rPr>
                <w:rFonts w:hint="cs"/>
                <w:sz w:val="22"/>
                <w:szCs w:val="22"/>
                <w:rtl/>
              </w:rPr>
              <w:t>ירושלים</w:t>
            </w:r>
          </w:p>
        </w:tc>
        <w:tc>
          <w:tcPr>
            <w:tcW w:w="801" w:type="dxa"/>
            <w:shd w:val="clear" w:color="auto" w:fill="auto"/>
            <w:vAlign w:val="center"/>
          </w:tcPr>
          <w:p w:rsidR="00C270DC" w:rsidRPr="00EF68CE" w:rsidRDefault="00C270DC" w:rsidP="00EF68CE">
            <w:pPr>
              <w:pStyle w:val="a2"/>
              <w:spacing w:before="60" w:after="0" w:line="240" w:lineRule="auto"/>
              <w:rPr>
                <w:sz w:val="22"/>
                <w:szCs w:val="22"/>
                <w:rtl/>
              </w:rPr>
            </w:pPr>
            <w:r w:rsidRPr="00EF68CE">
              <w:rPr>
                <w:rFonts w:hint="cs"/>
                <w:sz w:val="22"/>
                <w:szCs w:val="22"/>
                <w:rtl/>
              </w:rPr>
              <w:t>2013</w:t>
            </w:r>
          </w:p>
        </w:tc>
        <w:tc>
          <w:tcPr>
            <w:tcW w:w="1332"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w:t>
            </w:r>
          </w:p>
        </w:tc>
        <w:tc>
          <w:tcPr>
            <w:tcW w:w="1333"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w:t>
            </w:r>
          </w:p>
        </w:tc>
        <w:tc>
          <w:tcPr>
            <w:tcW w:w="1313"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w:t>
            </w:r>
          </w:p>
        </w:tc>
      </w:tr>
      <w:tr w:rsidR="00EF68CE" w:rsidRPr="00EF68CE" w:rsidTr="00222AC9">
        <w:trPr>
          <w:tblHeader/>
          <w:tblCellSpacing w:w="20" w:type="dxa"/>
        </w:trPr>
        <w:tc>
          <w:tcPr>
            <w:tcW w:w="1531" w:type="dxa"/>
            <w:vMerge/>
            <w:shd w:val="clear" w:color="auto" w:fill="auto"/>
            <w:vAlign w:val="center"/>
          </w:tcPr>
          <w:p w:rsidR="00C270DC" w:rsidRPr="00EF68CE" w:rsidRDefault="00C270DC" w:rsidP="00EF68CE">
            <w:pPr>
              <w:pStyle w:val="a2"/>
              <w:spacing w:before="60" w:after="0" w:line="240" w:lineRule="auto"/>
              <w:rPr>
                <w:sz w:val="22"/>
                <w:szCs w:val="22"/>
                <w:rtl/>
              </w:rPr>
            </w:pPr>
          </w:p>
        </w:tc>
        <w:tc>
          <w:tcPr>
            <w:tcW w:w="801" w:type="dxa"/>
            <w:shd w:val="clear" w:color="auto" w:fill="auto"/>
            <w:vAlign w:val="center"/>
          </w:tcPr>
          <w:p w:rsidR="00C270DC" w:rsidRPr="00EF68CE" w:rsidRDefault="00C270DC" w:rsidP="00EF68CE">
            <w:pPr>
              <w:pStyle w:val="a2"/>
              <w:spacing w:before="60" w:after="0" w:line="240" w:lineRule="auto"/>
              <w:rPr>
                <w:sz w:val="22"/>
                <w:szCs w:val="22"/>
                <w:rtl/>
              </w:rPr>
            </w:pPr>
            <w:r w:rsidRPr="00EF68CE">
              <w:rPr>
                <w:rFonts w:hint="cs"/>
                <w:sz w:val="22"/>
                <w:szCs w:val="22"/>
                <w:rtl/>
              </w:rPr>
              <w:t>2014</w:t>
            </w:r>
          </w:p>
        </w:tc>
        <w:tc>
          <w:tcPr>
            <w:tcW w:w="1332"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37</w:t>
            </w:r>
          </w:p>
        </w:tc>
        <w:tc>
          <w:tcPr>
            <w:tcW w:w="1333"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8</w:t>
            </w:r>
          </w:p>
        </w:tc>
        <w:tc>
          <w:tcPr>
            <w:tcW w:w="1313"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40</w:t>
            </w:r>
            <w:r w:rsidR="00425B26" w:rsidRPr="00EF68CE">
              <w:rPr>
                <w:rStyle w:val="ab"/>
                <w:sz w:val="22"/>
                <w:szCs w:val="22"/>
                <w:vertAlign w:val="baseline"/>
                <w:rtl/>
              </w:rPr>
              <w:footnoteReference w:id="235"/>
            </w:r>
          </w:p>
        </w:tc>
      </w:tr>
      <w:tr w:rsidR="00EF68CE" w:rsidRPr="00EF68CE" w:rsidTr="00222AC9">
        <w:trPr>
          <w:tblHeader/>
          <w:tblCellSpacing w:w="20" w:type="dxa"/>
        </w:trPr>
        <w:tc>
          <w:tcPr>
            <w:tcW w:w="1531" w:type="dxa"/>
            <w:vMerge w:val="restart"/>
            <w:shd w:val="clear" w:color="auto" w:fill="auto"/>
            <w:vAlign w:val="center"/>
          </w:tcPr>
          <w:p w:rsidR="00C270DC" w:rsidRPr="00EF68CE" w:rsidRDefault="00C270DC" w:rsidP="00EF68CE">
            <w:pPr>
              <w:pStyle w:val="a2"/>
              <w:spacing w:before="60" w:after="0" w:line="240" w:lineRule="auto"/>
              <w:rPr>
                <w:sz w:val="22"/>
                <w:szCs w:val="22"/>
                <w:rtl/>
              </w:rPr>
            </w:pPr>
            <w:r w:rsidRPr="00EF68CE">
              <w:rPr>
                <w:rFonts w:hint="cs"/>
                <w:sz w:val="22"/>
                <w:szCs w:val="22"/>
                <w:rtl/>
              </w:rPr>
              <w:t>דרום</w:t>
            </w:r>
          </w:p>
        </w:tc>
        <w:tc>
          <w:tcPr>
            <w:tcW w:w="801" w:type="dxa"/>
            <w:shd w:val="clear" w:color="auto" w:fill="auto"/>
            <w:vAlign w:val="center"/>
          </w:tcPr>
          <w:p w:rsidR="00C270DC" w:rsidRPr="00EF68CE" w:rsidRDefault="00C270DC" w:rsidP="00EF68CE">
            <w:pPr>
              <w:pStyle w:val="a2"/>
              <w:spacing w:before="60" w:after="0" w:line="240" w:lineRule="auto"/>
              <w:rPr>
                <w:sz w:val="22"/>
                <w:szCs w:val="22"/>
                <w:rtl/>
              </w:rPr>
            </w:pPr>
            <w:r w:rsidRPr="00EF68CE">
              <w:rPr>
                <w:rFonts w:hint="cs"/>
                <w:sz w:val="22"/>
                <w:szCs w:val="22"/>
                <w:rtl/>
              </w:rPr>
              <w:t>2013</w:t>
            </w:r>
          </w:p>
        </w:tc>
        <w:tc>
          <w:tcPr>
            <w:tcW w:w="1332"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w:t>
            </w:r>
          </w:p>
        </w:tc>
        <w:tc>
          <w:tcPr>
            <w:tcW w:w="1333"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w:t>
            </w:r>
          </w:p>
        </w:tc>
        <w:tc>
          <w:tcPr>
            <w:tcW w:w="1313"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w:t>
            </w:r>
          </w:p>
        </w:tc>
      </w:tr>
      <w:tr w:rsidR="00EF68CE" w:rsidRPr="00EF68CE" w:rsidTr="00222AC9">
        <w:trPr>
          <w:tblHeader/>
          <w:tblCellSpacing w:w="20" w:type="dxa"/>
        </w:trPr>
        <w:tc>
          <w:tcPr>
            <w:tcW w:w="1531" w:type="dxa"/>
            <w:vMerge/>
            <w:shd w:val="clear" w:color="auto" w:fill="auto"/>
            <w:vAlign w:val="center"/>
          </w:tcPr>
          <w:p w:rsidR="00C270DC" w:rsidRPr="00EF68CE" w:rsidRDefault="00C270DC" w:rsidP="00EF68CE">
            <w:pPr>
              <w:pStyle w:val="a2"/>
              <w:spacing w:before="60" w:after="0" w:line="240" w:lineRule="auto"/>
              <w:rPr>
                <w:sz w:val="22"/>
                <w:szCs w:val="22"/>
                <w:rtl/>
              </w:rPr>
            </w:pPr>
          </w:p>
        </w:tc>
        <w:tc>
          <w:tcPr>
            <w:tcW w:w="801" w:type="dxa"/>
            <w:shd w:val="clear" w:color="auto" w:fill="auto"/>
            <w:vAlign w:val="center"/>
          </w:tcPr>
          <w:p w:rsidR="00C270DC" w:rsidRPr="00EF68CE" w:rsidRDefault="00C270DC" w:rsidP="00EF68CE">
            <w:pPr>
              <w:pStyle w:val="a2"/>
              <w:spacing w:before="60" w:after="0" w:line="240" w:lineRule="auto"/>
              <w:rPr>
                <w:sz w:val="22"/>
                <w:szCs w:val="22"/>
                <w:rtl/>
              </w:rPr>
            </w:pPr>
            <w:r w:rsidRPr="00EF68CE">
              <w:rPr>
                <w:rFonts w:hint="cs"/>
                <w:sz w:val="22"/>
                <w:szCs w:val="22"/>
                <w:rtl/>
              </w:rPr>
              <w:t>2014</w:t>
            </w:r>
          </w:p>
        </w:tc>
        <w:tc>
          <w:tcPr>
            <w:tcW w:w="1332"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171</w:t>
            </w:r>
          </w:p>
        </w:tc>
        <w:tc>
          <w:tcPr>
            <w:tcW w:w="1333"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87</w:t>
            </w:r>
          </w:p>
        </w:tc>
        <w:tc>
          <w:tcPr>
            <w:tcW w:w="1313" w:type="dxa"/>
            <w:shd w:val="clear" w:color="auto" w:fill="auto"/>
            <w:vAlign w:val="center"/>
          </w:tcPr>
          <w:p w:rsidR="00C270DC" w:rsidRPr="00EF68CE" w:rsidRDefault="00C270DC" w:rsidP="00B3633B">
            <w:pPr>
              <w:pStyle w:val="a2"/>
              <w:spacing w:before="60" w:after="0" w:line="240" w:lineRule="auto"/>
              <w:jc w:val="center"/>
              <w:rPr>
                <w:sz w:val="22"/>
                <w:szCs w:val="22"/>
                <w:rtl/>
              </w:rPr>
            </w:pPr>
            <w:r w:rsidRPr="00EF68CE">
              <w:rPr>
                <w:rFonts w:hint="cs"/>
                <w:sz w:val="22"/>
                <w:szCs w:val="22"/>
                <w:rtl/>
              </w:rPr>
              <w:t>67</w:t>
            </w:r>
          </w:p>
        </w:tc>
      </w:tr>
    </w:tbl>
    <w:p w:rsidR="00222AC9" w:rsidRPr="00BB6388" w:rsidRDefault="00222AC9" w:rsidP="00222AC9">
      <w:pPr>
        <w:pStyle w:val="a2"/>
        <w:spacing w:line="360" w:lineRule="auto"/>
        <w:rPr>
          <w:rtl/>
        </w:rPr>
      </w:pPr>
      <w:r>
        <w:rPr>
          <w:rFonts w:hint="cs"/>
          <w:rtl/>
        </w:rPr>
        <w:t xml:space="preserve"> </w:t>
      </w:r>
    </w:p>
    <w:p w:rsidR="00164B34" w:rsidRPr="00BB6388" w:rsidRDefault="00164B34" w:rsidP="00164B34">
      <w:pPr>
        <w:pStyle w:val="4"/>
        <w:rPr>
          <w:rtl/>
        </w:rPr>
      </w:pPr>
      <w:bookmarkStart w:id="219" w:name="_Toc418585141"/>
      <w:bookmarkStart w:id="220" w:name="_Toc419963087"/>
      <w:bookmarkStart w:id="221" w:name="_Toc418585142"/>
      <w:bookmarkStart w:id="222" w:name="_Toc419963089"/>
      <w:r w:rsidRPr="00BB6388">
        <w:rPr>
          <w:rFonts w:hint="cs"/>
          <w:rtl/>
        </w:rPr>
        <w:t>פעילות במסגרת פקודת התעבורה</w:t>
      </w:r>
      <w:bookmarkEnd w:id="219"/>
      <w:bookmarkEnd w:id="220"/>
      <w:r w:rsidRPr="00BB6388">
        <w:rPr>
          <w:rFonts w:hint="cs"/>
          <w:rtl/>
        </w:rPr>
        <w:t xml:space="preserve"> [נוסח חדש]</w:t>
      </w:r>
      <w:r>
        <w:rPr>
          <w:rStyle w:val="ab"/>
          <w:rtl/>
        </w:rPr>
        <w:footnoteReference w:id="236"/>
      </w:r>
    </w:p>
    <w:p w:rsidR="00164B34" w:rsidRDefault="00164B34" w:rsidP="00164B34">
      <w:pPr>
        <w:pStyle w:val="a2"/>
        <w:spacing w:line="360" w:lineRule="auto"/>
        <w:rPr>
          <w:rtl/>
        </w:rPr>
      </w:pPr>
      <w:r>
        <w:rPr>
          <w:rFonts w:hint="cs"/>
          <w:rtl/>
        </w:rPr>
        <w:t>על-פי אתר משטרת ישראל, בשנת 2014 נתנו 498 דו"חות בירושלים; 1,750 דו"חות בתל-אביב יפו; 762 דו"חות בחיפה; ו- 411 בבאר-שבע, וזאת בגין עברות נהיגה בשכרות או תחת השפעת סמים.</w:t>
      </w:r>
      <w:r>
        <w:rPr>
          <w:rStyle w:val="ab"/>
          <w:rtl/>
        </w:rPr>
        <w:footnoteReference w:id="237"/>
      </w:r>
      <w:r>
        <w:rPr>
          <w:rFonts w:hint="cs"/>
          <w:rtl/>
        </w:rPr>
        <w:t xml:space="preserve"> אגף התנועה של המשטרה מוסר כי </w:t>
      </w:r>
      <w:r w:rsidRPr="00C3773C">
        <w:rPr>
          <w:rFonts w:hint="cs"/>
          <w:b/>
          <w:bCs/>
          <w:rtl/>
        </w:rPr>
        <w:t>ב- 2014 נפסלו רשיונותיהם של 511 נהגים בגין עבירות נהיגה תחת השפעת אלכוהול ו/או סמים</w:t>
      </w:r>
      <w:r w:rsidRPr="00BB6388">
        <w:rPr>
          <w:rFonts w:hint="cs"/>
          <w:rtl/>
        </w:rPr>
        <w:t>.</w:t>
      </w:r>
      <w:r w:rsidRPr="00BB6388">
        <w:rPr>
          <w:rStyle w:val="ab"/>
          <w:rtl/>
        </w:rPr>
        <w:footnoteReference w:id="238"/>
      </w:r>
    </w:p>
    <w:p w:rsidR="00164B34" w:rsidRDefault="00164B34" w:rsidP="003C6F9B">
      <w:pPr>
        <w:pStyle w:val="a2"/>
        <w:rPr>
          <w:rtl/>
        </w:rPr>
      </w:pPr>
      <w:r>
        <w:rPr>
          <w:rFonts w:hint="cs"/>
          <w:rtl/>
        </w:rPr>
        <w:t>הלשכה המרכזית לסטטיסטיקה, בשיתוף עם הרשות הלאומית לבטיחות בדרכים, פרסמה מקבץ נתונים בדבר הרשעות ומורשעים בעברות נהיגה בשנים 2013-2011.</w:t>
      </w:r>
      <w:r w:rsidR="003C6F9B">
        <w:rPr>
          <w:rStyle w:val="ab"/>
          <w:rtl/>
        </w:rPr>
        <w:footnoteReference w:id="239"/>
      </w:r>
      <w:r>
        <w:rPr>
          <w:rFonts w:hint="cs"/>
          <w:rtl/>
        </w:rPr>
        <w:t xml:space="preserve"> נתונים אלו מתייחסים לעברות תעבורה שרשמה המשטרה ושנכללו במערכת ההרשעות שלה.</w:t>
      </w:r>
      <w:r>
        <w:rPr>
          <w:rStyle w:val="ab"/>
          <w:rtl/>
        </w:rPr>
        <w:footnoteReference w:id="240"/>
      </w:r>
      <w:r>
        <w:rPr>
          <w:rFonts w:hint="cs"/>
          <w:rtl/>
        </w:rPr>
        <w:t xml:space="preserve"> לפי הפרסום</w:t>
      </w:r>
      <w:r w:rsidR="00011A12">
        <w:rPr>
          <w:rFonts w:hint="cs"/>
          <w:rtl/>
        </w:rPr>
        <w:t>,</w:t>
      </w:r>
      <w:r>
        <w:rPr>
          <w:rFonts w:hint="cs"/>
          <w:rtl/>
        </w:rPr>
        <w:t xml:space="preserve"> </w:t>
      </w:r>
      <w:r w:rsidRPr="00C3773C">
        <w:rPr>
          <w:rFonts w:hint="cs"/>
          <w:b/>
          <w:bCs/>
          <w:rtl/>
        </w:rPr>
        <w:t>בשנת 2013 היו 4,881 עברות נהיגה בהשפעת אלכוהול או סמים שבגינן התקבלה הרשעה או אזהרה</w:t>
      </w:r>
      <w:r>
        <w:rPr>
          <w:rFonts w:hint="cs"/>
          <w:rtl/>
        </w:rPr>
        <w:t>, שהן 0.8% מסך עברות אלו, וזאת בקרב נהגים המורשים לנהוג.</w:t>
      </w:r>
      <w:r>
        <w:rPr>
          <w:rStyle w:val="ab"/>
          <w:rtl/>
        </w:rPr>
        <w:footnoteReference w:id="241"/>
      </w:r>
      <w:r>
        <w:rPr>
          <w:rFonts w:hint="cs"/>
          <w:rtl/>
        </w:rPr>
        <w:t xml:space="preserve"> במסמך מצויין גם כי במקרים של עברות נהיגה של ישראלים שאינם מורשים לנהוג מסיבות שונות, עבירת נהיגה בהשפעת אלכוהול או סמים מבוצעת בדרך כלל בתאונת דרכים, ועניינן מוכרע בבית המשפט. בשנת 2013 היו 99 עבירת נהיגה בהשפעת אלכוהול או סמים של ישראלים שאינם מורשים לנהוג שבגינן התקבלה הרשעה או אזהרה, שהיוו 1.2% מכלל עברות הנהיגה בקרב אוכלוסיה זו.</w:t>
      </w:r>
      <w:r>
        <w:rPr>
          <w:rStyle w:val="ab"/>
          <w:rtl/>
        </w:rPr>
        <w:footnoteReference w:id="242"/>
      </w:r>
    </w:p>
    <w:p w:rsidR="0021201F" w:rsidRPr="00BB6388" w:rsidRDefault="0021201F" w:rsidP="0021201F">
      <w:pPr>
        <w:pStyle w:val="4"/>
        <w:rPr>
          <w:rtl/>
        </w:rPr>
      </w:pPr>
      <w:r w:rsidRPr="00BB6388">
        <w:rPr>
          <w:rFonts w:hint="cs"/>
          <w:rtl/>
        </w:rPr>
        <w:t>פעילות במסגרת חוק המרשם הפלילי ותקנות השבים, התשמ"א-1981</w:t>
      </w:r>
      <w:bookmarkEnd w:id="221"/>
      <w:bookmarkEnd w:id="222"/>
    </w:p>
    <w:p w:rsidR="0021201F" w:rsidRPr="00BB6388" w:rsidRDefault="008E78E1" w:rsidP="008E78E1">
      <w:pPr>
        <w:pStyle w:val="a2"/>
        <w:spacing w:line="360" w:lineRule="auto"/>
        <w:rPr>
          <w:rtl/>
        </w:rPr>
      </w:pPr>
      <w:r w:rsidRPr="008E78E1">
        <w:rPr>
          <w:rFonts w:hint="cs"/>
          <w:b/>
          <w:bCs/>
          <w:rtl/>
        </w:rPr>
        <w:t>חוק המרשם הפלילי ותקנות השבים, התשמ"א-1981</w:t>
      </w:r>
      <w:r w:rsidRPr="001B19E6">
        <w:rPr>
          <w:rStyle w:val="ab"/>
          <w:b/>
          <w:bCs/>
          <w:rtl/>
        </w:rPr>
        <w:footnoteReference w:id="243"/>
      </w:r>
      <w:r>
        <w:rPr>
          <w:rFonts w:hint="cs"/>
          <w:rtl/>
        </w:rPr>
        <w:t xml:space="preserve"> </w:t>
      </w:r>
      <w:r w:rsidR="00F16707">
        <w:rPr>
          <w:rFonts w:hint="cs"/>
          <w:rtl/>
        </w:rPr>
        <w:t xml:space="preserve">קובע </w:t>
      </w:r>
      <w:r w:rsidR="00F16707" w:rsidRPr="00BB6388">
        <w:rPr>
          <w:rFonts w:hint="cs"/>
          <w:rtl/>
        </w:rPr>
        <w:t xml:space="preserve">כי </w:t>
      </w:r>
      <w:r w:rsidR="00F16707">
        <w:rPr>
          <w:rFonts w:hint="cs"/>
          <w:rtl/>
        </w:rPr>
        <w:t>משטרת ישראל</w:t>
      </w:r>
      <w:r w:rsidR="00F16707" w:rsidRPr="00BB6388">
        <w:rPr>
          <w:rFonts w:hint="cs"/>
          <w:rtl/>
        </w:rPr>
        <w:t xml:space="preserve"> תמסור לרשות הרישוי מידע מן המרשם הפלילי בדבר כל עבירה של בעל רישיון נהיגה הנוגעת לשימוש בסם מסוכן או להחזקת סם מסוכן לצריכה עצמית.</w:t>
      </w:r>
      <w:r w:rsidR="00C20904">
        <w:rPr>
          <w:rFonts w:hint="cs"/>
          <w:rtl/>
        </w:rPr>
        <w:t xml:space="preserve"> </w:t>
      </w:r>
      <w:r w:rsidR="0021201F">
        <w:rPr>
          <w:rFonts w:hint="cs"/>
          <w:rtl/>
        </w:rPr>
        <w:t>למרות בקשת מרכז המחקר והמידע של הכנסת, לא נמסרו נתונים מהמשרד לביטחון פנים בנוגע לפעילות המשטרה במסגרת חוק זה עד מועד סיום כתיבת המסמך.</w:t>
      </w:r>
    </w:p>
    <w:p w:rsidR="006F3F8C" w:rsidRPr="00BB6388" w:rsidRDefault="00C270DC" w:rsidP="006F3F8C">
      <w:pPr>
        <w:pStyle w:val="3"/>
        <w:rPr>
          <w:rtl/>
        </w:rPr>
      </w:pPr>
      <w:bookmarkStart w:id="223" w:name="_Toc418585144"/>
      <w:bookmarkStart w:id="224" w:name="_Toc419054678"/>
      <w:bookmarkStart w:id="225" w:name="_Toc419959724"/>
      <w:bookmarkStart w:id="226" w:name="_Toc419963095"/>
      <w:bookmarkStart w:id="227" w:name="_Toc419963295"/>
      <w:bookmarkStart w:id="228" w:name="_Toc421697066"/>
      <w:r w:rsidRPr="00BB6388">
        <w:rPr>
          <w:rFonts w:hint="cs"/>
          <w:rtl/>
        </w:rPr>
        <w:t>תוכנית "עיר ללא אלימות"</w:t>
      </w:r>
      <w:bookmarkEnd w:id="223"/>
      <w:bookmarkEnd w:id="224"/>
      <w:bookmarkEnd w:id="225"/>
      <w:bookmarkEnd w:id="226"/>
      <w:bookmarkEnd w:id="227"/>
      <w:bookmarkEnd w:id="228"/>
    </w:p>
    <w:p w:rsidR="00C270DC" w:rsidRPr="00BB6388" w:rsidRDefault="00F20333" w:rsidP="003B5E24">
      <w:pPr>
        <w:pStyle w:val="a2"/>
        <w:rPr>
          <w:rtl/>
        </w:rPr>
      </w:pPr>
      <w:r>
        <w:rPr>
          <w:rFonts w:hint="cs"/>
          <w:rtl/>
        </w:rPr>
        <w:t>"</w:t>
      </w:r>
      <w:r w:rsidR="00C270DC" w:rsidRPr="00BB6388">
        <w:rPr>
          <w:rFonts w:hint="cs"/>
          <w:rtl/>
        </w:rPr>
        <w:t>עיר ללא אלימות" היא תוכנית לאומית להתמודדות מערכתית ברמה העירונית עם תופעות שונות של אלימות, ובכללן אלימות במשפחה, אלימות בכבישים, אלימות בקרב מתבגרים, אלימות בבתי-ספר ואלימות עבריינית.</w:t>
      </w:r>
      <w:r w:rsidR="00C270DC" w:rsidRPr="00BB6388">
        <w:rPr>
          <w:rStyle w:val="ab"/>
          <w:rtl/>
        </w:rPr>
        <w:footnoteReference w:id="244"/>
      </w:r>
      <w:r w:rsidR="00C270DC" w:rsidRPr="00BB6388">
        <w:rPr>
          <w:rFonts w:hint="cs"/>
          <w:rtl/>
        </w:rPr>
        <w:t xml:space="preserve"> </w:t>
      </w:r>
      <w:r w:rsidR="00C270DC" w:rsidRPr="00BB6388">
        <w:rPr>
          <w:rtl/>
        </w:rPr>
        <w:t>הת</w:t>
      </w:r>
      <w:r w:rsidR="00C270DC" w:rsidRPr="00BB6388">
        <w:rPr>
          <w:rFonts w:hint="cs"/>
          <w:rtl/>
        </w:rPr>
        <w:t>ו</w:t>
      </w:r>
      <w:r w:rsidR="00C270DC" w:rsidRPr="00BB6388">
        <w:rPr>
          <w:rtl/>
        </w:rPr>
        <w:t xml:space="preserve">כנית </w:t>
      </w:r>
      <w:r w:rsidR="00C270DC" w:rsidRPr="00BB6388">
        <w:rPr>
          <w:rFonts w:hint="cs"/>
          <w:rtl/>
        </w:rPr>
        <w:t xml:space="preserve">החלה לפעול בשנת 2007 והיא מובלת על-ידי </w:t>
      </w:r>
      <w:r w:rsidR="00C270DC" w:rsidRPr="00BB6388">
        <w:rPr>
          <w:rtl/>
        </w:rPr>
        <w:t>ועדת השרים למאבק באלימות בראשות השר לביטחון פנים</w:t>
      </w:r>
      <w:r w:rsidR="00C270DC" w:rsidRPr="00BB6388">
        <w:rPr>
          <w:rFonts w:hint="cs"/>
          <w:rtl/>
        </w:rPr>
        <w:t xml:space="preserve"> ו</w:t>
      </w:r>
      <w:r w:rsidR="00C270DC" w:rsidRPr="00BB6388">
        <w:rPr>
          <w:rtl/>
        </w:rPr>
        <w:t xml:space="preserve">נציגי משרד ראש הממשלה, משרד החינוך, משרד הרווחה והשירותים החברתיים, משרד הקליטה </w:t>
      </w:r>
      <w:r w:rsidR="00C270DC" w:rsidRPr="00BB6388">
        <w:rPr>
          <w:rFonts w:hint="cs"/>
          <w:rtl/>
        </w:rPr>
        <w:t>ו</w:t>
      </w:r>
      <w:r w:rsidR="00C270DC" w:rsidRPr="00BB6388">
        <w:rPr>
          <w:rtl/>
        </w:rPr>
        <w:t>משרד המשפטים</w:t>
      </w:r>
      <w:r w:rsidR="00C270DC" w:rsidRPr="00BB6388">
        <w:rPr>
          <w:rFonts w:hint="cs"/>
          <w:rtl/>
        </w:rPr>
        <w:t>.</w:t>
      </w:r>
      <w:r w:rsidR="00C270DC" w:rsidRPr="00BB6388">
        <w:rPr>
          <w:rStyle w:val="ab"/>
          <w:rtl/>
        </w:rPr>
        <w:footnoteReference w:id="245"/>
      </w:r>
      <w:r w:rsidR="00C270DC" w:rsidRPr="00BB6388">
        <w:rPr>
          <w:rFonts w:hint="cs"/>
          <w:rtl/>
        </w:rPr>
        <w:t xml:space="preserve"> הרשויות שנבחרו להשתתף בתוכנית יכולות לבחור את הפתרונות הנחוצים </w:t>
      </w:r>
      <w:r w:rsidR="003B5E24">
        <w:rPr>
          <w:rFonts w:hint="cs"/>
          <w:rtl/>
        </w:rPr>
        <w:t xml:space="preserve">להן </w:t>
      </w:r>
      <w:r w:rsidR="00C270DC" w:rsidRPr="00BB6388">
        <w:rPr>
          <w:rFonts w:hint="cs"/>
          <w:rtl/>
        </w:rPr>
        <w:t xml:space="preserve">ביותר מתוך סל תוכניות. בסל זה, בין השאר, נכללות </w:t>
      </w:r>
      <w:r w:rsidR="00C270DC" w:rsidRPr="00F20333">
        <w:rPr>
          <w:rFonts w:hint="cs"/>
          <w:b/>
          <w:bCs/>
          <w:rtl/>
        </w:rPr>
        <w:t>פעולות מניעה בתחום ההתמכרויות לסמים ואלכוהול בקרב ילדים ובני-נוער</w:t>
      </w:r>
      <w:r w:rsidR="00C270DC" w:rsidRPr="00BB6388">
        <w:rPr>
          <w:rFonts w:hint="cs"/>
          <w:rtl/>
        </w:rPr>
        <w:t>. התוכנית פ</w:t>
      </w:r>
      <w:r w:rsidR="003B5E24">
        <w:rPr>
          <w:rFonts w:hint="cs"/>
          <w:rtl/>
        </w:rPr>
        <w:t>ו</w:t>
      </w:r>
      <w:r w:rsidR="00C270DC" w:rsidRPr="00BB6388">
        <w:rPr>
          <w:rFonts w:hint="cs"/>
          <w:rtl/>
        </w:rPr>
        <w:t>על</w:t>
      </w:r>
      <w:r w:rsidR="003B5E24">
        <w:rPr>
          <w:rFonts w:hint="cs"/>
          <w:rtl/>
        </w:rPr>
        <w:t>ת</w:t>
      </w:r>
      <w:r w:rsidR="00C270DC" w:rsidRPr="00BB6388">
        <w:rPr>
          <w:rFonts w:hint="cs"/>
          <w:rtl/>
        </w:rPr>
        <w:t xml:space="preserve"> באופן מלא ב-120 יישובים.</w:t>
      </w:r>
      <w:r w:rsidR="00C270DC" w:rsidRPr="00BB6388">
        <w:rPr>
          <w:rStyle w:val="ab"/>
          <w:rtl/>
        </w:rPr>
        <w:footnoteReference w:id="246"/>
      </w:r>
      <w:r w:rsidR="00C270DC" w:rsidRPr="00BB6388">
        <w:rPr>
          <w:rFonts w:hint="cs"/>
          <w:rtl/>
        </w:rPr>
        <w:t xml:space="preserve"> </w:t>
      </w:r>
    </w:p>
    <w:p w:rsidR="00210359" w:rsidRPr="00BB6388" w:rsidRDefault="00C270DC" w:rsidP="00F20333">
      <w:pPr>
        <w:pStyle w:val="2"/>
        <w:rPr>
          <w:rtl/>
        </w:rPr>
      </w:pPr>
      <w:bookmarkStart w:id="229" w:name="_Toc418585145"/>
      <w:bookmarkStart w:id="230" w:name="_Toc419054679"/>
      <w:bookmarkStart w:id="231" w:name="_Toc419959725"/>
      <w:bookmarkStart w:id="232" w:name="_Toc419963096"/>
      <w:bookmarkStart w:id="233" w:name="_Toc419963296"/>
      <w:bookmarkStart w:id="234" w:name="_Toc421697067"/>
      <w:r w:rsidRPr="00BB6388">
        <w:rPr>
          <w:rFonts w:hint="cs"/>
          <w:rtl/>
        </w:rPr>
        <w:t>משרד האוצר, רשות המיסים: יחידת סמים ומכס (יס"מ)</w:t>
      </w:r>
      <w:bookmarkEnd w:id="229"/>
      <w:bookmarkEnd w:id="230"/>
      <w:bookmarkEnd w:id="231"/>
      <w:bookmarkEnd w:id="232"/>
      <w:bookmarkEnd w:id="233"/>
      <w:bookmarkEnd w:id="234"/>
      <w:r w:rsidR="00210359" w:rsidRPr="00210359">
        <w:rPr>
          <w:rtl/>
        </w:rPr>
        <w:t xml:space="preserve"> </w:t>
      </w:r>
    </w:p>
    <w:p w:rsidR="00C270DC" w:rsidRPr="00BB6388" w:rsidRDefault="007E1BC4" w:rsidP="00294129">
      <w:pPr>
        <w:pStyle w:val="a2"/>
        <w:rPr>
          <w:rtl/>
        </w:rPr>
      </w:pPr>
      <w:r w:rsidRPr="00210359">
        <w:rPr>
          <w:rFonts w:hint="cs"/>
          <w:b/>
          <w:bCs/>
          <w:rtl/>
        </w:rPr>
        <w:t xml:space="preserve">ב- 1994 החליטה </w:t>
      </w:r>
      <w:r w:rsidR="00C270DC" w:rsidRPr="00210359">
        <w:rPr>
          <w:rFonts w:hint="cs"/>
          <w:b/>
          <w:bCs/>
          <w:rtl/>
        </w:rPr>
        <w:t>ממשלת ישראל על הקמתה של יחידה למלחמה בסמים ברשות המסים</w:t>
      </w:r>
      <w:r w:rsidRPr="007E1BC4">
        <w:rPr>
          <w:rFonts w:hint="cs"/>
          <w:rtl/>
        </w:rPr>
        <w:t>, וזאת</w:t>
      </w:r>
      <w:r>
        <w:rPr>
          <w:rFonts w:hint="cs"/>
          <w:b/>
          <w:bCs/>
          <w:rtl/>
        </w:rPr>
        <w:t xml:space="preserve"> </w:t>
      </w:r>
      <w:r>
        <w:rPr>
          <w:rFonts w:hint="cs"/>
          <w:rtl/>
        </w:rPr>
        <w:t>במסגרת ה</w:t>
      </w:r>
      <w:r w:rsidRPr="00BB6388">
        <w:rPr>
          <w:rFonts w:hint="cs"/>
          <w:rtl/>
        </w:rPr>
        <w:t xml:space="preserve">מאבק בהברחות </w:t>
      </w:r>
      <w:r>
        <w:rPr>
          <w:rFonts w:hint="cs"/>
          <w:rtl/>
        </w:rPr>
        <w:t>ה</w:t>
      </w:r>
      <w:r w:rsidRPr="00BB6388">
        <w:rPr>
          <w:rFonts w:hint="cs"/>
          <w:rtl/>
        </w:rPr>
        <w:t>סמים</w:t>
      </w:r>
      <w:r w:rsidR="00C270DC" w:rsidRPr="00BB6388">
        <w:rPr>
          <w:rFonts w:hint="cs"/>
          <w:rtl/>
        </w:rPr>
        <w:t>.</w:t>
      </w:r>
      <w:r w:rsidR="00C270DC" w:rsidRPr="00BB6388">
        <w:rPr>
          <w:rStyle w:val="ab"/>
          <w:rtl/>
        </w:rPr>
        <w:footnoteReference w:id="247"/>
      </w:r>
      <w:r w:rsidR="00C270DC" w:rsidRPr="00BB6388">
        <w:rPr>
          <w:rFonts w:hint="cs"/>
          <w:rtl/>
        </w:rPr>
        <w:t xml:space="preserve"> יעודה של יחידה זו היה לעסוק בנושא בכלל </w:t>
      </w:r>
      <w:r w:rsidR="00C270DC" w:rsidRPr="00210359">
        <w:rPr>
          <w:rFonts w:hint="cs"/>
          <w:u w:val="single"/>
          <w:rtl/>
        </w:rPr>
        <w:t>מעברי הגבול</w:t>
      </w:r>
      <w:r w:rsidR="00C270DC" w:rsidRPr="00BB6388">
        <w:rPr>
          <w:rFonts w:hint="cs"/>
          <w:rtl/>
        </w:rPr>
        <w:t xml:space="preserve"> היבשתיים, הימיים והאוויריים של ישראל. זאת, להבדיל מהמאבק בהברחות סמים דרך </w:t>
      </w:r>
      <w:r w:rsidR="00C270DC" w:rsidRPr="00210359">
        <w:rPr>
          <w:rFonts w:hint="cs"/>
          <w:u w:val="single"/>
          <w:rtl/>
        </w:rPr>
        <w:t>הגבולות</w:t>
      </w:r>
      <w:r w:rsidR="00C270DC" w:rsidRPr="00BB6388">
        <w:rPr>
          <w:rFonts w:hint="cs"/>
          <w:rtl/>
        </w:rPr>
        <w:t xml:space="preserve"> היבשתיים והימיים עצמם, ה</w:t>
      </w:r>
      <w:r w:rsidR="00E24957" w:rsidRPr="00BB6388">
        <w:rPr>
          <w:rFonts w:hint="cs"/>
          <w:rtl/>
        </w:rPr>
        <w:t>נמצא באחריות צה"ל ומשטרת ישראל.</w:t>
      </w:r>
      <w:r w:rsidR="00294129">
        <w:rPr>
          <w:rFonts w:hint="cs"/>
          <w:rtl/>
        </w:rPr>
        <w:t xml:space="preserve"> </w:t>
      </w:r>
    </w:p>
    <w:p w:rsidR="00C270DC" w:rsidRPr="00BB6388" w:rsidRDefault="00C270DC" w:rsidP="00BB6388">
      <w:pPr>
        <w:pStyle w:val="a2"/>
        <w:spacing w:line="360" w:lineRule="auto"/>
        <w:rPr>
          <w:rtl/>
        </w:rPr>
      </w:pPr>
      <w:r w:rsidRPr="00BB6388">
        <w:rPr>
          <w:rFonts w:hint="cs"/>
          <w:rtl/>
        </w:rPr>
        <w:t>'מטה הסמים' בהנהלת המכס הוקם במאי 1995, והפעיל מדורים בנתב"ג ובנמלי הים.</w:t>
      </w:r>
      <w:r w:rsidRPr="00BB6388">
        <w:rPr>
          <w:rStyle w:val="ab"/>
          <w:rtl/>
        </w:rPr>
        <w:footnoteReference w:id="248"/>
      </w:r>
      <w:r w:rsidRPr="00BB6388">
        <w:rPr>
          <w:rFonts w:hint="cs"/>
          <w:rtl/>
        </w:rPr>
        <w:t xml:space="preserve"> במאי 1999 הכפיף מ</w:t>
      </w:r>
      <w:r w:rsidR="003B5E24">
        <w:rPr>
          <w:rFonts w:hint="cs"/>
          <w:rtl/>
        </w:rPr>
        <w:t>י</w:t>
      </w:r>
      <w:r w:rsidRPr="00BB6388">
        <w:rPr>
          <w:rFonts w:hint="cs"/>
          <w:rtl/>
        </w:rPr>
        <w:t>נהל המכס את מדורי הסמים לגובי המכס, ומטה הסמים הוגדר כגוף מנחה מקצועי. במאי 2002 איחד מ</w:t>
      </w:r>
      <w:r w:rsidR="003B5E24">
        <w:rPr>
          <w:rFonts w:hint="cs"/>
          <w:rtl/>
        </w:rPr>
        <w:t>י</w:t>
      </w:r>
      <w:r w:rsidRPr="00BB6388">
        <w:rPr>
          <w:rFonts w:hint="cs"/>
          <w:rtl/>
        </w:rPr>
        <w:t xml:space="preserve">נהל המכס את פעילות מדורי הסמים עם פעילות מדורי המכס המיוחדים ליחידה אחת </w:t>
      </w:r>
      <w:r w:rsidRPr="00BB6388">
        <w:rPr>
          <w:rtl/>
        </w:rPr>
        <w:t>–</w:t>
      </w:r>
      <w:r w:rsidRPr="00BB6388">
        <w:rPr>
          <w:rFonts w:hint="cs"/>
          <w:rtl/>
        </w:rPr>
        <w:t xml:space="preserve"> יחידת סמים ומכס (להלן - יס"מ), ונקבע כי יחידות חדשות אלו ישמשו כזרוע האכיפה של של בתי המכס, שיעסקו גם בנושאים כגון הברחת הון או קנין רוחני. </w:t>
      </w:r>
      <w:r w:rsidR="00E24957" w:rsidRPr="00BB6388">
        <w:rPr>
          <w:rFonts w:hint="cs"/>
          <w:rtl/>
        </w:rPr>
        <w:t>כיום פועלות יחידות יס"מ בכלל מעברי הגבול הבינלאו</w:t>
      </w:r>
      <w:r w:rsidR="00C93D64" w:rsidRPr="00BB6388">
        <w:rPr>
          <w:rFonts w:hint="cs"/>
          <w:rtl/>
        </w:rPr>
        <w:t>מיים של ישראל, ובאחריותם גם פיקוח על משלוחים נכנסים ויוצאים הנעשים באמצעות דואר ישראל וסוכנויות בלדרות.</w:t>
      </w:r>
      <w:r w:rsidR="00F20333" w:rsidRPr="00F20333">
        <w:rPr>
          <w:rStyle w:val="ab"/>
          <w:rtl/>
        </w:rPr>
        <w:t xml:space="preserve"> </w:t>
      </w:r>
      <w:r w:rsidR="00F20333" w:rsidRPr="00BB6388">
        <w:rPr>
          <w:rStyle w:val="ab"/>
          <w:rtl/>
        </w:rPr>
        <w:footnoteReference w:id="249"/>
      </w:r>
    </w:p>
    <w:p w:rsidR="00C270DC" w:rsidRPr="00BB6388" w:rsidRDefault="00C270DC" w:rsidP="00BB6388">
      <w:pPr>
        <w:pStyle w:val="a2"/>
        <w:spacing w:line="360" w:lineRule="auto"/>
        <w:rPr>
          <w:rtl/>
        </w:rPr>
      </w:pPr>
      <w:r w:rsidRPr="00BB6388">
        <w:rPr>
          <w:rFonts w:hint="cs"/>
          <w:rtl/>
        </w:rPr>
        <w:t xml:space="preserve">חשיבותם של שינויים מבניים אלו עולה </w:t>
      </w:r>
      <w:r w:rsidRPr="00BB6388">
        <w:rPr>
          <w:rFonts w:hint="cs"/>
          <w:b/>
          <w:bCs/>
          <w:rtl/>
        </w:rPr>
        <w:t>מקביעתו של מבקר המדינה כי בכך לא קוימה החלטתה המפורשת של הממשלה בדבר מתווה ארגוני עצמאי המוקדש למאבק בהברחות סמים, וכי כתולדה משינויים אלו הפך המאבק בהברחות סמים למשימה משנית בלבד, דבר שהוביל להפחתה בתפיסות הברחות הסמים</w:t>
      </w:r>
      <w:r w:rsidRPr="00BB6388">
        <w:rPr>
          <w:rFonts w:hint="cs"/>
          <w:rtl/>
        </w:rPr>
        <w:t>.</w:t>
      </w:r>
      <w:r w:rsidRPr="00BB6388">
        <w:rPr>
          <w:rStyle w:val="ab"/>
          <w:rtl/>
        </w:rPr>
        <w:footnoteReference w:id="250"/>
      </w:r>
      <w:r w:rsidR="00294129">
        <w:rPr>
          <w:rFonts w:hint="cs"/>
          <w:rtl/>
        </w:rPr>
        <w:t xml:space="preserve"> במכתבה</w:t>
      </w:r>
      <w:r w:rsidRPr="00BB6388">
        <w:rPr>
          <w:rFonts w:hint="cs"/>
          <w:rtl/>
        </w:rPr>
        <w:t xml:space="preserve"> למרכז המחקר והמידע </w:t>
      </w:r>
      <w:r w:rsidR="00294129">
        <w:rPr>
          <w:rFonts w:hint="cs"/>
          <w:rtl/>
        </w:rPr>
        <w:t xml:space="preserve">של הכנסת </w:t>
      </w:r>
      <w:r w:rsidRPr="00BB6388">
        <w:rPr>
          <w:rFonts w:hint="cs"/>
          <w:rtl/>
        </w:rPr>
        <w:t>מתאריך 13 באפריל 2015, מבהירה רשות המיסים כי מבנה היס"מ, על היקף משימותיו המגוונות, הוא גם המבנה הקיים כיום.</w:t>
      </w:r>
      <w:r w:rsidRPr="00BB6388">
        <w:rPr>
          <w:rStyle w:val="ab"/>
          <w:rtl/>
        </w:rPr>
        <w:footnoteReference w:id="251"/>
      </w:r>
      <w:r w:rsidRPr="00BB6388">
        <w:rPr>
          <w:rFonts w:hint="cs"/>
          <w:rtl/>
        </w:rPr>
        <w:t xml:space="preserve"> בו-בזמן, באותו המכתב, נכתב </w:t>
      </w:r>
      <w:r w:rsidR="009D6DD9">
        <w:rPr>
          <w:rFonts w:hint="cs"/>
          <w:rtl/>
        </w:rPr>
        <w:t xml:space="preserve">גם </w:t>
      </w:r>
      <w:r w:rsidRPr="00BB6388">
        <w:rPr>
          <w:rFonts w:hint="cs"/>
          <w:rtl/>
        </w:rPr>
        <w:t>כי "אין לנו ספק שחזָרה למתכונת החלטת הממשלה המקורית תייעל ותשפר עוד יותר ומשמעותית את איכות היחידה למטרות שלשמה הוקמה".</w:t>
      </w:r>
      <w:r w:rsidRPr="00BB6388">
        <w:rPr>
          <w:rStyle w:val="ab"/>
          <w:rtl/>
        </w:rPr>
        <w:footnoteReference w:id="252"/>
      </w:r>
    </w:p>
    <w:p w:rsidR="00C270DC" w:rsidRDefault="00C270DC" w:rsidP="00485009">
      <w:pPr>
        <w:pStyle w:val="a2"/>
        <w:spacing w:line="360" w:lineRule="auto"/>
        <w:rPr>
          <w:rtl/>
        </w:rPr>
      </w:pPr>
      <w:r w:rsidRPr="00BB6388">
        <w:rPr>
          <w:rFonts w:hint="cs"/>
          <w:rtl/>
        </w:rPr>
        <w:t xml:space="preserve">פעילות היחידה היא, כאמור, בכל מעברי הגבול </w:t>
      </w:r>
      <w:r w:rsidR="009D6DD9">
        <w:rPr>
          <w:rFonts w:hint="cs"/>
          <w:rtl/>
        </w:rPr>
        <w:t xml:space="preserve">וסוכנויות הדואר </w:t>
      </w:r>
      <w:r w:rsidRPr="00BB6388">
        <w:rPr>
          <w:rFonts w:hint="cs"/>
          <w:rtl/>
        </w:rPr>
        <w:t>הבין-לאומיים ופועלים בה בשנת 2015, בסך הכול, 67 עובדים ו- 8 כלבים.</w:t>
      </w:r>
      <w:r w:rsidR="009D6DD9" w:rsidRPr="009D6DD9">
        <w:rPr>
          <w:rStyle w:val="ab"/>
          <w:rtl/>
        </w:rPr>
        <w:t xml:space="preserve"> </w:t>
      </w:r>
      <w:r w:rsidR="009D6DD9" w:rsidRPr="00BB6388">
        <w:rPr>
          <w:rStyle w:val="ab"/>
          <w:rtl/>
        </w:rPr>
        <w:footnoteReference w:id="253"/>
      </w:r>
      <w:r w:rsidRPr="00BB6388">
        <w:rPr>
          <w:rFonts w:hint="cs"/>
          <w:rtl/>
        </w:rPr>
        <w:t xml:space="preserve"> לרשותה עומדות</w:t>
      </w:r>
      <w:r w:rsidR="009D6DD9">
        <w:rPr>
          <w:rFonts w:hint="cs"/>
          <w:rtl/>
        </w:rPr>
        <w:t xml:space="preserve"> גם</w:t>
      </w:r>
      <w:r w:rsidRPr="00BB6388">
        <w:rPr>
          <w:rFonts w:hint="cs"/>
          <w:rtl/>
        </w:rPr>
        <w:t xml:space="preserve"> 16 מכונות שיקוף השייכות לגופי מכס, ביטחון וכד'.</w:t>
      </w:r>
      <w:r w:rsidR="009D6DD9" w:rsidRPr="009D6DD9">
        <w:rPr>
          <w:rStyle w:val="ab"/>
          <w:rtl/>
        </w:rPr>
        <w:t xml:space="preserve"> </w:t>
      </w:r>
      <w:r w:rsidR="009D6DD9" w:rsidRPr="00BB6388">
        <w:rPr>
          <w:rStyle w:val="ab"/>
          <w:rtl/>
        </w:rPr>
        <w:footnoteReference w:id="254"/>
      </w:r>
      <w:r w:rsidRPr="00BB6388">
        <w:rPr>
          <w:rFonts w:hint="cs"/>
          <w:rtl/>
        </w:rPr>
        <w:t xml:space="preserve"> </w:t>
      </w:r>
      <w:r w:rsidR="00485009">
        <w:rPr>
          <w:rFonts w:hint="cs"/>
          <w:rtl/>
        </w:rPr>
        <w:t xml:space="preserve">לשם </w:t>
      </w:r>
      <w:r w:rsidRPr="00BB6388">
        <w:rPr>
          <w:rFonts w:hint="cs"/>
          <w:rtl/>
        </w:rPr>
        <w:t>השוואה, מצבת כוח האדם שעמדה לרשות היחידה למלחמה בסמים והלבנת הון ב- 2011, עמדה על 60 עובדים ותשעה כלבים.</w:t>
      </w:r>
      <w:r w:rsidRPr="00BB6388">
        <w:rPr>
          <w:rStyle w:val="ab"/>
          <w:rtl/>
        </w:rPr>
        <w:footnoteReference w:id="255"/>
      </w:r>
    </w:p>
    <w:p w:rsidR="007B361D" w:rsidRDefault="00F20333" w:rsidP="00C435CF">
      <w:pPr>
        <w:pStyle w:val="a2"/>
        <w:spacing w:line="360" w:lineRule="auto"/>
        <w:rPr>
          <w:rtl/>
        </w:rPr>
      </w:pPr>
      <w:r w:rsidRPr="00BB6388">
        <w:rPr>
          <w:rFonts w:hint="cs"/>
          <w:rtl/>
        </w:rPr>
        <w:t xml:space="preserve">טבלה מס' </w:t>
      </w:r>
      <w:r w:rsidR="00C435CF">
        <w:rPr>
          <w:rFonts w:hint="cs"/>
          <w:rtl/>
        </w:rPr>
        <w:t>15</w:t>
      </w:r>
      <w:r w:rsidRPr="00BB6388">
        <w:rPr>
          <w:rFonts w:hint="cs"/>
          <w:rtl/>
        </w:rPr>
        <w:t xml:space="preserve"> מפרטת את תפיסות הסמים של היס"מ בשנים </w:t>
      </w:r>
      <w:r w:rsidR="008A23EB">
        <w:rPr>
          <w:rFonts w:hint="cs"/>
          <w:rtl/>
        </w:rPr>
        <w:t>2014-2013</w:t>
      </w:r>
      <w:r w:rsidRPr="00BB6388">
        <w:rPr>
          <w:rFonts w:hint="cs"/>
          <w:rtl/>
        </w:rPr>
        <w:t xml:space="preserve">, לפי סוגי סמים. </w:t>
      </w:r>
      <w:r w:rsidR="00333701" w:rsidRPr="00BB6388">
        <w:rPr>
          <w:rFonts w:hint="cs"/>
          <w:rtl/>
        </w:rPr>
        <w:t xml:space="preserve">פרוט הסמים לפי הקטגוריות המוצגות בטבלה זו מייצג את ההבחנות שעורך היס"מ מבחינת קהלי היעד של הסמים השונים (כגון ההבחנה בין 'סמים מעוצבים' שקהל היעד שלהם הוא בעיקר נוער וצעירים ובין </w:t>
      </w:r>
      <w:r w:rsidR="00333701" w:rsidRPr="00BB6388">
        <w:t>YA-BA</w:t>
      </w:r>
      <w:r w:rsidR="00333701">
        <w:rPr>
          <w:rFonts w:hint="cs"/>
          <w:rtl/>
        </w:rPr>
        <w:t>,</w:t>
      </w:r>
      <w:r w:rsidR="00333701" w:rsidRPr="00BB6388">
        <w:rPr>
          <w:rFonts w:hint="cs"/>
          <w:rtl/>
        </w:rPr>
        <w:t xml:space="preserve"> המקובל בעיקר בקרב הקהילה התאילנדית בישראל, או ההבחנה בין 'קנאביס'</w:t>
      </w:r>
      <w:r w:rsidR="00333701">
        <w:rPr>
          <w:rFonts w:hint="cs"/>
          <w:rtl/>
        </w:rPr>
        <w:t>,</w:t>
      </w:r>
      <w:r w:rsidR="00333701" w:rsidRPr="00BB6388">
        <w:rPr>
          <w:rFonts w:hint="cs"/>
          <w:rtl/>
        </w:rPr>
        <w:t xml:space="preserve"> שבכך הכוונה למוצר הסופי הנצרך ובין 'זרעי מריחואנה' המיועדים לגידול).</w:t>
      </w:r>
      <w:r w:rsidR="00333701" w:rsidRPr="00BB6388">
        <w:rPr>
          <w:rStyle w:val="ab"/>
          <w:rtl/>
        </w:rPr>
        <w:footnoteReference w:id="256"/>
      </w:r>
    </w:p>
    <w:p w:rsidR="007B5846" w:rsidRDefault="007B5846" w:rsidP="007B361D">
      <w:pPr>
        <w:pStyle w:val="af2"/>
        <w:jc w:val="center"/>
        <w:rPr>
          <w:sz w:val="24"/>
          <w:szCs w:val="24"/>
          <w:rtl/>
        </w:rPr>
      </w:pPr>
    </w:p>
    <w:p w:rsidR="007B5846" w:rsidRDefault="007B5846" w:rsidP="007B361D">
      <w:pPr>
        <w:pStyle w:val="af2"/>
        <w:jc w:val="center"/>
        <w:rPr>
          <w:sz w:val="24"/>
          <w:szCs w:val="24"/>
          <w:rtl/>
        </w:rPr>
      </w:pPr>
    </w:p>
    <w:p w:rsidR="007B5846" w:rsidRDefault="007B5846" w:rsidP="007B361D">
      <w:pPr>
        <w:pStyle w:val="af2"/>
        <w:jc w:val="center"/>
        <w:rPr>
          <w:sz w:val="24"/>
          <w:szCs w:val="24"/>
          <w:rtl/>
        </w:rPr>
      </w:pPr>
    </w:p>
    <w:p w:rsidR="007B5846" w:rsidRDefault="007B5846" w:rsidP="007B361D">
      <w:pPr>
        <w:pStyle w:val="af2"/>
        <w:jc w:val="center"/>
        <w:rPr>
          <w:sz w:val="24"/>
          <w:szCs w:val="24"/>
          <w:rtl/>
        </w:rPr>
      </w:pPr>
    </w:p>
    <w:p w:rsidR="007B5846" w:rsidRDefault="007B5846" w:rsidP="007B361D">
      <w:pPr>
        <w:pStyle w:val="af2"/>
        <w:jc w:val="center"/>
        <w:rPr>
          <w:sz w:val="24"/>
          <w:szCs w:val="24"/>
          <w:rtl/>
        </w:rPr>
      </w:pPr>
    </w:p>
    <w:p w:rsidR="007B361D" w:rsidRPr="00BB6388" w:rsidRDefault="007B361D" w:rsidP="007B361D">
      <w:pPr>
        <w:pStyle w:val="af2"/>
        <w:jc w:val="center"/>
        <w:rPr>
          <w:rtl/>
        </w:rPr>
      </w:pPr>
      <w:r w:rsidRPr="00F20333">
        <w:rPr>
          <w:sz w:val="24"/>
          <w:szCs w:val="24"/>
          <w:rtl/>
        </w:rPr>
        <w:t xml:space="preserve">טבלה </w:t>
      </w:r>
      <w:r w:rsidRPr="00F20333">
        <w:rPr>
          <w:sz w:val="24"/>
          <w:szCs w:val="24"/>
          <w:rtl/>
        </w:rPr>
        <w:fldChar w:fldCharType="begin"/>
      </w:r>
      <w:r w:rsidRPr="00F20333">
        <w:rPr>
          <w:sz w:val="24"/>
          <w:szCs w:val="24"/>
          <w:rtl/>
        </w:rPr>
        <w:instrText xml:space="preserve"> </w:instrText>
      </w:r>
      <w:r w:rsidRPr="00F20333">
        <w:rPr>
          <w:rFonts w:hint="cs"/>
          <w:sz w:val="24"/>
          <w:szCs w:val="24"/>
        </w:rPr>
        <w:instrText>SEQ</w:instrText>
      </w:r>
      <w:r w:rsidRPr="00F20333">
        <w:rPr>
          <w:rFonts w:hint="cs"/>
          <w:sz w:val="24"/>
          <w:szCs w:val="24"/>
          <w:rtl/>
        </w:rPr>
        <w:instrText xml:space="preserve"> טבלה \* </w:instrText>
      </w:r>
      <w:r w:rsidRPr="00F20333">
        <w:rPr>
          <w:rFonts w:hint="cs"/>
          <w:sz w:val="24"/>
          <w:szCs w:val="24"/>
        </w:rPr>
        <w:instrText>ARABIC</w:instrText>
      </w:r>
      <w:r w:rsidRPr="00F20333">
        <w:rPr>
          <w:sz w:val="24"/>
          <w:szCs w:val="24"/>
          <w:rtl/>
        </w:rPr>
        <w:instrText xml:space="preserve"> </w:instrText>
      </w:r>
      <w:r w:rsidRPr="00F20333">
        <w:rPr>
          <w:sz w:val="24"/>
          <w:szCs w:val="24"/>
          <w:rtl/>
        </w:rPr>
        <w:fldChar w:fldCharType="separate"/>
      </w:r>
      <w:r w:rsidR="007347AB">
        <w:rPr>
          <w:noProof/>
          <w:sz w:val="24"/>
          <w:szCs w:val="24"/>
          <w:rtl/>
        </w:rPr>
        <w:t>15</w:t>
      </w:r>
      <w:r w:rsidRPr="00F20333">
        <w:rPr>
          <w:sz w:val="24"/>
          <w:szCs w:val="24"/>
          <w:rtl/>
        </w:rPr>
        <w:fldChar w:fldCharType="end"/>
      </w:r>
      <w:r w:rsidRPr="00F20333">
        <w:rPr>
          <w:rFonts w:hint="cs"/>
          <w:sz w:val="24"/>
          <w:szCs w:val="24"/>
          <w:rtl/>
        </w:rPr>
        <w:t xml:space="preserve">: תפיסות </w:t>
      </w:r>
      <w:r>
        <w:rPr>
          <w:rFonts w:hint="cs"/>
          <w:sz w:val="24"/>
          <w:szCs w:val="24"/>
          <w:rtl/>
        </w:rPr>
        <w:t>ה</w:t>
      </w:r>
      <w:r w:rsidRPr="00F20333">
        <w:rPr>
          <w:rFonts w:hint="cs"/>
          <w:sz w:val="24"/>
          <w:szCs w:val="24"/>
          <w:rtl/>
        </w:rPr>
        <w:t>סמים</w:t>
      </w:r>
      <w:r>
        <w:rPr>
          <w:rFonts w:hint="cs"/>
          <w:sz w:val="24"/>
          <w:szCs w:val="24"/>
          <w:rtl/>
        </w:rPr>
        <w:t xml:space="preserve"> של היס"מ בשנים</w:t>
      </w:r>
      <w:r w:rsidRPr="00F20333">
        <w:rPr>
          <w:rFonts w:hint="cs"/>
          <w:sz w:val="24"/>
          <w:szCs w:val="24"/>
          <w:rtl/>
        </w:rPr>
        <w:t xml:space="preserve"> 2013-2014, לפי סוגי סמים</w:t>
      </w:r>
      <w:r w:rsidRPr="00ED0E33">
        <w:rPr>
          <w:rStyle w:val="ab"/>
          <w:b w:val="0"/>
          <w:bCs w:val="0"/>
          <w:rtl/>
        </w:rPr>
        <w:footnoteReference w:id="257"/>
      </w:r>
    </w:p>
    <w:tbl>
      <w:tblPr>
        <w:tblStyle w:val="afff5"/>
        <w:bidiVisual/>
        <w:tblW w:w="9125" w:type="dxa"/>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2739"/>
        <w:gridCol w:w="1763"/>
        <w:gridCol w:w="1622"/>
        <w:gridCol w:w="1623"/>
        <w:gridCol w:w="1378"/>
      </w:tblGrid>
      <w:tr w:rsidR="007B361D" w:rsidRPr="008A23EB" w:rsidTr="007B5846">
        <w:trPr>
          <w:trHeight w:val="1073"/>
          <w:tblCellSpacing w:w="20" w:type="dxa"/>
          <w:jc w:val="center"/>
        </w:trPr>
        <w:tc>
          <w:tcPr>
            <w:tcW w:w="2679" w:type="dxa"/>
            <w:vMerge w:val="restart"/>
            <w:shd w:val="clear" w:color="auto" w:fill="auto"/>
            <w:vAlign w:val="center"/>
            <w:hideMark/>
          </w:tcPr>
          <w:p w:rsidR="007B361D" w:rsidRPr="007B361D" w:rsidRDefault="007B361D" w:rsidP="0028067D">
            <w:pPr>
              <w:pStyle w:val="5"/>
              <w:spacing w:before="60"/>
              <w:rPr>
                <w:sz w:val="22"/>
                <w:szCs w:val="22"/>
              </w:rPr>
            </w:pPr>
            <w:r w:rsidRPr="007B361D">
              <w:rPr>
                <w:rFonts w:hint="cs"/>
                <w:sz w:val="22"/>
                <w:szCs w:val="22"/>
                <w:rtl/>
              </w:rPr>
              <w:t>סוג הסם</w:t>
            </w:r>
          </w:p>
        </w:tc>
        <w:tc>
          <w:tcPr>
            <w:tcW w:w="1723" w:type="dxa"/>
            <w:vMerge w:val="restart"/>
            <w:shd w:val="clear" w:color="auto" w:fill="auto"/>
            <w:vAlign w:val="center"/>
          </w:tcPr>
          <w:p w:rsidR="007B361D" w:rsidRPr="007B361D" w:rsidRDefault="007B361D" w:rsidP="0028067D">
            <w:pPr>
              <w:pStyle w:val="5"/>
              <w:spacing w:before="60"/>
              <w:rPr>
                <w:sz w:val="22"/>
                <w:szCs w:val="22"/>
              </w:rPr>
            </w:pPr>
            <w:r w:rsidRPr="007B361D">
              <w:rPr>
                <w:rFonts w:hint="cs"/>
                <w:sz w:val="22"/>
                <w:szCs w:val="22"/>
                <w:rtl/>
              </w:rPr>
              <w:t>מס' תיקי יבוא סם לשנת 2014</w:t>
            </w:r>
          </w:p>
        </w:tc>
        <w:tc>
          <w:tcPr>
            <w:tcW w:w="3205" w:type="dxa"/>
            <w:gridSpan w:val="2"/>
            <w:tcBorders>
              <w:bottom w:val="outset" w:sz="6" w:space="0" w:color="auto"/>
            </w:tcBorders>
            <w:shd w:val="clear" w:color="auto" w:fill="auto"/>
            <w:vAlign w:val="center"/>
          </w:tcPr>
          <w:p w:rsidR="007B361D" w:rsidRPr="007B361D" w:rsidRDefault="007B361D" w:rsidP="0028067D">
            <w:pPr>
              <w:pStyle w:val="5"/>
              <w:spacing w:before="60"/>
              <w:rPr>
                <w:sz w:val="22"/>
                <w:szCs w:val="22"/>
              </w:rPr>
            </w:pPr>
            <w:r w:rsidRPr="007B361D">
              <w:rPr>
                <w:rFonts w:hint="cs"/>
                <w:sz w:val="22"/>
                <w:szCs w:val="22"/>
                <w:rtl/>
              </w:rPr>
              <w:t>כמות הסם שנתפשה</w:t>
            </w:r>
          </w:p>
        </w:tc>
        <w:tc>
          <w:tcPr>
            <w:tcW w:w="1318" w:type="dxa"/>
            <w:vMerge w:val="restart"/>
            <w:shd w:val="clear" w:color="auto" w:fill="auto"/>
            <w:vAlign w:val="center"/>
          </w:tcPr>
          <w:p w:rsidR="007B361D" w:rsidRPr="007B361D" w:rsidRDefault="007B361D" w:rsidP="007B5846">
            <w:pPr>
              <w:pStyle w:val="5"/>
              <w:spacing w:before="60"/>
              <w:rPr>
                <w:sz w:val="22"/>
                <w:szCs w:val="22"/>
                <w:rtl/>
              </w:rPr>
            </w:pPr>
            <w:r w:rsidRPr="007B361D">
              <w:rPr>
                <w:rFonts w:hint="cs"/>
                <w:sz w:val="22"/>
                <w:szCs w:val="22"/>
                <w:rtl/>
              </w:rPr>
              <w:t>שינוי בין</w:t>
            </w:r>
          </w:p>
          <w:p w:rsidR="007B361D" w:rsidRPr="007B361D" w:rsidRDefault="007B361D" w:rsidP="007B5846">
            <w:pPr>
              <w:pStyle w:val="5"/>
              <w:spacing w:before="60"/>
              <w:rPr>
                <w:sz w:val="22"/>
                <w:szCs w:val="22"/>
                <w:rtl/>
              </w:rPr>
            </w:pPr>
            <w:r w:rsidRPr="007B361D">
              <w:rPr>
                <w:rFonts w:hint="cs"/>
                <w:sz w:val="22"/>
                <w:szCs w:val="22"/>
                <w:rtl/>
              </w:rPr>
              <w:t>2013-2014</w:t>
            </w:r>
          </w:p>
          <w:p w:rsidR="007B361D" w:rsidRPr="007B361D" w:rsidRDefault="007B361D" w:rsidP="007B5846">
            <w:pPr>
              <w:pStyle w:val="5"/>
              <w:spacing w:before="60"/>
              <w:rPr>
                <w:sz w:val="22"/>
                <w:szCs w:val="22"/>
                <w:rtl/>
              </w:rPr>
            </w:pPr>
            <w:r w:rsidRPr="007B361D">
              <w:rPr>
                <w:rFonts w:hint="cs"/>
                <w:sz w:val="22"/>
                <w:szCs w:val="22"/>
                <w:rtl/>
              </w:rPr>
              <w:t>( - = ירידה,</w:t>
            </w:r>
          </w:p>
          <w:p w:rsidR="007B361D" w:rsidRPr="007B361D" w:rsidRDefault="007B361D" w:rsidP="007B5846">
            <w:pPr>
              <w:pStyle w:val="5"/>
              <w:spacing w:before="60"/>
              <w:rPr>
                <w:sz w:val="22"/>
                <w:szCs w:val="22"/>
                <w:rtl/>
              </w:rPr>
            </w:pPr>
            <w:r w:rsidRPr="007B361D">
              <w:rPr>
                <w:rFonts w:hint="cs"/>
                <w:sz w:val="22"/>
                <w:szCs w:val="22"/>
                <w:rtl/>
              </w:rPr>
              <w:t>+ = עליה)</w:t>
            </w:r>
          </w:p>
        </w:tc>
      </w:tr>
      <w:tr w:rsidR="007B361D" w:rsidRPr="008A23EB" w:rsidTr="007B5846">
        <w:trPr>
          <w:trHeight w:val="361"/>
          <w:tblCellSpacing w:w="20" w:type="dxa"/>
          <w:jc w:val="center"/>
        </w:trPr>
        <w:tc>
          <w:tcPr>
            <w:tcW w:w="2679" w:type="dxa"/>
            <w:vMerge/>
            <w:shd w:val="clear" w:color="auto" w:fill="auto"/>
          </w:tcPr>
          <w:p w:rsidR="007B361D" w:rsidRPr="008A23EB" w:rsidRDefault="007B361D" w:rsidP="0028067D">
            <w:pPr>
              <w:pStyle w:val="5"/>
              <w:spacing w:before="60"/>
              <w:jc w:val="both"/>
              <w:rPr>
                <w:b w:val="0"/>
                <w:bCs w:val="0"/>
                <w:sz w:val="22"/>
                <w:szCs w:val="22"/>
              </w:rPr>
            </w:pPr>
          </w:p>
        </w:tc>
        <w:tc>
          <w:tcPr>
            <w:tcW w:w="1723" w:type="dxa"/>
            <w:vMerge/>
            <w:shd w:val="clear" w:color="auto" w:fill="auto"/>
          </w:tcPr>
          <w:p w:rsidR="007B361D" w:rsidRPr="008A23EB" w:rsidRDefault="007B361D" w:rsidP="0028067D">
            <w:pPr>
              <w:pStyle w:val="5"/>
              <w:spacing w:before="60"/>
              <w:jc w:val="both"/>
              <w:rPr>
                <w:b w:val="0"/>
                <w:bCs w:val="0"/>
                <w:sz w:val="22"/>
                <w:szCs w:val="22"/>
              </w:rPr>
            </w:pPr>
          </w:p>
        </w:tc>
        <w:tc>
          <w:tcPr>
            <w:tcW w:w="1582" w:type="dxa"/>
            <w:tcBorders>
              <w:top w:val="outset" w:sz="6" w:space="0" w:color="auto"/>
            </w:tcBorders>
            <w:shd w:val="clear" w:color="auto" w:fill="auto"/>
          </w:tcPr>
          <w:p w:rsidR="007B361D" w:rsidRPr="007B361D" w:rsidRDefault="007B361D" w:rsidP="0028067D">
            <w:pPr>
              <w:pStyle w:val="5"/>
              <w:spacing w:before="60"/>
              <w:rPr>
                <w:sz w:val="22"/>
                <w:szCs w:val="22"/>
              </w:rPr>
            </w:pPr>
            <w:r w:rsidRPr="007B361D">
              <w:rPr>
                <w:rFonts w:hint="cs"/>
                <w:sz w:val="22"/>
                <w:szCs w:val="22"/>
                <w:rtl/>
              </w:rPr>
              <w:t>2013</w:t>
            </w:r>
          </w:p>
        </w:tc>
        <w:tc>
          <w:tcPr>
            <w:tcW w:w="1583" w:type="dxa"/>
            <w:tcBorders>
              <w:top w:val="outset" w:sz="6" w:space="0" w:color="auto"/>
            </w:tcBorders>
            <w:shd w:val="clear" w:color="auto" w:fill="auto"/>
          </w:tcPr>
          <w:p w:rsidR="007B361D" w:rsidRPr="007B361D" w:rsidRDefault="007B361D" w:rsidP="0028067D">
            <w:pPr>
              <w:pStyle w:val="5"/>
              <w:spacing w:before="60"/>
              <w:rPr>
                <w:sz w:val="22"/>
                <w:szCs w:val="22"/>
              </w:rPr>
            </w:pPr>
            <w:r w:rsidRPr="007B361D">
              <w:rPr>
                <w:rFonts w:hint="cs"/>
                <w:sz w:val="22"/>
                <w:szCs w:val="22"/>
                <w:rtl/>
              </w:rPr>
              <w:t>2014</w:t>
            </w:r>
          </w:p>
        </w:tc>
        <w:tc>
          <w:tcPr>
            <w:tcW w:w="1318" w:type="dxa"/>
            <w:vMerge/>
            <w:shd w:val="clear" w:color="auto" w:fill="auto"/>
            <w:vAlign w:val="center"/>
          </w:tcPr>
          <w:p w:rsidR="007B361D" w:rsidRPr="008A23EB" w:rsidRDefault="007B361D" w:rsidP="007B5846">
            <w:pPr>
              <w:pStyle w:val="5"/>
              <w:spacing w:before="60"/>
              <w:rPr>
                <w:b w:val="0"/>
                <w:bCs w:val="0"/>
                <w:sz w:val="22"/>
                <w:szCs w:val="22"/>
                <w:rtl/>
              </w:rPr>
            </w:pPr>
          </w:p>
        </w:tc>
      </w:tr>
      <w:tr w:rsidR="007B361D" w:rsidRPr="008A23EB" w:rsidTr="007B5846">
        <w:trPr>
          <w:trHeight w:val="358"/>
          <w:tblCellSpacing w:w="20" w:type="dxa"/>
          <w:jc w:val="center"/>
        </w:trPr>
        <w:tc>
          <w:tcPr>
            <w:tcW w:w="2679" w:type="dxa"/>
            <w:shd w:val="clear" w:color="auto" w:fill="auto"/>
            <w:hideMark/>
          </w:tcPr>
          <w:p w:rsidR="007B361D" w:rsidRPr="008A23EB" w:rsidRDefault="007B361D" w:rsidP="0028067D">
            <w:pPr>
              <w:pStyle w:val="5"/>
              <w:spacing w:before="60"/>
              <w:jc w:val="both"/>
              <w:rPr>
                <w:b w:val="0"/>
                <w:bCs w:val="0"/>
                <w:sz w:val="22"/>
                <w:szCs w:val="22"/>
              </w:rPr>
            </w:pPr>
            <w:bookmarkStart w:id="235" w:name="_Toc418585153"/>
            <w:bookmarkStart w:id="236" w:name="_Toc419963105"/>
            <w:r w:rsidRPr="008A23EB">
              <w:rPr>
                <w:b w:val="0"/>
                <w:bCs w:val="0"/>
                <w:sz w:val="22"/>
                <w:szCs w:val="22"/>
                <w:rtl/>
              </w:rPr>
              <w:t>קנאביס</w:t>
            </w:r>
            <w:bookmarkEnd w:id="235"/>
            <w:bookmarkEnd w:id="236"/>
          </w:p>
        </w:tc>
        <w:tc>
          <w:tcPr>
            <w:tcW w:w="1723" w:type="dxa"/>
            <w:shd w:val="clear" w:color="auto" w:fill="auto"/>
          </w:tcPr>
          <w:p w:rsidR="007B361D" w:rsidRPr="008A23EB" w:rsidRDefault="007B361D" w:rsidP="0028067D">
            <w:pPr>
              <w:pStyle w:val="5"/>
              <w:spacing w:before="60"/>
              <w:jc w:val="both"/>
              <w:rPr>
                <w:b w:val="0"/>
                <w:bCs w:val="0"/>
                <w:sz w:val="22"/>
                <w:szCs w:val="22"/>
              </w:rPr>
            </w:pPr>
            <w:bookmarkStart w:id="237" w:name="_Toc418585154"/>
            <w:bookmarkStart w:id="238" w:name="_Toc419963106"/>
            <w:r w:rsidRPr="008A23EB">
              <w:rPr>
                <w:rFonts w:hint="cs"/>
                <w:b w:val="0"/>
                <w:bCs w:val="0"/>
                <w:sz w:val="22"/>
                <w:szCs w:val="22"/>
                <w:rtl/>
              </w:rPr>
              <w:t>353</w:t>
            </w:r>
            <w:bookmarkEnd w:id="237"/>
            <w:bookmarkEnd w:id="238"/>
          </w:p>
        </w:tc>
        <w:tc>
          <w:tcPr>
            <w:tcW w:w="1582" w:type="dxa"/>
            <w:shd w:val="clear" w:color="auto" w:fill="auto"/>
          </w:tcPr>
          <w:p w:rsidR="007B361D" w:rsidRPr="008A23EB" w:rsidRDefault="007B361D" w:rsidP="0028067D">
            <w:pPr>
              <w:pStyle w:val="5"/>
              <w:spacing w:before="60"/>
              <w:jc w:val="both"/>
              <w:rPr>
                <w:b w:val="0"/>
                <w:bCs w:val="0"/>
                <w:sz w:val="22"/>
                <w:szCs w:val="22"/>
              </w:rPr>
            </w:pPr>
            <w:r w:rsidRPr="008A23EB">
              <w:rPr>
                <w:rFonts w:hint="cs"/>
                <w:b w:val="0"/>
                <w:bCs w:val="0"/>
                <w:sz w:val="22"/>
                <w:szCs w:val="22"/>
                <w:rtl/>
              </w:rPr>
              <w:t xml:space="preserve">358 ק"ג </w:t>
            </w:r>
          </w:p>
        </w:tc>
        <w:tc>
          <w:tcPr>
            <w:tcW w:w="1583" w:type="dxa"/>
            <w:shd w:val="clear" w:color="auto" w:fill="auto"/>
            <w:hideMark/>
          </w:tcPr>
          <w:p w:rsidR="007B361D" w:rsidRPr="008A23EB" w:rsidRDefault="007B361D" w:rsidP="0028067D">
            <w:pPr>
              <w:pStyle w:val="5"/>
              <w:spacing w:before="60"/>
              <w:jc w:val="both"/>
              <w:rPr>
                <w:b w:val="0"/>
                <w:bCs w:val="0"/>
                <w:sz w:val="22"/>
                <w:szCs w:val="22"/>
                <w:rtl/>
              </w:rPr>
            </w:pPr>
            <w:r w:rsidRPr="008A23EB">
              <w:rPr>
                <w:rFonts w:hint="cs"/>
                <w:b w:val="0"/>
                <w:bCs w:val="0"/>
                <w:sz w:val="22"/>
                <w:szCs w:val="22"/>
                <w:rtl/>
              </w:rPr>
              <w:t>168</w:t>
            </w:r>
            <w:r w:rsidRPr="008A23EB">
              <w:rPr>
                <w:rFonts w:hint="cs"/>
                <w:b w:val="0"/>
                <w:bCs w:val="0"/>
                <w:sz w:val="22"/>
                <w:szCs w:val="22"/>
              </w:rPr>
              <w:t xml:space="preserve"> </w:t>
            </w:r>
            <w:r w:rsidRPr="008A23EB">
              <w:rPr>
                <w:rFonts w:hint="cs"/>
                <w:b w:val="0"/>
                <w:bCs w:val="0"/>
                <w:sz w:val="22"/>
                <w:szCs w:val="22"/>
                <w:rtl/>
              </w:rPr>
              <w:t>ק</w:t>
            </w:r>
            <w:r w:rsidRPr="008A23EB">
              <w:rPr>
                <w:rFonts w:hint="cs"/>
                <w:b w:val="0"/>
                <w:bCs w:val="0"/>
                <w:sz w:val="22"/>
                <w:szCs w:val="22"/>
              </w:rPr>
              <w:t>"</w:t>
            </w:r>
            <w:r w:rsidRPr="008A23EB">
              <w:rPr>
                <w:rFonts w:hint="cs"/>
                <w:b w:val="0"/>
                <w:bCs w:val="0"/>
                <w:sz w:val="22"/>
                <w:szCs w:val="22"/>
                <w:rtl/>
              </w:rPr>
              <w:t xml:space="preserve">ג </w:t>
            </w:r>
          </w:p>
        </w:tc>
        <w:tc>
          <w:tcPr>
            <w:tcW w:w="1318" w:type="dxa"/>
            <w:shd w:val="clear" w:color="auto" w:fill="auto"/>
            <w:vAlign w:val="center"/>
          </w:tcPr>
          <w:p w:rsidR="007B361D" w:rsidRPr="008A23EB" w:rsidRDefault="007B361D" w:rsidP="007B5846">
            <w:pPr>
              <w:pStyle w:val="5"/>
              <w:spacing w:before="60"/>
              <w:rPr>
                <w:b w:val="0"/>
                <w:bCs w:val="0"/>
                <w:sz w:val="22"/>
                <w:szCs w:val="22"/>
                <w:rtl/>
              </w:rPr>
            </w:pPr>
            <w:bookmarkStart w:id="239" w:name="_Toc418585157"/>
            <w:bookmarkStart w:id="240" w:name="_Toc419963109"/>
            <w:r w:rsidRPr="008A23EB">
              <w:rPr>
                <w:rFonts w:hint="cs"/>
                <w:b w:val="0"/>
                <w:bCs w:val="0"/>
                <w:sz w:val="22"/>
                <w:szCs w:val="22"/>
                <w:rtl/>
              </w:rPr>
              <w:t>-</w:t>
            </w:r>
            <w:bookmarkEnd w:id="239"/>
            <w:bookmarkEnd w:id="240"/>
          </w:p>
        </w:tc>
      </w:tr>
      <w:tr w:rsidR="007B361D" w:rsidRPr="008A23EB" w:rsidTr="007B5846">
        <w:trPr>
          <w:trHeight w:val="408"/>
          <w:tblCellSpacing w:w="20" w:type="dxa"/>
          <w:jc w:val="center"/>
        </w:trPr>
        <w:tc>
          <w:tcPr>
            <w:tcW w:w="2679" w:type="dxa"/>
            <w:shd w:val="clear" w:color="auto" w:fill="auto"/>
            <w:hideMark/>
          </w:tcPr>
          <w:p w:rsidR="007B361D" w:rsidRPr="008A23EB" w:rsidRDefault="007B361D" w:rsidP="0028067D">
            <w:pPr>
              <w:pStyle w:val="5"/>
              <w:spacing w:before="60"/>
              <w:jc w:val="both"/>
              <w:rPr>
                <w:b w:val="0"/>
                <w:bCs w:val="0"/>
                <w:sz w:val="22"/>
                <w:szCs w:val="22"/>
              </w:rPr>
            </w:pPr>
            <w:bookmarkStart w:id="241" w:name="_Toc418585203"/>
            <w:bookmarkStart w:id="242" w:name="_Toc419963155"/>
            <w:r w:rsidRPr="008A23EB">
              <w:rPr>
                <w:b w:val="0"/>
                <w:bCs w:val="0"/>
                <w:sz w:val="22"/>
                <w:szCs w:val="22"/>
                <w:rtl/>
              </w:rPr>
              <w:t>זרעי מריחואנה</w:t>
            </w:r>
            <w:bookmarkEnd w:id="241"/>
            <w:bookmarkEnd w:id="242"/>
          </w:p>
        </w:tc>
        <w:tc>
          <w:tcPr>
            <w:tcW w:w="1723" w:type="dxa"/>
            <w:shd w:val="clear" w:color="auto" w:fill="auto"/>
          </w:tcPr>
          <w:p w:rsidR="007B361D" w:rsidRPr="008A23EB" w:rsidRDefault="007B361D" w:rsidP="0028067D">
            <w:pPr>
              <w:pStyle w:val="5"/>
              <w:spacing w:before="60"/>
              <w:jc w:val="both"/>
              <w:rPr>
                <w:b w:val="0"/>
                <w:bCs w:val="0"/>
                <w:sz w:val="22"/>
                <w:szCs w:val="22"/>
              </w:rPr>
            </w:pPr>
            <w:bookmarkStart w:id="243" w:name="_Toc418585204"/>
            <w:bookmarkStart w:id="244" w:name="_Toc419963156"/>
            <w:r w:rsidRPr="008A23EB">
              <w:rPr>
                <w:rFonts w:hint="cs"/>
                <w:b w:val="0"/>
                <w:bCs w:val="0"/>
                <w:sz w:val="22"/>
                <w:szCs w:val="22"/>
                <w:rtl/>
              </w:rPr>
              <w:t>511</w:t>
            </w:r>
            <w:bookmarkEnd w:id="243"/>
            <w:bookmarkEnd w:id="244"/>
          </w:p>
        </w:tc>
        <w:tc>
          <w:tcPr>
            <w:tcW w:w="1582" w:type="dxa"/>
            <w:shd w:val="clear" w:color="auto" w:fill="auto"/>
          </w:tcPr>
          <w:p w:rsidR="007B361D" w:rsidRPr="008A23EB" w:rsidRDefault="007B361D" w:rsidP="0028067D">
            <w:pPr>
              <w:pStyle w:val="5"/>
              <w:spacing w:before="60"/>
              <w:jc w:val="both"/>
              <w:rPr>
                <w:b w:val="0"/>
                <w:bCs w:val="0"/>
                <w:sz w:val="22"/>
                <w:szCs w:val="22"/>
              </w:rPr>
            </w:pPr>
            <w:r w:rsidRPr="008A23EB">
              <w:rPr>
                <w:rFonts w:hint="cs"/>
                <w:b w:val="0"/>
                <w:bCs w:val="0"/>
                <w:sz w:val="22"/>
                <w:szCs w:val="22"/>
                <w:rtl/>
              </w:rPr>
              <w:t>8,355 יחידות</w:t>
            </w:r>
          </w:p>
        </w:tc>
        <w:tc>
          <w:tcPr>
            <w:tcW w:w="1583" w:type="dxa"/>
            <w:shd w:val="clear" w:color="auto" w:fill="auto"/>
            <w:hideMark/>
          </w:tcPr>
          <w:p w:rsidR="007B361D" w:rsidRPr="008A23EB" w:rsidRDefault="007B361D" w:rsidP="0028067D">
            <w:pPr>
              <w:pStyle w:val="5"/>
              <w:spacing w:before="60"/>
              <w:jc w:val="both"/>
              <w:rPr>
                <w:b w:val="0"/>
                <w:bCs w:val="0"/>
                <w:sz w:val="22"/>
                <w:szCs w:val="22"/>
              </w:rPr>
            </w:pPr>
            <w:r w:rsidRPr="008A23EB">
              <w:rPr>
                <w:rFonts w:hint="cs"/>
                <w:b w:val="0"/>
                <w:bCs w:val="0"/>
                <w:sz w:val="22"/>
                <w:szCs w:val="22"/>
                <w:rtl/>
              </w:rPr>
              <w:t>6,854 יחידות</w:t>
            </w:r>
          </w:p>
        </w:tc>
        <w:tc>
          <w:tcPr>
            <w:tcW w:w="1318" w:type="dxa"/>
            <w:shd w:val="clear" w:color="auto" w:fill="auto"/>
            <w:vAlign w:val="center"/>
          </w:tcPr>
          <w:p w:rsidR="007B361D" w:rsidRPr="008A23EB" w:rsidRDefault="007B361D" w:rsidP="007B5846">
            <w:pPr>
              <w:pStyle w:val="5"/>
              <w:spacing w:before="60"/>
              <w:rPr>
                <w:b w:val="0"/>
                <w:bCs w:val="0"/>
                <w:sz w:val="22"/>
                <w:szCs w:val="22"/>
                <w:rtl/>
              </w:rPr>
            </w:pPr>
            <w:bookmarkStart w:id="245" w:name="_Toc418585207"/>
            <w:bookmarkStart w:id="246" w:name="_Toc419963159"/>
            <w:r w:rsidRPr="008A23EB">
              <w:rPr>
                <w:rFonts w:hint="cs"/>
                <w:b w:val="0"/>
                <w:bCs w:val="0"/>
                <w:sz w:val="22"/>
                <w:szCs w:val="22"/>
                <w:rtl/>
              </w:rPr>
              <w:t>-</w:t>
            </w:r>
            <w:bookmarkEnd w:id="245"/>
            <w:bookmarkEnd w:id="246"/>
          </w:p>
        </w:tc>
      </w:tr>
      <w:tr w:rsidR="007B361D" w:rsidRPr="008A23EB" w:rsidTr="007B5846">
        <w:trPr>
          <w:trHeight w:val="323"/>
          <w:tblCellSpacing w:w="20" w:type="dxa"/>
          <w:jc w:val="center"/>
        </w:trPr>
        <w:tc>
          <w:tcPr>
            <w:tcW w:w="2679" w:type="dxa"/>
            <w:shd w:val="clear" w:color="auto" w:fill="auto"/>
            <w:hideMark/>
          </w:tcPr>
          <w:p w:rsidR="007B361D" w:rsidRPr="008A23EB" w:rsidRDefault="007B361D" w:rsidP="0028067D">
            <w:pPr>
              <w:pStyle w:val="5"/>
              <w:spacing w:before="60"/>
              <w:jc w:val="both"/>
              <w:rPr>
                <w:b w:val="0"/>
                <w:bCs w:val="0"/>
                <w:sz w:val="22"/>
                <w:szCs w:val="22"/>
              </w:rPr>
            </w:pPr>
            <w:bookmarkStart w:id="247" w:name="_Toc418585158"/>
            <w:bookmarkStart w:id="248" w:name="_Toc419963110"/>
            <w:r w:rsidRPr="008A23EB">
              <w:rPr>
                <w:b w:val="0"/>
                <w:bCs w:val="0"/>
                <w:sz w:val="22"/>
                <w:szCs w:val="22"/>
                <w:rtl/>
              </w:rPr>
              <w:t>קוקאין</w:t>
            </w:r>
            <w:bookmarkEnd w:id="247"/>
            <w:bookmarkEnd w:id="248"/>
          </w:p>
        </w:tc>
        <w:tc>
          <w:tcPr>
            <w:tcW w:w="1723" w:type="dxa"/>
            <w:shd w:val="clear" w:color="auto" w:fill="auto"/>
          </w:tcPr>
          <w:p w:rsidR="007B361D" w:rsidRPr="008A23EB" w:rsidRDefault="007B361D" w:rsidP="0028067D">
            <w:pPr>
              <w:pStyle w:val="5"/>
              <w:spacing w:before="60"/>
              <w:jc w:val="both"/>
              <w:rPr>
                <w:b w:val="0"/>
                <w:bCs w:val="0"/>
                <w:sz w:val="22"/>
                <w:szCs w:val="22"/>
              </w:rPr>
            </w:pPr>
            <w:bookmarkStart w:id="249" w:name="_Toc418585159"/>
            <w:bookmarkStart w:id="250" w:name="_Toc419963111"/>
            <w:r w:rsidRPr="008A23EB">
              <w:rPr>
                <w:rFonts w:hint="cs"/>
                <w:b w:val="0"/>
                <w:bCs w:val="0"/>
                <w:sz w:val="22"/>
                <w:szCs w:val="22"/>
                <w:rtl/>
              </w:rPr>
              <w:t>17</w:t>
            </w:r>
            <w:bookmarkEnd w:id="249"/>
            <w:bookmarkEnd w:id="250"/>
          </w:p>
        </w:tc>
        <w:tc>
          <w:tcPr>
            <w:tcW w:w="1582" w:type="dxa"/>
            <w:shd w:val="clear" w:color="auto" w:fill="auto"/>
          </w:tcPr>
          <w:p w:rsidR="007B361D" w:rsidRPr="008A23EB" w:rsidRDefault="007B361D" w:rsidP="0028067D">
            <w:pPr>
              <w:pStyle w:val="5"/>
              <w:spacing w:before="60"/>
              <w:jc w:val="both"/>
              <w:rPr>
                <w:b w:val="0"/>
                <w:bCs w:val="0"/>
                <w:sz w:val="22"/>
                <w:szCs w:val="22"/>
              </w:rPr>
            </w:pPr>
            <w:r w:rsidRPr="008A23EB">
              <w:rPr>
                <w:rFonts w:hint="cs"/>
                <w:b w:val="0"/>
                <w:bCs w:val="0"/>
                <w:sz w:val="22"/>
                <w:szCs w:val="22"/>
                <w:rtl/>
              </w:rPr>
              <w:t>50.485 ק"ג</w:t>
            </w:r>
          </w:p>
        </w:tc>
        <w:tc>
          <w:tcPr>
            <w:tcW w:w="1583" w:type="dxa"/>
            <w:shd w:val="clear" w:color="auto" w:fill="auto"/>
            <w:hideMark/>
          </w:tcPr>
          <w:p w:rsidR="007B361D" w:rsidRPr="008A23EB" w:rsidRDefault="007B361D" w:rsidP="0028067D">
            <w:pPr>
              <w:pStyle w:val="5"/>
              <w:spacing w:before="60"/>
              <w:jc w:val="both"/>
              <w:rPr>
                <w:b w:val="0"/>
                <w:bCs w:val="0"/>
                <w:sz w:val="22"/>
                <w:szCs w:val="22"/>
                <w:rtl/>
              </w:rPr>
            </w:pPr>
            <w:r w:rsidRPr="008A23EB">
              <w:rPr>
                <w:rFonts w:hint="cs"/>
                <w:b w:val="0"/>
                <w:bCs w:val="0"/>
                <w:sz w:val="22"/>
                <w:szCs w:val="22"/>
                <w:rtl/>
              </w:rPr>
              <w:t>15.25</w:t>
            </w:r>
            <w:r w:rsidRPr="008A23EB">
              <w:rPr>
                <w:b w:val="0"/>
                <w:bCs w:val="0"/>
                <w:sz w:val="22"/>
                <w:szCs w:val="22"/>
              </w:rPr>
              <w:t xml:space="preserve"> </w:t>
            </w:r>
            <w:r w:rsidRPr="008A23EB">
              <w:rPr>
                <w:rFonts w:hint="cs"/>
                <w:b w:val="0"/>
                <w:bCs w:val="0"/>
                <w:sz w:val="22"/>
                <w:szCs w:val="22"/>
                <w:rtl/>
              </w:rPr>
              <w:t>ק"ג</w:t>
            </w:r>
          </w:p>
        </w:tc>
        <w:tc>
          <w:tcPr>
            <w:tcW w:w="1318" w:type="dxa"/>
            <w:shd w:val="clear" w:color="auto" w:fill="auto"/>
            <w:vAlign w:val="center"/>
          </w:tcPr>
          <w:p w:rsidR="007B361D" w:rsidRPr="008A23EB" w:rsidRDefault="007B361D" w:rsidP="007B5846">
            <w:pPr>
              <w:pStyle w:val="5"/>
              <w:spacing w:before="60"/>
              <w:rPr>
                <w:b w:val="0"/>
                <w:bCs w:val="0"/>
                <w:sz w:val="22"/>
                <w:szCs w:val="22"/>
                <w:rtl/>
              </w:rPr>
            </w:pPr>
            <w:bookmarkStart w:id="251" w:name="_Toc418585162"/>
            <w:bookmarkStart w:id="252" w:name="_Toc419963114"/>
            <w:r w:rsidRPr="008A23EB">
              <w:rPr>
                <w:rFonts w:hint="cs"/>
                <w:b w:val="0"/>
                <w:bCs w:val="0"/>
                <w:sz w:val="22"/>
                <w:szCs w:val="22"/>
                <w:rtl/>
              </w:rPr>
              <w:t>-</w:t>
            </w:r>
            <w:bookmarkEnd w:id="251"/>
            <w:bookmarkEnd w:id="252"/>
          </w:p>
        </w:tc>
      </w:tr>
      <w:tr w:rsidR="007B361D" w:rsidRPr="008A23EB" w:rsidTr="007B5846">
        <w:trPr>
          <w:trHeight w:val="315"/>
          <w:tblCellSpacing w:w="20" w:type="dxa"/>
          <w:jc w:val="center"/>
        </w:trPr>
        <w:tc>
          <w:tcPr>
            <w:tcW w:w="2679" w:type="dxa"/>
            <w:shd w:val="clear" w:color="auto" w:fill="auto"/>
            <w:hideMark/>
          </w:tcPr>
          <w:p w:rsidR="007B361D" w:rsidRPr="008A23EB" w:rsidRDefault="007B361D" w:rsidP="0028067D">
            <w:pPr>
              <w:pStyle w:val="5"/>
              <w:spacing w:before="60"/>
              <w:jc w:val="both"/>
              <w:rPr>
                <w:b w:val="0"/>
                <w:bCs w:val="0"/>
                <w:sz w:val="22"/>
                <w:szCs w:val="22"/>
              </w:rPr>
            </w:pPr>
            <w:bookmarkStart w:id="253" w:name="_Toc418585163"/>
            <w:bookmarkStart w:id="254" w:name="_Toc419963115"/>
            <w:r w:rsidRPr="008A23EB">
              <w:rPr>
                <w:b w:val="0"/>
                <w:bCs w:val="0"/>
                <w:sz w:val="22"/>
                <w:szCs w:val="22"/>
                <w:rtl/>
              </w:rPr>
              <w:t>הרואין</w:t>
            </w:r>
            <w:bookmarkEnd w:id="253"/>
            <w:bookmarkEnd w:id="254"/>
          </w:p>
        </w:tc>
        <w:tc>
          <w:tcPr>
            <w:tcW w:w="1723" w:type="dxa"/>
            <w:shd w:val="clear" w:color="auto" w:fill="auto"/>
          </w:tcPr>
          <w:p w:rsidR="007B361D" w:rsidRPr="008A23EB" w:rsidRDefault="007B361D" w:rsidP="0028067D">
            <w:pPr>
              <w:pStyle w:val="5"/>
              <w:spacing w:before="60"/>
              <w:jc w:val="both"/>
              <w:rPr>
                <w:b w:val="0"/>
                <w:bCs w:val="0"/>
                <w:sz w:val="22"/>
                <w:szCs w:val="22"/>
              </w:rPr>
            </w:pPr>
            <w:bookmarkStart w:id="255" w:name="_Toc418585164"/>
            <w:bookmarkStart w:id="256" w:name="_Toc419963116"/>
            <w:r w:rsidRPr="008A23EB">
              <w:rPr>
                <w:rFonts w:hint="cs"/>
                <w:b w:val="0"/>
                <w:bCs w:val="0"/>
                <w:sz w:val="22"/>
                <w:szCs w:val="22"/>
                <w:rtl/>
              </w:rPr>
              <w:t>6</w:t>
            </w:r>
            <w:bookmarkEnd w:id="255"/>
            <w:bookmarkEnd w:id="256"/>
          </w:p>
        </w:tc>
        <w:tc>
          <w:tcPr>
            <w:tcW w:w="1582" w:type="dxa"/>
            <w:shd w:val="clear" w:color="auto" w:fill="auto"/>
          </w:tcPr>
          <w:p w:rsidR="007B361D" w:rsidRPr="008A23EB" w:rsidRDefault="007B361D" w:rsidP="0028067D">
            <w:pPr>
              <w:pStyle w:val="5"/>
              <w:spacing w:before="60"/>
              <w:jc w:val="both"/>
              <w:rPr>
                <w:b w:val="0"/>
                <w:bCs w:val="0"/>
                <w:sz w:val="22"/>
                <w:szCs w:val="22"/>
              </w:rPr>
            </w:pPr>
            <w:r w:rsidRPr="008A23EB">
              <w:rPr>
                <w:rFonts w:hint="cs"/>
                <w:b w:val="0"/>
                <w:bCs w:val="0"/>
                <w:sz w:val="22"/>
                <w:szCs w:val="22"/>
                <w:rtl/>
              </w:rPr>
              <w:t>---</w:t>
            </w:r>
          </w:p>
        </w:tc>
        <w:tc>
          <w:tcPr>
            <w:tcW w:w="1583" w:type="dxa"/>
            <w:shd w:val="clear" w:color="auto" w:fill="auto"/>
            <w:hideMark/>
          </w:tcPr>
          <w:p w:rsidR="007B361D" w:rsidRPr="008A23EB" w:rsidRDefault="007B361D" w:rsidP="0028067D">
            <w:pPr>
              <w:pStyle w:val="5"/>
              <w:spacing w:before="60"/>
              <w:jc w:val="both"/>
              <w:rPr>
                <w:b w:val="0"/>
                <w:bCs w:val="0"/>
                <w:sz w:val="22"/>
                <w:szCs w:val="22"/>
              </w:rPr>
            </w:pPr>
            <w:r w:rsidRPr="008A23EB">
              <w:rPr>
                <w:rFonts w:hint="cs"/>
                <w:b w:val="0"/>
                <w:bCs w:val="0"/>
                <w:sz w:val="22"/>
                <w:szCs w:val="22"/>
                <w:rtl/>
              </w:rPr>
              <w:t xml:space="preserve">30.3 </w:t>
            </w:r>
            <w:r w:rsidRPr="008A23EB">
              <w:rPr>
                <w:rFonts w:hint="cs"/>
                <w:b w:val="0"/>
                <w:bCs w:val="0"/>
                <w:sz w:val="22"/>
                <w:szCs w:val="22"/>
              </w:rPr>
              <w:t xml:space="preserve"> </w:t>
            </w:r>
            <w:r w:rsidRPr="008A23EB">
              <w:rPr>
                <w:rFonts w:hint="cs"/>
                <w:b w:val="0"/>
                <w:bCs w:val="0"/>
                <w:sz w:val="22"/>
                <w:szCs w:val="22"/>
                <w:rtl/>
              </w:rPr>
              <w:t>ק"ג</w:t>
            </w:r>
          </w:p>
        </w:tc>
        <w:tc>
          <w:tcPr>
            <w:tcW w:w="1318" w:type="dxa"/>
            <w:shd w:val="clear" w:color="auto" w:fill="auto"/>
            <w:vAlign w:val="center"/>
          </w:tcPr>
          <w:p w:rsidR="007B361D" w:rsidRPr="008A23EB" w:rsidRDefault="007B361D" w:rsidP="007B5846">
            <w:pPr>
              <w:pStyle w:val="5"/>
              <w:spacing w:before="60"/>
              <w:rPr>
                <w:b w:val="0"/>
                <w:bCs w:val="0"/>
                <w:sz w:val="22"/>
                <w:szCs w:val="22"/>
                <w:rtl/>
              </w:rPr>
            </w:pPr>
            <w:bookmarkStart w:id="257" w:name="_Toc418585167"/>
            <w:bookmarkStart w:id="258" w:name="_Toc419963119"/>
            <w:r w:rsidRPr="008A23EB">
              <w:rPr>
                <w:rFonts w:hint="cs"/>
                <w:b w:val="0"/>
                <w:bCs w:val="0"/>
                <w:sz w:val="22"/>
                <w:szCs w:val="22"/>
                <w:rtl/>
              </w:rPr>
              <w:t>+</w:t>
            </w:r>
            <w:bookmarkEnd w:id="257"/>
            <w:bookmarkEnd w:id="258"/>
          </w:p>
        </w:tc>
      </w:tr>
      <w:tr w:rsidR="007B361D" w:rsidRPr="008A23EB" w:rsidTr="007B5846">
        <w:trPr>
          <w:trHeight w:val="307"/>
          <w:tblCellSpacing w:w="20" w:type="dxa"/>
          <w:jc w:val="center"/>
        </w:trPr>
        <w:tc>
          <w:tcPr>
            <w:tcW w:w="2679" w:type="dxa"/>
            <w:shd w:val="clear" w:color="auto" w:fill="auto"/>
            <w:hideMark/>
          </w:tcPr>
          <w:p w:rsidR="007B361D" w:rsidRPr="008A23EB" w:rsidRDefault="007B361D" w:rsidP="0028067D">
            <w:pPr>
              <w:pStyle w:val="5"/>
              <w:spacing w:before="60"/>
              <w:jc w:val="both"/>
              <w:rPr>
                <w:b w:val="0"/>
                <w:bCs w:val="0"/>
                <w:sz w:val="22"/>
                <w:szCs w:val="22"/>
              </w:rPr>
            </w:pPr>
            <w:bookmarkStart w:id="259" w:name="_Toc418585168"/>
            <w:bookmarkStart w:id="260" w:name="_Toc419963120"/>
            <w:r w:rsidRPr="008A23EB">
              <w:rPr>
                <w:b w:val="0"/>
                <w:bCs w:val="0"/>
                <w:sz w:val="22"/>
                <w:szCs w:val="22"/>
                <w:rtl/>
              </w:rPr>
              <w:t>פסילוצין</w:t>
            </w:r>
            <w:bookmarkEnd w:id="259"/>
            <w:bookmarkEnd w:id="260"/>
          </w:p>
        </w:tc>
        <w:tc>
          <w:tcPr>
            <w:tcW w:w="1723" w:type="dxa"/>
            <w:shd w:val="clear" w:color="auto" w:fill="auto"/>
          </w:tcPr>
          <w:p w:rsidR="007B361D" w:rsidRPr="008A23EB" w:rsidRDefault="007B361D" w:rsidP="0028067D">
            <w:pPr>
              <w:pStyle w:val="5"/>
              <w:spacing w:before="60"/>
              <w:jc w:val="both"/>
              <w:rPr>
                <w:b w:val="0"/>
                <w:bCs w:val="0"/>
                <w:sz w:val="22"/>
                <w:szCs w:val="22"/>
              </w:rPr>
            </w:pPr>
            <w:bookmarkStart w:id="261" w:name="_Toc418585169"/>
            <w:bookmarkStart w:id="262" w:name="_Toc419963121"/>
            <w:r w:rsidRPr="008A23EB">
              <w:rPr>
                <w:rFonts w:hint="cs"/>
                <w:b w:val="0"/>
                <w:bCs w:val="0"/>
                <w:sz w:val="22"/>
                <w:szCs w:val="22"/>
                <w:rtl/>
              </w:rPr>
              <w:t>49</w:t>
            </w:r>
            <w:bookmarkEnd w:id="261"/>
            <w:bookmarkEnd w:id="262"/>
          </w:p>
        </w:tc>
        <w:tc>
          <w:tcPr>
            <w:tcW w:w="1582" w:type="dxa"/>
            <w:shd w:val="clear" w:color="auto" w:fill="auto"/>
          </w:tcPr>
          <w:p w:rsidR="007B361D" w:rsidRPr="008A23EB" w:rsidRDefault="007B361D" w:rsidP="0028067D">
            <w:pPr>
              <w:pStyle w:val="5"/>
              <w:spacing w:before="60"/>
              <w:jc w:val="both"/>
              <w:rPr>
                <w:b w:val="0"/>
                <w:bCs w:val="0"/>
                <w:sz w:val="22"/>
                <w:szCs w:val="22"/>
              </w:rPr>
            </w:pPr>
            <w:r w:rsidRPr="008A23EB">
              <w:rPr>
                <w:rFonts w:hint="cs"/>
                <w:b w:val="0"/>
                <w:bCs w:val="0"/>
                <w:sz w:val="22"/>
                <w:szCs w:val="22"/>
                <w:rtl/>
              </w:rPr>
              <w:t>16.042 ק"ג</w:t>
            </w:r>
          </w:p>
        </w:tc>
        <w:tc>
          <w:tcPr>
            <w:tcW w:w="1583" w:type="dxa"/>
            <w:shd w:val="clear" w:color="auto" w:fill="auto"/>
            <w:hideMark/>
          </w:tcPr>
          <w:p w:rsidR="007B361D" w:rsidRPr="008A23EB" w:rsidRDefault="007B361D" w:rsidP="0028067D">
            <w:pPr>
              <w:pStyle w:val="5"/>
              <w:spacing w:before="60"/>
              <w:jc w:val="both"/>
              <w:rPr>
                <w:b w:val="0"/>
                <w:bCs w:val="0"/>
                <w:sz w:val="22"/>
                <w:szCs w:val="22"/>
              </w:rPr>
            </w:pPr>
            <w:r w:rsidRPr="008A23EB">
              <w:rPr>
                <w:rFonts w:hint="cs"/>
                <w:b w:val="0"/>
                <w:bCs w:val="0"/>
                <w:sz w:val="22"/>
                <w:szCs w:val="22"/>
                <w:rtl/>
              </w:rPr>
              <w:t>8.960 ק"ג</w:t>
            </w:r>
          </w:p>
        </w:tc>
        <w:tc>
          <w:tcPr>
            <w:tcW w:w="1318" w:type="dxa"/>
            <w:shd w:val="clear" w:color="auto" w:fill="auto"/>
            <w:vAlign w:val="center"/>
          </w:tcPr>
          <w:p w:rsidR="007B361D" w:rsidRPr="008A23EB" w:rsidRDefault="007B361D" w:rsidP="007B5846">
            <w:pPr>
              <w:pStyle w:val="5"/>
              <w:spacing w:before="60"/>
              <w:rPr>
                <w:b w:val="0"/>
                <w:bCs w:val="0"/>
                <w:sz w:val="22"/>
                <w:szCs w:val="22"/>
                <w:rtl/>
              </w:rPr>
            </w:pPr>
            <w:bookmarkStart w:id="263" w:name="_Toc418585172"/>
            <w:bookmarkStart w:id="264" w:name="_Toc419963124"/>
            <w:r w:rsidRPr="008A23EB">
              <w:rPr>
                <w:rFonts w:hint="cs"/>
                <w:b w:val="0"/>
                <w:bCs w:val="0"/>
                <w:sz w:val="22"/>
                <w:szCs w:val="22"/>
                <w:rtl/>
              </w:rPr>
              <w:t>-</w:t>
            </w:r>
            <w:bookmarkEnd w:id="263"/>
            <w:bookmarkEnd w:id="264"/>
          </w:p>
        </w:tc>
      </w:tr>
      <w:tr w:rsidR="007B361D" w:rsidRPr="008A23EB" w:rsidTr="007B5846">
        <w:trPr>
          <w:trHeight w:val="312"/>
          <w:tblCellSpacing w:w="20" w:type="dxa"/>
          <w:jc w:val="center"/>
        </w:trPr>
        <w:tc>
          <w:tcPr>
            <w:tcW w:w="2679" w:type="dxa"/>
            <w:shd w:val="clear" w:color="auto" w:fill="auto"/>
            <w:hideMark/>
          </w:tcPr>
          <w:p w:rsidR="007B361D" w:rsidRPr="008A23EB" w:rsidRDefault="007B361D" w:rsidP="0028067D">
            <w:pPr>
              <w:pStyle w:val="5"/>
              <w:spacing w:before="60"/>
              <w:jc w:val="both"/>
              <w:rPr>
                <w:b w:val="0"/>
                <w:bCs w:val="0"/>
                <w:sz w:val="22"/>
                <w:szCs w:val="22"/>
              </w:rPr>
            </w:pPr>
            <w:bookmarkStart w:id="265" w:name="_Toc418585173"/>
            <w:bookmarkStart w:id="266" w:name="_Toc419963125"/>
            <w:r w:rsidRPr="008A23EB">
              <w:rPr>
                <w:b w:val="0"/>
                <w:bCs w:val="0"/>
                <w:sz w:val="22"/>
                <w:szCs w:val="22"/>
                <w:rtl/>
              </w:rPr>
              <w:t>מסקלין</w:t>
            </w:r>
            <w:bookmarkEnd w:id="265"/>
            <w:bookmarkEnd w:id="266"/>
          </w:p>
        </w:tc>
        <w:tc>
          <w:tcPr>
            <w:tcW w:w="1723" w:type="dxa"/>
            <w:shd w:val="clear" w:color="auto" w:fill="auto"/>
          </w:tcPr>
          <w:p w:rsidR="007B361D" w:rsidRPr="008A23EB" w:rsidRDefault="007B361D" w:rsidP="0028067D">
            <w:pPr>
              <w:pStyle w:val="5"/>
              <w:spacing w:before="60"/>
              <w:jc w:val="both"/>
              <w:rPr>
                <w:b w:val="0"/>
                <w:bCs w:val="0"/>
                <w:sz w:val="22"/>
                <w:szCs w:val="22"/>
              </w:rPr>
            </w:pPr>
            <w:bookmarkStart w:id="267" w:name="_Toc418585174"/>
            <w:bookmarkStart w:id="268" w:name="_Toc419963126"/>
            <w:r w:rsidRPr="008A23EB">
              <w:rPr>
                <w:rFonts w:hint="cs"/>
                <w:b w:val="0"/>
                <w:bCs w:val="0"/>
                <w:sz w:val="22"/>
                <w:szCs w:val="22"/>
                <w:rtl/>
              </w:rPr>
              <w:t>7</w:t>
            </w:r>
            <w:bookmarkEnd w:id="267"/>
            <w:bookmarkEnd w:id="268"/>
          </w:p>
        </w:tc>
        <w:tc>
          <w:tcPr>
            <w:tcW w:w="1582" w:type="dxa"/>
            <w:shd w:val="clear" w:color="auto" w:fill="auto"/>
          </w:tcPr>
          <w:p w:rsidR="007B361D" w:rsidRPr="008A23EB" w:rsidRDefault="007B361D" w:rsidP="0028067D">
            <w:pPr>
              <w:pStyle w:val="5"/>
              <w:spacing w:before="60"/>
              <w:jc w:val="both"/>
              <w:rPr>
                <w:b w:val="0"/>
                <w:bCs w:val="0"/>
                <w:sz w:val="22"/>
                <w:szCs w:val="22"/>
              </w:rPr>
            </w:pPr>
            <w:r w:rsidRPr="008A23EB">
              <w:rPr>
                <w:rFonts w:hint="cs"/>
                <w:b w:val="0"/>
                <w:bCs w:val="0"/>
                <w:sz w:val="22"/>
                <w:szCs w:val="22"/>
                <w:rtl/>
              </w:rPr>
              <w:t>---</w:t>
            </w:r>
          </w:p>
        </w:tc>
        <w:tc>
          <w:tcPr>
            <w:tcW w:w="1583" w:type="dxa"/>
            <w:shd w:val="clear" w:color="auto" w:fill="auto"/>
            <w:hideMark/>
          </w:tcPr>
          <w:p w:rsidR="007B361D" w:rsidRPr="008A23EB" w:rsidRDefault="007B361D" w:rsidP="0028067D">
            <w:pPr>
              <w:pStyle w:val="5"/>
              <w:spacing w:before="60"/>
              <w:jc w:val="both"/>
              <w:rPr>
                <w:b w:val="0"/>
                <w:bCs w:val="0"/>
                <w:sz w:val="22"/>
                <w:szCs w:val="22"/>
              </w:rPr>
            </w:pPr>
            <w:r w:rsidRPr="008A23EB">
              <w:rPr>
                <w:rFonts w:hint="cs"/>
                <w:b w:val="0"/>
                <w:bCs w:val="0"/>
                <w:sz w:val="22"/>
                <w:szCs w:val="22"/>
                <w:rtl/>
              </w:rPr>
              <w:t>810 גרם</w:t>
            </w:r>
          </w:p>
        </w:tc>
        <w:tc>
          <w:tcPr>
            <w:tcW w:w="1318" w:type="dxa"/>
            <w:shd w:val="clear" w:color="auto" w:fill="auto"/>
            <w:vAlign w:val="center"/>
          </w:tcPr>
          <w:p w:rsidR="007B361D" w:rsidRPr="008A23EB" w:rsidRDefault="007B361D" w:rsidP="007B5846">
            <w:pPr>
              <w:pStyle w:val="5"/>
              <w:spacing w:before="60"/>
              <w:rPr>
                <w:b w:val="0"/>
                <w:bCs w:val="0"/>
                <w:sz w:val="22"/>
                <w:szCs w:val="22"/>
                <w:rtl/>
              </w:rPr>
            </w:pPr>
            <w:bookmarkStart w:id="269" w:name="_Toc418585177"/>
            <w:bookmarkStart w:id="270" w:name="_Toc419963129"/>
            <w:r w:rsidRPr="008A23EB">
              <w:rPr>
                <w:rFonts w:hint="cs"/>
                <w:b w:val="0"/>
                <w:bCs w:val="0"/>
                <w:sz w:val="22"/>
                <w:szCs w:val="22"/>
                <w:rtl/>
              </w:rPr>
              <w:t>+</w:t>
            </w:r>
            <w:bookmarkEnd w:id="269"/>
            <w:bookmarkEnd w:id="270"/>
          </w:p>
        </w:tc>
      </w:tr>
      <w:tr w:rsidR="007B361D" w:rsidRPr="008A23EB" w:rsidTr="007B5846">
        <w:trPr>
          <w:trHeight w:val="304"/>
          <w:tblCellSpacing w:w="20" w:type="dxa"/>
          <w:jc w:val="center"/>
        </w:trPr>
        <w:tc>
          <w:tcPr>
            <w:tcW w:w="2679" w:type="dxa"/>
            <w:shd w:val="clear" w:color="auto" w:fill="auto"/>
            <w:hideMark/>
          </w:tcPr>
          <w:p w:rsidR="007B361D" w:rsidRPr="008A23EB" w:rsidRDefault="007B361D" w:rsidP="00F95D65">
            <w:pPr>
              <w:pStyle w:val="5"/>
              <w:spacing w:before="60"/>
              <w:jc w:val="both"/>
              <w:rPr>
                <w:b w:val="0"/>
                <w:bCs w:val="0"/>
                <w:sz w:val="22"/>
                <w:szCs w:val="22"/>
              </w:rPr>
            </w:pPr>
            <w:bookmarkStart w:id="271" w:name="_Toc418585178"/>
            <w:bookmarkStart w:id="272" w:name="_Toc419963130"/>
            <w:r w:rsidRPr="008A23EB">
              <w:rPr>
                <w:b w:val="0"/>
                <w:bCs w:val="0"/>
                <w:sz w:val="22"/>
                <w:szCs w:val="22"/>
                <w:rtl/>
              </w:rPr>
              <w:t xml:space="preserve"> סמים </w:t>
            </w:r>
            <w:bookmarkEnd w:id="271"/>
            <w:bookmarkEnd w:id="272"/>
            <w:r w:rsidR="00F95D65">
              <w:rPr>
                <w:rFonts w:hint="cs"/>
                <w:b w:val="0"/>
                <w:bCs w:val="0"/>
                <w:sz w:val="22"/>
                <w:szCs w:val="22"/>
                <w:rtl/>
              </w:rPr>
              <w:t>מעוצבים</w:t>
            </w:r>
            <w:r w:rsidRPr="008A23EB">
              <w:rPr>
                <w:b w:val="0"/>
                <w:bCs w:val="0"/>
                <w:sz w:val="22"/>
                <w:szCs w:val="22"/>
                <w:rtl/>
              </w:rPr>
              <w:t xml:space="preserve"> ('סמי פיצוציות')</w:t>
            </w:r>
          </w:p>
        </w:tc>
        <w:tc>
          <w:tcPr>
            <w:tcW w:w="1723" w:type="dxa"/>
            <w:shd w:val="clear" w:color="auto" w:fill="auto"/>
          </w:tcPr>
          <w:p w:rsidR="007B361D" w:rsidRPr="008A23EB" w:rsidRDefault="007B361D" w:rsidP="0028067D">
            <w:pPr>
              <w:pStyle w:val="5"/>
              <w:spacing w:before="60"/>
              <w:jc w:val="both"/>
              <w:rPr>
                <w:b w:val="0"/>
                <w:bCs w:val="0"/>
                <w:sz w:val="22"/>
                <w:szCs w:val="22"/>
              </w:rPr>
            </w:pPr>
            <w:bookmarkStart w:id="273" w:name="_Toc418585179"/>
            <w:bookmarkStart w:id="274" w:name="_Toc419963131"/>
            <w:r w:rsidRPr="008A23EB">
              <w:rPr>
                <w:rFonts w:hint="cs"/>
                <w:b w:val="0"/>
                <w:bCs w:val="0"/>
                <w:sz w:val="22"/>
                <w:szCs w:val="22"/>
                <w:rtl/>
              </w:rPr>
              <w:t>242</w:t>
            </w:r>
            <w:bookmarkEnd w:id="273"/>
            <w:bookmarkEnd w:id="274"/>
          </w:p>
        </w:tc>
        <w:tc>
          <w:tcPr>
            <w:tcW w:w="1582" w:type="dxa"/>
            <w:shd w:val="clear" w:color="auto" w:fill="auto"/>
          </w:tcPr>
          <w:p w:rsidR="007B361D" w:rsidRPr="008A23EB" w:rsidRDefault="007B361D" w:rsidP="0028067D">
            <w:pPr>
              <w:pStyle w:val="5"/>
              <w:spacing w:before="60"/>
              <w:jc w:val="both"/>
              <w:rPr>
                <w:b w:val="0"/>
                <w:bCs w:val="0"/>
                <w:sz w:val="22"/>
                <w:szCs w:val="22"/>
              </w:rPr>
            </w:pPr>
            <w:r w:rsidRPr="008A23EB">
              <w:rPr>
                <w:rFonts w:hint="cs"/>
                <w:b w:val="0"/>
                <w:bCs w:val="0"/>
                <w:sz w:val="22"/>
                <w:szCs w:val="22"/>
                <w:rtl/>
              </w:rPr>
              <w:t>107 ק"ג</w:t>
            </w:r>
          </w:p>
        </w:tc>
        <w:tc>
          <w:tcPr>
            <w:tcW w:w="1583" w:type="dxa"/>
            <w:shd w:val="clear" w:color="auto" w:fill="auto"/>
            <w:hideMark/>
          </w:tcPr>
          <w:p w:rsidR="007B361D" w:rsidRPr="008A23EB" w:rsidRDefault="007B361D" w:rsidP="0028067D">
            <w:pPr>
              <w:pStyle w:val="5"/>
              <w:spacing w:before="60"/>
              <w:jc w:val="both"/>
              <w:rPr>
                <w:b w:val="0"/>
                <w:bCs w:val="0"/>
                <w:sz w:val="22"/>
                <w:szCs w:val="22"/>
              </w:rPr>
            </w:pPr>
            <w:r w:rsidRPr="008A23EB">
              <w:rPr>
                <w:rFonts w:hint="cs"/>
                <w:b w:val="0"/>
                <w:bCs w:val="0"/>
                <w:sz w:val="22"/>
                <w:szCs w:val="22"/>
                <w:rtl/>
              </w:rPr>
              <w:t>222 ק"ג</w:t>
            </w:r>
          </w:p>
        </w:tc>
        <w:tc>
          <w:tcPr>
            <w:tcW w:w="1318" w:type="dxa"/>
            <w:shd w:val="clear" w:color="auto" w:fill="auto"/>
            <w:vAlign w:val="center"/>
          </w:tcPr>
          <w:p w:rsidR="007B361D" w:rsidRPr="008A23EB" w:rsidRDefault="007B361D" w:rsidP="007B5846">
            <w:pPr>
              <w:pStyle w:val="5"/>
              <w:spacing w:before="60"/>
              <w:rPr>
                <w:b w:val="0"/>
                <w:bCs w:val="0"/>
                <w:sz w:val="22"/>
                <w:szCs w:val="22"/>
                <w:rtl/>
              </w:rPr>
            </w:pPr>
            <w:bookmarkStart w:id="275" w:name="_Toc418585182"/>
            <w:bookmarkStart w:id="276" w:name="_Toc419963134"/>
            <w:r w:rsidRPr="008A23EB">
              <w:rPr>
                <w:rFonts w:hint="cs"/>
                <w:b w:val="0"/>
                <w:bCs w:val="0"/>
                <w:sz w:val="22"/>
                <w:szCs w:val="22"/>
                <w:rtl/>
              </w:rPr>
              <w:t>+</w:t>
            </w:r>
            <w:bookmarkEnd w:id="275"/>
            <w:bookmarkEnd w:id="276"/>
          </w:p>
        </w:tc>
      </w:tr>
      <w:tr w:rsidR="007B361D" w:rsidRPr="008A23EB" w:rsidTr="007B5846">
        <w:trPr>
          <w:trHeight w:val="297"/>
          <w:tblCellSpacing w:w="20" w:type="dxa"/>
          <w:jc w:val="center"/>
        </w:trPr>
        <w:tc>
          <w:tcPr>
            <w:tcW w:w="2679" w:type="dxa"/>
            <w:shd w:val="clear" w:color="auto" w:fill="auto"/>
            <w:hideMark/>
          </w:tcPr>
          <w:p w:rsidR="007B361D" w:rsidRPr="008A23EB" w:rsidRDefault="007B361D" w:rsidP="00F95D65">
            <w:pPr>
              <w:pStyle w:val="5"/>
              <w:spacing w:before="60"/>
              <w:jc w:val="both"/>
              <w:rPr>
                <w:b w:val="0"/>
                <w:bCs w:val="0"/>
                <w:sz w:val="22"/>
                <w:szCs w:val="22"/>
                <w:rtl/>
              </w:rPr>
            </w:pPr>
            <w:bookmarkStart w:id="277" w:name="_Toc418585183"/>
            <w:bookmarkStart w:id="278" w:name="_Toc419963135"/>
            <w:r w:rsidRPr="008A23EB">
              <w:rPr>
                <w:b w:val="0"/>
                <w:bCs w:val="0"/>
                <w:sz w:val="22"/>
                <w:szCs w:val="22"/>
              </w:rPr>
              <w:t>YA-BA</w:t>
            </w:r>
            <w:bookmarkEnd w:id="277"/>
            <w:bookmarkEnd w:id="278"/>
            <w:r w:rsidR="000D08BC">
              <w:rPr>
                <w:rFonts w:hint="cs"/>
                <w:b w:val="0"/>
                <w:bCs w:val="0"/>
                <w:sz w:val="22"/>
                <w:szCs w:val="22"/>
                <w:rtl/>
              </w:rPr>
              <w:t xml:space="preserve"> (מתאמפטמין)</w:t>
            </w:r>
          </w:p>
        </w:tc>
        <w:tc>
          <w:tcPr>
            <w:tcW w:w="1723" w:type="dxa"/>
            <w:shd w:val="clear" w:color="auto" w:fill="auto"/>
          </w:tcPr>
          <w:p w:rsidR="007B361D" w:rsidRPr="008A23EB" w:rsidRDefault="007B361D" w:rsidP="0028067D">
            <w:pPr>
              <w:pStyle w:val="5"/>
              <w:spacing w:before="60"/>
              <w:jc w:val="both"/>
              <w:rPr>
                <w:b w:val="0"/>
                <w:bCs w:val="0"/>
                <w:sz w:val="22"/>
                <w:szCs w:val="22"/>
              </w:rPr>
            </w:pPr>
            <w:bookmarkStart w:id="279" w:name="_Toc418585184"/>
            <w:bookmarkStart w:id="280" w:name="_Toc419963136"/>
            <w:r w:rsidRPr="008A23EB">
              <w:rPr>
                <w:rFonts w:hint="cs"/>
                <w:b w:val="0"/>
                <w:bCs w:val="0"/>
                <w:sz w:val="22"/>
                <w:szCs w:val="22"/>
                <w:rtl/>
              </w:rPr>
              <w:t>16</w:t>
            </w:r>
            <w:bookmarkEnd w:id="279"/>
            <w:bookmarkEnd w:id="280"/>
          </w:p>
        </w:tc>
        <w:tc>
          <w:tcPr>
            <w:tcW w:w="1582" w:type="dxa"/>
            <w:shd w:val="clear" w:color="auto" w:fill="auto"/>
          </w:tcPr>
          <w:p w:rsidR="007B361D" w:rsidRPr="008A23EB" w:rsidRDefault="007B361D" w:rsidP="0028067D">
            <w:pPr>
              <w:pStyle w:val="5"/>
              <w:spacing w:before="60"/>
              <w:jc w:val="both"/>
              <w:rPr>
                <w:b w:val="0"/>
                <w:bCs w:val="0"/>
                <w:sz w:val="22"/>
                <w:szCs w:val="22"/>
              </w:rPr>
            </w:pPr>
            <w:r w:rsidRPr="008A23EB">
              <w:rPr>
                <w:rFonts w:hint="cs"/>
                <w:b w:val="0"/>
                <w:bCs w:val="0"/>
                <w:sz w:val="22"/>
                <w:szCs w:val="22"/>
                <w:rtl/>
              </w:rPr>
              <w:t>60,887 יחידות</w:t>
            </w:r>
          </w:p>
        </w:tc>
        <w:tc>
          <w:tcPr>
            <w:tcW w:w="1583" w:type="dxa"/>
            <w:shd w:val="clear" w:color="auto" w:fill="auto"/>
            <w:hideMark/>
          </w:tcPr>
          <w:p w:rsidR="007B361D" w:rsidRPr="008A23EB" w:rsidRDefault="007B361D" w:rsidP="0028067D">
            <w:pPr>
              <w:pStyle w:val="5"/>
              <w:spacing w:before="60"/>
              <w:jc w:val="both"/>
              <w:rPr>
                <w:b w:val="0"/>
                <w:bCs w:val="0"/>
                <w:sz w:val="22"/>
                <w:szCs w:val="22"/>
              </w:rPr>
            </w:pPr>
            <w:r w:rsidRPr="008A23EB">
              <w:rPr>
                <w:rFonts w:hint="cs"/>
                <w:b w:val="0"/>
                <w:bCs w:val="0"/>
                <w:sz w:val="22"/>
                <w:szCs w:val="22"/>
                <w:rtl/>
              </w:rPr>
              <w:t>11,245</w:t>
            </w:r>
            <w:r w:rsidRPr="008A23EB">
              <w:rPr>
                <w:rFonts w:hint="cs"/>
                <w:b w:val="0"/>
                <w:bCs w:val="0"/>
                <w:sz w:val="22"/>
                <w:szCs w:val="22"/>
              </w:rPr>
              <w:t xml:space="preserve"> </w:t>
            </w:r>
            <w:r w:rsidRPr="008A23EB">
              <w:rPr>
                <w:rFonts w:hint="cs"/>
                <w:b w:val="0"/>
                <w:bCs w:val="0"/>
                <w:sz w:val="22"/>
                <w:szCs w:val="22"/>
                <w:rtl/>
              </w:rPr>
              <w:t>יחידות</w:t>
            </w:r>
          </w:p>
        </w:tc>
        <w:tc>
          <w:tcPr>
            <w:tcW w:w="1318" w:type="dxa"/>
            <w:shd w:val="clear" w:color="auto" w:fill="auto"/>
            <w:vAlign w:val="center"/>
          </w:tcPr>
          <w:p w:rsidR="007B361D" w:rsidRPr="008A23EB" w:rsidRDefault="007B361D" w:rsidP="007B5846">
            <w:pPr>
              <w:pStyle w:val="5"/>
              <w:spacing w:before="60"/>
              <w:rPr>
                <w:b w:val="0"/>
                <w:bCs w:val="0"/>
                <w:sz w:val="22"/>
                <w:szCs w:val="22"/>
                <w:rtl/>
              </w:rPr>
            </w:pPr>
            <w:bookmarkStart w:id="281" w:name="_Toc418585187"/>
            <w:bookmarkStart w:id="282" w:name="_Toc419963139"/>
            <w:r w:rsidRPr="008A23EB">
              <w:rPr>
                <w:rFonts w:hint="cs"/>
                <w:b w:val="0"/>
                <w:bCs w:val="0"/>
                <w:sz w:val="22"/>
                <w:szCs w:val="22"/>
                <w:rtl/>
              </w:rPr>
              <w:t>-</w:t>
            </w:r>
            <w:bookmarkEnd w:id="281"/>
            <w:bookmarkEnd w:id="282"/>
          </w:p>
        </w:tc>
      </w:tr>
      <w:tr w:rsidR="007B361D" w:rsidRPr="008A23EB" w:rsidTr="007B5846">
        <w:trPr>
          <w:trHeight w:val="389"/>
          <w:tblCellSpacing w:w="20" w:type="dxa"/>
          <w:jc w:val="center"/>
        </w:trPr>
        <w:tc>
          <w:tcPr>
            <w:tcW w:w="2679" w:type="dxa"/>
            <w:shd w:val="clear" w:color="auto" w:fill="auto"/>
            <w:hideMark/>
          </w:tcPr>
          <w:p w:rsidR="007B361D" w:rsidRPr="008A23EB" w:rsidRDefault="007B361D" w:rsidP="0028067D">
            <w:pPr>
              <w:pStyle w:val="5"/>
              <w:spacing w:before="60"/>
              <w:jc w:val="both"/>
              <w:rPr>
                <w:b w:val="0"/>
                <w:bCs w:val="0"/>
                <w:sz w:val="22"/>
                <w:szCs w:val="22"/>
              </w:rPr>
            </w:pPr>
            <w:bookmarkStart w:id="283" w:name="_Toc418585188"/>
            <w:bookmarkStart w:id="284" w:name="_Toc419963140"/>
            <w:r w:rsidRPr="008A23EB">
              <w:rPr>
                <w:b w:val="0"/>
                <w:bCs w:val="0"/>
                <w:sz w:val="22"/>
                <w:szCs w:val="22"/>
              </w:rPr>
              <w:t>XTC   MDMA</w:t>
            </w:r>
            <w:bookmarkEnd w:id="283"/>
            <w:bookmarkEnd w:id="284"/>
          </w:p>
        </w:tc>
        <w:tc>
          <w:tcPr>
            <w:tcW w:w="1723" w:type="dxa"/>
            <w:shd w:val="clear" w:color="auto" w:fill="auto"/>
          </w:tcPr>
          <w:p w:rsidR="007B361D" w:rsidRPr="008A23EB" w:rsidRDefault="007B361D" w:rsidP="0028067D">
            <w:pPr>
              <w:pStyle w:val="5"/>
              <w:spacing w:before="60"/>
              <w:jc w:val="both"/>
              <w:rPr>
                <w:b w:val="0"/>
                <w:bCs w:val="0"/>
                <w:sz w:val="22"/>
                <w:szCs w:val="22"/>
              </w:rPr>
            </w:pPr>
            <w:bookmarkStart w:id="285" w:name="_Toc418585189"/>
            <w:bookmarkStart w:id="286" w:name="_Toc419963141"/>
            <w:r w:rsidRPr="008A23EB">
              <w:rPr>
                <w:rFonts w:hint="cs"/>
                <w:b w:val="0"/>
                <w:bCs w:val="0"/>
                <w:sz w:val="22"/>
                <w:szCs w:val="22"/>
                <w:rtl/>
              </w:rPr>
              <w:t>22</w:t>
            </w:r>
            <w:bookmarkEnd w:id="285"/>
            <w:bookmarkEnd w:id="286"/>
          </w:p>
        </w:tc>
        <w:tc>
          <w:tcPr>
            <w:tcW w:w="1582" w:type="dxa"/>
            <w:shd w:val="clear" w:color="auto" w:fill="auto"/>
          </w:tcPr>
          <w:p w:rsidR="007B361D" w:rsidRPr="008A23EB" w:rsidRDefault="007B361D" w:rsidP="0028067D">
            <w:pPr>
              <w:pStyle w:val="5"/>
              <w:spacing w:before="60"/>
              <w:jc w:val="both"/>
              <w:rPr>
                <w:b w:val="0"/>
                <w:bCs w:val="0"/>
                <w:sz w:val="22"/>
                <w:szCs w:val="22"/>
              </w:rPr>
            </w:pPr>
            <w:r w:rsidRPr="008A23EB">
              <w:rPr>
                <w:rFonts w:hint="cs"/>
                <w:b w:val="0"/>
                <w:bCs w:val="0"/>
                <w:sz w:val="22"/>
                <w:szCs w:val="22"/>
                <w:rtl/>
              </w:rPr>
              <w:t>4,818 יחידות</w:t>
            </w:r>
          </w:p>
        </w:tc>
        <w:tc>
          <w:tcPr>
            <w:tcW w:w="1583" w:type="dxa"/>
            <w:shd w:val="clear" w:color="auto" w:fill="auto"/>
            <w:hideMark/>
          </w:tcPr>
          <w:p w:rsidR="007B361D" w:rsidRPr="008A23EB" w:rsidRDefault="007B361D" w:rsidP="0028067D">
            <w:pPr>
              <w:pStyle w:val="5"/>
              <w:spacing w:before="60"/>
              <w:jc w:val="both"/>
              <w:rPr>
                <w:b w:val="0"/>
                <w:bCs w:val="0"/>
                <w:sz w:val="22"/>
                <w:szCs w:val="22"/>
              </w:rPr>
            </w:pPr>
            <w:r w:rsidRPr="008A23EB">
              <w:rPr>
                <w:rFonts w:hint="cs"/>
                <w:b w:val="0"/>
                <w:bCs w:val="0"/>
                <w:sz w:val="22"/>
                <w:szCs w:val="22"/>
                <w:rtl/>
              </w:rPr>
              <w:t>128 יחידות</w:t>
            </w:r>
          </w:p>
        </w:tc>
        <w:tc>
          <w:tcPr>
            <w:tcW w:w="1318" w:type="dxa"/>
            <w:shd w:val="clear" w:color="auto" w:fill="auto"/>
            <w:vAlign w:val="center"/>
          </w:tcPr>
          <w:p w:rsidR="007B361D" w:rsidRPr="008A23EB" w:rsidRDefault="007B361D" w:rsidP="007B5846">
            <w:pPr>
              <w:pStyle w:val="5"/>
              <w:spacing w:before="60"/>
              <w:rPr>
                <w:b w:val="0"/>
                <w:bCs w:val="0"/>
                <w:sz w:val="22"/>
                <w:szCs w:val="22"/>
                <w:rtl/>
              </w:rPr>
            </w:pPr>
            <w:bookmarkStart w:id="287" w:name="_Toc418585192"/>
            <w:bookmarkStart w:id="288" w:name="_Toc419963144"/>
            <w:r w:rsidRPr="008A23EB">
              <w:rPr>
                <w:rFonts w:hint="cs"/>
                <w:b w:val="0"/>
                <w:bCs w:val="0"/>
                <w:sz w:val="22"/>
                <w:szCs w:val="22"/>
                <w:rtl/>
              </w:rPr>
              <w:t>+</w:t>
            </w:r>
            <w:bookmarkEnd w:id="287"/>
            <w:bookmarkEnd w:id="288"/>
          </w:p>
        </w:tc>
      </w:tr>
      <w:tr w:rsidR="007B361D" w:rsidRPr="008A23EB" w:rsidTr="007B5846">
        <w:trPr>
          <w:trHeight w:val="211"/>
          <w:tblCellSpacing w:w="20" w:type="dxa"/>
          <w:jc w:val="center"/>
        </w:trPr>
        <w:tc>
          <w:tcPr>
            <w:tcW w:w="2679" w:type="dxa"/>
            <w:shd w:val="clear" w:color="auto" w:fill="auto"/>
            <w:hideMark/>
          </w:tcPr>
          <w:p w:rsidR="007B361D" w:rsidRPr="008A23EB" w:rsidRDefault="007B361D" w:rsidP="0028067D">
            <w:pPr>
              <w:pStyle w:val="5"/>
              <w:spacing w:before="60"/>
              <w:jc w:val="both"/>
              <w:rPr>
                <w:b w:val="0"/>
                <w:bCs w:val="0"/>
                <w:sz w:val="22"/>
                <w:szCs w:val="22"/>
                <w:rtl/>
              </w:rPr>
            </w:pPr>
            <w:bookmarkStart w:id="289" w:name="_Toc418585193"/>
            <w:bookmarkStart w:id="290" w:name="_Toc419963145"/>
            <w:r w:rsidRPr="008A23EB">
              <w:rPr>
                <w:b w:val="0"/>
                <w:bCs w:val="0"/>
                <w:sz w:val="22"/>
                <w:szCs w:val="22"/>
              </w:rPr>
              <w:t>LSD</w:t>
            </w:r>
            <w:bookmarkEnd w:id="289"/>
            <w:bookmarkEnd w:id="290"/>
            <w:r w:rsidRPr="008A23EB">
              <w:rPr>
                <w:b w:val="0"/>
                <w:bCs w:val="0"/>
                <w:sz w:val="22"/>
                <w:szCs w:val="22"/>
                <w:rtl/>
              </w:rPr>
              <w:t xml:space="preserve"> </w:t>
            </w:r>
          </w:p>
        </w:tc>
        <w:tc>
          <w:tcPr>
            <w:tcW w:w="1723" w:type="dxa"/>
            <w:shd w:val="clear" w:color="auto" w:fill="auto"/>
          </w:tcPr>
          <w:p w:rsidR="007B361D" w:rsidRPr="008A23EB" w:rsidRDefault="007B361D" w:rsidP="0028067D">
            <w:pPr>
              <w:pStyle w:val="5"/>
              <w:spacing w:before="60"/>
              <w:jc w:val="both"/>
              <w:rPr>
                <w:b w:val="0"/>
                <w:bCs w:val="0"/>
                <w:sz w:val="22"/>
                <w:szCs w:val="22"/>
              </w:rPr>
            </w:pPr>
            <w:bookmarkStart w:id="291" w:name="_Toc418585194"/>
            <w:bookmarkStart w:id="292" w:name="_Toc419963146"/>
            <w:r w:rsidRPr="008A23EB">
              <w:rPr>
                <w:rFonts w:hint="cs"/>
                <w:b w:val="0"/>
                <w:bCs w:val="0"/>
                <w:sz w:val="22"/>
                <w:szCs w:val="22"/>
                <w:rtl/>
              </w:rPr>
              <w:t>19</w:t>
            </w:r>
            <w:bookmarkEnd w:id="291"/>
            <w:bookmarkEnd w:id="292"/>
          </w:p>
        </w:tc>
        <w:tc>
          <w:tcPr>
            <w:tcW w:w="1582" w:type="dxa"/>
            <w:shd w:val="clear" w:color="auto" w:fill="auto"/>
          </w:tcPr>
          <w:p w:rsidR="007B361D" w:rsidRPr="008A23EB" w:rsidRDefault="007B361D" w:rsidP="0028067D">
            <w:pPr>
              <w:pStyle w:val="5"/>
              <w:spacing w:before="60"/>
              <w:jc w:val="both"/>
              <w:rPr>
                <w:b w:val="0"/>
                <w:bCs w:val="0"/>
                <w:sz w:val="22"/>
                <w:szCs w:val="22"/>
              </w:rPr>
            </w:pPr>
            <w:r w:rsidRPr="008A23EB">
              <w:rPr>
                <w:rFonts w:hint="cs"/>
                <w:b w:val="0"/>
                <w:bCs w:val="0"/>
                <w:sz w:val="22"/>
                <w:szCs w:val="22"/>
                <w:rtl/>
              </w:rPr>
              <w:t>6,807 יחידות</w:t>
            </w:r>
          </w:p>
        </w:tc>
        <w:tc>
          <w:tcPr>
            <w:tcW w:w="1583" w:type="dxa"/>
            <w:shd w:val="clear" w:color="auto" w:fill="auto"/>
            <w:hideMark/>
          </w:tcPr>
          <w:p w:rsidR="007B361D" w:rsidRPr="008A23EB" w:rsidRDefault="007B361D" w:rsidP="0028067D">
            <w:pPr>
              <w:pStyle w:val="5"/>
              <w:spacing w:before="60"/>
              <w:jc w:val="both"/>
              <w:rPr>
                <w:b w:val="0"/>
                <w:bCs w:val="0"/>
                <w:sz w:val="22"/>
                <w:szCs w:val="22"/>
              </w:rPr>
            </w:pPr>
            <w:r w:rsidRPr="008A23EB">
              <w:rPr>
                <w:rFonts w:hint="cs"/>
                <w:b w:val="0"/>
                <w:bCs w:val="0"/>
                <w:sz w:val="22"/>
                <w:szCs w:val="22"/>
                <w:rtl/>
              </w:rPr>
              <w:t>11,211</w:t>
            </w:r>
            <w:r w:rsidRPr="008A23EB">
              <w:rPr>
                <w:rFonts w:hint="cs"/>
                <w:b w:val="0"/>
                <w:bCs w:val="0"/>
                <w:sz w:val="22"/>
                <w:szCs w:val="22"/>
              </w:rPr>
              <w:t xml:space="preserve"> </w:t>
            </w:r>
            <w:r w:rsidRPr="008A23EB">
              <w:rPr>
                <w:rFonts w:hint="cs"/>
                <w:b w:val="0"/>
                <w:bCs w:val="0"/>
                <w:sz w:val="22"/>
                <w:szCs w:val="22"/>
                <w:rtl/>
              </w:rPr>
              <w:t>יחידות</w:t>
            </w:r>
          </w:p>
        </w:tc>
        <w:tc>
          <w:tcPr>
            <w:tcW w:w="1318" w:type="dxa"/>
            <w:shd w:val="clear" w:color="auto" w:fill="auto"/>
            <w:vAlign w:val="center"/>
          </w:tcPr>
          <w:p w:rsidR="007B361D" w:rsidRPr="008A23EB" w:rsidRDefault="007B361D" w:rsidP="007B5846">
            <w:pPr>
              <w:pStyle w:val="5"/>
              <w:spacing w:before="60"/>
              <w:rPr>
                <w:b w:val="0"/>
                <w:bCs w:val="0"/>
                <w:sz w:val="22"/>
                <w:szCs w:val="22"/>
                <w:rtl/>
              </w:rPr>
            </w:pPr>
            <w:bookmarkStart w:id="293" w:name="_Toc418585197"/>
            <w:bookmarkStart w:id="294" w:name="_Toc419963149"/>
            <w:r w:rsidRPr="008A23EB">
              <w:rPr>
                <w:rFonts w:hint="cs"/>
                <w:b w:val="0"/>
                <w:bCs w:val="0"/>
                <w:sz w:val="22"/>
                <w:szCs w:val="22"/>
                <w:rtl/>
              </w:rPr>
              <w:t>+</w:t>
            </w:r>
            <w:bookmarkEnd w:id="293"/>
            <w:bookmarkEnd w:id="294"/>
          </w:p>
        </w:tc>
      </w:tr>
      <w:tr w:rsidR="007B361D" w:rsidRPr="008A23EB" w:rsidTr="007B5846">
        <w:trPr>
          <w:trHeight w:val="316"/>
          <w:tblCellSpacing w:w="20" w:type="dxa"/>
          <w:jc w:val="center"/>
        </w:trPr>
        <w:tc>
          <w:tcPr>
            <w:tcW w:w="2679" w:type="dxa"/>
            <w:shd w:val="clear" w:color="auto" w:fill="auto"/>
            <w:hideMark/>
          </w:tcPr>
          <w:p w:rsidR="007B361D" w:rsidRPr="008A23EB" w:rsidRDefault="007B361D" w:rsidP="0028067D">
            <w:pPr>
              <w:pStyle w:val="5"/>
              <w:spacing w:before="60"/>
              <w:jc w:val="both"/>
              <w:rPr>
                <w:b w:val="0"/>
                <w:bCs w:val="0"/>
                <w:sz w:val="22"/>
                <w:szCs w:val="22"/>
              </w:rPr>
            </w:pPr>
            <w:bookmarkStart w:id="295" w:name="_Toc418585198"/>
            <w:bookmarkStart w:id="296" w:name="_Toc419963150"/>
            <w:r w:rsidRPr="008A23EB">
              <w:rPr>
                <w:b w:val="0"/>
                <w:bCs w:val="0"/>
                <w:sz w:val="22"/>
                <w:szCs w:val="22"/>
              </w:rPr>
              <w:t>GHB GBL</w:t>
            </w:r>
            <w:bookmarkEnd w:id="295"/>
            <w:bookmarkEnd w:id="296"/>
            <w:r w:rsidRPr="008A23EB">
              <w:rPr>
                <w:b w:val="0"/>
                <w:bCs w:val="0"/>
                <w:sz w:val="22"/>
                <w:szCs w:val="22"/>
                <w:rtl/>
              </w:rPr>
              <w:t xml:space="preserve"> ("סמי אונס")</w:t>
            </w:r>
          </w:p>
        </w:tc>
        <w:tc>
          <w:tcPr>
            <w:tcW w:w="1723" w:type="dxa"/>
            <w:shd w:val="clear" w:color="auto" w:fill="auto"/>
          </w:tcPr>
          <w:p w:rsidR="007B361D" w:rsidRPr="008A23EB" w:rsidRDefault="007B361D" w:rsidP="0028067D">
            <w:pPr>
              <w:pStyle w:val="5"/>
              <w:spacing w:before="60"/>
              <w:jc w:val="both"/>
              <w:rPr>
                <w:b w:val="0"/>
                <w:bCs w:val="0"/>
                <w:sz w:val="22"/>
                <w:szCs w:val="22"/>
              </w:rPr>
            </w:pPr>
            <w:bookmarkStart w:id="297" w:name="_Toc418585199"/>
            <w:bookmarkStart w:id="298" w:name="_Toc419963151"/>
            <w:r w:rsidRPr="008A23EB">
              <w:rPr>
                <w:rFonts w:hint="cs"/>
                <w:b w:val="0"/>
                <w:bCs w:val="0"/>
                <w:sz w:val="22"/>
                <w:szCs w:val="22"/>
                <w:rtl/>
              </w:rPr>
              <w:t>25</w:t>
            </w:r>
            <w:bookmarkEnd w:id="297"/>
            <w:bookmarkEnd w:id="298"/>
          </w:p>
        </w:tc>
        <w:tc>
          <w:tcPr>
            <w:tcW w:w="1582" w:type="dxa"/>
            <w:shd w:val="clear" w:color="auto" w:fill="auto"/>
          </w:tcPr>
          <w:p w:rsidR="007B361D" w:rsidRPr="008A23EB" w:rsidRDefault="007B361D" w:rsidP="0028067D">
            <w:pPr>
              <w:pStyle w:val="5"/>
              <w:spacing w:before="60"/>
              <w:jc w:val="both"/>
              <w:rPr>
                <w:b w:val="0"/>
                <w:bCs w:val="0"/>
                <w:sz w:val="22"/>
                <w:szCs w:val="22"/>
              </w:rPr>
            </w:pPr>
            <w:r w:rsidRPr="008A23EB">
              <w:rPr>
                <w:rFonts w:hint="cs"/>
                <w:b w:val="0"/>
                <w:bCs w:val="0"/>
                <w:sz w:val="22"/>
                <w:szCs w:val="22"/>
                <w:rtl/>
              </w:rPr>
              <w:t>706 מיליליטר</w:t>
            </w:r>
          </w:p>
        </w:tc>
        <w:tc>
          <w:tcPr>
            <w:tcW w:w="1583" w:type="dxa"/>
            <w:shd w:val="clear" w:color="auto" w:fill="auto"/>
            <w:hideMark/>
          </w:tcPr>
          <w:p w:rsidR="007B361D" w:rsidRPr="008A23EB" w:rsidRDefault="007B361D" w:rsidP="0028067D">
            <w:pPr>
              <w:pStyle w:val="5"/>
              <w:spacing w:before="60"/>
              <w:jc w:val="both"/>
              <w:rPr>
                <w:b w:val="0"/>
                <w:bCs w:val="0"/>
                <w:sz w:val="22"/>
                <w:szCs w:val="22"/>
              </w:rPr>
            </w:pPr>
            <w:r w:rsidRPr="008A23EB">
              <w:rPr>
                <w:rFonts w:hint="cs"/>
                <w:b w:val="0"/>
                <w:bCs w:val="0"/>
                <w:sz w:val="22"/>
                <w:szCs w:val="22"/>
                <w:rtl/>
              </w:rPr>
              <w:t>23,257 ליטר</w:t>
            </w:r>
          </w:p>
        </w:tc>
        <w:tc>
          <w:tcPr>
            <w:tcW w:w="1318" w:type="dxa"/>
            <w:shd w:val="clear" w:color="auto" w:fill="auto"/>
            <w:vAlign w:val="center"/>
          </w:tcPr>
          <w:p w:rsidR="007B361D" w:rsidRPr="008A23EB" w:rsidRDefault="007B361D" w:rsidP="007B5846">
            <w:pPr>
              <w:pStyle w:val="5"/>
              <w:spacing w:before="60"/>
              <w:rPr>
                <w:b w:val="0"/>
                <w:bCs w:val="0"/>
                <w:sz w:val="22"/>
                <w:szCs w:val="22"/>
                <w:rtl/>
              </w:rPr>
            </w:pPr>
            <w:bookmarkStart w:id="299" w:name="_Toc418585202"/>
            <w:bookmarkStart w:id="300" w:name="_Toc419963154"/>
            <w:r w:rsidRPr="008A23EB">
              <w:rPr>
                <w:rFonts w:hint="cs"/>
                <w:b w:val="0"/>
                <w:bCs w:val="0"/>
                <w:sz w:val="22"/>
                <w:szCs w:val="22"/>
                <w:rtl/>
              </w:rPr>
              <w:t>+</w:t>
            </w:r>
            <w:bookmarkEnd w:id="299"/>
            <w:bookmarkEnd w:id="300"/>
          </w:p>
        </w:tc>
      </w:tr>
    </w:tbl>
    <w:p w:rsidR="0065686F" w:rsidRDefault="007B5846" w:rsidP="00C435CF">
      <w:pPr>
        <w:pStyle w:val="a2"/>
        <w:spacing w:line="360" w:lineRule="auto"/>
        <w:rPr>
          <w:rtl/>
        </w:rPr>
      </w:pPr>
      <w:r w:rsidRPr="00BB6388">
        <w:rPr>
          <w:rFonts w:hint="cs"/>
          <w:b/>
          <w:bCs/>
          <w:rtl/>
        </w:rPr>
        <w:t>סך ארועי תפיסות הסמים של היס"מ על מדוריו השונים לשנת 2013 עמדו על 1,397, וב- 2014 על 1,266.</w:t>
      </w:r>
      <w:r w:rsidRPr="00ED0E33">
        <w:rPr>
          <w:rStyle w:val="ab"/>
          <w:rtl/>
        </w:rPr>
        <w:footnoteReference w:id="258"/>
      </w:r>
      <w:r w:rsidRPr="00BB6388">
        <w:rPr>
          <w:rFonts w:hint="cs"/>
          <w:b/>
          <w:bCs/>
          <w:rtl/>
        </w:rPr>
        <w:t xml:space="preserve"> </w:t>
      </w:r>
      <w:r w:rsidRPr="00BB6388">
        <w:rPr>
          <w:rFonts w:hint="cs"/>
          <w:rtl/>
        </w:rPr>
        <w:t>במכתבה מציינת הרשות כי הירידה בנתוני תפיסות הסמים בשנת 2014 לעומת 2013 נבעה מהשתתפות כלבני וכלבי היחידה בהכשרה מקצועית בארץ ובחו"ל במהלך החודשים מאי עד יולי 2014.</w:t>
      </w:r>
      <w:r w:rsidRPr="00BB6388">
        <w:rPr>
          <w:rStyle w:val="ab"/>
          <w:rtl/>
        </w:rPr>
        <w:footnoteReference w:id="259"/>
      </w:r>
    </w:p>
    <w:p w:rsidR="00A4721C" w:rsidRDefault="00C270DC" w:rsidP="0065686F">
      <w:pPr>
        <w:pStyle w:val="a2"/>
        <w:spacing w:line="360" w:lineRule="auto"/>
        <w:rPr>
          <w:rtl/>
        </w:rPr>
      </w:pPr>
      <w:r w:rsidRPr="00BB6388">
        <w:rPr>
          <w:rFonts w:hint="cs"/>
          <w:rtl/>
        </w:rPr>
        <w:t xml:space="preserve">טבלה </w:t>
      </w:r>
      <w:r w:rsidR="00F20333">
        <w:rPr>
          <w:rFonts w:hint="cs"/>
          <w:rtl/>
        </w:rPr>
        <w:t xml:space="preserve">מס' </w:t>
      </w:r>
      <w:r w:rsidR="00C435CF">
        <w:rPr>
          <w:rFonts w:hint="cs"/>
          <w:rtl/>
        </w:rPr>
        <w:t xml:space="preserve">16 </w:t>
      </w:r>
      <w:r w:rsidRPr="00BB6388">
        <w:rPr>
          <w:rFonts w:hint="cs"/>
          <w:rtl/>
        </w:rPr>
        <w:t xml:space="preserve">מציגה את סך </w:t>
      </w:r>
      <w:r w:rsidR="00E24957" w:rsidRPr="00BB6388">
        <w:rPr>
          <w:rFonts w:hint="cs"/>
          <w:rtl/>
        </w:rPr>
        <w:t xml:space="preserve">מספר </w:t>
      </w:r>
      <w:r w:rsidR="009B5832" w:rsidRPr="00BB6388">
        <w:rPr>
          <w:rFonts w:hint="cs"/>
          <w:rtl/>
        </w:rPr>
        <w:t>ארועי תפיסות הסמים לשנים</w:t>
      </w:r>
      <w:r w:rsidRPr="00BB6388">
        <w:rPr>
          <w:rFonts w:hint="cs"/>
          <w:rtl/>
        </w:rPr>
        <w:t xml:space="preserve"> 2014</w:t>
      </w:r>
      <w:r w:rsidR="009B5832" w:rsidRPr="00BB6388">
        <w:rPr>
          <w:rFonts w:hint="cs"/>
          <w:rtl/>
        </w:rPr>
        <w:t xml:space="preserve">-2013, </w:t>
      </w:r>
      <w:r w:rsidR="002C67F1">
        <w:rPr>
          <w:rFonts w:hint="cs"/>
          <w:rtl/>
        </w:rPr>
        <w:t>בחלוקה ל</w:t>
      </w:r>
      <w:r w:rsidR="009B5832" w:rsidRPr="00BB6388">
        <w:rPr>
          <w:rFonts w:hint="cs"/>
          <w:rtl/>
        </w:rPr>
        <w:t>מדורי היס"מ השונים</w:t>
      </w:r>
      <w:r w:rsidR="00DD783C" w:rsidRPr="00BB6388">
        <w:rPr>
          <w:rFonts w:hint="cs"/>
          <w:rtl/>
        </w:rPr>
        <w:t>.</w:t>
      </w:r>
      <w:r w:rsidR="00F20333">
        <w:rPr>
          <w:rFonts w:hint="cs"/>
          <w:rtl/>
        </w:rPr>
        <w:t xml:space="preserve"> </w:t>
      </w:r>
      <w:r w:rsidR="00333701" w:rsidRPr="00BB6388">
        <w:rPr>
          <w:rFonts w:hint="cs"/>
          <w:rtl/>
        </w:rPr>
        <w:t xml:space="preserve">ניתן לראות מהטבלה כי </w:t>
      </w:r>
      <w:r w:rsidR="00333701">
        <w:rPr>
          <w:rFonts w:hint="cs"/>
          <w:b/>
          <w:bCs/>
          <w:rtl/>
        </w:rPr>
        <w:t xml:space="preserve">מתוך 1,266 ארועי תפיסות הסמים של היס"מ בשנת 2014, 998 (כ- 79%) התרחשו </w:t>
      </w:r>
      <w:r w:rsidR="00333701" w:rsidRPr="00BB6388">
        <w:rPr>
          <w:rFonts w:hint="cs"/>
          <w:b/>
          <w:bCs/>
          <w:rtl/>
        </w:rPr>
        <w:t>בנמל התעופה בן-גוריון</w:t>
      </w:r>
      <w:r w:rsidR="00333701" w:rsidRPr="00BB6388">
        <w:rPr>
          <w:rFonts w:hint="cs"/>
          <w:rtl/>
        </w:rPr>
        <w:t xml:space="preserve">. </w:t>
      </w:r>
      <w:r w:rsidR="00333701" w:rsidRPr="00BB6388">
        <w:rPr>
          <w:rtl/>
        </w:rPr>
        <w:t>זאב ציגלברג, הממונה על יחידת הסמים והלבנת ההון שברשות המיסים, ואהוד אור-טל, ממונה מדור בכיר מבצעים ביחידת הסמים והלבנת הון שברשות המיסים</w:t>
      </w:r>
      <w:r w:rsidR="00333701" w:rsidRPr="00BB6388">
        <w:rPr>
          <w:rFonts w:hint="cs"/>
          <w:rtl/>
        </w:rPr>
        <w:t xml:space="preserve">, ציינו בשיחת טלפון כי בשנים האחרונות פועל היס"מ לשיפור תפוקות המאבק בהברחות הסמים. בין השאר הדבר נעשה באמצעות הפרדה בין חוקרי היס"מ </w:t>
      </w:r>
      <w:r w:rsidR="00333701" w:rsidRPr="00BB6388">
        <w:rPr>
          <w:rtl/>
        </w:rPr>
        <w:t>–</w:t>
      </w:r>
      <w:r w:rsidR="00333701" w:rsidRPr="00BB6388">
        <w:rPr>
          <w:rFonts w:hint="cs"/>
          <w:rtl/>
        </w:rPr>
        <w:t xml:space="preserve"> הפועלים באולמות הנוסעים - ובין צוותי הכלבנים - הפועלים באזורי הבלדרות והמטענים. הדבר מאפשר, לטענתם, ניצול טוב יותר של כח האדם העומד לרשות היחידה.</w:t>
      </w:r>
      <w:r w:rsidR="00333701" w:rsidRPr="00BB6388">
        <w:rPr>
          <w:rStyle w:val="ab"/>
          <w:rtl/>
        </w:rPr>
        <w:footnoteReference w:id="260"/>
      </w:r>
      <w:bookmarkStart w:id="301" w:name="_Toc419963160"/>
    </w:p>
    <w:p w:rsidR="00C270DC" w:rsidRPr="00F20333" w:rsidRDefault="00F20333" w:rsidP="00F20333">
      <w:pPr>
        <w:pStyle w:val="af2"/>
        <w:jc w:val="center"/>
        <w:rPr>
          <w:sz w:val="24"/>
          <w:szCs w:val="24"/>
          <w:rtl/>
        </w:rPr>
      </w:pPr>
      <w:r w:rsidRPr="00F20333">
        <w:rPr>
          <w:sz w:val="24"/>
          <w:szCs w:val="24"/>
          <w:rtl/>
        </w:rPr>
        <w:t xml:space="preserve">טבלה </w:t>
      </w:r>
      <w:r w:rsidRPr="00F20333">
        <w:rPr>
          <w:sz w:val="24"/>
          <w:szCs w:val="24"/>
          <w:rtl/>
        </w:rPr>
        <w:fldChar w:fldCharType="begin"/>
      </w:r>
      <w:r w:rsidRPr="00F20333">
        <w:rPr>
          <w:sz w:val="24"/>
          <w:szCs w:val="24"/>
          <w:rtl/>
        </w:rPr>
        <w:instrText xml:space="preserve"> </w:instrText>
      </w:r>
      <w:r w:rsidRPr="00F20333">
        <w:rPr>
          <w:rFonts w:hint="cs"/>
          <w:sz w:val="24"/>
          <w:szCs w:val="24"/>
        </w:rPr>
        <w:instrText>SEQ</w:instrText>
      </w:r>
      <w:r w:rsidRPr="00F20333">
        <w:rPr>
          <w:rFonts w:hint="cs"/>
          <w:sz w:val="24"/>
          <w:szCs w:val="24"/>
          <w:rtl/>
        </w:rPr>
        <w:instrText xml:space="preserve"> טבלה \* </w:instrText>
      </w:r>
      <w:r w:rsidRPr="00F20333">
        <w:rPr>
          <w:rFonts w:hint="cs"/>
          <w:sz w:val="24"/>
          <w:szCs w:val="24"/>
        </w:rPr>
        <w:instrText>ARABIC</w:instrText>
      </w:r>
      <w:r w:rsidRPr="00F20333">
        <w:rPr>
          <w:sz w:val="24"/>
          <w:szCs w:val="24"/>
          <w:rtl/>
        </w:rPr>
        <w:instrText xml:space="preserve"> </w:instrText>
      </w:r>
      <w:r w:rsidRPr="00F20333">
        <w:rPr>
          <w:sz w:val="24"/>
          <w:szCs w:val="24"/>
          <w:rtl/>
        </w:rPr>
        <w:fldChar w:fldCharType="separate"/>
      </w:r>
      <w:r w:rsidR="007347AB">
        <w:rPr>
          <w:noProof/>
          <w:sz w:val="24"/>
          <w:szCs w:val="24"/>
          <w:rtl/>
        </w:rPr>
        <w:t>16</w:t>
      </w:r>
      <w:r w:rsidRPr="00F20333">
        <w:rPr>
          <w:sz w:val="24"/>
          <w:szCs w:val="24"/>
          <w:rtl/>
        </w:rPr>
        <w:fldChar w:fldCharType="end"/>
      </w:r>
      <w:r w:rsidR="00C270DC" w:rsidRPr="00F20333">
        <w:rPr>
          <w:rFonts w:hint="cs"/>
          <w:sz w:val="24"/>
          <w:szCs w:val="24"/>
          <w:rtl/>
        </w:rPr>
        <w:t>: סך ארועי תפיסות הסמים לשנת 2014, בחלוקה למדורים</w:t>
      </w:r>
      <w:bookmarkEnd w:id="301"/>
    </w:p>
    <w:tbl>
      <w:tblPr>
        <w:tblStyle w:val="afff5"/>
        <w:bidiVisual/>
        <w:tblW w:w="9125" w:type="dxa"/>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1109"/>
        <w:gridCol w:w="799"/>
        <w:gridCol w:w="921"/>
        <w:gridCol w:w="858"/>
        <w:gridCol w:w="799"/>
        <w:gridCol w:w="801"/>
        <w:gridCol w:w="1046"/>
        <w:gridCol w:w="1092"/>
        <w:gridCol w:w="850"/>
        <w:gridCol w:w="850"/>
      </w:tblGrid>
      <w:tr w:rsidR="00446247" w:rsidRPr="00446247" w:rsidTr="001227C7">
        <w:trPr>
          <w:tblCellSpacing w:w="20" w:type="dxa"/>
          <w:jc w:val="center"/>
        </w:trPr>
        <w:tc>
          <w:tcPr>
            <w:tcW w:w="1049" w:type="dxa"/>
            <w:shd w:val="clear" w:color="auto" w:fill="auto"/>
          </w:tcPr>
          <w:p w:rsidR="00C93D64" w:rsidRPr="00446247" w:rsidRDefault="00C93D64" w:rsidP="00446247">
            <w:pPr>
              <w:spacing w:before="60" w:after="0" w:line="240" w:lineRule="auto"/>
              <w:contextualSpacing/>
              <w:rPr>
                <w:b/>
                <w:bCs/>
                <w:sz w:val="22"/>
                <w:szCs w:val="22"/>
                <w:rtl/>
              </w:rPr>
            </w:pPr>
            <w:r w:rsidRPr="00446247">
              <w:rPr>
                <w:rFonts w:hint="cs"/>
                <w:b/>
                <w:bCs/>
                <w:sz w:val="22"/>
                <w:szCs w:val="22"/>
                <w:rtl/>
              </w:rPr>
              <w:t>חודש</w:t>
            </w:r>
          </w:p>
        </w:tc>
        <w:tc>
          <w:tcPr>
            <w:tcW w:w="759" w:type="dxa"/>
            <w:shd w:val="clear" w:color="auto" w:fill="auto"/>
          </w:tcPr>
          <w:p w:rsidR="00C93D64" w:rsidRPr="00446247" w:rsidRDefault="00C93D64" w:rsidP="00446247">
            <w:pPr>
              <w:spacing w:before="60" w:after="0" w:line="240" w:lineRule="auto"/>
              <w:contextualSpacing/>
              <w:jc w:val="center"/>
              <w:rPr>
                <w:b/>
                <w:bCs/>
                <w:sz w:val="22"/>
                <w:szCs w:val="22"/>
                <w:rtl/>
              </w:rPr>
            </w:pPr>
            <w:r w:rsidRPr="00446247">
              <w:rPr>
                <w:rFonts w:hint="cs"/>
                <w:b/>
                <w:bCs/>
                <w:sz w:val="22"/>
                <w:szCs w:val="22"/>
                <w:rtl/>
              </w:rPr>
              <w:t>יס"מ מרכז</w:t>
            </w:r>
          </w:p>
        </w:tc>
        <w:tc>
          <w:tcPr>
            <w:tcW w:w="881" w:type="dxa"/>
            <w:shd w:val="clear" w:color="auto" w:fill="auto"/>
          </w:tcPr>
          <w:p w:rsidR="00C93D64" w:rsidRPr="00446247" w:rsidRDefault="00C93D64" w:rsidP="00446247">
            <w:pPr>
              <w:spacing w:before="60" w:after="0" w:line="240" w:lineRule="auto"/>
              <w:contextualSpacing/>
              <w:jc w:val="center"/>
              <w:rPr>
                <w:b/>
                <w:bCs/>
                <w:sz w:val="22"/>
                <w:szCs w:val="22"/>
                <w:rtl/>
              </w:rPr>
            </w:pPr>
            <w:r w:rsidRPr="00446247">
              <w:rPr>
                <w:rFonts w:hint="cs"/>
                <w:b/>
                <w:bCs/>
                <w:sz w:val="22"/>
                <w:szCs w:val="22"/>
                <w:rtl/>
              </w:rPr>
              <w:t>יס"מ אשדוד</w:t>
            </w:r>
          </w:p>
        </w:tc>
        <w:tc>
          <w:tcPr>
            <w:tcW w:w="818" w:type="dxa"/>
            <w:shd w:val="clear" w:color="auto" w:fill="auto"/>
          </w:tcPr>
          <w:p w:rsidR="00C93D64" w:rsidRPr="00446247" w:rsidRDefault="00C93D64" w:rsidP="00446247">
            <w:pPr>
              <w:spacing w:before="60" w:after="0" w:line="240" w:lineRule="auto"/>
              <w:contextualSpacing/>
              <w:jc w:val="center"/>
              <w:rPr>
                <w:b/>
                <w:bCs/>
                <w:sz w:val="22"/>
                <w:szCs w:val="22"/>
                <w:rtl/>
              </w:rPr>
            </w:pPr>
            <w:r w:rsidRPr="00446247">
              <w:rPr>
                <w:rFonts w:hint="cs"/>
                <w:b/>
                <w:bCs/>
                <w:sz w:val="22"/>
                <w:szCs w:val="22"/>
                <w:rtl/>
              </w:rPr>
              <w:t>יס"מ נתב"ג</w:t>
            </w:r>
          </w:p>
        </w:tc>
        <w:tc>
          <w:tcPr>
            <w:tcW w:w="759" w:type="dxa"/>
            <w:shd w:val="clear" w:color="auto" w:fill="auto"/>
          </w:tcPr>
          <w:p w:rsidR="00C93D64" w:rsidRPr="00446247" w:rsidRDefault="00C93D64" w:rsidP="00446247">
            <w:pPr>
              <w:spacing w:before="60" w:after="0" w:line="240" w:lineRule="auto"/>
              <w:contextualSpacing/>
              <w:jc w:val="center"/>
              <w:rPr>
                <w:b/>
                <w:bCs/>
                <w:sz w:val="22"/>
                <w:szCs w:val="22"/>
                <w:rtl/>
              </w:rPr>
            </w:pPr>
            <w:r w:rsidRPr="00446247">
              <w:rPr>
                <w:rFonts w:hint="cs"/>
                <w:b/>
                <w:bCs/>
                <w:sz w:val="22"/>
                <w:szCs w:val="22"/>
                <w:rtl/>
              </w:rPr>
              <w:t>יס"מ אילת</w:t>
            </w:r>
          </w:p>
        </w:tc>
        <w:tc>
          <w:tcPr>
            <w:tcW w:w="761" w:type="dxa"/>
            <w:shd w:val="clear" w:color="auto" w:fill="auto"/>
          </w:tcPr>
          <w:p w:rsidR="00C93D64" w:rsidRPr="00446247" w:rsidRDefault="00C93D64" w:rsidP="00446247">
            <w:pPr>
              <w:spacing w:before="60" w:after="0" w:line="240" w:lineRule="auto"/>
              <w:contextualSpacing/>
              <w:jc w:val="center"/>
              <w:rPr>
                <w:b/>
                <w:bCs/>
                <w:sz w:val="22"/>
                <w:szCs w:val="22"/>
                <w:rtl/>
              </w:rPr>
            </w:pPr>
            <w:r w:rsidRPr="00446247">
              <w:rPr>
                <w:rFonts w:hint="cs"/>
                <w:b/>
                <w:bCs/>
                <w:sz w:val="22"/>
                <w:szCs w:val="22"/>
                <w:rtl/>
              </w:rPr>
              <w:t>יס"מ חיפה</w:t>
            </w:r>
          </w:p>
        </w:tc>
        <w:tc>
          <w:tcPr>
            <w:tcW w:w="1006" w:type="dxa"/>
            <w:shd w:val="clear" w:color="auto" w:fill="auto"/>
          </w:tcPr>
          <w:p w:rsidR="00C93D64" w:rsidRPr="00446247" w:rsidRDefault="00C93D64" w:rsidP="00446247">
            <w:pPr>
              <w:spacing w:before="60" w:after="0" w:line="240" w:lineRule="auto"/>
              <w:contextualSpacing/>
              <w:jc w:val="center"/>
              <w:rPr>
                <w:b/>
                <w:bCs/>
                <w:sz w:val="22"/>
                <w:szCs w:val="22"/>
                <w:rtl/>
              </w:rPr>
            </w:pPr>
            <w:r w:rsidRPr="00446247">
              <w:rPr>
                <w:rFonts w:hint="cs"/>
                <w:b/>
                <w:bCs/>
                <w:sz w:val="22"/>
                <w:szCs w:val="22"/>
                <w:rtl/>
              </w:rPr>
              <w:t>יס"מ מעברים</w:t>
            </w:r>
          </w:p>
        </w:tc>
        <w:tc>
          <w:tcPr>
            <w:tcW w:w="1052" w:type="dxa"/>
            <w:shd w:val="clear" w:color="auto" w:fill="auto"/>
          </w:tcPr>
          <w:p w:rsidR="00C93D64" w:rsidRPr="00446247" w:rsidRDefault="00C93D64" w:rsidP="00446247">
            <w:pPr>
              <w:spacing w:before="60" w:after="0" w:line="240" w:lineRule="auto"/>
              <w:contextualSpacing/>
              <w:jc w:val="center"/>
              <w:rPr>
                <w:b/>
                <w:bCs/>
                <w:sz w:val="22"/>
                <w:szCs w:val="22"/>
                <w:rtl/>
              </w:rPr>
            </w:pPr>
            <w:r w:rsidRPr="00446247">
              <w:rPr>
                <w:rFonts w:hint="cs"/>
                <w:b/>
                <w:bCs/>
                <w:sz w:val="22"/>
                <w:szCs w:val="22"/>
                <w:rtl/>
              </w:rPr>
              <w:t>יס"מ ירושלים</w:t>
            </w:r>
          </w:p>
        </w:tc>
        <w:tc>
          <w:tcPr>
            <w:tcW w:w="810" w:type="dxa"/>
            <w:shd w:val="clear" w:color="auto" w:fill="auto"/>
          </w:tcPr>
          <w:p w:rsidR="00C93D64" w:rsidRPr="00446247" w:rsidRDefault="00C93D64" w:rsidP="00446247">
            <w:pPr>
              <w:spacing w:before="60" w:after="0" w:line="240" w:lineRule="auto"/>
              <w:contextualSpacing/>
              <w:jc w:val="center"/>
              <w:rPr>
                <w:b/>
                <w:bCs/>
                <w:sz w:val="22"/>
                <w:szCs w:val="22"/>
                <w:rtl/>
              </w:rPr>
            </w:pPr>
            <w:r w:rsidRPr="00446247">
              <w:rPr>
                <w:rFonts w:hint="cs"/>
                <w:b/>
                <w:bCs/>
                <w:sz w:val="22"/>
                <w:szCs w:val="22"/>
                <w:rtl/>
              </w:rPr>
              <w:t>סה"כ 2014</w:t>
            </w:r>
          </w:p>
        </w:tc>
        <w:tc>
          <w:tcPr>
            <w:tcW w:w="790" w:type="dxa"/>
            <w:shd w:val="clear" w:color="auto" w:fill="auto"/>
          </w:tcPr>
          <w:p w:rsidR="00C93D64" w:rsidRPr="00446247" w:rsidRDefault="00C93D64" w:rsidP="00446247">
            <w:pPr>
              <w:spacing w:before="60" w:after="0" w:line="240" w:lineRule="auto"/>
              <w:contextualSpacing/>
              <w:jc w:val="center"/>
              <w:rPr>
                <w:b/>
                <w:bCs/>
                <w:sz w:val="22"/>
                <w:szCs w:val="22"/>
                <w:rtl/>
              </w:rPr>
            </w:pPr>
            <w:r w:rsidRPr="00446247">
              <w:rPr>
                <w:rFonts w:hint="cs"/>
                <w:b/>
                <w:bCs/>
                <w:sz w:val="22"/>
                <w:szCs w:val="22"/>
                <w:rtl/>
              </w:rPr>
              <w:t>סה"כ 2013</w:t>
            </w:r>
          </w:p>
        </w:tc>
      </w:tr>
      <w:tr w:rsidR="00446247" w:rsidRPr="00446247" w:rsidTr="001227C7">
        <w:trPr>
          <w:tblCellSpacing w:w="20" w:type="dxa"/>
          <w:jc w:val="center"/>
        </w:trPr>
        <w:tc>
          <w:tcPr>
            <w:tcW w:w="1049" w:type="dxa"/>
            <w:shd w:val="clear" w:color="auto" w:fill="auto"/>
          </w:tcPr>
          <w:p w:rsidR="00C93D64" w:rsidRPr="00446247" w:rsidRDefault="00C93D64" w:rsidP="00446247">
            <w:pPr>
              <w:spacing w:before="60" w:after="0" w:line="240" w:lineRule="auto"/>
              <w:contextualSpacing/>
              <w:rPr>
                <w:sz w:val="22"/>
                <w:szCs w:val="22"/>
                <w:rtl/>
              </w:rPr>
            </w:pPr>
            <w:r w:rsidRPr="00446247">
              <w:rPr>
                <w:rFonts w:hint="cs"/>
                <w:sz w:val="22"/>
                <w:szCs w:val="22"/>
                <w:rtl/>
              </w:rPr>
              <w:t xml:space="preserve">ינואר </w:t>
            </w:r>
          </w:p>
        </w:tc>
        <w:tc>
          <w:tcPr>
            <w:tcW w:w="759"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19</w:t>
            </w:r>
          </w:p>
        </w:tc>
        <w:tc>
          <w:tcPr>
            <w:tcW w:w="881"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818"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94</w:t>
            </w:r>
          </w:p>
        </w:tc>
        <w:tc>
          <w:tcPr>
            <w:tcW w:w="759"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761"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1006"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1052"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81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113</w:t>
            </w:r>
          </w:p>
        </w:tc>
        <w:tc>
          <w:tcPr>
            <w:tcW w:w="79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37</w:t>
            </w:r>
          </w:p>
        </w:tc>
      </w:tr>
      <w:tr w:rsidR="00446247" w:rsidRPr="00446247" w:rsidTr="001227C7">
        <w:trPr>
          <w:tblCellSpacing w:w="20" w:type="dxa"/>
          <w:jc w:val="center"/>
        </w:trPr>
        <w:tc>
          <w:tcPr>
            <w:tcW w:w="1049" w:type="dxa"/>
            <w:shd w:val="clear" w:color="auto" w:fill="auto"/>
          </w:tcPr>
          <w:p w:rsidR="00C93D64" w:rsidRPr="00446247" w:rsidRDefault="00C93D64" w:rsidP="00446247">
            <w:pPr>
              <w:spacing w:before="60" w:after="0" w:line="240" w:lineRule="auto"/>
              <w:contextualSpacing/>
              <w:rPr>
                <w:sz w:val="22"/>
                <w:szCs w:val="22"/>
                <w:rtl/>
              </w:rPr>
            </w:pPr>
            <w:r w:rsidRPr="00446247">
              <w:rPr>
                <w:rFonts w:hint="cs"/>
                <w:sz w:val="22"/>
                <w:szCs w:val="22"/>
                <w:rtl/>
              </w:rPr>
              <w:t xml:space="preserve">פברואר </w:t>
            </w:r>
          </w:p>
        </w:tc>
        <w:tc>
          <w:tcPr>
            <w:tcW w:w="759"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8</w:t>
            </w:r>
          </w:p>
        </w:tc>
        <w:tc>
          <w:tcPr>
            <w:tcW w:w="881"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w:t>
            </w:r>
          </w:p>
        </w:tc>
        <w:tc>
          <w:tcPr>
            <w:tcW w:w="818"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133</w:t>
            </w:r>
          </w:p>
        </w:tc>
        <w:tc>
          <w:tcPr>
            <w:tcW w:w="759"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761"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4</w:t>
            </w:r>
          </w:p>
        </w:tc>
        <w:tc>
          <w:tcPr>
            <w:tcW w:w="1006"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1052"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81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146</w:t>
            </w:r>
          </w:p>
        </w:tc>
        <w:tc>
          <w:tcPr>
            <w:tcW w:w="79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61</w:t>
            </w:r>
          </w:p>
        </w:tc>
      </w:tr>
      <w:tr w:rsidR="00446247" w:rsidRPr="00446247" w:rsidTr="001227C7">
        <w:trPr>
          <w:tblCellSpacing w:w="20" w:type="dxa"/>
          <w:jc w:val="center"/>
        </w:trPr>
        <w:tc>
          <w:tcPr>
            <w:tcW w:w="1049" w:type="dxa"/>
            <w:shd w:val="clear" w:color="auto" w:fill="auto"/>
          </w:tcPr>
          <w:p w:rsidR="00C93D64" w:rsidRPr="00446247" w:rsidRDefault="00C93D64" w:rsidP="00446247">
            <w:pPr>
              <w:spacing w:before="60" w:after="0" w:line="240" w:lineRule="auto"/>
              <w:contextualSpacing/>
              <w:rPr>
                <w:sz w:val="22"/>
                <w:szCs w:val="22"/>
                <w:rtl/>
              </w:rPr>
            </w:pPr>
            <w:r w:rsidRPr="00446247">
              <w:rPr>
                <w:rFonts w:hint="cs"/>
                <w:sz w:val="22"/>
                <w:szCs w:val="22"/>
                <w:rtl/>
              </w:rPr>
              <w:t xml:space="preserve">מרץ </w:t>
            </w:r>
          </w:p>
        </w:tc>
        <w:tc>
          <w:tcPr>
            <w:tcW w:w="759"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7</w:t>
            </w:r>
          </w:p>
        </w:tc>
        <w:tc>
          <w:tcPr>
            <w:tcW w:w="881"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818"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140</w:t>
            </w:r>
          </w:p>
        </w:tc>
        <w:tc>
          <w:tcPr>
            <w:tcW w:w="759"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761"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1006"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w:t>
            </w:r>
          </w:p>
        </w:tc>
        <w:tc>
          <w:tcPr>
            <w:tcW w:w="1052"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81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148</w:t>
            </w:r>
          </w:p>
        </w:tc>
        <w:tc>
          <w:tcPr>
            <w:tcW w:w="79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72</w:t>
            </w:r>
          </w:p>
        </w:tc>
      </w:tr>
      <w:tr w:rsidR="00446247" w:rsidRPr="00446247" w:rsidTr="001227C7">
        <w:trPr>
          <w:tblCellSpacing w:w="20" w:type="dxa"/>
          <w:jc w:val="center"/>
        </w:trPr>
        <w:tc>
          <w:tcPr>
            <w:tcW w:w="1049" w:type="dxa"/>
            <w:shd w:val="clear" w:color="auto" w:fill="auto"/>
          </w:tcPr>
          <w:p w:rsidR="00C93D64" w:rsidRPr="00446247" w:rsidRDefault="00C93D64" w:rsidP="00446247">
            <w:pPr>
              <w:spacing w:before="60" w:after="0" w:line="240" w:lineRule="auto"/>
              <w:contextualSpacing/>
              <w:rPr>
                <w:sz w:val="22"/>
                <w:szCs w:val="22"/>
                <w:rtl/>
              </w:rPr>
            </w:pPr>
            <w:r w:rsidRPr="00446247">
              <w:rPr>
                <w:rFonts w:hint="cs"/>
                <w:sz w:val="22"/>
                <w:szCs w:val="22"/>
                <w:rtl/>
              </w:rPr>
              <w:t xml:space="preserve">אפריל </w:t>
            </w:r>
          </w:p>
        </w:tc>
        <w:tc>
          <w:tcPr>
            <w:tcW w:w="759"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5</w:t>
            </w:r>
          </w:p>
        </w:tc>
        <w:tc>
          <w:tcPr>
            <w:tcW w:w="881"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818"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98</w:t>
            </w:r>
          </w:p>
        </w:tc>
        <w:tc>
          <w:tcPr>
            <w:tcW w:w="759"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761"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2</w:t>
            </w:r>
          </w:p>
        </w:tc>
        <w:tc>
          <w:tcPr>
            <w:tcW w:w="1006"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w:t>
            </w:r>
          </w:p>
        </w:tc>
        <w:tc>
          <w:tcPr>
            <w:tcW w:w="1052"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81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106</w:t>
            </w:r>
          </w:p>
        </w:tc>
        <w:tc>
          <w:tcPr>
            <w:tcW w:w="79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127</w:t>
            </w:r>
          </w:p>
        </w:tc>
      </w:tr>
      <w:tr w:rsidR="00446247" w:rsidRPr="00446247" w:rsidTr="001227C7">
        <w:trPr>
          <w:tblCellSpacing w:w="20" w:type="dxa"/>
          <w:jc w:val="center"/>
        </w:trPr>
        <w:tc>
          <w:tcPr>
            <w:tcW w:w="1049" w:type="dxa"/>
            <w:shd w:val="clear" w:color="auto" w:fill="auto"/>
          </w:tcPr>
          <w:p w:rsidR="00C93D64" w:rsidRPr="00446247" w:rsidRDefault="00C93D64" w:rsidP="00446247">
            <w:pPr>
              <w:spacing w:before="60" w:after="0" w:line="240" w:lineRule="auto"/>
              <w:contextualSpacing/>
              <w:rPr>
                <w:sz w:val="22"/>
                <w:szCs w:val="22"/>
                <w:rtl/>
              </w:rPr>
            </w:pPr>
            <w:r w:rsidRPr="00446247">
              <w:rPr>
                <w:rFonts w:hint="cs"/>
                <w:sz w:val="22"/>
                <w:szCs w:val="22"/>
                <w:rtl/>
              </w:rPr>
              <w:t xml:space="preserve">מאי </w:t>
            </w:r>
          </w:p>
        </w:tc>
        <w:tc>
          <w:tcPr>
            <w:tcW w:w="759"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17</w:t>
            </w:r>
          </w:p>
        </w:tc>
        <w:tc>
          <w:tcPr>
            <w:tcW w:w="881"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818"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15</w:t>
            </w:r>
          </w:p>
        </w:tc>
        <w:tc>
          <w:tcPr>
            <w:tcW w:w="759"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761"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3</w:t>
            </w:r>
          </w:p>
        </w:tc>
        <w:tc>
          <w:tcPr>
            <w:tcW w:w="1006"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1052"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81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35</w:t>
            </w:r>
          </w:p>
        </w:tc>
        <w:tc>
          <w:tcPr>
            <w:tcW w:w="79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217</w:t>
            </w:r>
          </w:p>
        </w:tc>
      </w:tr>
      <w:tr w:rsidR="00446247" w:rsidRPr="00446247" w:rsidTr="001227C7">
        <w:trPr>
          <w:tblCellSpacing w:w="20" w:type="dxa"/>
          <w:jc w:val="center"/>
        </w:trPr>
        <w:tc>
          <w:tcPr>
            <w:tcW w:w="1049" w:type="dxa"/>
            <w:shd w:val="clear" w:color="auto" w:fill="auto"/>
          </w:tcPr>
          <w:p w:rsidR="00C93D64" w:rsidRPr="00446247" w:rsidRDefault="00C93D64" w:rsidP="00446247">
            <w:pPr>
              <w:spacing w:before="60" w:after="0" w:line="240" w:lineRule="auto"/>
              <w:contextualSpacing/>
              <w:rPr>
                <w:sz w:val="22"/>
                <w:szCs w:val="22"/>
                <w:rtl/>
              </w:rPr>
            </w:pPr>
            <w:r w:rsidRPr="00446247">
              <w:rPr>
                <w:rFonts w:hint="cs"/>
                <w:sz w:val="22"/>
                <w:szCs w:val="22"/>
                <w:rtl/>
              </w:rPr>
              <w:t>יוני</w:t>
            </w:r>
          </w:p>
        </w:tc>
        <w:tc>
          <w:tcPr>
            <w:tcW w:w="759"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14</w:t>
            </w:r>
          </w:p>
        </w:tc>
        <w:tc>
          <w:tcPr>
            <w:tcW w:w="881"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818"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30</w:t>
            </w:r>
          </w:p>
        </w:tc>
        <w:tc>
          <w:tcPr>
            <w:tcW w:w="759"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w:t>
            </w:r>
          </w:p>
        </w:tc>
        <w:tc>
          <w:tcPr>
            <w:tcW w:w="761"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12</w:t>
            </w:r>
          </w:p>
        </w:tc>
        <w:tc>
          <w:tcPr>
            <w:tcW w:w="1006"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1052"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81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57</w:t>
            </w:r>
          </w:p>
        </w:tc>
        <w:tc>
          <w:tcPr>
            <w:tcW w:w="79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176</w:t>
            </w:r>
          </w:p>
        </w:tc>
      </w:tr>
      <w:tr w:rsidR="00446247" w:rsidRPr="00446247" w:rsidTr="001227C7">
        <w:trPr>
          <w:tblCellSpacing w:w="20" w:type="dxa"/>
          <w:jc w:val="center"/>
        </w:trPr>
        <w:tc>
          <w:tcPr>
            <w:tcW w:w="1049" w:type="dxa"/>
            <w:shd w:val="clear" w:color="auto" w:fill="auto"/>
          </w:tcPr>
          <w:p w:rsidR="00C93D64" w:rsidRPr="00446247" w:rsidRDefault="00C93D64" w:rsidP="00446247">
            <w:pPr>
              <w:spacing w:before="60" w:after="0" w:line="240" w:lineRule="auto"/>
              <w:contextualSpacing/>
              <w:rPr>
                <w:sz w:val="22"/>
                <w:szCs w:val="22"/>
                <w:rtl/>
              </w:rPr>
            </w:pPr>
            <w:r w:rsidRPr="00446247">
              <w:rPr>
                <w:rFonts w:hint="cs"/>
                <w:sz w:val="22"/>
                <w:szCs w:val="22"/>
                <w:rtl/>
              </w:rPr>
              <w:t>יולי</w:t>
            </w:r>
          </w:p>
        </w:tc>
        <w:tc>
          <w:tcPr>
            <w:tcW w:w="759"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26</w:t>
            </w:r>
          </w:p>
        </w:tc>
        <w:tc>
          <w:tcPr>
            <w:tcW w:w="881"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818"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21</w:t>
            </w:r>
          </w:p>
        </w:tc>
        <w:tc>
          <w:tcPr>
            <w:tcW w:w="759"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w:t>
            </w:r>
          </w:p>
        </w:tc>
        <w:tc>
          <w:tcPr>
            <w:tcW w:w="761"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7</w:t>
            </w:r>
          </w:p>
        </w:tc>
        <w:tc>
          <w:tcPr>
            <w:tcW w:w="1006"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1052"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81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55</w:t>
            </w:r>
          </w:p>
        </w:tc>
        <w:tc>
          <w:tcPr>
            <w:tcW w:w="79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148</w:t>
            </w:r>
          </w:p>
        </w:tc>
      </w:tr>
      <w:tr w:rsidR="00446247" w:rsidRPr="00446247" w:rsidTr="001227C7">
        <w:trPr>
          <w:tblCellSpacing w:w="20" w:type="dxa"/>
          <w:jc w:val="center"/>
        </w:trPr>
        <w:tc>
          <w:tcPr>
            <w:tcW w:w="1049" w:type="dxa"/>
            <w:shd w:val="clear" w:color="auto" w:fill="auto"/>
          </w:tcPr>
          <w:p w:rsidR="00C93D64" w:rsidRPr="00446247" w:rsidRDefault="00C93D64" w:rsidP="00446247">
            <w:pPr>
              <w:spacing w:before="60" w:after="0" w:line="240" w:lineRule="auto"/>
              <w:contextualSpacing/>
              <w:rPr>
                <w:sz w:val="22"/>
                <w:szCs w:val="22"/>
                <w:rtl/>
              </w:rPr>
            </w:pPr>
            <w:r w:rsidRPr="00446247">
              <w:rPr>
                <w:rFonts w:hint="cs"/>
                <w:sz w:val="22"/>
                <w:szCs w:val="22"/>
                <w:rtl/>
              </w:rPr>
              <w:t>אוגוסט</w:t>
            </w:r>
          </w:p>
        </w:tc>
        <w:tc>
          <w:tcPr>
            <w:tcW w:w="759"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34</w:t>
            </w:r>
          </w:p>
        </w:tc>
        <w:tc>
          <w:tcPr>
            <w:tcW w:w="881"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818"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86</w:t>
            </w:r>
          </w:p>
        </w:tc>
        <w:tc>
          <w:tcPr>
            <w:tcW w:w="759"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2</w:t>
            </w:r>
          </w:p>
        </w:tc>
        <w:tc>
          <w:tcPr>
            <w:tcW w:w="761"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4</w:t>
            </w:r>
          </w:p>
        </w:tc>
        <w:tc>
          <w:tcPr>
            <w:tcW w:w="1006"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1052"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81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126</w:t>
            </w:r>
          </w:p>
        </w:tc>
        <w:tc>
          <w:tcPr>
            <w:tcW w:w="79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155</w:t>
            </w:r>
          </w:p>
        </w:tc>
      </w:tr>
      <w:tr w:rsidR="00446247" w:rsidRPr="00446247" w:rsidTr="001227C7">
        <w:trPr>
          <w:tblCellSpacing w:w="20" w:type="dxa"/>
          <w:jc w:val="center"/>
        </w:trPr>
        <w:tc>
          <w:tcPr>
            <w:tcW w:w="1049" w:type="dxa"/>
            <w:shd w:val="clear" w:color="auto" w:fill="auto"/>
          </w:tcPr>
          <w:p w:rsidR="00C93D64" w:rsidRPr="00446247" w:rsidRDefault="00C93D64" w:rsidP="00446247">
            <w:pPr>
              <w:spacing w:before="60" w:after="0" w:line="240" w:lineRule="auto"/>
              <w:contextualSpacing/>
              <w:rPr>
                <w:sz w:val="22"/>
                <w:szCs w:val="22"/>
                <w:rtl/>
              </w:rPr>
            </w:pPr>
            <w:r w:rsidRPr="00446247">
              <w:rPr>
                <w:rFonts w:hint="cs"/>
                <w:sz w:val="22"/>
                <w:szCs w:val="22"/>
                <w:rtl/>
              </w:rPr>
              <w:t>ספטמבר</w:t>
            </w:r>
          </w:p>
        </w:tc>
        <w:tc>
          <w:tcPr>
            <w:tcW w:w="759"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19</w:t>
            </w:r>
          </w:p>
        </w:tc>
        <w:tc>
          <w:tcPr>
            <w:tcW w:w="881"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818"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100</w:t>
            </w:r>
          </w:p>
        </w:tc>
        <w:tc>
          <w:tcPr>
            <w:tcW w:w="759"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2</w:t>
            </w:r>
          </w:p>
        </w:tc>
        <w:tc>
          <w:tcPr>
            <w:tcW w:w="761"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9</w:t>
            </w:r>
          </w:p>
        </w:tc>
        <w:tc>
          <w:tcPr>
            <w:tcW w:w="1006"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1052"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w:t>
            </w:r>
          </w:p>
        </w:tc>
        <w:tc>
          <w:tcPr>
            <w:tcW w:w="81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131</w:t>
            </w:r>
          </w:p>
        </w:tc>
        <w:tc>
          <w:tcPr>
            <w:tcW w:w="79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129</w:t>
            </w:r>
          </w:p>
        </w:tc>
      </w:tr>
      <w:tr w:rsidR="00446247" w:rsidRPr="00446247" w:rsidTr="001227C7">
        <w:trPr>
          <w:tblCellSpacing w:w="20" w:type="dxa"/>
          <w:jc w:val="center"/>
        </w:trPr>
        <w:tc>
          <w:tcPr>
            <w:tcW w:w="1049" w:type="dxa"/>
            <w:shd w:val="clear" w:color="auto" w:fill="auto"/>
          </w:tcPr>
          <w:p w:rsidR="00C93D64" w:rsidRPr="00446247" w:rsidRDefault="00C93D64" w:rsidP="00446247">
            <w:pPr>
              <w:spacing w:before="60" w:after="0" w:line="240" w:lineRule="auto"/>
              <w:contextualSpacing/>
              <w:rPr>
                <w:sz w:val="22"/>
                <w:szCs w:val="22"/>
                <w:rtl/>
              </w:rPr>
            </w:pPr>
            <w:r w:rsidRPr="00446247">
              <w:rPr>
                <w:rFonts w:hint="cs"/>
                <w:sz w:val="22"/>
                <w:szCs w:val="22"/>
                <w:rtl/>
              </w:rPr>
              <w:t>אוקטובר</w:t>
            </w:r>
          </w:p>
        </w:tc>
        <w:tc>
          <w:tcPr>
            <w:tcW w:w="759"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12</w:t>
            </w:r>
          </w:p>
        </w:tc>
        <w:tc>
          <w:tcPr>
            <w:tcW w:w="881"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2</w:t>
            </w:r>
          </w:p>
        </w:tc>
        <w:tc>
          <w:tcPr>
            <w:tcW w:w="818"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92</w:t>
            </w:r>
          </w:p>
        </w:tc>
        <w:tc>
          <w:tcPr>
            <w:tcW w:w="759"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761"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3</w:t>
            </w:r>
          </w:p>
        </w:tc>
        <w:tc>
          <w:tcPr>
            <w:tcW w:w="1006"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1052"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81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109</w:t>
            </w:r>
          </w:p>
        </w:tc>
        <w:tc>
          <w:tcPr>
            <w:tcW w:w="79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107</w:t>
            </w:r>
          </w:p>
        </w:tc>
      </w:tr>
      <w:tr w:rsidR="00446247" w:rsidRPr="00446247" w:rsidTr="001227C7">
        <w:trPr>
          <w:tblCellSpacing w:w="20" w:type="dxa"/>
          <w:jc w:val="center"/>
        </w:trPr>
        <w:tc>
          <w:tcPr>
            <w:tcW w:w="1049" w:type="dxa"/>
            <w:shd w:val="clear" w:color="auto" w:fill="auto"/>
          </w:tcPr>
          <w:p w:rsidR="00C93D64" w:rsidRPr="00446247" w:rsidRDefault="00C93D64" w:rsidP="00446247">
            <w:pPr>
              <w:spacing w:before="60" w:after="0" w:line="240" w:lineRule="auto"/>
              <w:contextualSpacing/>
              <w:rPr>
                <w:sz w:val="22"/>
                <w:szCs w:val="22"/>
                <w:rtl/>
              </w:rPr>
            </w:pPr>
            <w:r w:rsidRPr="00446247">
              <w:rPr>
                <w:rFonts w:hint="cs"/>
                <w:sz w:val="22"/>
                <w:szCs w:val="22"/>
                <w:rtl/>
              </w:rPr>
              <w:t>נובמבר</w:t>
            </w:r>
          </w:p>
        </w:tc>
        <w:tc>
          <w:tcPr>
            <w:tcW w:w="759"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16</w:t>
            </w:r>
          </w:p>
        </w:tc>
        <w:tc>
          <w:tcPr>
            <w:tcW w:w="881"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818"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104</w:t>
            </w:r>
          </w:p>
        </w:tc>
        <w:tc>
          <w:tcPr>
            <w:tcW w:w="759"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2</w:t>
            </w:r>
          </w:p>
        </w:tc>
        <w:tc>
          <w:tcPr>
            <w:tcW w:w="761"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5</w:t>
            </w:r>
          </w:p>
        </w:tc>
        <w:tc>
          <w:tcPr>
            <w:tcW w:w="1006"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1052"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81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127</w:t>
            </w:r>
          </w:p>
        </w:tc>
        <w:tc>
          <w:tcPr>
            <w:tcW w:w="79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90</w:t>
            </w:r>
          </w:p>
        </w:tc>
      </w:tr>
      <w:tr w:rsidR="00446247" w:rsidRPr="00446247" w:rsidTr="001227C7">
        <w:trPr>
          <w:tblCellSpacing w:w="20" w:type="dxa"/>
          <w:jc w:val="center"/>
        </w:trPr>
        <w:tc>
          <w:tcPr>
            <w:tcW w:w="1049" w:type="dxa"/>
            <w:shd w:val="clear" w:color="auto" w:fill="auto"/>
          </w:tcPr>
          <w:p w:rsidR="00C93D64" w:rsidRPr="00446247" w:rsidRDefault="00C93D64" w:rsidP="00446247">
            <w:pPr>
              <w:spacing w:before="60" w:after="0" w:line="240" w:lineRule="auto"/>
              <w:contextualSpacing/>
              <w:rPr>
                <w:sz w:val="22"/>
                <w:szCs w:val="22"/>
                <w:rtl/>
              </w:rPr>
            </w:pPr>
            <w:r w:rsidRPr="00446247">
              <w:rPr>
                <w:rFonts w:hint="cs"/>
                <w:sz w:val="22"/>
                <w:szCs w:val="22"/>
                <w:rtl/>
              </w:rPr>
              <w:t>דצמבר</w:t>
            </w:r>
          </w:p>
        </w:tc>
        <w:tc>
          <w:tcPr>
            <w:tcW w:w="759"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24</w:t>
            </w:r>
          </w:p>
        </w:tc>
        <w:tc>
          <w:tcPr>
            <w:tcW w:w="881"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818"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85</w:t>
            </w:r>
          </w:p>
        </w:tc>
        <w:tc>
          <w:tcPr>
            <w:tcW w:w="759"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761"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4</w:t>
            </w:r>
          </w:p>
        </w:tc>
        <w:tc>
          <w:tcPr>
            <w:tcW w:w="1006"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1052" w:type="dxa"/>
            <w:shd w:val="clear" w:color="auto" w:fill="auto"/>
          </w:tcPr>
          <w:p w:rsidR="00C93D64" w:rsidRPr="00446247" w:rsidRDefault="00F95D65" w:rsidP="00446247">
            <w:pPr>
              <w:spacing w:before="60" w:after="0" w:line="240" w:lineRule="auto"/>
              <w:contextualSpacing/>
              <w:jc w:val="center"/>
              <w:rPr>
                <w:sz w:val="22"/>
                <w:szCs w:val="22"/>
                <w:rtl/>
              </w:rPr>
            </w:pPr>
            <w:r>
              <w:rPr>
                <w:rFonts w:hint="cs"/>
                <w:sz w:val="22"/>
                <w:szCs w:val="22"/>
                <w:rtl/>
              </w:rPr>
              <w:t>-</w:t>
            </w:r>
          </w:p>
        </w:tc>
        <w:tc>
          <w:tcPr>
            <w:tcW w:w="81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113</w:t>
            </w:r>
          </w:p>
        </w:tc>
        <w:tc>
          <w:tcPr>
            <w:tcW w:w="790" w:type="dxa"/>
            <w:shd w:val="clear" w:color="auto" w:fill="auto"/>
          </w:tcPr>
          <w:p w:rsidR="00C93D64" w:rsidRPr="00446247" w:rsidRDefault="00C93D64" w:rsidP="00446247">
            <w:pPr>
              <w:spacing w:before="60" w:after="0" w:line="240" w:lineRule="auto"/>
              <w:contextualSpacing/>
              <w:jc w:val="center"/>
              <w:rPr>
                <w:sz w:val="22"/>
                <w:szCs w:val="22"/>
                <w:rtl/>
              </w:rPr>
            </w:pPr>
            <w:r w:rsidRPr="00446247">
              <w:rPr>
                <w:rFonts w:hint="cs"/>
                <w:sz w:val="22"/>
                <w:szCs w:val="22"/>
                <w:rtl/>
              </w:rPr>
              <w:t>78</w:t>
            </w:r>
          </w:p>
        </w:tc>
      </w:tr>
      <w:tr w:rsidR="00446247" w:rsidRPr="00446247" w:rsidTr="001227C7">
        <w:trPr>
          <w:tblCellSpacing w:w="20" w:type="dxa"/>
          <w:jc w:val="center"/>
        </w:trPr>
        <w:tc>
          <w:tcPr>
            <w:tcW w:w="1049" w:type="dxa"/>
            <w:shd w:val="clear" w:color="auto" w:fill="auto"/>
          </w:tcPr>
          <w:p w:rsidR="00C93D64" w:rsidRPr="00446247" w:rsidRDefault="00C93D64" w:rsidP="00446247">
            <w:pPr>
              <w:spacing w:before="60" w:after="0" w:line="240" w:lineRule="auto"/>
              <w:contextualSpacing/>
              <w:rPr>
                <w:b/>
                <w:bCs/>
                <w:sz w:val="22"/>
                <w:szCs w:val="22"/>
                <w:rtl/>
              </w:rPr>
            </w:pPr>
            <w:r w:rsidRPr="00446247">
              <w:rPr>
                <w:rFonts w:hint="cs"/>
                <w:b/>
                <w:bCs/>
                <w:sz w:val="22"/>
                <w:szCs w:val="22"/>
                <w:rtl/>
              </w:rPr>
              <w:t>סה"כ</w:t>
            </w:r>
          </w:p>
        </w:tc>
        <w:tc>
          <w:tcPr>
            <w:tcW w:w="759" w:type="dxa"/>
            <w:shd w:val="clear" w:color="auto" w:fill="auto"/>
          </w:tcPr>
          <w:p w:rsidR="00C93D64" w:rsidRPr="00446247" w:rsidRDefault="00C93D64" w:rsidP="00446247">
            <w:pPr>
              <w:spacing w:before="60" w:after="0" w:line="240" w:lineRule="auto"/>
              <w:contextualSpacing/>
              <w:jc w:val="center"/>
              <w:rPr>
                <w:b/>
                <w:bCs/>
                <w:sz w:val="22"/>
                <w:szCs w:val="22"/>
                <w:rtl/>
              </w:rPr>
            </w:pPr>
            <w:r w:rsidRPr="00446247">
              <w:rPr>
                <w:rFonts w:hint="cs"/>
                <w:b/>
                <w:bCs/>
                <w:sz w:val="22"/>
                <w:szCs w:val="22"/>
                <w:rtl/>
              </w:rPr>
              <w:t>201</w:t>
            </w:r>
          </w:p>
        </w:tc>
        <w:tc>
          <w:tcPr>
            <w:tcW w:w="881" w:type="dxa"/>
            <w:shd w:val="clear" w:color="auto" w:fill="auto"/>
          </w:tcPr>
          <w:p w:rsidR="00C93D64" w:rsidRPr="00446247" w:rsidRDefault="00C93D64" w:rsidP="00446247">
            <w:pPr>
              <w:spacing w:before="60" w:after="0" w:line="240" w:lineRule="auto"/>
              <w:contextualSpacing/>
              <w:jc w:val="center"/>
              <w:rPr>
                <w:b/>
                <w:bCs/>
                <w:sz w:val="22"/>
                <w:szCs w:val="22"/>
                <w:rtl/>
              </w:rPr>
            </w:pPr>
            <w:r w:rsidRPr="00446247">
              <w:rPr>
                <w:rFonts w:hint="cs"/>
                <w:b/>
                <w:bCs/>
                <w:sz w:val="22"/>
                <w:szCs w:val="22"/>
                <w:rtl/>
              </w:rPr>
              <w:t>3</w:t>
            </w:r>
          </w:p>
        </w:tc>
        <w:tc>
          <w:tcPr>
            <w:tcW w:w="818" w:type="dxa"/>
            <w:shd w:val="clear" w:color="auto" w:fill="auto"/>
          </w:tcPr>
          <w:p w:rsidR="00C93D64" w:rsidRPr="00446247" w:rsidRDefault="00C93D64" w:rsidP="00446247">
            <w:pPr>
              <w:spacing w:before="60" w:after="0" w:line="240" w:lineRule="auto"/>
              <w:contextualSpacing/>
              <w:jc w:val="center"/>
              <w:rPr>
                <w:b/>
                <w:bCs/>
                <w:sz w:val="22"/>
                <w:szCs w:val="22"/>
                <w:rtl/>
              </w:rPr>
            </w:pPr>
            <w:r w:rsidRPr="00446247">
              <w:rPr>
                <w:rFonts w:hint="cs"/>
                <w:b/>
                <w:bCs/>
                <w:sz w:val="22"/>
                <w:szCs w:val="22"/>
                <w:rtl/>
              </w:rPr>
              <w:t>998</w:t>
            </w:r>
          </w:p>
        </w:tc>
        <w:tc>
          <w:tcPr>
            <w:tcW w:w="759" w:type="dxa"/>
            <w:shd w:val="clear" w:color="auto" w:fill="auto"/>
          </w:tcPr>
          <w:p w:rsidR="00C93D64" w:rsidRPr="00446247" w:rsidRDefault="00C93D64" w:rsidP="00446247">
            <w:pPr>
              <w:spacing w:before="60" w:after="0" w:line="240" w:lineRule="auto"/>
              <w:contextualSpacing/>
              <w:jc w:val="center"/>
              <w:rPr>
                <w:b/>
                <w:bCs/>
                <w:sz w:val="22"/>
                <w:szCs w:val="22"/>
                <w:rtl/>
              </w:rPr>
            </w:pPr>
            <w:r w:rsidRPr="00446247">
              <w:rPr>
                <w:rFonts w:hint="cs"/>
                <w:b/>
                <w:bCs/>
                <w:sz w:val="22"/>
                <w:szCs w:val="22"/>
                <w:rtl/>
              </w:rPr>
              <w:t>8</w:t>
            </w:r>
          </w:p>
        </w:tc>
        <w:tc>
          <w:tcPr>
            <w:tcW w:w="761" w:type="dxa"/>
            <w:shd w:val="clear" w:color="auto" w:fill="auto"/>
          </w:tcPr>
          <w:p w:rsidR="00C93D64" w:rsidRPr="00446247" w:rsidRDefault="00C93D64" w:rsidP="00446247">
            <w:pPr>
              <w:spacing w:before="60" w:after="0" w:line="240" w:lineRule="auto"/>
              <w:contextualSpacing/>
              <w:jc w:val="center"/>
              <w:rPr>
                <w:b/>
                <w:bCs/>
                <w:sz w:val="22"/>
                <w:szCs w:val="22"/>
                <w:rtl/>
              </w:rPr>
            </w:pPr>
            <w:r w:rsidRPr="00446247">
              <w:rPr>
                <w:rFonts w:hint="cs"/>
                <w:b/>
                <w:bCs/>
                <w:sz w:val="22"/>
                <w:szCs w:val="22"/>
                <w:rtl/>
              </w:rPr>
              <w:t>53</w:t>
            </w:r>
          </w:p>
        </w:tc>
        <w:tc>
          <w:tcPr>
            <w:tcW w:w="1006" w:type="dxa"/>
            <w:shd w:val="clear" w:color="auto" w:fill="auto"/>
          </w:tcPr>
          <w:p w:rsidR="00C93D64" w:rsidRPr="00446247" w:rsidRDefault="00C93D64" w:rsidP="00446247">
            <w:pPr>
              <w:spacing w:before="60" w:after="0" w:line="240" w:lineRule="auto"/>
              <w:contextualSpacing/>
              <w:jc w:val="center"/>
              <w:rPr>
                <w:b/>
                <w:bCs/>
                <w:sz w:val="22"/>
                <w:szCs w:val="22"/>
                <w:rtl/>
              </w:rPr>
            </w:pPr>
            <w:r w:rsidRPr="00446247">
              <w:rPr>
                <w:rFonts w:hint="cs"/>
                <w:b/>
                <w:bCs/>
                <w:sz w:val="22"/>
                <w:szCs w:val="22"/>
                <w:rtl/>
              </w:rPr>
              <w:t>2</w:t>
            </w:r>
          </w:p>
        </w:tc>
        <w:tc>
          <w:tcPr>
            <w:tcW w:w="1052" w:type="dxa"/>
            <w:shd w:val="clear" w:color="auto" w:fill="auto"/>
          </w:tcPr>
          <w:p w:rsidR="00C93D64" w:rsidRPr="00446247" w:rsidRDefault="00C93D64" w:rsidP="00446247">
            <w:pPr>
              <w:spacing w:before="60" w:after="0" w:line="240" w:lineRule="auto"/>
              <w:contextualSpacing/>
              <w:jc w:val="center"/>
              <w:rPr>
                <w:b/>
                <w:bCs/>
                <w:sz w:val="22"/>
                <w:szCs w:val="22"/>
                <w:rtl/>
              </w:rPr>
            </w:pPr>
            <w:r w:rsidRPr="00446247">
              <w:rPr>
                <w:rFonts w:hint="cs"/>
                <w:b/>
                <w:bCs/>
                <w:sz w:val="22"/>
                <w:szCs w:val="22"/>
                <w:rtl/>
              </w:rPr>
              <w:t>1</w:t>
            </w:r>
          </w:p>
        </w:tc>
        <w:tc>
          <w:tcPr>
            <w:tcW w:w="810" w:type="dxa"/>
            <w:shd w:val="clear" w:color="auto" w:fill="auto"/>
          </w:tcPr>
          <w:p w:rsidR="00C93D64" w:rsidRPr="00446247" w:rsidRDefault="00C93D64" w:rsidP="00446247">
            <w:pPr>
              <w:spacing w:before="60" w:after="0" w:line="240" w:lineRule="auto"/>
              <w:contextualSpacing/>
              <w:jc w:val="center"/>
              <w:rPr>
                <w:b/>
                <w:bCs/>
                <w:sz w:val="22"/>
                <w:szCs w:val="22"/>
                <w:rtl/>
              </w:rPr>
            </w:pPr>
            <w:r w:rsidRPr="00446247">
              <w:rPr>
                <w:rFonts w:hint="cs"/>
                <w:b/>
                <w:bCs/>
                <w:sz w:val="22"/>
                <w:szCs w:val="22"/>
                <w:rtl/>
              </w:rPr>
              <w:t>1,266</w:t>
            </w:r>
          </w:p>
        </w:tc>
        <w:tc>
          <w:tcPr>
            <w:tcW w:w="790" w:type="dxa"/>
            <w:shd w:val="clear" w:color="auto" w:fill="auto"/>
          </w:tcPr>
          <w:p w:rsidR="00C93D64" w:rsidRPr="00446247" w:rsidRDefault="00C93D64" w:rsidP="00446247">
            <w:pPr>
              <w:spacing w:before="60" w:after="0" w:line="240" w:lineRule="auto"/>
              <w:contextualSpacing/>
              <w:jc w:val="center"/>
              <w:rPr>
                <w:b/>
                <w:bCs/>
                <w:sz w:val="22"/>
                <w:szCs w:val="22"/>
                <w:rtl/>
              </w:rPr>
            </w:pPr>
            <w:r w:rsidRPr="00446247">
              <w:rPr>
                <w:rFonts w:hint="cs"/>
                <w:b/>
                <w:bCs/>
                <w:sz w:val="22"/>
                <w:szCs w:val="22"/>
                <w:rtl/>
              </w:rPr>
              <w:t>1,397</w:t>
            </w:r>
          </w:p>
        </w:tc>
      </w:tr>
    </w:tbl>
    <w:p w:rsidR="00210359" w:rsidRPr="00BB6388" w:rsidRDefault="00C270DC" w:rsidP="00210359">
      <w:pPr>
        <w:pStyle w:val="2"/>
        <w:rPr>
          <w:rtl/>
        </w:rPr>
      </w:pPr>
      <w:bookmarkStart w:id="302" w:name="_Toc419054684"/>
      <w:bookmarkStart w:id="303" w:name="_Toc419959730"/>
      <w:bookmarkStart w:id="304" w:name="_Toc419963165"/>
      <w:bookmarkStart w:id="305" w:name="_Toc419963301"/>
      <w:bookmarkStart w:id="306" w:name="_Toc421697068"/>
      <w:r w:rsidRPr="00BB6388">
        <w:rPr>
          <w:rFonts w:hint="cs"/>
          <w:rtl/>
        </w:rPr>
        <w:t>משרד הבריאות</w:t>
      </w:r>
      <w:bookmarkEnd w:id="179"/>
      <w:bookmarkEnd w:id="302"/>
      <w:bookmarkEnd w:id="303"/>
      <w:bookmarkEnd w:id="304"/>
      <w:bookmarkEnd w:id="305"/>
      <w:bookmarkEnd w:id="306"/>
    </w:p>
    <w:p w:rsidR="001227C7" w:rsidRDefault="00C270DC" w:rsidP="00202001">
      <w:pPr>
        <w:pStyle w:val="a2"/>
        <w:rPr>
          <w:rtl/>
        </w:rPr>
      </w:pPr>
      <w:r w:rsidRPr="00BB6388">
        <w:rPr>
          <w:rFonts w:hint="cs"/>
          <w:rtl/>
        </w:rPr>
        <w:t xml:space="preserve">משרד הבריאות עוסק </w:t>
      </w:r>
      <w:r w:rsidRPr="00210359">
        <w:rPr>
          <w:rFonts w:hint="cs"/>
          <w:rtl/>
        </w:rPr>
        <w:t>בטיפול רפואי במכורים ו</w:t>
      </w:r>
      <w:r w:rsidR="004339DA">
        <w:rPr>
          <w:rFonts w:hint="cs"/>
          <w:rtl/>
        </w:rPr>
        <w:t>ב</w:t>
      </w:r>
      <w:r w:rsidRPr="00210359">
        <w:rPr>
          <w:rFonts w:hint="cs"/>
          <w:rtl/>
        </w:rPr>
        <w:t>גמילתם הפיזית</w:t>
      </w:r>
      <w:r w:rsidR="008C20D0" w:rsidRPr="00210359">
        <w:rPr>
          <w:rFonts w:hint="cs"/>
          <w:rtl/>
        </w:rPr>
        <w:t xml:space="preserve">, </w:t>
      </w:r>
      <w:r w:rsidR="00BE2B94" w:rsidRPr="00BB6388">
        <w:rPr>
          <w:rFonts w:hint="cs"/>
          <w:rtl/>
        </w:rPr>
        <w:t xml:space="preserve">והוא גם </w:t>
      </w:r>
      <w:r w:rsidR="008C20D0" w:rsidRPr="00210359">
        <w:rPr>
          <w:rFonts w:hint="cs"/>
          <w:rtl/>
        </w:rPr>
        <w:t xml:space="preserve">הרגולטור האמון על </w:t>
      </w:r>
      <w:r w:rsidR="0026329F" w:rsidRPr="00210359">
        <w:rPr>
          <w:rFonts w:hint="cs"/>
          <w:rtl/>
        </w:rPr>
        <w:t>נהלי היבוא, היצוא, הקנייה, ההחזקה, המכירה</w:t>
      </w:r>
      <w:r w:rsidR="00B6137D" w:rsidRPr="00210359">
        <w:rPr>
          <w:rFonts w:hint="cs"/>
          <w:rtl/>
        </w:rPr>
        <w:t>, החלוקה, הביקורת והפיקוח ע</w:t>
      </w:r>
      <w:r w:rsidR="0026329F" w:rsidRPr="00210359">
        <w:rPr>
          <w:rFonts w:hint="cs"/>
          <w:rtl/>
        </w:rPr>
        <w:t>ל סמים מסוכנים</w:t>
      </w:r>
      <w:r w:rsidR="00B6137D" w:rsidRPr="00210359">
        <w:rPr>
          <w:rFonts w:hint="cs"/>
          <w:rtl/>
        </w:rPr>
        <w:t xml:space="preserve">, </w:t>
      </w:r>
      <w:r w:rsidR="008173DD" w:rsidRPr="00210359">
        <w:rPr>
          <w:rFonts w:hint="cs"/>
          <w:rtl/>
        </w:rPr>
        <w:t xml:space="preserve">וכן </w:t>
      </w:r>
      <w:r w:rsidR="004339DA">
        <w:rPr>
          <w:rFonts w:hint="cs"/>
          <w:rtl/>
        </w:rPr>
        <w:t xml:space="preserve">על </w:t>
      </w:r>
      <w:r w:rsidR="008173DD" w:rsidRPr="00210359">
        <w:rPr>
          <w:rFonts w:hint="cs"/>
          <w:rtl/>
        </w:rPr>
        <w:t xml:space="preserve">הסדרת מתן המרשמים להם. </w:t>
      </w:r>
      <w:r w:rsidR="00DD3BBA" w:rsidRPr="00BB6388">
        <w:rPr>
          <w:rFonts w:hint="cs"/>
          <w:rtl/>
        </w:rPr>
        <w:t>יתרה על-כך, הוא גם</w:t>
      </w:r>
      <w:r w:rsidR="00DD3BBA" w:rsidRPr="00210359">
        <w:rPr>
          <w:rFonts w:hint="cs"/>
          <w:rtl/>
        </w:rPr>
        <w:t xml:space="preserve"> </w:t>
      </w:r>
      <w:r w:rsidRPr="00210359">
        <w:rPr>
          <w:rFonts w:hint="cs"/>
          <w:rtl/>
        </w:rPr>
        <w:t>האמון על המלצה לוועדת הע</w:t>
      </w:r>
      <w:r w:rsidR="000D7D22">
        <w:rPr>
          <w:rFonts w:hint="cs"/>
          <w:rtl/>
        </w:rPr>
        <w:t xml:space="preserve">בודה, </w:t>
      </w:r>
      <w:r w:rsidRPr="00210359">
        <w:rPr>
          <w:rFonts w:hint="cs"/>
          <w:rtl/>
        </w:rPr>
        <w:t xml:space="preserve">הרווחה </w:t>
      </w:r>
      <w:r w:rsidR="004339DA">
        <w:rPr>
          <w:rFonts w:hint="cs"/>
          <w:rtl/>
        </w:rPr>
        <w:t xml:space="preserve">והבריאות </w:t>
      </w:r>
      <w:r w:rsidRPr="00210359">
        <w:rPr>
          <w:rFonts w:hint="cs"/>
          <w:rtl/>
        </w:rPr>
        <w:t xml:space="preserve">של הכנסת </w:t>
      </w:r>
      <w:r w:rsidR="008E60D8">
        <w:rPr>
          <w:rFonts w:hint="cs"/>
          <w:rtl/>
        </w:rPr>
        <w:t>בדבר שינוי רשימת</w:t>
      </w:r>
      <w:r w:rsidR="008173DD" w:rsidRPr="00210359">
        <w:rPr>
          <w:rFonts w:hint="cs"/>
          <w:rtl/>
        </w:rPr>
        <w:t xml:space="preserve"> </w:t>
      </w:r>
      <w:r w:rsidR="008E60D8">
        <w:rPr>
          <w:rFonts w:hint="cs"/>
          <w:rtl/>
        </w:rPr>
        <w:t>ה</w:t>
      </w:r>
      <w:r w:rsidR="008173DD" w:rsidRPr="00210359">
        <w:rPr>
          <w:rFonts w:hint="cs"/>
          <w:rtl/>
        </w:rPr>
        <w:t xml:space="preserve">חומרים </w:t>
      </w:r>
      <w:r w:rsidR="008E60D8">
        <w:rPr>
          <w:rFonts w:hint="cs"/>
          <w:rtl/>
        </w:rPr>
        <w:t>המופיעה בתוספת לפקודת הסמים המסוכנים [נוסח חדש], התשל"ז-1973.</w:t>
      </w:r>
      <w:r w:rsidR="008E60D8">
        <w:rPr>
          <w:rStyle w:val="ab"/>
          <w:rtl/>
        </w:rPr>
        <w:footnoteReference w:id="261"/>
      </w:r>
      <w:r w:rsidR="006F507F" w:rsidRPr="00BB6388">
        <w:rPr>
          <w:rFonts w:hint="cs"/>
          <w:rtl/>
        </w:rPr>
        <w:t xml:space="preserve"> </w:t>
      </w:r>
      <w:r w:rsidR="00157281" w:rsidRPr="00BB6388">
        <w:rPr>
          <w:rFonts w:hint="cs"/>
          <w:rtl/>
        </w:rPr>
        <w:t xml:space="preserve">בנוסף, </w:t>
      </w:r>
      <w:r w:rsidR="0084391D" w:rsidRPr="00BB6388">
        <w:rPr>
          <w:rFonts w:hint="cs"/>
          <w:rtl/>
        </w:rPr>
        <w:t xml:space="preserve">בעקבות החלטת הממשלה 3609 מה- 7 באוגוסט 2011, מונה משרד הבריאות </w:t>
      </w:r>
      <w:r w:rsidR="0084391D" w:rsidRPr="00210359">
        <w:rPr>
          <w:rFonts w:hint="cs"/>
          <w:rtl/>
        </w:rPr>
        <w:t>לסוכנות הממשלתית האחראית על תחום הקנביס הרפואי בישראל</w:t>
      </w:r>
      <w:r w:rsidR="0084391D" w:rsidRPr="00BB6388">
        <w:rPr>
          <w:rFonts w:hint="cs"/>
          <w:rtl/>
        </w:rPr>
        <w:t>.</w:t>
      </w:r>
      <w:r w:rsidR="004F4787" w:rsidRPr="00BB6388">
        <w:rPr>
          <w:rStyle w:val="ab"/>
          <w:rtl/>
        </w:rPr>
        <w:footnoteReference w:id="262"/>
      </w:r>
      <w:r w:rsidR="0084391D" w:rsidRPr="00BB6388">
        <w:rPr>
          <w:rFonts w:hint="cs"/>
          <w:rtl/>
        </w:rPr>
        <w:t xml:space="preserve"> יחידת הקנביס הרפואי (להלן </w:t>
      </w:r>
      <w:r w:rsidR="0084391D" w:rsidRPr="00BB6388">
        <w:rPr>
          <w:rtl/>
        </w:rPr>
        <w:t>–</w:t>
      </w:r>
      <w:r w:rsidR="0084391D" w:rsidRPr="00BB6388">
        <w:rPr>
          <w:rFonts w:hint="cs"/>
          <w:rtl/>
        </w:rPr>
        <w:t xml:space="preserve"> יק"ר) </w:t>
      </w:r>
      <w:r w:rsidR="004F4787" w:rsidRPr="00BB6388">
        <w:rPr>
          <w:rFonts w:hint="cs"/>
          <w:rtl/>
        </w:rPr>
        <w:t xml:space="preserve">במשרד הבריאות </w:t>
      </w:r>
      <w:r w:rsidR="0084391D" w:rsidRPr="00BB6388">
        <w:rPr>
          <w:rFonts w:hint="cs"/>
          <w:rtl/>
        </w:rPr>
        <w:t>הוקמה ב- 2013 ופעילותה נסקרת כאן גם היא</w:t>
      </w:r>
      <w:r w:rsidRPr="00BB6388">
        <w:rPr>
          <w:rFonts w:hint="cs"/>
          <w:rtl/>
        </w:rPr>
        <w:t>.</w:t>
      </w:r>
      <w:bookmarkStart w:id="307" w:name="_Toc418585113"/>
      <w:bookmarkStart w:id="308" w:name="_Toc419054686"/>
      <w:bookmarkStart w:id="309" w:name="_Toc419959731"/>
      <w:bookmarkStart w:id="310" w:name="_Toc419963166"/>
      <w:bookmarkStart w:id="311" w:name="_Toc419963302"/>
      <w:bookmarkStart w:id="312" w:name="_Toc418585107"/>
      <w:bookmarkStart w:id="313" w:name="_Toc419054685"/>
    </w:p>
    <w:p w:rsidR="006A45E4" w:rsidRPr="00BB6388" w:rsidRDefault="006C467B" w:rsidP="006A45E4">
      <w:pPr>
        <w:pStyle w:val="3"/>
        <w:rPr>
          <w:rtl/>
        </w:rPr>
      </w:pPr>
      <w:bookmarkStart w:id="314" w:name="_Toc421697069"/>
      <w:r w:rsidRPr="00BB6388">
        <w:rPr>
          <w:rFonts w:hint="cs"/>
          <w:rtl/>
        </w:rPr>
        <w:t>המחלקה לטיפול בהתמכרויות</w:t>
      </w:r>
      <w:bookmarkEnd w:id="307"/>
      <w:bookmarkEnd w:id="308"/>
      <w:bookmarkEnd w:id="309"/>
      <w:bookmarkEnd w:id="310"/>
      <w:bookmarkEnd w:id="311"/>
      <w:bookmarkEnd w:id="314"/>
    </w:p>
    <w:p w:rsidR="006C467B" w:rsidRPr="00BB6388" w:rsidRDefault="0055610A" w:rsidP="0055610A">
      <w:pPr>
        <w:pStyle w:val="a2"/>
        <w:rPr>
          <w:rtl/>
        </w:rPr>
      </w:pPr>
      <w:r>
        <w:rPr>
          <w:rFonts w:hint="cs"/>
          <w:b/>
          <w:bCs/>
          <w:rtl/>
        </w:rPr>
        <w:t>ה</w:t>
      </w:r>
      <w:r w:rsidR="006C467B" w:rsidRPr="006A45E4">
        <w:rPr>
          <w:rFonts w:hint="cs"/>
          <w:b/>
          <w:bCs/>
          <w:rtl/>
        </w:rPr>
        <w:t>טיפול הרפואי במכורים וגמילתם הפיזית</w:t>
      </w:r>
      <w:r>
        <w:rPr>
          <w:rFonts w:hint="cs"/>
          <w:b/>
          <w:bCs/>
          <w:rtl/>
        </w:rPr>
        <w:t xml:space="preserve"> מוגדרים בישראל כחלק </w:t>
      </w:r>
      <w:r w:rsidR="006C467B" w:rsidRPr="006A45E4">
        <w:rPr>
          <w:rFonts w:hint="cs"/>
          <w:b/>
          <w:bCs/>
          <w:rtl/>
        </w:rPr>
        <w:t>ממערך שירותי בריאות הנפש</w:t>
      </w:r>
      <w:r>
        <w:rPr>
          <w:rFonts w:hint="cs"/>
          <w:b/>
          <w:bCs/>
          <w:rtl/>
        </w:rPr>
        <w:t xml:space="preserve"> של משרד הבריאות</w:t>
      </w:r>
      <w:r w:rsidR="006C467B" w:rsidRPr="00BB6388">
        <w:rPr>
          <w:rFonts w:hint="cs"/>
          <w:rtl/>
        </w:rPr>
        <w:t>. חוק ביטוח בריאות ממלכתי, התשנ"ד-1994,</w:t>
      </w:r>
      <w:r w:rsidR="006C467B" w:rsidRPr="00BB6388">
        <w:rPr>
          <w:rStyle w:val="ab"/>
          <w:rtl/>
        </w:rPr>
        <w:footnoteReference w:id="263"/>
      </w:r>
      <w:r w:rsidR="006C467B" w:rsidRPr="00BB6388">
        <w:rPr>
          <w:rFonts w:hint="cs"/>
          <w:rtl/>
        </w:rPr>
        <w:t xml:space="preserve"> הותיר את האחריות לשירותי בריאות הנפש בישראל בידי משרד הבריאות, כך ששירותים אלו לא נכללו בסל שירותי הבריאות שקופות החולים מחויבות לספק למבוטחיהן. מצב זה עתיד להשתנות: במסגרת הרפורמה בבריאות הנפש, שהיא חלק ממהלך הרפורמה הנרחב יותר אותו עוברים שירותי הבריאות בישראל בעשור האחרון, אמורים להיות מועברים החל מה- 1 ביולי 2015 שירותי האשפוז והשירותים האמבולטוריים בתחום בריאות הנפש לאחריות קופות החולים. עם זאת, מספר שירותים ובכללם</w:t>
      </w:r>
      <w:r w:rsidR="006C467B" w:rsidRPr="006A45E4">
        <w:rPr>
          <w:rFonts w:hint="cs"/>
          <w:b/>
          <w:bCs/>
          <w:rtl/>
        </w:rPr>
        <w:t xml:space="preserve"> סל שירותי בריאות הנפש </w:t>
      </w:r>
      <w:r w:rsidR="006C467B" w:rsidRPr="006A45E4">
        <w:rPr>
          <w:rFonts w:hint="cs"/>
          <w:b/>
          <w:bCs/>
          <w:u w:val="single"/>
          <w:rtl/>
        </w:rPr>
        <w:t>לגמילה</w:t>
      </w:r>
      <w:r w:rsidR="006C467B" w:rsidRPr="006A45E4">
        <w:rPr>
          <w:rFonts w:hint="cs"/>
          <w:b/>
          <w:bCs/>
          <w:rtl/>
        </w:rPr>
        <w:t xml:space="preserve"> (הכולל שירותי אשפוז שירותים אמבולטוריים ושירותי גמילה ביתית) יישארו באחריות משרד הבריאות.</w:t>
      </w:r>
      <w:r w:rsidR="006C467B" w:rsidRPr="00BB6388">
        <w:rPr>
          <w:rStyle w:val="ab"/>
          <w:rtl/>
        </w:rPr>
        <w:footnoteReference w:id="264"/>
      </w:r>
      <w:r w:rsidR="006C467B" w:rsidRPr="006A45E4">
        <w:rPr>
          <w:rFonts w:hint="cs"/>
          <w:b/>
          <w:bCs/>
          <w:rtl/>
        </w:rPr>
        <w:t xml:space="preserve"> </w:t>
      </w:r>
      <w:r w:rsidR="006C467B" w:rsidRPr="00BB6388">
        <w:rPr>
          <w:rFonts w:hint="cs"/>
          <w:rtl/>
        </w:rPr>
        <w:t>ההסבר שניתן באפריל 2014 על-ידי משרד הבריאות להחלטה להותיר את שירותי הגמילה הפיזית והטיפול האחזקתי בידיה ולא להעבירם לקופות הוא כי "בנקודת זמן זו, המשרד סבור שהעברת תחום זה לקופות, תעמיס עליהן משימה נוספת שאליה, בשלב זה, הן אינן ערוכות. ... בראייתו של ראש שירותי בריאות הנפש, בתוך חמש עד עשר שנים נכון יהיה לשקול את העברת תחום ההתמכרות לאחריות הקופות".</w:t>
      </w:r>
      <w:r w:rsidR="006C467B" w:rsidRPr="00BB6388">
        <w:rPr>
          <w:rStyle w:val="ab"/>
          <w:rtl/>
        </w:rPr>
        <w:footnoteReference w:id="265"/>
      </w:r>
    </w:p>
    <w:p w:rsidR="006C467B" w:rsidRPr="00BB6388" w:rsidRDefault="006C467B" w:rsidP="0019765A">
      <w:pPr>
        <w:spacing w:line="360" w:lineRule="auto"/>
        <w:rPr>
          <w:rtl/>
        </w:rPr>
      </w:pPr>
      <w:r w:rsidRPr="00BB6388">
        <w:rPr>
          <w:rFonts w:hint="cs"/>
          <w:rtl/>
        </w:rPr>
        <w:t>יצויין כי</w:t>
      </w:r>
      <w:r w:rsidRPr="00BB6388">
        <w:rPr>
          <w:rFonts w:hint="cs"/>
          <w:b/>
          <w:bCs/>
          <w:rtl/>
        </w:rPr>
        <w:t xml:space="preserve"> </w:t>
      </w:r>
      <w:r w:rsidRPr="00BB6388">
        <w:rPr>
          <w:rFonts w:hint="cs"/>
          <w:rtl/>
        </w:rPr>
        <w:t>חלוקה זו, במסגרתה שירותי הטיפול בבריאות הנפש יועברו לאחריות קופות אך שירותי הטיפול בגמילה יוותרו בידי משרד הבריאות, מעלה שאלות בנוגע להתמודדות מערכת הב</w:t>
      </w:r>
      <w:r w:rsidR="003B6C9E">
        <w:rPr>
          <w:rFonts w:hint="cs"/>
          <w:rtl/>
        </w:rPr>
        <w:t>ריאות עם מקרים של תחלואה כפולה,</w:t>
      </w:r>
      <w:r w:rsidRPr="00BB6388">
        <w:rPr>
          <w:rFonts w:hint="cs"/>
          <w:rtl/>
        </w:rPr>
        <w:t xml:space="preserve"> במסגרתה  </w:t>
      </w:r>
      <w:r w:rsidR="0019765A">
        <w:rPr>
          <w:rFonts w:hint="cs"/>
          <w:rtl/>
        </w:rPr>
        <w:t xml:space="preserve">סובלים החולים </w:t>
      </w:r>
      <w:r w:rsidRPr="00BB6388">
        <w:rPr>
          <w:rFonts w:hint="cs"/>
          <w:rtl/>
        </w:rPr>
        <w:t>הן מהתמכרות והן ממחלת נפש.</w:t>
      </w:r>
      <w:r w:rsidRPr="00BB6388">
        <w:rPr>
          <w:rStyle w:val="ab"/>
          <w:rtl/>
        </w:rPr>
        <w:footnoteReference w:id="266"/>
      </w:r>
    </w:p>
    <w:p w:rsidR="006C467B" w:rsidRPr="00BB6388" w:rsidRDefault="006C467B" w:rsidP="00BB6388">
      <w:pPr>
        <w:pStyle w:val="4"/>
        <w:rPr>
          <w:rtl/>
        </w:rPr>
      </w:pPr>
      <w:bookmarkStart w:id="315" w:name="_Toc418585114"/>
      <w:bookmarkStart w:id="316" w:name="_Toc419963167"/>
      <w:r w:rsidRPr="00BB6388">
        <w:rPr>
          <w:rFonts w:hint="cs"/>
          <w:rtl/>
        </w:rPr>
        <w:t>טיפול בהתמכרות</w:t>
      </w:r>
      <w:bookmarkEnd w:id="315"/>
      <w:bookmarkEnd w:id="316"/>
    </w:p>
    <w:p w:rsidR="006C467B" w:rsidRPr="00BB6388" w:rsidRDefault="006C467B" w:rsidP="00BB6388">
      <w:pPr>
        <w:pStyle w:val="a2"/>
        <w:spacing w:line="360" w:lineRule="auto"/>
        <w:rPr>
          <w:rtl/>
        </w:rPr>
      </w:pPr>
      <w:r w:rsidRPr="00BB6388">
        <w:rPr>
          <w:rFonts w:hint="cs"/>
          <w:rtl/>
        </w:rPr>
        <w:t xml:space="preserve">במדינת ישראל הטיפול במכורים לסמים קשים מיועד בעיקר למכורים לאופיאטים, קרי הרואין, ונעשה בשני מסלולים: </w:t>
      </w:r>
    </w:p>
    <w:p w:rsidR="006C467B" w:rsidRPr="00BB6388" w:rsidRDefault="006C467B" w:rsidP="00BB6388">
      <w:pPr>
        <w:spacing w:line="360" w:lineRule="auto"/>
      </w:pPr>
      <w:r w:rsidRPr="00BB6388">
        <w:rPr>
          <w:rFonts w:hint="cs"/>
          <w:b/>
          <w:bCs/>
          <w:rtl/>
        </w:rPr>
        <w:t>גמילה מלאה ללא תרופות:</w:t>
      </w:r>
      <w:r w:rsidRPr="00BB6388">
        <w:rPr>
          <w:rFonts w:hint="cs"/>
          <w:rtl/>
        </w:rPr>
        <w:t xml:space="preserve"> מסלול גמילה למכור לסמים המעוניין להיגמל באופן מוחלט משימוש בחומרים אלה. המסלול כולל תהליך של גמילה פיזית בפיקוח רפואי וטיפול פסיכוסוציאלי. </w:t>
      </w:r>
    </w:p>
    <w:p w:rsidR="006C467B" w:rsidRPr="00BB6388" w:rsidRDefault="006C467B" w:rsidP="00AD0C14">
      <w:pPr>
        <w:spacing w:line="360" w:lineRule="auto"/>
      </w:pPr>
      <w:r w:rsidRPr="00BB6388">
        <w:rPr>
          <w:rFonts w:hint="cs"/>
          <w:b/>
          <w:bCs/>
          <w:rtl/>
        </w:rPr>
        <w:t>טיפול תרופתי אחזקתי ממושך:</w:t>
      </w:r>
      <w:r w:rsidRPr="00BB6388">
        <w:rPr>
          <w:rFonts w:hint="cs"/>
          <w:rtl/>
        </w:rPr>
        <w:t xml:space="preserve"> אוכלוסיית היעד היא מכורים שלא נגמלו בטיפולים קודמים במסלול הגמילה המלאה וחזרו להשתמש בסמים. לאוכלוסייה זו ניתן טיפול תרופתי אחזקתי ממושך באמצעות תחליף סם, סם נרקוטי מלאכותי בעל השפעה ממושכת, החוסם השפעות של סמים אחרים. השילוב של הטיפול התרופתי והפסיכוסוציאלי מיועד להביא להפסקה מוחלטת של השימוש באופיאטים ובסמי רחוב אחרים, לסייע בייצוב המטופל ולהביאו לתפקוד נורמטיבי בסיסי. </w:t>
      </w:r>
      <w:r w:rsidR="00AD0C14">
        <w:rPr>
          <w:rFonts w:hint="cs"/>
          <w:rtl/>
        </w:rPr>
        <w:t xml:space="preserve">בשנת 2013 הטיפול שניתן היה באמצעות </w:t>
      </w:r>
      <w:r w:rsidRPr="00BB6388">
        <w:rPr>
          <w:rFonts w:hint="cs"/>
          <w:rtl/>
        </w:rPr>
        <w:t>מתדון (נוזל לבליעה)</w:t>
      </w:r>
      <w:r w:rsidR="00AD0C14">
        <w:rPr>
          <w:rFonts w:hint="cs"/>
          <w:rtl/>
        </w:rPr>
        <w:t xml:space="preserve">, </w:t>
      </w:r>
      <w:r w:rsidRPr="00BB6388">
        <w:rPr>
          <w:rFonts w:hint="cs"/>
          <w:rtl/>
        </w:rPr>
        <w:t>סובוטקס (טבליה למציצה מתחת ללשון)</w:t>
      </w:r>
      <w:r w:rsidR="00AD0C14">
        <w:rPr>
          <w:rFonts w:hint="cs"/>
          <w:rtl/>
        </w:rPr>
        <w:t xml:space="preserve">, או </w:t>
      </w:r>
      <w:r w:rsidRPr="00BB6388">
        <w:rPr>
          <w:rFonts w:hint="cs"/>
          <w:rtl/>
        </w:rPr>
        <w:t>תחליף סם נוסף בשם סובקסון.</w:t>
      </w:r>
      <w:r w:rsidRPr="00BB6388">
        <w:rPr>
          <w:rStyle w:val="ab"/>
          <w:rtl/>
        </w:rPr>
        <w:footnoteReference w:id="267"/>
      </w:r>
    </w:p>
    <w:p w:rsidR="006C467B" w:rsidRPr="00BB6388" w:rsidRDefault="000D7D22" w:rsidP="0019765A">
      <w:pPr>
        <w:spacing w:line="360" w:lineRule="auto"/>
        <w:rPr>
          <w:rtl/>
        </w:rPr>
      </w:pPr>
      <w:r w:rsidRPr="0065686F">
        <w:rPr>
          <w:rFonts w:hint="cs"/>
          <w:rtl/>
        </w:rPr>
        <w:t>יצויין כי</w:t>
      </w:r>
      <w:r w:rsidRPr="0065686F">
        <w:rPr>
          <w:rFonts w:hint="cs"/>
          <w:b/>
          <w:bCs/>
          <w:rtl/>
        </w:rPr>
        <w:t xml:space="preserve"> אין</w:t>
      </w:r>
      <w:r w:rsidR="006C467B" w:rsidRPr="0065686F">
        <w:rPr>
          <w:rFonts w:hint="cs"/>
          <w:b/>
          <w:bCs/>
          <w:rtl/>
        </w:rPr>
        <w:t xml:space="preserve"> טיפול תרופתי</w:t>
      </w:r>
      <w:r w:rsidR="006C467B" w:rsidRPr="00FF510F">
        <w:rPr>
          <w:rFonts w:hint="cs"/>
          <w:b/>
          <w:bCs/>
          <w:rtl/>
        </w:rPr>
        <w:t xml:space="preserve"> ממושך לנפגעי אלכוהול</w:t>
      </w:r>
      <w:r w:rsidR="006C467B" w:rsidRPr="00BB6388">
        <w:rPr>
          <w:rFonts w:hint="cs"/>
          <w:rtl/>
        </w:rPr>
        <w:t xml:space="preserve">. </w:t>
      </w:r>
    </w:p>
    <w:p w:rsidR="006C467B" w:rsidRPr="00BB6388" w:rsidRDefault="006C467B" w:rsidP="000D7D22">
      <w:pPr>
        <w:spacing w:line="360" w:lineRule="auto"/>
      </w:pPr>
      <w:r w:rsidRPr="00BB6388">
        <w:rPr>
          <w:rFonts w:hint="cs"/>
          <w:rtl/>
        </w:rPr>
        <w:t xml:space="preserve">הגוף במשרד הבריאות הממונה על מתן </w:t>
      </w:r>
      <w:r w:rsidRPr="00BB6388">
        <w:rPr>
          <w:rFonts w:hint="cs"/>
          <w:b/>
          <w:bCs/>
          <w:rtl/>
        </w:rPr>
        <w:t>טיפול רפואי</w:t>
      </w:r>
      <w:r w:rsidRPr="00BB6388">
        <w:rPr>
          <w:rFonts w:hint="cs"/>
          <w:rtl/>
        </w:rPr>
        <w:t xml:space="preserve"> לאנשים הסובלים מהתמכרות גופנית ונפשית</w:t>
      </w:r>
      <w:r w:rsidRPr="00BB6388">
        <w:rPr>
          <w:rFonts w:hint="cs"/>
          <w:b/>
          <w:bCs/>
          <w:rtl/>
        </w:rPr>
        <w:t xml:space="preserve"> הוא המחלקה לטיפול בהתמכרויות באגף לבריאות הנפש של משרד הבריאות</w:t>
      </w:r>
      <w:r w:rsidRPr="00BB6388">
        <w:rPr>
          <w:rFonts w:hint="cs"/>
          <w:rtl/>
        </w:rPr>
        <w:t>, ובכלל זה התמכרות לסמים, אלכוהול, חומרים פסיאכואקטיביים אחרים וכן התנהגויות ממכרות אחרות.</w:t>
      </w:r>
      <w:r w:rsidRPr="00BB6388">
        <w:rPr>
          <w:rStyle w:val="ab"/>
          <w:rtl/>
        </w:rPr>
        <w:footnoteReference w:id="268"/>
      </w:r>
      <w:r w:rsidRPr="00BB6388">
        <w:rPr>
          <w:rFonts w:hint="cs"/>
          <w:rtl/>
        </w:rPr>
        <w:t xml:space="preserve"> תפקידיה של המחלקה לטיפול בהתמכרויות הם, בין השאר:</w:t>
      </w:r>
      <w:r w:rsidRPr="00BB6388">
        <w:rPr>
          <w:rStyle w:val="ab"/>
          <w:rtl/>
        </w:rPr>
        <w:footnoteReference w:id="269"/>
      </w:r>
      <w:r w:rsidRPr="00BB6388">
        <w:rPr>
          <w:rFonts w:hint="cs"/>
          <w:rtl/>
        </w:rPr>
        <w:t xml:space="preserve"> קביעת מדיניות בתחום הטיפול בהתמכרויות, והצגתה בפני הכנסת והממשלה ; יצירת קווים מנחים מקצועיים ואדמיניסטרטיביים, כמו-גם קידום והכשרה, של אנשי מקצוע הפועלים במסגרות בפיקוח המחלקה; רישוי מוסדות לטיפול בנפגעי סמים ואלכוהול</w:t>
      </w:r>
      <w:r w:rsidR="00C0178F" w:rsidRPr="00BB6388">
        <w:rPr>
          <w:rFonts w:hint="cs"/>
          <w:rtl/>
        </w:rPr>
        <w:t xml:space="preserve"> (להלן)</w:t>
      </w:r>
      <w:r w:rsidRPr="00BB6388">
        <w:rPr>
          <w:rFonts w:hint="cs"/>
          <w:rtl/>
        </w:rPr>
        <w:t>; ופיקוח מקצועי ובקרה על מוסדות לטיפול בנפגעי סמים;</w:t>
      </w:r>
    </w:p>
    <w:p w:rsidR="006C467B" w:rsidRPr="00BB6388" w:rsidRDefault="006C467B" w:rsidP="00BB6388">
      <w:pPr>
        <w:pStyle w:val="a2"/>
        <w:spacing w:line="360" w:lineRule="auto"/>
        <w:rPr>
          <w:rtl/>
        </w:rPr>
      </w:pPr>
      <w:r w:rsidRPr="00BB6388">
        <w:rPr>
          <w:rFonts w:hint="cs"/>
          <w:b/>
          <w:bCs/>
          <w:rtl/>
        </w:rPr>
        <w:t>על-פי חוק הפיקוח על מוסדות למשתמשים בסמים, התשנ"ג-1993,</w:t>
      </w:r>
      <w:r w:rsidRPr="00610021">
        <w:rPr>
          <w:rStyle w:val="ab"/>
          <w:rtl/>
        </w:rPr>
        <w:footnoteReference w:id="270"/>
      </w:r>
      <w:r w:rsidR="009C7146">
        <w:rPr>
          <w:rFonts w:hint="cs"/>
          <w:b/>
          <w:bCs/>
          <w:rtl/>
        </w:rPr>
        <w:t xml:space="preserve"> </w:t>
      </w:r>
      <w:r w:rsidRPr="00BB6388">
        <w:rPr>
          <w:rFonts w:hint="cs"/>
          <w:b/>
          <w:bCs/>
          <w:rtl/>
        </w:rPr>
        <w:t>כל מוסד לטיפול</w:t>
      </w:r>
      <w:r w:rsidR="00610021">
        <w:rPr>
          <w:rFonts w:hint="cs"/>
          <w:b/>
          <w:bCs/>
          <w:rtl/>
        </w:rPr>
        <w:t xml:space="preserve"> רפואי</w:t>
      </w:r>
      <w:r w:rsidRPr="00BB6388">
        <w:rPr>
          <w:rFonts w:hint="cs"/>
          <w:b/>
          <w:bCs/>
          <w:rtl/>
        </w:rPr>
        <w:t xml:space="preserve"> במשתמשים בסמים חייב ברישוי</w:t>
      </w:r>
      <w:r w:rsidRPr="00BB6388">
        <w:rPr>
          <w:rFonts w:hint="cs"/>
          <w:rtl/>
        </w:rPr>
        <w:t xml:space="preserve">, גם אם המדינה אינה רוכשת ממנו שירותים, והוא נתון בפיקוח מכוח חוק זה. כיום </w:t>
      </w:r>
      <w:r w:rsidRPr="00BB6388">
        <w:rPr>
          <w:rFonts w:hint="cs"/>
          <w:b/>
          <w:bCs/>
          <w:rtl/>
        </w:rPr>
        <w:t>עדיין</w:t>
      </w:r>
      <w:r w:rsidRPr="00BB6388">
        <w:rPr>
          <w:rFonts w:hint="cs"/>
          <w:rtl/>
        </w:rPr>
        <w:t xml:space="preserve"> </w:t>
      </w:r>
      <w:r w:rsidRPr="00BB6388">
        <w:rPr>
          <w:rFonts w:hint="cs"/>
          <w:b/>
          <w:bCs/>
          <w:rtl/>
        </w:rPr>
        <w:t>אין חקיקה מקבילה לגבי מרכזי הטיפול בהתמכרות לאלכוהול,</w:t>
      </w:r>
      <w:r w:rsidRPr="00610021">
        <w:rPr>
          <w:rStyle w:val="ab"/>
          <w:rtl/>
        </w:rPr>
        <w:footnoteReference w:id="271"/>
      </w:r>
      <w:r w:rsidRPr="00BB6388">
        <w:rPr>
          <w:rFonts w:hint="cs"/>
          <w:rtl/>
        </w:rPr>
        <w:t xml:space="preserve"> </w:t>
      </w:r>
      <w:r w:rsidRPr="00610021">
        <w:rPr>
          <w:rFonts w:hint="cs"/>
          <w:rtl/>
        </w:rPr>
        <w:t>ולפיכך מוסדות לגמילה מאלכוהול אינם נדרשים להוציא רישיון ולא מתקיים כל הליך רישוי מסודר בעניינם. בו-בזמן, המחלקה לטיפול בהתמכרויות מפקחת מקצועית על על מוסדות לטיפול במשתמשים לרעה באלכוהול או מכורים בהם ישנה פעילות רפואית.</w:t>
      </w:r>
      <w:r w:rsidRPr="00610021">
        <w:rPr>
          <w:rStyle w:val="ab"/>
          <w:rtl/>
        </w:rPr>
        <w:footnoteReference w:id="272"/>
      </w:r>
      <w:r w:rsidRPr="00BB6388">
        <w:rPr>
          <w:rFonts w:hint="cs"/>
          <w:b/>
          <w:bCs/>
          <w:rtl/>
        </w:rPr>
        <w:t xml:space="preserve"> </w:t>
      </w:r>
      <w:r w:rsidRPr="00BB6388">
        <w:rPr>
          <w:rFonts w:hint="cs"/>
          <w:rtl/>
        </w:rPr>
        <w:t>בנוסף, מציין משרד הבריאות בתשובתו</w:t>
      </w:r>
      <w:r w:rsidR="004E1F4A" w:rsidRPr="00BB6388">
        <w:rPr>
          <w:rFonts w:hint="cs"/>
          <w:rtl/>
        </w:rPr>
        <w:t xml:space="preserve"> למרכז המחקר והמידע של הכנסת</w:t>
      </w:r>
      <w:r w:rsidRPr="00BB6388">
        <w:rPr>
          <w:rFonts w:hint="cs"/>
          <w:rtl/>
        </w:rPr>
        <w:t xml:space="preserve"> כי הוא פועל, יחד עם משרד הרווחה</w:t>
      </w:r>
      <w:r w:rsidR="009D0C08">
        <w:rPr>
          <w:rFonts w:hint="cs"/>
          <w:rtl/>
        </w:rPr>
        <w:t xml:space="preserve"> והשירותים החברתיים</w:t>
      </w:r>
      <w:r w:rsidRPr="00BB6388">
        <w:rPr>
          <w:rFonts w:hint="cs"/>
          <w:rtl/>
        </w:rPr>
        <w:t>, לקידומו של חוק לפיקוח על מוסדות לגמילה מאלכוהול.</w:t>
      </w:r>
      <w:r w:rsidRPr="00803FC1">
        <w:rPr>
          <w:rStyle w:val="ab"/>
          <w:rtl/>
        </w:rPr>
        <w:t xml:space="preserve"> </w:t>
      </w:r>
      <w:r w:rsidRPr="00803FC1">
        <w:rPr>
          <w:rStyle w:val="ab"/>
          <w:rtl/>
        </w:rPr>
        <w:footnoteReference w:id="273"/>
      </w:r>
    </w:p>
    <w:p w:rsidR="00307FE4" w:rsidRPr="00BB6388" w:rsidRDefault="00307FE4" w:rsidP="00803FC1">
      <w:pPr>
        <w:spacing w:line="360" w:lineRule="auto"/>
        <w:rPr>
          <w:rtl/>
        </w:rPr>
      </w:pPr>
      <w:r w:rsidRPr="00BB6388">
        <w:rPr>
          <w:rFonts w:hint="eastAsia"/>
          <w:rtl/>
        </w:rPr>
        <w:t>משרד</w:t>
      </w:r>
      <w:r w:rsidRPr="00BB6388">
        <w:rPr>
          <w:rtl/>
        </w:rPr>
        <w:t xml:space="preserve"> הבריאות </w:t>
      </w:r>
      <w:r w:rsidRPr="00BB6388">
        <w:rPr>
          <w:rFonts w:hint="cs"/>
          <w:rtl/>
        </w:rPr>
        <w:t xml:space="preserve">מעניק רישיונות למוסדות גמילה </w:t>
      </w:r>
      <w:r w:rsidR="00131E34" w:rsidRPr="00BB6388">
        <w:rPr>
          <w:rFonts w:hint="cs"/>
          <w:rtl/>
        </w:rPr>
        <w:t xml:space="preserve">למשתמשים בסמים </w:t>
      </w:r>
      <w:r w:rsidRPr="00BB6388">
        <w:rPr>
          <w:rFonts w:hint="cs"/>
          <w:rtl/>
        </w:rPr>
        <w:t>בהתאם לסוג המוסד:</w:t>
      </w:r>
      <w:r w:rsidR="001F5FEE" w:rsidRPr="00BB6388">
        <w:rPr>
          <w:rStyle w:val="ab"/>
          <w:rtl/>
        </w:rPr>
        <w:footnoteReference w:id="274"/>
      </w:r>
    </w:p>
    <w:p w:rsidR="00307FE4" w:rsidRPr="00BB6388" w:rsidRDefault="00307FE4" w:rsidP="00DC2DB0">
      <w:pPr>
        <w:pStyle w:val="afff6"/>
        <w:numPr>
          <w:ilvl w:val="0"/>
          <w:numId w:val="19"/>
        </w:numPr>
        <w:spacing w:line="360" w:lineRule="auto"/>
        <w:rPr>
          <w:rFonts w:cs="David"/>
          <w:sz w:val="24"/>
          <w:szCs w:val="24"/>
          <w:rtl/>
        </w:rPr>
      </w:pPr>
      <w:r w:rsidRPr="00BB6388">
        <w:rPr>
          <w:rFonts w:cs="David" w:hint="cs"/>
          <w:b/>
          <w:bCs/>
          <w:sz w:val="24"/>
          <w:szCs w:val="24"/>
          <w:rtl/>
        </w:rPr>
        <w:t>מוסדות רפואיים</w:t>
      </w:r>
      <w:r w:rsidRPr="00BB6388">
        <w:rPr>
          <w:rFonts w:cs="David" w:hint="cs"/>
          <w:sz w:val="24"/>
          <w:szCs w:val="24"/>
          <w:rtl/>
        </w:rPr>
        <w:t xml:space="preserve">, המיועדים </w:t>
      </w:r>
      <w:r w:rsidR="009E7FCB">
        <w:rPr>
          <w:rFonts w:cs="David" w:hint="cs"/>
          <w:sz w:val="24"/>
          <w:szCs w:val="24"/>
          <w:rtl/>
        </w:rPr>
        <w:t xml:space="preserve">אך ורק </w:t>
      </w:r>
      <w:r w:rsidRPr="00BB6388">
        <w:rPr>
          <w:rFonts w:cs="David" w:hint="cs"/>
          <w:sz w:val="24"/>
          <w:szCs w:val="24"/>
          <w:rtl/>
        </w:rPr>
        <w:t>למתן טיפול רפואי, פיזי או</w:t>
      </w:r>
      <w:r w:rsidR="00131E34" w:rsidRPr="00BB6388">
        <w:rPr>
          <w:rFonts w:cs="David" w:hint="cs"/>
          <w:sz w:val="24"/>
          <w:szCs w:val="24"/>
          <w:rtl/>
        </w:rPr>
        <w:t xml:space="preserve"> נפשי, לרבות חלוקת תחליפי סמים</w:t>
      </w:r>
      <w:r w:rsidR="00000ACC" w:rsidRPr="00BB6388">
        <w:rPr>
          <w:rFonts w:cs="David" w:hint="cs"/>
          <w:sz w:val="24"/>
          <w:szCs w:val="24"/>
          <w:rtl/>
        </w:rPr>
        <w:t xml:space="preserve">, </w:t>
      </w:r>
      <w:r w:rsidRPr="00BB6388">
        <w:rPr>
          <w:rFonts w:cs="David" w:hint="cs"/>
          <w:sz w:val="24"/>
          <w:szCs w:val="24"/>
          <w:rtl/>
        </w:rPr>
        <w:t>והם בפיקוח בלעדי של משרד הבריאות.</w:t>
      </w:r>
    </w:p>
    <w:p w:rsidR="00307FE4" w:rsidRPr="00BB6388" w:rsidRDefault="00307FE4" w:rsidP="00DC2DB0">
      <w:pPr>
        <w:pStyle w:val="afff6"/>
        <w:numPr>
          <w:ilvl w:val="0"/>
          <w:numId w:val="19"/>
        </w:numPr>
        <w:spacing w:line="360" w:lineRule="auto"/>
        <w:rPr>
          <w:rFonts w:cs="David"/>
          <w:sz w:val="24"/>
          <w:szCs w:val="24"/>
          <w:rtl/>
        </w:rPr>
      </w:pPr>
      <w:r w:rsidRPr="00BB6388">
        <w:rPr>
          <w:rFonts w:cs="David" w:hint="cs"/>
          <w:b/>
          <w:bCs/>
          <w:sz w:val="24"/>
          <w:szCs w:val="24"/>
          <w:rtl/>
        </w:rPr>
        <w:t>מוסדות משולבים</w:t>
      </w:r>
      <w:r w:rsidRPr="00BB6388">
        <w:rPr>
          <w:rFonts w:cs="David" w:hint="cs"/>
          <w:sz w:val="24"/>
          <w:szCs w:val="24"/>
          <w:rtl/>
        </w:rPr>
        <w:t xml:space="preserve">, </w:t>
      </w:r>
      <w:r w:rsidR="00000ACC" w:rsidRPr="00BB6388">
        <w:rPr>
          <w:rFonts w:cs="David" w:hint="cs"/>
          <w:sz w:val="24"/>
          <w:szCs w:val="24"/>
          <w:rtl/>
        </w:rPr>
        <w:t>המיועדים למתן טיפול רפוא</w:t>
      </w:r>
      <w:r w:rsidR="00131E34" w:rsidRPr="00BB6388">
        <w:rPr>
          <w:rFonts w:cs="David" w:hint="cs"/>
          <w:sz w:val="24"/>
          <w:szCs w:val="24"/>
          <w:rtl/>
        </w:rPr>
        <w:t>י וסוציאלי משולב,</w:t>
      </w:r>
      <w:r w:rsidR="00000ACC" w:rsidRPr="00BB6388">
        <w:rPr>
          <w:rFonts w:cs="David" w:hint="cs"/>
          <w:sz w:val="24"/>
          <w:szCs w:val="24"/>
          <w:rtl/>
        </w:rPr>
        <w:t xml:space="preserve"> והם בפיקוח משותף של משרד הבריאות ומשרד הרווחה והשירותים החברתיים.</w:t>
      </w:r>
    </w:p>
    <w:p w:rsidR="00131E34" w:rsidRPr="00BB6388" w:rsidRDefault="009E7FCB" w:rsidP="001227C7">
      <w:pPr>
        <w:spacing w:line="360" w:lineRule="auto"/>
        <w:rPr>
          <w:rtl/>
        </w:rPr>
      </w:pPr>
      <w:r>
        <w:rPr>
          <w:rFonts w:hint="cs"/>
          <w:rtl/>
        </w:rPr>
        <w:t xml:space="preserve">מעבר לסוגיית הרישוי והאחריות המיניסטריאלית, נחלקים </w:t>
      </w:r>
      <w:r w:rsidR="00131E34" w:rsidRPr="00BB6388">
        <w:rPr>
          <w:rFonts w:hint="eastAsia"/>
          <w:rtl/>
        </w:rPr>
        <w:t>המוסדות</w:t>
      </w:r>
      <w:r w:rsidR="00131E34" w:rsidRPr="00BB6388">
        <w:rPr>
          <w:rtl/>
        </w:rPr>
        <w:t xml:space="preserve"> עצמם </w:t>
      </w:r>
      <w:r>
        <w:rPr>
          <w:rFonts w:hint="cs"/>
          <w:rtl/>
        </w:rPr>
        <w:t xml:space="preserve">לחמש קבוצות </w:t>
      </w:r>
      <w:r w:rsidR="00FD23D1">
        <w:rPr>
          <w:rFonts w:hint="cs"/>
          <w:rtl/>
        </w:rPr>
        <w:t>בהתאם</w:t>
      </w:r>
      <w:r>
        <w:rPr>
          <w:rFonts w:hint="cs"/>
          <w:rtl/>
        </w:rPr>
        <w:t xml:space="preserve"> </w:t>
      </w:r>
      <w:r w:rsidR="00FD23D1">
        <w:rPr>
          <w:rFonts w:hint="cs"/>
          <w:rtl/>
        </w:rPr>
        <w:t>למסגרת</w:t>
      </w:r>
      <w:r>
        <w:rPr>
          <w:rFonts w:hint="cs"/>
          <w:rtl/>
        </w:rPr>
        <w:t xml:space="preserve"> הטיפול </w:t>
      </w:r>
      <w:r w:rsidR="00FD23D1">
        <w:rPr>
          <w:rFonts w:hint="cs"/>
          <w:rtl/>
        </w:rPr>
        <w:t>שהם מציעים</w:t>
      </w:r>
      <w:r w:rsidR="00640C33" w:rsidRPr="00BB6388">
        <w:rPr>
          <w:rFonts w:hint="cs"/>
          <w:rtl/>
        </w:rPr>
        <w:t>:</w:t>
      </w:r>
      <w:r w:rsidR="00760EEF">
        <w:rPr>
          <w:rStyle w:val="ab"/>
          <w:rtl/>
        </w:rPr>
        <w:footnoteReference w:id="275"/>
      </w:r>
      <w:r w:rsidR="00640C33" w:rsidRPr="00BB6388">
        <w:rPr>
          <w:rFonts w:hint="cs"/>
          <w:rtl/>
        </w:rPr>
        <w:t xml:space="preserve"> </w:t>
      </w:r>
    </w:p>
    <w:p w:rsidR="006C467B" w:rsidRPr="00BB6388" w:rsidRDefault="006C467B" w:rsidP="00BB6388">
      <w:pPr>
        <w:numPr>
          <w:ilvl w:val="0"/>
          <w:numId w:val="5"/>
        </w:numPr>
        <w:spacing w:line="360" w:lineRule="auto"/>
      </w:pPr>
      <w:r w:rsidRPr="00BB6388">
        <w:rPr>
          <w:rFonts w:hint="eastAsia"/>
          <w:b/>
          <w:bCs/>
          <w:rtl/>
        </w:rPr>
        <w:t>מרכז</w:t>
      </w:r>
      <w:r w:rsidRPr="00BB6388">
        <w:rPr>
          <w:b/>
          <w:bCs/>
          <w:rtl/>
        </w:rPr>
        <w:t xml:space="preserve"> גמילה רפואי באשפוז, אשפוזית: </w:t>
      </w:r>
      <w:r w:rsidRPr="00BB6388">
        <w:rPr>
          <w:rFonts w:hint="eastAsia"/>
          <w:rtl/>
        </w:rPr>
        <w:t>האשפוזית</w:t>
      </w:r>
      <w:r w:rsidRPr="00BB6388">
        <w:rPr>
          <w:rtl/>
        </w:rPr>
        <w:t xml:space="preserve"> </w:t>
      </w:r>
      <w:r w:rsidRPr="00BB6388">
        <w:rPr>
          <w:rFonts w:hint="eastAsia"/>
          <w:rtl/>
        </w:rPr>
        <w:t>היא</w:t>
      </w:r>
      <w:r w:rsidRPr="00BB6388">
        <w:rPr>
          <w:rtl/>
        </w:rPr>
        <w:t xml:space="preserve"> </w:t>
      </w:r>
      <w:r w:rsidRPr="00BB6388">
        <w:rPr>
          <w:rFonts w:hint="eastAsia"/>
          <w:rtl/>
        </w:rPr>
        <w:t>מרכז</w:t>
      </w:r>
      <w:r w:rsidRPr="00BB6388">
        <w:rPr>
          <w:rtl/>
        </w:rPr>
        <w:t xml:space="preserve"> </w:t>
      </w:r>
      <w:r w:rsidRPr="00BB6388">
        <w:rPr>
          <w:rFonts w:hint="eastAsia"/>
          <w:rtl/>
        </w:rPr>
        <w:t>גמילה</w:t>
      </w:r>
      <w:r w:rsidRPr="00BB6388">
        <w:rPr>
          <w:rtl/>
        </w:rPr>
        <w:t xml:space="preserve"> </w:t>
      </w:r>
      <w:r w:rsidRPr="00BB6388">
        <w:rPr>
          <w:rFonts w:hint="eastAsia"/>
          <w:rtl/>
        </w:rPr>
        <w:t>סגור</w:t>
      </w:r>
      <w:r w:rsidRPr="00BB6388">
        <w:rPr>
          <w:rtl/>
        </w:rPr>
        <w:t xml:space="preserve"> </w:t>
      </w:r>
      <w:r w:rsidRPr="00BB6388">
        <w:rPr>
          <w:rFonts w:hint="eastAsia"/>
          <w:rtl/>
        </w:rPr>
        <w:t>והיא</w:t>
      </w:r>
      <w:r w:rsidRPr="00BB6388">
        <w:rPr>
          <w:rtl/>
        </w:rPr>
        <w:t xml:space="preserve"> </w:t>
      </w:r>
      <w:r w:rsidRPr="00BB6388">
        <w:rPr>
          <w:rFonts w:hint="eastAsia"/>
          <w:rtl/>
        </w:rPr>
        <w:t>התחנה</w:t>
      </w:r>
      <w:r w:rsidRPr="00BB6388">
        <w:rPr>
          <w:rtl/>
        </w:rPr>
        <w:t xml:space="preserve"> </w:t>
      </w:r>
      <w:r w:rsidRPr="00BB6388">
        <w:rPr>
          <w:rFonts w:hint="eastAsia"/>
          <w:rtl/>
        </w:rPr>
        <w:t>הראשונה</w:t>
      </w:r>
      <w:r w:rsidRPr="00BB6388">
        <w:rPr>
          <w:rtl/>
        </w:rPr>
        <w:t xml:space="preserve"> </w:t>
      </w:r>
      <w:r w:rsidRPr="00BB6388">
        <w:rPr>
          <w:rFonts w:hint="eastAsia"/>
          <w:rtl/>
        </w:rPr>
        <w:t>בתהליך</w:t>
      </w:r>
      <w:r w:rsidRPr="00BB6388">
        <w:rPr>
          <w:rtl/>
        </w:rPr>
        <w:t xml:space="preserve"> </w:t>
      </w:r>
      <w:r w:rsidRPr="00BB6388">
        <w:rPr>
          <w:rFonts w:hint="eastAsia"/>
          <w:rtl/>
        </w:rPr>
        <w:t>הגמילה</w:t>
      </w:r>
      <w:r w:rsidRPr="00BB6388">
        <w:rPr>
          <w:rtl/>
        </w:rPr>
        <w:t xml:space="preserve"> </w:t>
      </w:r>
      <w:r w:rsidRPr="00BB6388">
        <w:rPr>
          <w:rFonts w:hint="eastAsia"/>
          <w:rtl/>
        </w:rPr>
        <w:t>הפיזית</w:t>
      </w:r>
      <w:r w:rsidRPr="00BB6388">
        <w:rPr>
          <w:rtl/>
        </w:rPr>
        <w:t xml:space="preserve"> </w:t>
      </w:r>
      <w:r w:rsidRPr="00BB6388">
        <w:rPr>
          <w:rFonts w:hint="eastAsia"/>
          <w:rtl/>
        </w:rPr>
        <w:t>מסמים</w:t>
      </w:r>
      <w:r w:rsidRPr="00BB6388">
        <w:rPr>
          <w:rtl/>
        </w:rPr>
        <w:t xml:space="preserve"> </w:t>
      </w:r>
      <w:r w:rsidRPr="00BB6388">
        <w:rPr>
          <w:rFonts w:hint="eastAsia"/>
          <w:rtl/>
        </w:rPr>
        <w:t>ומאלכוהול</w:t>
      </w:r>
      <w:r w:rsidRPr="00BB6388">
        <w:rPr>
          <w:rtl/>
        </w:rPr>
        <w:t xml:space="preserve">. </w:t>
      </w:r>
      <w:r w:rsidRPr="00BB6388">
        <w:rPr>
          <w:rFonts w:hint="eastAsia"/>
          <w:rtl/>
        </w:rPr>
        <w:t>הטיפול</w:t>
      </w:r>
      <w:r w:rsidRPr="00BB6388">
        <w:rPr>
          <w:rtl/>
        </w:rPr>
        <w:t xml:space="preserve"> </w:t>
      </w:r>
      <w:r w:rsidRPr="00BB6388">
        <w:rPr>
          <w:rFonts w:hint="eastAsia"/>
          <w:rtl/>
        </w:rPr>
        <w:t>הניתן</w:t>
      </w:r>
      <w:r w:rsidRPr="00BB6388">
        <w:rPr>
          <w:rtl/>
        </w:rPr>
        <w:t xml:space="preserve"> </w:t>
      </w:r>
      <w:r w:rsidRPr="00BB6388">
        <w:rPr>
          <w:rFonts w:hint="eastAsia"/>
          <w:rtl/>
        </w:rPr>
        <w:t>באשפוזית</w:t>
      </w:r>
      <w:r w:rsidRPr="00BB6388">
        <w:rPr>
          <w:rtl/>
        </w:rPr>
        <w:t xml:space="preserve"> </w:t>
      </w:r>
      <w:r w:rsidRPr="00BB6388">
        <w:rPr>
          <w:rFonts w:hint="eastAsia"/>
          <w:rtl/>
        </w:rPr>
        <w:t>הוא</w:t>
      </w:r>
      <w:r w:rsidRPr="00BB6388">
        <w:rPr>
          <w:rtl/>
        </w:rPr>
        <w:t xml:space="preserve"> </w:t>
      </w:r>
      <w:r w:rsidRPr="00BB6388">
        <w:rPr>
          <w:rFonts w:hint="eastAsia"/>
          <w:rtl/>
        </w:rPr>
        <w:t>טיפול</w:t>
      </w:r>
      <w:r w:rsidRPr="00BB6388">
        <w:rPr>
          <w:rtl/>
        </w:rPr>
        <w:t xml:space="preserve"> </w:t>
      </w:r>
      <w:r w:rsidRPr="00BB6388">
        <w:rPr>
          <w:rFonts w:hint="eastAsia"/>
          <w:rtl/>
        </w:rPr>
        <w:t>רפואי</w:t>
      </w:r>
      <w:r w:rsidRPr="00BB6388">
        <w:rPr>
          <w:rtl/>
        </w:rPr>
        <w:t xml:space="preserve"> </w:t>
      </w:r>
      <w:r w:rsidRPr="00BB6388">
        <w:rPr>
          <w:rFonts w:hint="eastAsia"/>
          <w:rtl/>
        </w:rPr>
        <w:t>בלבד</w:t>
      </w:r>
      <w:r w:rsidRPr="00BB6388">
        <w:rPr>
          <w:rtl/>
        </w:rPr>
        <w:t xml:space="preserve"> </w:t>
      </w:r>
      <w:r w:rsidRPr="00BB6388">
        <w:rPr>
          <w:rFonts w:hint="eastAsia"/>
          <w:rtl/>
        </w:rPr>
        <w:t>והוא</w:t>
      </w:r>
      <w:r w:rsidRPr="00BB6388">
        <w:rPr>
          <w:rtl/>
        </w:rPr>
        <w:t xml:space="preserve"> </w:t>
      </w:r>
      <w:r w:rsidRPr="00BB6388">
        <w:rPr>
          <w:rFonts w:hint="eastAsia"/>
          <w:rtl/>
        </w:rPr>
        <w:t>אורך</w:t>
      </w:r>
      <w:r w:rsidRPr="00BB6388">
        <w:rPr>
          <w:rtl/>
        </w:rPr>
        <w:t xml:space="preserve"> </w:t>
      </w:r>
      <w:r w:rsidRPr="00BB6388">
        <w:rPr>
          <w:rFonts w:hint="eastAsia"/>
          <w:rtl/>
        </w:rPr>
        <w:t>שבועות</w:t>
      </w:r>
      <w:r w:rsidRPr="00BB6388">
        <w:rPr>
          <w:rtl/>
        </w:rPr>
        <w:t xml:space="preserve"> </w:t>
      </w:r>
      <w:r w:rsidRPr="00BB6388">
        <w:rPr>
          <w:rFonts w:hint="eastAsia"/>
          <w:rtl/>
        </w:rPr>
        <w:t>מספר</w:t>
      </w:r>
      <w:r w:rsidRPr="00BB6388">
        <w:rPr>
          <w:rtl/>
        </w:rPr>
        <w:t xml:space="preserve">, </w:t>
      </w:r>
      <w:r w:rsidRPr="00BB6388">
        <w:rPr>
          <w:rFonts w:hint="eastAsia"/>
          <w:rtl/>
        </w:rPr>
        <w:t>שבמהלכם</w:t>
      </w:r>
      <w:r w:rsidRPr="00BB6388">
        <w:rPr>
          <w:rtl/>
        </w:rPr>
        <w:t xml:space="preserve"> </w:t>
      </w:r>
      <w:r w:rsidRPr="00BB6388">
        <w:rPr>
          <w:rFonts w:hint="eastAsia"/>
          <w:rtl/>
        </w:rPr>
        <w:t>עובר</w:t>
      </w:r>
      <w:r w:rsidRPr="00BB6388">
        <w:rPr>
          <w:rtl/>
        </w:rPr>
        <w:t xml:space="preserve"> </w:t>
      </w:r>
      <w:r w:rsidRPr="00BB6388">
        <w:rPr>
          <w:rFonts w:hint="eastAsia"/>
          <w:rtl/>
        </w:rPr>
        <w:t>המטופל</w:t>
      </w:r>
      <w:r w:rsidRPr="00BB6388">
        <w:rPr>
          <w:rtl/>
        </w:rPr>
        <w:t xml:space="preserve"> </w:t>
      </w:r>
      <w:r w:rsidRPr="00BB6388">
        <w:rPr>
          <w:rFonts w:hint="eastAsia"/>
          <w:rtl/>
        </w:rPr>
        <w:t>התנקות</w:t>
      </w:r>
      <w:r w:rsidRPr="00BB6388">
        <w:rPr>
          <w:rtl/>
        </w:rPr>
        <w:t xml:space="preserve"> (</w:t>
      </w:r>
      <w:r w:rsidRPr="00BB6388">
        <w:rPr>
          <w:sz w:val="20"/>
          <w:szCs w:val="20"/>
        </w:rPr>
        <w:t>Drug detoxification</w:t>
      </w:r>
      <w:r w:rsidRPr="00BB6388">
        <w:rPr>
          <w:rtl/>
        </w:rPr>
        <w:t xml:space="preserve">) מהחומר שהוא מכור לו, הסם או האלכוהול. המשך הטיפול ניתן במרכזי יום בפיקוח משרד הרווחה והשירותים החברתיים, המספקים מסגרות טיפול ותעסוקה בתקופת ההתאוששות שלאחר הגמילה.  </w:t>
      </w:r>
    </w:p>
    <w:p w:rsidR="006C467B" w:rsidRPr="00BB6388" w:rsidRDefault="006C467B" w:rsidP="00BB6388">
      <w:pPr>
        <w:numPr>
          <w:ilvl w:val="0"/>
          <w:numId w:val="5"/>
        </w:numPr>
        <w:spacing w:line="360" w:lineRule="auto"/>
      </w:pPr>
      <w:r w:rsidRPr="00BB6388">
        <w:rPr>
          <w:rFonts w:hint="eastAsia"/>
          <w:b/>
          <w:bCs/>
          <w:rtl/>
        </w:rPr>
        <w:t>מרכז</w:t>
      </w:r>
      <w:r w:rsidRPr="00BB6388">
        <w:rPr>
          <w:b/>
          <w:bCs/>
          <w:rtl/>
        </w:rPr>
        <w:t xml:space="preserve"> גמילה משולב באשפוז: </w:t>
      </w:r>
      <w:r w:rsidRPr="00BB6388">
        <w:rPr>
          <w:rFonts w:hint="eastAsia"/>
          <w:rtl/>
        </w:rPr>
        <w:t>מוסד</w:t>
      </w:r>
      <w:r w:rsidRPr="00BB6388">
        <w:rPr>
          <w:rtl/>
        </w:rPr>
        <w:t xml:space="preserve"> שנועד לתת טיפול גמילה משולב, רפואי ופסיכוסוציאלי, באשפוז, למכורים לסמים ואלכוהול. מרכזים אלה נמצאים בפיקוח משותף של משרד הבריאות ומשרד הרווחה והשירותים החברתיים.  </w:t>
      </w:r>
    </w:p>
    <w:p w:rsidR="006C467B" w:rsidRPr="00BB6388" w:rsidRDefault="006C467B" w:rsidP="00BB6388">
      <w:pPr>
        <w:numPr>
          <w:ilvl w:val="0"/>
          <w:numId w:val="5"/>
        </w:numPr>
        <w:spacing w:line="360" w:lineRule="auto"/>
      </w:pPr>
      <w:r w:rsidRPr="00BB6388">
        <w:rPr>
          <w:rFonts w:hint="eastAsia"/>
          <w:b/>
          <w:bCs/>
          <w:rtl/>
        </w:rPr>
        <w:t>מרכז</w:t>
      </w:r>
      <w:r w:rsidRPr="00BB6388">
        <w:rPr>
          <w:b/>
          <w:bCs/>
          <w:rtl/>
        </w:rPr>
        <w:t xml:space="preserve"> </w:t>
      </w:r>
      <w:r w:rsidRPr="00BB6388">
        <w:rPr>
          <w:rFonts w:hint="eastAsia"/>
          <w:b/>
          <w:bCs/>
          <w:rtl/>
        </w:rPr>
        <w:t>גמילה</w:t>
      </w:r>
      <w:r w:rsidRPr="00BB6388">
        <w:rPr>
          <w:b/>
          <w:bCs/>
          <w:rtl/>
        </w:rPr>
        <w:t xml:space="preserve"> </w:t>
      </w:r>
      <w:r w:rsidRPr="00BB6388">
        <w:rPr>
          <w:rFonts w:hint="eastAsia"/>
          <w:b/>
          <w:bCs/>
          <w:rtl/>
        </w:rPr>
        <w:t>אמבולטורי</w:t>
      </w:r>
      <w:r w:rsidRPr="00BB6388">
        <w:rPr>
          <w:b/>
          <w:bCs/>
          <w:rtl/>
        </w:rPr>
        <w:t xml:space="preserve"> </w:t>
      </w:r>
      <w:r w:rsidRPr="00BB6388">
        <w:rPr>
          <w:rFonts w:hint="eastAsia"/>
          <w:b/>
          <w:bCs/>
          <w:rtl/>
        </w:rPr>
        <w:t>רפואי</w:t>
      </w:r>
      <w:r w:rsidRPr="00BB6388">
        <w:rPr>
          <w:rtl/>
        </w:rPr>
        <w:t xml:space="preserve">: מוסד לגמילה במסגרת מרפאתית ולא אשפוזית. במסגרת זו המטופל עובר את הגמילה הפיזית כמה ימים בשבוע במשך כמה שבועות ומשוחרר בסוף כל יום. </w:t>
      </w:r>
    </w:p>
    <w:p w:rsidR="00803FC1" w:rsidRDefault="006C467B" w:rsidP="00803FC1">
      <w:pPr>
        <w:numPr>
          <w:ilvl w:val="0"/>
          <w:numId w:val="5"/>
        </w:numPr>
        <w:spacing w:line="360" w:lineRule="auto"/>
      </w:pPr>
      <w:r w:rsidRPr="00BB6388">
        <w:rPr>
          <w:rFonts w:hint="eastAsia"/>
          <w:b/>
          <w:bCs/>
          <w:rtl/>
        </w:rPr>
        <w:t>מרכז</w:t>
      </w:r>
      <w:r w:rsidRPr="00BB6388">
        <w:rPr>
          <w:b/>
          <w:bCs/>
          <w:rtl/>
        </w:rPr>
        <w:t xml:space="preserve"> </w:t>
      </w:r>
      <w:r w:rsidRPr="00BB6388">
        <w:rPr>
          <w:rFonts w:hint="eastAsia"/>
          <w:b/>
          <w:bCs/>
          <w:rtl/>
        </w:rPr>
        <w:t>גמילה</w:t>
      </w:r>
      <w:r w:rsidRPr="00BB6388">
        <w:rPr>
          <w:b/>
          <w:bCs/>
          <w:rtl/>
        </w:rPr>
        <w:t xml:space="preserve"> </w:t>
      </w:r>
      <w:r w:rsidRPr="00BB6388">
        <w:rPr>
          <w:rFonts w:hint="eastAsia"/>
          <w:b/>
          <w:bCs/>
          <w:rtl/>
        </w:rPr>
        <w:t>אמבולטורי</w:t>
      </w:r>
      <w:r w:rsidRPr="00BB6388">
        <w:rPr>
          <w:b/>
          <w:bCs/>
          <w:rtl/>
        </w:rPr>
        <w:t xml:space="preserve"> </w:t>
      </w:r>
      <w:r w:rsidRPr="00BB6388">
        <w:rPr>
          <w:rFonts w:hint="eastAsia"/>
          <w:b/>
          <w:bCs/>
          <w:rtl/>
        </w:rPr>
        <w:t>משולב</w:t>
      </w:r>
      <w:r w:rsidRPr="00BB6388">
        <w:rPr>
          <w:rtl/>
        </w:rPr>
        <w:t xml:space="preserve">: מוסד שנועד לתת טיפול גמילה משולב, רפואי ופסיכוסוציאלי, ללא אשפוז, למכורים לסמים ואלכוהול. מרכזים אלה נמצאים בפיקוח משותף של משרד הבריאות ומשרד הרווחה והשירותים החברתיים.  </w:t>
      </w:r>
    </w:p>
    <w:p w:rsidR="006C467B" w:rsidRPr="00803FC1" w:rsidRDefault="006C467B" w:rsidP="004B1F5E">
      <w:pPr>
        <w:numPr>
          <w:ilvl w:val="0"/>
          <w:numId w:val="5"/>
        </w:numPr>
        <w:spacing w:line="360" w:lineRule="auto"/>
      </w:pPr>
      <w:r w:rsidRPr="00803FC1">
        <w:rPr>
          <w:rFonts w:hint="eastAsia"/>
          <w:b/>
          <w:bCs/>
          <w:rtl/>
        </w:rPr>
        <w:t>מרכז</w:t>
      </w:r>
      <w:r w:rsidRPr="00803FC1">
        <w:rPr>
          <w:b/>
          <w:bCs/>
          <w:rtl/>
        </w:rPr>
        <w:t xml:space="preserve"> </w:t>
      </w:r>
      <w:r w:rsidRPr="00803FC1">
        <w:rPr>
          <w:rFonts w:hint="eastAsia"/>
          <w:b/>
          <w:bCs/>
          <w:rtl/>
        </w:rPr>
        <w:t>לטיפול</w:t>
      </w:r>
      <w:r w:rsidRPr="00803FC1">
        <w:rPr>
          <w:b/>
          <w:bCs/>
          <w:rtl/>
        </w:rPr>
        <w:t xml:space="preserve"> </w:t>
      </w:r>
      <w:r w:rsidRPr="00803FC1">
        <w:rPr>
          <w:rFonts w:hint="eastAsia"/>
          <w:b/>
          <w:bCs/>
          <w:rtl/>
        </w:rPr>
        <w:t>תרופתי</w:t>
      </w:r>
      <w:r w:rsidRPr="00803FC1">
        <w:rPr>
          <w:b/>
          <w:bCs/>
          <w:rtl/>
        </w:rPr>
        <w:t xml:space="preserve"> </w:t>
      </w:r>
      <w:r w:rsidRPr="00803FC1">
        <w:rPr>
          <w:rFonts w:hint="eastAsia"/>
          <w:b/>
          <w:bCs/>
          <w:rtl/>
        </w:rPr>
        <w:t>ממושך</w:t>
      </w:r>
      <w:r w:rsidRPr="00803FC1">
        <w:rPr>
          <w:b/>
          <w:bCs/>
          <w:rtl/>
        </w:rPr>
        <w:t xml:space="preserve"> </w:t>
      </w:r>
      <w:r w:rsidRPr="00803FC1">
        <w:rPr>
          <w:rFonts w:hint="eastAsia"/>
          <w:b/>
          <w:bCs/>
          <w:rtl/>
        </w:rPr>
        <w:t>באמצעות</w:t>
      </w:r>
      <w:r w:rsidRPr="00803FC1">
        <w:rPr>
          <w:b/>
          <w:bCs/>
          <w:rtl/>
        </w:rPr>
        <w:t xml:space="preserve"> </w:t>
      </w:r>
      <w:r w:rsidRPr="00803FC1">
        <w:rPr>
          <w:rFonts w:hint="eastAsia"/>
          <w:b/>
          <w:bCs/>
          <w:rtl/>
        </w:rPr>
        <w:t>תחליפי</w:t>
      </w:r>
      <w:r w:rsidRPr="00803FC1">
        <w:rPr>
          <w:b/>
          <w:bCs/>
          <w:rtl/>
        </w:rPr>
        <w:t xml:space="preserve"> </w:t>
      </w:r>
      <w:r w:rsidRPr="00803FC1">
        <w:rPr>
          <w:rFonts w:hint="eastAsia"/>
          <w:b/>
          <w:bCs/>
          <w:rtl/>
        </w:rPr>
        <w:t>סם</w:t>
      </w:r>
      <w:r w:rsidRPr="00BB6388">
        <w:rPr>
          <w:rtl/>
        </w:rPr>
        <w:t xml:space="preserve">: </w:t>
      </w:r>
      <w:r w:rsidRPr="00BB6388">
        <w:rPr>
          <w:rFonts w:hint="eastAsia"/>
          <w:rtl/>
        </w:rPr>
        <w:t>כאמור</w:t>
      </w:r>
      <w:r w:rsidRPr="00BB6388">
        <w:rPr>
          <w:rtl/>
        </w:rPr>
        <w:t xml:space="preserve">, </w:t>
      </w:r>
      <w:r w:rsidRPr="00BB6388">
        <w:rPr>
          <w:rFonts w:hint="eastAsia"/>
          <w:rtl/>
        </w:rPr>
        <w:t>מסגרות</w:t>
      </w:r>
      <w:r w:rsidRPr="00BB6388">
        <w:rPr>
          <w:rtl/>
        </w:rPr>
        <w:t xml:space="preserve"> </w:t>
      </w:r>
      <w:r w:rsidRPr="00BB6388">
        <w:rPr>
          <w:rFonts w:hint="eastAsia"/>
          <w:rtl/>
        </w:rPr>
        <w:t>אלו</w:t>
      </w:r>
      <w:r w:rsidRPr="00BB6388">
        <w:rPr>
          <w:rtl/>
        </w:rPr>
        <w:t xml:space="preserve"> </w:t>
      </w:r>
      <w:r w:rsidRPr="00BB6388">
        <w:rPr>
          <w:rFonts w:hint="eastAsia"/>
          <w:rtl/>
        </w:rPr>
        <w:t>מיועדות</w:t>
      </w:r>
      <w:r w:rsidRPr="00BB6388">
        <w:rPr>
          <w:rtl/>
        </w:rPr>
        <w:t xml:space="preserve"> </w:t>
      </w:r>
      <w:r w:rsidRPr="00BB6388">
        <w:rPr>
          <w:rFonts w:hint="eastAsia"/>
          <w:rtl/>
        </w:rPr>
        <w:t>למכורים</w:t>
      </w:r>
      <w:r w:rsidRPr="00BB6388">
        <w:rPr>
          <w:rtl/>
        </w:rPr>
        <w:t xml:space="preserve"> </w:t>
      </w:r>
      <w:r w:rsidRPr="00BB6388">
        <w:rPr>
          <w:rFonts w:hint="eastAsia"/>
          <w:rtl/>
        </w:rPr>
        <w:t>שלא</w:t>
      </w:r>
      <w:r w:rsidRPr="00BB6388">
        <w:rPr>
          <w:rtl/>
        </w:rPr>
        <w:t xml:space="preserve"> </w:t>
      </w:r>
      <w:r w:rsidRPr="00BB6388">
        <w:rPr>
          <w:rFonts w:hint="eastAsia"/>
          <w:rtl/>
        </w:rPr>
        <w:t>הצליחו</w:t>
      </w:r>
      <w:r w:rsidRPr="00BB6388">
        <w:rPr>
          <w:rtl/>
        </w:rPr>
        <w:t xml:space="preserve"> </w:t>
      </w:r>
      <w:r w:rsidRPr="00BB6388">
        <w:rPr>
          <w:rFonts w:hint="eastAsia"/>
          <w:rtl/>
        </w:rPr>
        <w:t>להיגמל</w:t>
      </w:r>
      <w:r w:rsidRPr="00BB6388">
        <w:rPr>
          <w:rtl/>
        </w:rPr>
        <w:t xml:space="preserve"> </w:t>
      </w:r>
      <w:r w:rsidRPr="00BB6388">
        <w:rPr>
          <w:rFonts w:hint="eastAsia"/>
          <w:rtl/>
        </w:rPr>
        <w:t>באופן</w:t>
      </w:r>
      <w:r w:rsidRPr="00BB6388">
        <w:rPr>
          <w:rtl/>
        </w:rPr>
        <w:t xml:space="preserve"> </w:t>
      </w:r>
      <w:r w:rsidRPr="00BB6388">
        <w:rPr>
          <w:rFonts w:hint="eastAsia"/>
          <w:rtl/>
        </w:rPr>
        <w:t>מלא</w:t>
      </w:r>
      <w:r w:rsidRPr="00BB6388">
        <w:rPr>
          <w:rtl/>
        </w:rPr>
        <w:t xml:space="preserve"> </w:t>
      </w:r>
      <w:r w:rsidRPr="00BB6388">
        <w:rPr>
          <w:rFonts w:hint="eastAsia"/>
          <w:rtl/>
        </w:rPr>
        <w:t>משימוש</w:t>
      </w:r>
      <w:r w:rsidRPr="00BB6388">
        <w:rPr>
          <w:rtl/>
        </w:rPr>
        <w:t xml:space="preserve"> </w:t>
      </w:r>
      <w:r w:rsidRPr="00BB6388">
        <w:rPr>
          <w:rFonts w:hint="eastAsia"/>
          <w:rtl/>
        </w:rPr>
        <w:t>בסמים</w:t>
      </w:r>
      <w:r w:rsidRPr="00BB6388">
        <w:rPr>
          <w:rtl/>
        </w:rPr>
        <w:t xml:space="preserve">, </w:t>
      </w:r>
      <w:r w:rsidRPr="00BB6388">
        <w:rPr>
          <w:rFonts w:hint="eastAsia"/>
          <w:rtl/>
        </w:rPr>
        <w:t>בעיקר</w:t>
      </w:r>
      <w:r w:rsidRPr="00BB6388">
        <w:rPr>
          <w:rtl/>
        </w:rPr>
        <w:t xml:space="preserve"> </w:t>
      </w:r>
      <w:r w:rsidRPr="00BB6388">
        <w:rPr>
          <w:rFonts w:hint="eastAsia"/>
          <w:rtl/>
        </w:rPr>
        <w:t>הרואין</w:t>
      </w:r>
      <w:r w:rsidRPr="00BB6388">
        <w:rPr>
          <w:rtl/>
        </w:rPr>
        <w:t xml:space="preserve">, </w:t>
      </w:r>
      <w:r w:rsidRPr="00BB6388">
        <w:rPr>
          <w:rFonts w:hint="eastAsia"/>
          <w:rtl/>
        </w:rPr>
        <w:t>אחרי</w:t>
      </w:r>
      <w:r w:rsidRPr="00BB6388">
        <w:rPr>
          <w:rtl/>
        </w:rPr>
        <w:t xml:space="preserve"> </w:t>
      </w:r>
      <w:r w:rsidRPr="00BB6388">
        <w:rPr>
          <w:rFonts w:hint="eastAsia"/>
          <w:rtl/>
        </w:rPr>
        <w:t>ניסיונות</w:t>
      </w:r>
      <w:r w:rsidRPr="00BB6388">
        <w:rPr>
          <w:rtl/>
        </w:rPr>
        <w:t xml:space="preserve"> </w:t>
      </w:r>
      <w:r w:rsidRPr="00BB6388">
        <w:rPr>
          <w:rFonts w:hint="eastAsia"/>
          <w:rtl/>
        </w:rPr>
        <w:t>חוזרים</w:t>
      </w:r>
      <w:r w:rsidRPr="00BB6388">
        <w:rPr>
          <w:rtl/>
        </w:rPr>
        <w:t xml:space="preserve"> </w:t>
      </w:r>
      <w:r w:rsidRPr="00BB6388">
        <w:rPr>
          <w:rFonts w:hint="eastAsia"/>
          <w:rtl/>
        </w:rPr>
        <w:t>ונשנים</w:t>
      </w:r>
      <w:r w:rsidRPr="00BB6388">
        <w:rPr>
          <w:rtl/>
        </w:rPr>
        <w:t xml:space="preserve">. </w:t>
      </w:r>
      <w:r w:rsidRPr="00BB6388">
        <w:rPr>
          <w:rFonts w:hint="eastAsia"/>
          <w:rtl/>
        </w:rPr>
        <w:t>נוסף</w:t>
      </w:r>
      <w:r w:rsidRPr="00BB6388">
        <w:rPr>
          <w:rtl/>
        </w:rPr>
        <w:t xml:space="preserve"> </w:t>
      </w:r>
      <w:r w:rsidRPr="00BB6388">
        <w:rPr>
          <w:rFonts w:hint="eastAsia"/>
          <w:rtl/>
        </w:rPr>
        <w:t>על</w:t>
      </w:r>
      <w:r w:rsidRPr="00BB6388">
        <w:rPr>
          <w:rtl/>
        </w:rPr>
        <w:t xml:space="preserve"> </w:t>
      </w:r>
      <w:r w:rsidRPr="00BB6388">
        <w:rPr>
          <w:rFonts w:hint="eastAsia"/>
          <w:rtl/>
        </w:rPr>
        <w:t>הטיפול</w:t>
      </w:r>
      <w:r w:rsidRPr="00BB6388">
        <w:rPr>
          <w:rtl/>
        </w:rPr>
        <w:t xml:space="preserve"> </w:t>
      </w:r>
      <w:r w:rsidRPr="00BB6388">
        <w:rPr>
          <w:rFonts w:hint="eastAsia"/>
          <w:rtl/>
        </w:rPr>
        <w:t>התרופתי</w:t>
      </w:r>
      <w:r w:rsidRPr="00BB6388">
        <w:rPr>
          <w:rtl/>
        </w:rPr>
        <w:t xml:space="preserve">, </w:t>
      </w:r>
      <w:r w:rsidRPr="00BB6388">
        <w:rPr>
          <w:rFonts w:hint="eastAsia"/>
          <w:rtl/>
        </w:rPr>
        <w:t>מסתייעים</w:t>
      </w:r>
      <w:r w:rsidRPr="00BB6388">
        <w:rPr>
          <w:rtl/>
        </w:rPr>
        <w:t xml:space="preserve"> </w:t>
      </w:r>
      <w:r w:rsidRPr="00BB6388">
        <w:rPr>
          <w:rFonts w:hint="eastAsia"/>
          <w:rtl/>
        </w:rPr>
        <w:t>המטופלים</w:t>
      </w:r>
      <w:r w:rsidRPr="00BB6388">
        <w:rPr>
          <w:rtl/>
        </w:rPr>
        <w:t xml:space="preserve"> </w:t>
      </w:r>
      <w:r w:rsidRPr="00BB6388">
        <w:rPr>
          <w:rFonts w:hint="eastAsia"/>
          <w:rtl/>
        </w:rPr>
        <w:t>בליווי</w:t>
      </w:r>
      <w:r w:rsidRPr="00BB6388">
        <w:rPr>
          <w:rtl/>
        </w:rPr>
        <w:t xml:space="preserve"> </w:t>
      </w:r>
      <w:r w:rsidRPr="00BB6388">
        <w:rPr>
          <w:rFonts w:hint="eastAsia"/>
          <w:rtl/>
        </w:rPr>
        <w:t>פסיכוסוציאלי</w:t>
      </w:r>
      <w:r w:rsidRPr="00BB6388">
        <w:rPr>
          <w:rtl/>
        </w:rPr>
        <w:t xml:space="preserve">.  לא קיים טיפול תרופתי ממושך עבור נפגעי אלכוהול. </w:t>
      </w:r>
      <w:r w:rsidR="00D258B3" w:rsidRPr="004B1F5E">
        <w:rPr>
          <w:rFonts w:hint="cs"/>
          <w:rtl/>
        </w:rPr>
        <w:t xml:space="preserve">בטבלה מס' </w:t>
      </w:r>
      <w:r w:rsidR="004B1F5E" w:rsidRPr="004B1F5E">
        <w:rPr>
          <w:rFonts w:hint="cs"/>
          <w:rtl/>
        </w:rPr>
        <w:t>18</w:t>
      </w:r>
      <w:r w:rsidR="00D258B3" w:rsidRPr="00BB6388">
        <w:rPr>
          <w:rFonts w:hint="cs"/>
          <w:rtl/>
        </w:rPr>
        <w:t xml:space="preserve"> שלהלן מרכזים אלו נרשמו תחת הקטגוריה 'רפואי אמבולטורי'.</w:t>
      </w:r>
    </w:p>
    <w:p w:rsidR="001F1DB0" w:rsidRPr="00BB6388" w:rsidRDefault="00463312" w:rsidP="000822D6">
      <w:pPr>
        <w:spacing w:line="360" w:lineRule="auto"/>
        <w:rPr>
          <w:rtl/>
        </w:rPr>
      </w:pPr>
      <w:r w:rsidRPr="0065686F">
        <w:rPr>
          <w:rFonts w:hint="cs"/>
          <w:rtl/>
        </w:rPr>
        <w:t>במכתב מה- 15 ביוני 2015 נמסר מהמחלקה לטיפול בהתמכרויות</w:t>
      </w:r>
      <w:r w:rsidR="00AC3530" w:rsidRPr="0065686F">
        <w:rPr>
          <w:rFonts w:hint="cs"/>
          <w:rtl/>
        </w:rPr>
        <w:t xml:space="preserve"> </w:t>
      </w:r>
      <w:r w:rsidRPr="0065686F">
        <w:rPr>
          <w:rFonts w:hint="cs"/>
          <w:rtl/>
        </w:rPr>
        <w:t xml:space="preserve">כי </w:t>
      </w:r>
      <w:r w:rsidR="00C254C6" w:rsidRPr="0065686F">
        <w:rPr>
          <w:rFonts w:hint="cs"/>
          <w:b/>
          <w:bCs/>
          <w:rtl/>
        </w:rPr>
        <w:t>ישנם בישראל</w:t>
      </w:r>
      <w:r w:rsidR="00C254C6" w:rsidRPr="0065686F">
        <w:rPr>
          <w:rFonts w:hint="cs"/>
          <w:rtl/>
        </w:rPr>
        <w:t xml:space="preserve"> </w:t>
      </w:r>
      <w:r w:rsidR="002559A4" w:rsidRPr="0065686F">
        <w:rPr>
          <w:rFonts w:hint="cs"/>
          <w:b/>
          <w:bCs/>
          <w:rtl/>
        </w:rPr>
        <w:t>58</w:t>
      </w:r>
      <w:r w:rsidR="006C467B" w:rsidRPr="0065686F">
        <w:rPr>
          <w:rFonts w:hint="cs"/>
          <w:b/>
          <w:bCs/>
          <w:rtl/>
        </w:rPr>
        <w:t xml:space="preserve"> מוסדות לטיפול במכורים לסמים ואלכוהול</w:t>
      </w:r>
      <w:r w:rsidR="00C254C6" w:rsidRPr="0065686F">
        <w:rPr>
          <w:rFonts w:hint="cs"/>
          <w:b/>
          <w:bCs/>
          <w:rtl/>
        </w:rPr>
        <w:t xml:space="preserve"> תחת פיקוח משרד הבריאות</w:t>
      </w:r>
      <w:r w:rsidR="006C467B" w:rsidRPr="0065686F">
        <w:rPr>
          <w:rFonts w:hint="cs"/>
          <w:b/>
          <w:bCs/>
          <w:rtl/>
        </w:rPr>
        <w:t>;</w:t>
      </w:r>
      <w:r w:rsidRPr="0065686F">
        <w:rPr>
          <w:rStyle w:val="ab"/>
          <w:rtl/>
        </w:rPr>
        <w:footnoteReference w:id="276"/>
      </w:r>
      <w:r w:rsidR="006C467B" w:rsidRPr="0065686F">
        <w:rPr>
          <w:rFonts w:hint="cs"/>
          <w:b/>
          <w:bCs/>
          <w:rtl/>
        </w:rPr>
        <w:t xml:space="preserve"> </w:t>
      </w:r>
      <w:r w:rsidR="006C467B" w:rsidRPr="0065686F">
        <w:rPr>
          <w:rFonts w:hint="cs"/>
          <w:rtl/>
        </w:rPr>
        <w:t xml:space="preserve">טבלה מס' </w:t>
      </w:r>
      <w:r w:rsidR="00C435CF" w:rsidRPr="0065686F">
        <w:rPr>
          <w:rFonts w:hint="cs"/>
          <w:rtl/>
        </w:rPr>
        <w:t>17</w:t>
      </w:r>
      <w:r w:rsidR="006C467B" w:rsidRPr="0065686F">
        <w:rPr>
          <w:rFonts w:hint="cs"/>
          <w:rtl/>
        </w:rPr>
        <w:t xml:space="preserve"> מפרטת את רשימת המוסדות לטיפול במכורים </w:t>
      </w:r>
      <w:r w:rsidR="00C0178F" w:rsidRPr="0065686F">
        <w:rPr>
          <w:rFonts w:hint="cs"/>
          <w:rtl/>
        </w:rPr>
        <w:t xml:space="preserve">הן </w:t>
      </w:r>
      <w:r w:rsidR="006C467B" w:rsidRPr="0065686F">
        <w:rPr>
          <w:rFonts w:hint="cs"/>
          <w:rtl/>
        </w:rPr>
        <w:t>לסמים ו</w:t>
      </w:r>
      <w:r w:rsidR="00C0178F" w:rsidRPr="0065686F">
        <w:rPr>
          <w:rFonts w:hint="cs"/>
          <w:rtl/>
        </w:rPr>
        <w:t xml:space="preserve">הן </w:t>
      </w:r>
      <w:r w:rsidR="006C467B" w:rsidRPr="0065686F">
        <w:rPr>
          <w:rFonts w:hint="cs"/>
          <w:rtl/>
        </w:rPr>
        <w:t>לאלכוהול</w:t>
      </w:r>
      <w:r w:rsidR="00C254C6" w:rsidRPr="0065686F">
        <w:rPr>
          <w:rFonts w:hint="cs"/>
          <w:rtl/>
        </w:rPr>
        <w:t>, והן המציעים שרותים לשני סוגי ההתמכרויות,</w:t>
      </w:r>
      <w:r w:rsidR="006C467B" w:rsidRPr="0065686F">
        <w:rPr>
          <w:rFonts w:hint="cs"/>
          <w:rtl/>
        </w:rPr>
        <w:t xml:space="preserve"> </w:t>
      </w:r>
      <w:r w:rsidR="00CE108F" w:rsidRPr="0065686F">
        <w:rPr>
          <w:rFonts w:hint="cs"/>
          <w:rtl/>
        </w:rPr>
        <w:t>הנ</w:t>
      </w:r>
      <w:r w:rsidR="006C467B" w:rsidRPr="0065686F">
        <w:rPr>
          <w:rFonts w:hint="cs"/>
          <w:rtl/>
        </w:rPr>
        <w:t xml:space="preserve">מצאים בפיקוח משרד הבריאות, </w:t>
      </w:r>
      <w:r w:rsidR="00C254C6" w:rsidRPr="0065686F">
        <w:rPr>
          <w:rFonts w:hint="cs"/>
          <w:rtl/>
        </w:rPr>
        <w:t xml:space="preserve">וזאת </w:t>
      </w:r>
      <w:r w:rsidR="006C467B" w:rsidRPr="0065686F">
        <w:rPr>
          <w:rFonts w:hint="cs"/>
          <w:rtl/>
        </w:rPr>
        <w:t xml:space="preserve">בחלוקה לסוג </w:t>
      </w:r>
      <w:r w:rsidR="003226E5" w:rsidRPr="0065686F">
        <w:rPr>
          <w:rFonts w:hint="cs"/>
          <w:rtl/>
        </w:rPr>
        <w:t xml:space="preserve">מוסד ומחוזות, נכון </w:t>
      </w:r>
      <w:r w:rsidR="00CE108F" w:rsidRPr="0065686F">
        <w:rPr>
          <w:rFonts w:hint="cs"/>
          <w:rtl/>
        </w:rPr>
        <w:t>ליוני</w:t>
      </w:r>
      <w:r w:rsidR="003226E5" w:rsidRPr="0065686F">
        <w:rPr>
          <w:rFonts w:hint="cs"/>
          <w:rtl/>
        </w:rPr>
        <w:t xml:space="preserve"> 2015</w:t>
      </w:r>
      <w:r w:rsidR="00390413" w:rsidRPr="0065686F">
        <w:rPr>
          <w:rFonts w:hint="cs"/>
          <w:rtl/>
        </w:rPr>
        <w:t xml:space="preserve">. </w:t>
      </w:r>
      <w:r w:rsidR="00CE108F" w:rsidRPr="0065686F">
        <w:rPr>
          <w:rFonts w:hint="cs"/>
          <w:rtl/>
        </w:rPr>
        <w:t xml:space="preserve">יצויין כי בנוסף למוסדות אלו </w:t>
      </w:r>
      <w:r w:rsidR="000822D6" w:rsidRPr="0065686F">
        <w:rPr>
          <w:rFonts w:hint="cs"/>
          <w:rtl/>
        </w:rPr>
        <w:t>מטפל משרד הבריאות</w:t>
      </w:r>
      <w:r w:rsidR="009B7F64" w:rsidRPr="0065686F">
        <w:rPr>
          <w:rFonts w:hint="cs"/>
          <w:rtl/>
        </w:rPr>
        <w:t>, בשיתוף עם הרשויות המקומיות,</w:t>
      </w:r>
      <w:r w:rsidR="000822D6" w:rsidRPr="0065686F">
        <w:rPr>
          <w:rFonts w:hint="cs"/>
          <w:rtl/>
        </w:rPr>
        <w:t xml:space="preserve"> ב</w:t>
      </w:r>
      <w:r w:rsidR="009B7F64" w:rsidRPr="0065686F">
        <w:rPr>
          <w:rFonts w:hint="cs"/>
          <w:rtl/>
        </w:rPr>
        <w:t>מוסדות נוספים הנמצאים בשלבים שונים של הליכי רישוי והיתר מצד המשרד</w:t>
      </w:r>
      <w:r w:rsidR="00CE108F" w:rsidRPr="0065686F">
        <w:rPr>
          <w:rFonts w:hint="cs"/>
          <w:rtl/>
        </w:rPr>
        <w:t>.</w:t>
      </w:r>
      <w:r w:rsidR="009B7F64" w:rsidRPr="0065686F">
        <w:rPr>
          <w:rStyle w:val="ab"/>
          <w:rtl/>
        </w:rPr>
        <w:footnoteReference w:id="277"/>
      </w:r>
    </w:p>
    <w:p w:rsidR="006C467B" w:rsidRDefault="005A2190" w:rsidP="005A2190">
      <w:pPr>
        <w:pStyle w:val="af2"/>
        <w:jc w:val="center"/>
        <w:rPr>
          <w:sz w:val="24"/>
          <w:szCs w:val="24"/>
          <w:rtl/>
        </w:rPr>
      </w:pPr>
      <w:bookmarkStart w:id="317" w:name="_Toc418585115"/>
      <w:bookmarkStart w:id="318" w:name="_Toc419963168"/>
      <w:r w:rsidRPr="005A2190">
        <w:rPr>
          <w:sz w:val="24"/>
          <w:szCs w:val="24"/>
          <w:rtl/>
        </w:rPr>
        <w:t xml:space="preserve">טבלה </w:t>
      </w:r>
      <w:r w:rsidRPr="005A2190">
        <w:rPr>
          <w:sz w:val="24"/>
          <w:szCs w:val="24"/>
          <w:rtl/>
        </w:rPr>
        <w:fldChar w:fldCharType="begin"/>
      </w:r>
      <w:r w:rsidRPr="005A2190">
        <w:rPr>
          <w:sz w:val="24"/>
          <w:szCs w:val="24"/>
          <w:rtl/>
        </w:rPr>
        <w:instrText xml:space="preserve"> </w:instrText>
      </w:r>
      <w:r w:rsidRPr="005A2190">
        <w:rPr>
          <w:rFonts w:hint="cs"/>
          <w:sz w:val="24"/>
          <w:szCs w:val="24"/>
        </w:rPr>
        <w:instrText>SEQ</w:instrText>
      </w:r>
      <w:r w:rsidRPr="005A2190">
        <w:rPr>
          <w:rFonts w:hint="cs"/>
          <w:sz w:val="24"/>
          <w:szCs w:val="24"/>
          <w:rtl/>
        </w:rPr>
        <w:instrText xml:space="preserve"> טבלה \* </w:instrText>
      </w:r>
      <w:r w:rsidRPr="005A2190">
        <w:rPr>
          <w:rFonts w:hint="cs"/>
          <w:sz w:val="24"/>
          <w:szCs w:val="24"/>
        </w:rPr>
        <w:instrText>ARABIC</w:instrText>
      </w:r>
      <w:r w:rsidRPr="005A2190">
        <w:rPr>
          <w:sz w:val="24"/>
          <w:szCs w:val="24"/>
          <w:rtl/>
        </w:rPr>
        <w:instrText xml:space="preserve"> </w:instrText>
      </w:r>
      <w:r w:rsidRPr="005A2190">
        <w:rPr>
          <w:sz w:val="24"/>
          <w:szCs w:val="24"/>
          <w:rtl/>
        </w:rPr>
        <w:fldChar w:fldCharType="separate"/>
      </w:r>
      <w:r w:rsidR="007347AB">
        <w:rPr>
          <w:noProof/>
          <w:sz w:val="24"/>
          <w:szCs w:val="24"/>
          <w:rtl/>
        </w:rPr>
        <w:t>17</w:t>
      </w:r>
      <w:r w:rsidRPr="005A2190">
        <w:rPr>
          <w:sz w:val="24"/>
          <w:szCs w:val="24"/>
          <w:rtl/>
        </w:rPr>
        <w:fldChar w:fldCharType="end"/>
      </w:r>
      <w:r w:rsidR="006C467B" w:rsidRPr="005A2190">
        <w:rPr>
          <w:rFonts w:hint="cs"/>
          <w:sz w:val="24"/>
          <w:szCs w:val="24"/>
          <w:rtl/>
        </w:rPr>
        <w:t>: מוסדות לטיפול במכורים לסמים ואלכוהול שיש להם רישיון והם בפיקוח משרד הבריאות, בחלוקה לסוג מוסד ומחוזות, 2015</w:t>
      </w:r>
      <w:r w:rsidR="006C467B" w:rsidRPr="00514D87">
        <w:rPr>
          <w:rStyle w:val="ab"/>
          <w:b w:val="0"/>
          <w:bCs w:val="0"/>
          <w:rtl/>
        </w:rPr>
        <w:footnoteReference w:id="278"/>
      </w:r>
      <w:bookmarkEnd w:id="317"/>
      <w:bookmarkEnd w:id="318"/>
    </w:p>
    <w:tbl>
      <w:tblPr>
        <w:tblStyle w:val="afff5"/>
        <w:bidiVisual/>
        <w:tblW w:w="4861" w:type="pct"/>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1046"/>
        <w:gridCol w:w="1278"/>
        <w:gridCol w:w="804"/>
        <w:gridCol w:w="828"/>
        <w:gridCol w:w="843"/>
        <w:gridCol w:w="804"/>
        <w:gridCol w:w="828"/>
        <w:gridCol w:w="835"/>
        <w:gridCol w:w="828"/>
        <w:gridCol w:w="826"/>
      </w:tblGrid>
      <w:tr w:rsidR="006F5B1E" w:rsidRPr="00B429F2" w:rsidTr="006F5B1E">
        <w:trPr>
          <w:tblHeader/>
          <w:tblCellSpacing w:w="20" w:type="dxa"/>
          <w:jc w:val="center"/>
        </w:trPr>
        <w:tc>
          <w:tcPr>
            <w:tcW w:w="512" w:type="pct"/>
            <w:vMerge w:val="restart"/>
            <w:shd w:val="clear" w:color="auto" w:fill="auto"/>
          </w:tcPr>
          <w:p w:rsidR="006F5EAC" w:rsidRPr="002E3135" w:rsidRDefault="006F5EAC" w:rsidP="0069129F">
            <w:pPr>
              <w:spacing w:before="60" w:after="0" w:line="240" w:lineRule="auto"/>
              <w:rPr>
                <w:b/>
                <w:bCs/>
                <w:sz w:val="22"/>
                <w:szCs w:val="22"/>
                <w:rtl/>
              </w:rPr>
            </w:pPr>
            <w:r w:rsidRPr="002E3135">
              <w:rPr>
                <w:rFonts w:hint="cs"/>
                <w:b/>
                <w:bCs/>
                <w:sz w:val="22"/>
                <w:szCs w:val="22"/>
                <w:rtl/>
              </w:rPr>
              <w:t>מחוז</w:t>
            </w:r>
          </w:p>
        </w:tc>
        <w:tc>
          <w:tcPr>
            <w:tcW w:w="740" w:type="pct"/>
            <w:vMerge w:val="restart"/>
            <w:shd w:val="clear" w:color="auto" w:fill="auto"/>
          </w:tcPr>
          <w:p w:rsidR="006F5EAC" w:rsidRPr="002E3135" w:rsidRDefault="006F5EAC" w:rsidP="0069129F">
            <w:pPr>
              <w:spacing w:before="60" w:after="0" w:line="240" w:lineRule="auto"/>
              <w:rPr>
                <w:b/>
                <w:bCs/>
                <w:sz w:val="22"/>
                <w:szCs w:val="22"/>
                <w:rtl/>
              </w:rPr>
            </w:pPr>
            <w:r w:rsidRPr="002E3135">
              <w:rPr>
                <w:rFonts w:hint="cs"/>
                <w:b/>
                <w:bCs/>
                <w:sz w:val="22"/>
                <w:szCs w:val="22"/>
                <w:rtl/>
              </w:rPr>
              <w:t>סוג מרכז הגמילה</w:t>
            </w:r>
          </w:p>
        </w:tc>
        <w:tc>
          <w:tcPr>
            <w:tcW w:w="1370" w:type="pct"/>
            <w:gridSpan w:val="3"/>
            <w:shd w:val="clear" w:color="auto" w:fill="auto"/>
            <w:vAlign w:val="center"/>
          </w:tcPr>
          <w:p w:rsidR="006F5EAC" w:rsidRPr="002E3135" w:rsidRDefault="006F5EAC" w:rsidP="0069129F">
            <w:pPr>
              <w:spacing w:before="60" w:after="0" w:line="240" w:lineRule="auto"/>
              <w:jc w:val="center"/>
              <w:rPr>
                <w:b/>
                <w:bCs/>
                <w:sz w:val="22"/>
                <w:szCs w:val="22"/>
                <w:rtl/>
              </w:rPr>
            </w:pPr>
            <w:r w:rsidRPr="002E3135">
              <w:rPr>
                <w:rFonts w:hint="cs"/>
                <w:b/>
                <w:bCs/>
                <w:sz w:val="22"/>
                <w:szCs w:val="22"/>
                <w:rtl/>
              </w:rPr>
              <w:t>סמים</w:t>
            </w:r>
          </w:p>
        </w:tc>
        <w:tc>
          <w:tcPr>
            <w:tcW w:w="1365" w:type="pct"/>
            <w:gridSpan w:val="3"/>
            <w:shd w:val="clear" w:color="auto" w:fill="auto"/>
            <w:vAlign w:val="center"/>
          </w:tcPr>
          <w:p w:rsidR="006F5EAC" w:rsidRPr="002E3135" w:rsidRDefault="006F5EAC" w:rsidP="0069129F">
            <w:pPr>
              <w:spacing w:before="60" w:after="0" w:line="240" w:lineRule="auto"/>
              <w:jc w:val="center"/>
              <w:rPr>
                <w:b/>
                <w:bCs/>
                <w:sz w:val="22"/>
                <w:szCs w:val="22"/>
                <w:rtl/>
              </w:rPr>
            </w:pPr>
            <w:r w:rsidRPr="002E3135">
              <w:rPr>
                <w:rFonts w:hint="cs"/>
                <w:b/>
                <w:bCs/>
                <w:sz w:val="22"/>
                <w:szCs w:val="22"/>
                <w:rtl/>
              </w:rPr>
              <w:t>אלכוהול</w:t>
            </w:r>
          </w:p>
        </w:tc>
        <w:tc>
          <w:tcPr>
            <w:tcW w:w="436" w:type="pct"/>
            <w:vMerge w:val="restart"/>
            <w:shd w:val="clear" w:color="auto" w:fill="auto"/>
            <w:vAlign w:val="center"/>
          </w:tcPr>
          <w:p w:rsidR="006F5EAC" w:rsidRPr="002E3135" w:rsidRDefault="006F5EAC" w:rsidP="0069129F">
            <w:pPr>
              <w:spacing w:before="60" w:after="0" w:line="240" w:lineRule="auto"/>
              <w:jc w:val="center"/>
              <w:rPr>
                <w:b/>
                <w:bCs/>
                <w:sz w:val="22"/>
                <w:szCs w:val="22"/>
                <w:rtl/>
              </w:rPr>
            </w:pPr>
            <w:r w:rsidRPr="002E3135">
              <w:rPr>
                <w:rFonts w:hint="cs"/>
                <w:b/>
                <w:bCs/>
                <w:sz w:val="22"/>
                <w:szCs w:val="22"/>
                <w:rtl/>
              </w:rPr>
              <w:t>משולב</w:t>
            </w:r>
          </w:p>
        </w:tc>
        <w:tc>
          <w:tcPr>
            <w:tcW w:w="423" w:type="pct"/>
            <w:vMerge w:val="restart"/>
            <w:shd w:val="clear" w:color="auto" w:fill="auto"/>
            <w:vAlign w:val="center"/>
          </w:tcPr>
          <w:p w:rsidR="006F5EAC" w:rsidRPr="002E3135" w:rsidRDefault="006F5EAC" w:rsidP="0069129F">
            <w:pPr>
              <w:spacing w:before="60" w:after="0" w:line="240" w:lineRule="auto"/>
              <w:jc w:val="center"/>
              <w:rPr>
                <w:b/>
                <w:bCs/>
                <w:sz w:val="22"/>
                <w:szCs w:val="22"/>
                <w:rtl/>
              </w:rPr>
            </w:pPr>
            <w:r w:rsidRPr="002E3135">
              <w:rPr>
                <w:rFonts w:hint="cs"/>
                <w:b/>
                <w:bCs/>
                <w:sz w:val="22"/>
                <w:szCs w:val="22"/>
                <w:rtl/>
              </w:rPr>
              <w:t>סה"כ</w:t>
            </w:r>
          </w:p>
        </w:tc>
      </w:tr>
      <w:tr w:rsidR="006F5B1E" w:rsidRPr="00B429F2" w:rsidTr="006F5B1E">
        <w:trPr>
          <w:tblHeader/>
          <w:tblCellSpacing w:w="20" w:type="dxa"/>
          <w:jc w:val="center"/>
        </w:trPr>
        <w:tc>
          <w:tcPr>
            <w:tcW w:w="512" w:type="pct"/>
            <w:vMerge/>
            <w:shd w:val="clear" w:color="auto" w:fill="auto"/>
          </w:tcPr>
          <w:p w:rsidR="006F5EAC" w:rsidRPr="002E3135" w:rsidRDefault="006F5EAC" w:rsidP="0069129F">
            <w:pPr>
              <w:spacing w:before="60" w:after="0" w:line="240" w:lineRule="auto"/>
              <w:rPr>
                <w:b/>
                <w:bCs/>
                <w:sz w:val="22"/>
                <w:szCs w:val="22"/>
                <w:rtl/>
              </w:rPr>
            </w:pPr>
          </w:p>
        </w:tc>
        <w:tc>
          <w:tcPr>
            <w:tcW w:w="740" w:type="pct"/>
            <w:vMerge/>
            <w:shd w:val="clear" w:color="auto" w:fill="auto"/>
          </w:tcPr>
          <w:p w:rsidR="006F5EAC" w:rsidRPr="002E3135" w:rsidRDefault="006F5EAC" w:rsidP="0069129F">
            <w:pPr>
              <w:spacing w:before="60" w:after="0" w:line="240" w:lineRule="auto"/>
              <w:rPr>
                <w:b/>
                <w:bCs/>
                <w:sz w:val="22"/>
                <w:szCs w:val="22"/>
                <w:rtl/>
              </w:rPr>
            </w:pPr>
          </w:p>
        </w:tc>
        <w:tc>
          <w:tcPr>
            <w:tcW w:w="422" w:type="pct"/>
            <w:shd w:val="clear" w:color="auto" w:fill="auto"/>
            <w:vAlign w:val="center"/>
          </w:tcPr>
          <w:p w:rsidR="006F5EAC" w:rsidRPr="002E3135" w:rsidRDefault="006F5EAC" w:rsidP="0069129F">
            <w:pPr>
              <w:spacing w:before="60" w:after="0" w:line="240" w:lineRule="auto"/>
              <w:jc w:val="center"/>
              <w:rPr>
                <w:b/>
                <w:bCs/>
                <w:sz w:val="22"/>
                <w:szCs w:val="22"/>
                <w:rtl/>
              </w:rPr>
            </w:pPr>
            <w:r>
              <w:rPr>
                <w:rFonts w:hint="cs"/>
                <w:b/>
                <w:bCs/>
                <w:sz w:val="22"/>
                <w:szCs w:val="22"/>
                <w:rtl/>
              </w:rPr>
              <w:t>ציבורי</w:t>
            </w:r>
          </w:p>
        </w:tc>
        <w:tc>
          <w:tcPr>
            <w:tcW w:w="436" w:type="pct"/>
            <w:shd w:val="clear" w:color="auto" w:fill="auto"/>
            <w:vAlign w:val="center"/>
          </w:tcPr>
          <w:p w:rsidR="006F5EAC" w:rsidRPr="002E3135" w:rsidRDefault="006F5EAC" w:rsidP="0069129F">
            <w:pPr>
              <w:spacing w:before="60" w:after="0" w:line="240" w:lineRule="auto"/>
              <w:jc w:val="center"/>
              <w:rPr>
                <w:b/>
                <w:bCs/>
                <w:sz w:val="22"/>
                <w:szCs w:val="22"/>
                <w:rtl/>
              </w:rPr>
            </w:pPr>
            <w:r w:rsidRPr="002E3135">
              <w:rPr>
                <w:rFonts w:hint="cs"/>
                <w:b/>
                <w:bCs/>
                <w:sz w:val="22"/>
                <w:szCs w:val="22"/>
                <w:rtl/>
              </w:rPr>
              <w:t>מלכ"ר</w:t>
            </w:r>
          </w:p>
        </w:tc>
        <w:tc>
          <w:tcPr>
            <w:tcW w:w="468" w:type="pct"/>
            <w:shd w:val="clear" w:color="auto" w:fill="auto"/>
            <w:vAlign w:val="center"/>
          </w:tcPr>
          <w:p w:rsidR="006F5EAC" w:rsidRPr="002E3135" w:rsidRDefault="006F5EAC" w:rsidP="0069129F">
            <w:pPr>
              <w:spacing w:before="60" w:after="0" w:line="240" w:lineRule="auto"/>
              <w:jc w:val="center"/>
              <w:rPr>
                <w:b/>
                <w:bCs/>
                <w:sz w:val="22"/>
                <w:szCs w:val="22"/>
                <w:rtl/>
              </w:rPr>
            </w:pPr>
            <w:r w:rsidRPr="002E3135">
              <w:rPr>
                <w:rFonts w:hint="cs"/>
                <w:b/>
                <w:bCs/>
                <w:sz w:val="22"/>
                <w:szCs w:val="22"/>
                <w:rtl/>
              </w:rPr>
              <w:t>פרטי</w:t>
            </w:r>
          </w:p>
        </w:tc>
        <w:tc>
          <w:tcPr>
            <w:tcW w:w="422" w:type="pct"/>
            <w:shd w:val="clear" w:color="auto" w:fill="auto"/>
            <w:vAlign w:val="center"/>
          </w:tcPr>
          <w:p w:rsidR="006F5EAC" w:rsidRPr="002E3135" w:rsidRDefault="006F5EAC" w:rsidP="0069129F">
            <w:pPr>
              <w:spacing w:before="60" w:after="0" w:line="240" w:lineRule="auto"/>
              <w:jc w:val="center"/>
              <w:rPr>
                <w:b/>
                <w:bCs/>
                <w:sz w:val="22"/>
                <w:szCs w:val="22"/>
                <w:rtl/>
              </w:rPr>
            </w:pPr>
            <w:r>
              <w:rPr>
                <w:rFonts w:hint="cs"/>
                <w:b/>
                <w:bCs/>
                <w:sz w:val="22"/>
                <w:szCs w:val="22"/>
                <w:rtl/>
              </w:rPr>
              <w:t>ציבורי</w:t>
            </w:r>
          </w:p>
        </w:tc>
        <w:tc>
          <w:tcPr>
            <w:tcW w:w="436" w:type="pct"/>
            <w:shd w:val="clear" w:color="auto" w:fill="auto"/>
            <w:vAlign w:val="center"/>
          </w:tcPr>
          <w:p w:rsidR="006F5EAC" w:rsidRPr="002E3135" w:rsidRDefault="006F5EAC" w:rsidP="0069129F">
            <w:pPr>
              <w:spacing w:before="60" w:after="0" w:line="240" w:lineRule="auto"/>
              <w:jc w:val="center"/>
              <w:rPr>
                <w:b/>
                <w:bCs/>
                <w:sz w:val="22"/>
                <w:szCs w:val="22"/>
                <w:rtl/>
              </w:rPr>
            </w:pPr>
            <w:r w:rsidRPr="002E3135">
              <w:rPr>
                <w:rFonts w:hint="cs"/>
                <w:b/>
                <w:bCs/>
                <w:sz w:val="22"/>
                <w:szCs w:val="22"/>
                <w:rtl/>
              </w:rPr>
              <w:t>מלכ"ר</w:t>
            </w:r>
          </w:p>
        </w:tc>
        <w:tc>
          <w:tcPr>
            <w:tcW w:w="463" w:type="pct"/>
            <w:shd w:val="clear" w:color="auto" w:fill="auto"/>
            <w:vAlign w:val="center"/>
          </w:tcPr>
          <w:p w:rsidR="006F5EAC" w:rsidRPr="002E3135" w:rsidRDefault="006F5EAC" w:rsidP="0069129F">
            <w:pPr>
              <w:spacing w:before="60" w:after="0" w:line="240" w:lineRule="auto"/>
              <w:jc w:val="center"/>
              <w:rPr>
                <w:b/>
                <w:bCs/>
                <w:sz w:val="22"/>
                <w:szCs w:val="22"/>
                <w:rtl/>
              </w:rPr>
            </w:pPr>
            <w:r w:rsidRPr="002E3135">
              <w:rPr>
                <w:rFonts w:hint="cs"/>
                <w:b/>
                <w:bCs/>
                <w:sz w:val="22"/>
                <w:szCs w:val="22"/>
                <w:rtl/>
              </w:rPr>
              <w:t>פרטי</w:t>
            </w:r>
          </w:p>
        </w:tc>
        <w:tc>
          <w:tcPr>
            <w:tcW w:w="436" w:type="pct"/>
            <w:vMerge/>
            <w:shd w:val="clear" w:color="auto" w:fill="auto"/>
            <w:vAlign w:val="center"/>
          </w:tcPr>
          <w:p w:rsidR="006F5EAC" w:rsidRPr="002E3135" w:rsidRDefault="006F5EAC" w:rsidP="0069129F">
            <w:pPr>
              <w:spacing w:before="60" w:after="0" w:line="240" w:lineRule="auto"/>
              <w:jc w:val="center"/>
              <w:rPr>
                <w:b/>
                <w:bCs/>
                <w:sz w:val="22"/>
                <w:szCs w:val="22"/>
                <w:rtl/>
              </w:rPr>
            </w:pPr>
          </w:p>
        </w:tc>
        <w:tc>
          <w:tcPr>
            <w:tcW w:w="423" w:type="pct"/>
            <w:vMerge/>
            <w:shd w:val="clear" w:color="auto" w:fill="auto"/>
            <w:vAlign w:val="center"/>
          </w:tcPr>
          <w:p w:rsidR="006F5EAC" w:rsidRPr="002E3135" w:rsidRDefault="006F5EAC" w:rsidP="0069129F">
            <w:pPr>
              <w:spacing w:before="60" w:after="0" w:line="240" w:lineRule="auto"/>
              <w:jc w:val="center"/>
              <w:rPr>
                <w:b/>
                <w:bCs/>
                <w:sz w:val="22"/>
                <w:szCs w:val="22"/>
                <w:rtl/>
              </w:rPr>
            </w:pPr>
          </w:p>
        </w:tc>
      </w:tr>
      <w:tr w:rsidR="006F5B1E" w:rsidRPr="00B429F2" w:rsidTr="006F5B1E">
        <w:trPr>
          <w:tblCellSpacing w:w="20" w:type="dxa"/>
          <w:jc w:val="center"/>
        </w:trPr>
        <w:tc>
          <w:tcPr>
            <w:tcW w:w="512" w:type="pct"/>
            <w:vMerge w:val="restart"/>
            <w:shd w:val="clear" w:color="auto" w:fill="auto"/>
          </w:tcPr>
          <w:p w:rsidR="006F5EAC" w:rsidRPr="002E3135" w:rsidRDefault="006F5EAC" w:rsidP="0069129F">
            <w:pPr>
              <w:spacing w:before="60" w:after="0" w:line="240" w:lineRule="auto"/>
              <w:rPr>
                <w:b/>
                <w:bCs/>
                <w:sz w:val="22"/>
                <w:szCs w:val="22"/>
                <w:rtl/>
              </w:rPr>
            </w:pPr>
            <w:r w:rsidRPr="002E3135">
              <w:rPr>
                <w:rFonts w:hint="cs"/>
                <w:b/>
                <w:bCs/>
                <w:sz w:val="22"/>
                <w:szCs w:val="22"/>
                <w:rtl/>
              </w:rPr>
              <w:t>דרום</w:t>
            </w:r>
          </w:p>
        </w:tc>
        <w:tc>
          <w:tcPr>
            <w:tcW w:w="740" w:type="pct"/>
            <w:shd w:val="clear" w:color="auto" w:fill="auto"/>
          </w:tcPr>
          <w:p w:rsidR="006F5EAC" w:rsidRPr="00B429F2" w:rsidRDefault="006F5EAC" w:rsidP="006F5B1E">
            <w:pPr>
              <w:spacing w:before="60" w:after="0" w:line="240" w:lineRule="auto"/>
              <w:rPr>
                <w:sz w:val="22"/>
                <w:szCs w:val="22"/>
                <w:rtl/>
              </w:rPr>
            </w:pPr>
            <w:r w:rsidRPr="00B429F2">
              <w:rPr>
                <w:rFonts w:hint="cs"/>
                <w:sz w:val="22"/>
                <w:szCs w:val="22"/>
                <w:rtl/>
              </w:rPr>
              <w:t xml:space="preserve">רפואי </w:t>
            </w:r>
            <w:r w:rsidR="006F5B1E">
              <w:rPr>
                <w:rFonts w:hint="cs"/>
                <w:sz w:val="22"/>
                <w:szCs w:val="22"/>
                <w:rtl/>
              </w:rPr>
              <w:t>א</w:t>
            </w:r>
            <w:r w:rsidRPr="00B429F2">
              <w:rPr>
                <w:rFonts w:hint="cs"/>
                <w:sz w:val="22"/>
                <w:szCs w:val="22"/>
                <w:rtl/>
              </w:rPr>
              <w:t>שפוזי</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1</w:t>
            </w:r>
            <w:r>
              <w:rPr>
                <w:rStyle w:val="ab"/>
                <w:sz w:val="22"/>
                <w:szCs w:val="22"/>
                <w:rtl/>
              </w:rPr>
              <w:footnoteReference w:id="279"/>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1</w:t>
            </w:r>
            <w:r>
              <w:rPr>
                <w:rStyle w:val="ab"/>
                <w:sz w:val="22"/>
                <w:szCs w:val="22"/>
                <w:rtl/>
              </w:rPr>
              <w:footnoteReference w:id="280"/>
            </w:r>
          </w:p>
        </w:tc>
        <w:tc>
          <w:tcPr>
            <w:tcW w:w="468"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2</w:t>
            </w:r>
            <w:r>
              <w:rPr>
                <w:rStyle w:val="ab"/>
                <w:sz w:val="22"/>
                <w:szCs w:val="22"/>
                <w:rtl/>
              </w:rPr>
              <w:footnoteReference w:id="281"/>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6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2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4</w:t>
            </w:r>
          </w:p>
        </w:tc>
      </w:tr>
      <w:tr w:rsidR="006F5B1E" w:rsidRPr="00B429F2" w:rsidTr="006F5B1E">
        <w:trPr>
          <w:tblCellSpacing w:w="20" w:type="dxa"/>
          <w:jc w:val="center"/>
        </w:trPr>
        <w:tc>
          <w:tcPr>
            <w:tcW w:w="512" w:type="pct"/>
            <w:vMerge/>
            <w:shd w:val="clear" w:color="auto" w:fill="auto"/>
          </w:tcPr>
          <w:p w:rsidR="006F5EAC" w:rsidRPr="002E3135" w:rsidRDefault="006F5EAC" w:rsidP="0069129F">
            <w:pPr>
              <w:spacing w:before="60" w:after="0" w:line="240" w:lineRule="auto"/>
              <w:rPr>
                <w:b/>
                <w:bCs/>
                <w:sz w:val="22"/>
                <w:szCs w:val="22"/>
                <w:rtl/>
              </w:rPr>
            </w:pPr>
          </w:p>
        </w:tc>
        <w:tc>
          <w:tcPr>
            <w:tcW w:w="740" w:type="pct"/>
            <w:shd w:val="clear" w:color="auto" w:fill="auto"/>
          </w:tcPr>
          <w:p w:rsidR="006F5EAC" w:rsidRPr="00B429F2" w:rsidRDefault="006F5EAC" w:rsidP="0069129F">
            <w:pPr>
              <w:spacing w:before="60" w:after="0" w:line="240" w:lineRule="auto"/>
              <w:rPr>
                <w:sz w:val="22"/>
                <w:szCs w:val="22"/>
                <w:rtl/>
              </w:rPr>
            </w:pPr>
            <w:r w:rsidRPr="00B429F2">
              <w:rPr>
                <w:rFonts w:hint="cs"/>
                <w:sz w:val="22"/>
                <w:szCs w:val="22"/>
                <w:rtl/>
              </w:rPr>
              <w:t>משולב אשפוזי</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1</w:t>
            </w:r>
            <w:r>
              <w:rPr>
                <w:rStyle w:val="ab"/>
                <w:sz w:val="22"/>
                <w:szCs w:val="22"/>
                <w:rtl/>
              </w:rPr>
              <w:footnoteReference w:id="282"/>
            </w:r>
          </w:p>
        </w:tc>
        <w:tc>
          <w:tcPr>
            <w:tcW w:w="468"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6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2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1</w:t>
            </w:r>
          </w:p>
        </w:tc>
      </w:tr>
      <w:tr w:rsidR="006F5B1E" w:rsidRPr="00B429F2" w:rsidTr="006F5B1E">
        <w:trPr>
          <w:tblCellSpacing w:w="20" w:type="dxa"/>
          <w:jc w:val="center"/>
        </w:trPr>
        <w:tc>
          <w:tcPr>
            <w:tcW w:w="512" w:type="pct"/>
            <w:vMerge/>
            <w:shd w:val="clear" w:color="auto" w:fill="auto"/>
          </w:tcPr>
          <w:p w:rsidR="006F5EAC" w:rsidRPr="002E3135" w:rsidRDefault="006F5EAC" w:rsidP="0069129F">
            <w:pPr>
              <w:spacing w:before="60" w:after="0" w:line="240" w:lineRule="auto"/>
              <w:rPr>
                <w:b/>
                <w:bCs/>
                <w:sz w:val="22"/>
                <w:szCs w:val="22"/>
                <w:rtl/>
              </w:rPr>
            </w:pPr>
          </w:p>
        </w:tc>
        <w:tc>
          <w:tcPr>
            <w:tcW w:w="740" w:type="pct"/>
            <w:shd w:val="clear" w:color="auto" w:fill="auto"/>
          </w:tcPr>
          <w:p w:rsidR="006F5EAC" w:rsidRPr="00B429F2" w:rsidRDefault="006F5EAC" w:rsidP="0069129F">
            <w:pPr>
              <w:spacing w:before="60" w:after="0" w:line="240" w:lineRule="auto"/>
              <w:rPr>
                <w:sz w:val="22"/>
                <w:szCs w:val="22"/>
                <w:rtl/>
              </w:rPr>
            </w:pPr>
            <w:r w:rsidRPr="00B429F2">
              <w:rPr>
                <w:rFonts w:hint="cs"/>
                <w:sz w:val="22"/>
                <w:szCs w:val="22"/>
                <w:rtl/>
              </w:rPr>
              <w:t>רפואי אמבולטורי</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1</w:t>
            </w:r>
            <w:r>
              <w:rPr>
                <w:rStyle w:val="ab"/>
                <w:sz w:val="22"/>
                <w:szCs w:val="22"/>
                <w:rtl/>
              </w:rPr>
              <w:footnoteReference w:id="283"/>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2</w:t>
            </w:r>
            <w:r>
              <w:rPr>
                <w:rStyle w:val="ab"/>
                <w:sz w:val="22"/>
                <w:szCs w:val="22"/>
                <w:rtl/>
              </w:rPr>
              <w:footnoteReference w:id="284"/>
            </w:r>
          </w:p>
        </w:tc>
        <w:tc>
          <w:tcPr>
            <w:tcW w:w="468"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2</w:t>
            </w:r>
            <w:r>
              <w:rPr>
                <w:rStyle w:val="ab"/>
                <w:sz w:val="22"/>
                <w:szCs w:val="22"/>
                <w:rtl/>
              </w:rPr>
              <w:footnoteReference w:id="285"/>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6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2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5</w:t>
            </w:r>
          </w:p>
        </w:tc>
      </w:tr>
      <w:tr w:rsidR="006F5B1E" w:rsidRPr="00B429F2" w:rsidTr="006F5B1E">
        <w:trPr>
          <w:tblCellSpacing w:w="20" w:type="dxa"/>
          <w:jc w:val="center"/>
        </w:trPr>
        <w:tc>
          <w:tcPr>
            <w:tcW w:w="512" w:type="pct"/>
            <w:vMerge/>
            <w:shd w:val="clear" w:color="auto" w:fill="auto"/>
          </w:tcPr>
          <w:p w:rsidR="006F5EAC" w:rsidRPr="002E3135" w:rsidRDefault="006F5EAC" w:rsidP="0069129F">
            <w:pPr>
              <w:spacing w:before="60" w:after="0" w:line="240" w:lineRule="auto"/>
              <w:rPr>
                <w:b/>
                <w:bCs/>
                <w:sz w:val="22"/>
                <w:szCs w:val="22"/>
                <w:rtl/>
              </w:rPr>
            </w:pPr>
          </w:p>
        </w:tc>
        <w:tc>
          <w:tcPr>
            <w:tcW w:w="740" w:type="pct"/>
            <w:shd w:val="clear" w:color="auto" w:fill="auto"/>
          </w:tcPr>
          <w:p w:rsidR="006F5EAC" w:rsidRPr="00B429F2" w:rsidRDefault="006F5EAC" w:rsidP="0069129F">
            <w:pPr>
              <w:spacing w:before="60" w:after="0" w:line="240" w:lineRule="auto"/>
              <w:rPr>
                <w:sz w:val="22"/>
                <w:szCs w:val="22"/>
                <w:rtl/>
              </w:rPr>
            </w:pPr>
            <w:r w:rsidRPr="00B429F2">
              <w:rPr>
                <w:rFonts w:hint="cs"/>
                <w:sz w:val="22"/>
                <w:szCs w:val="22"/>
                <w:rtl/>
              </w:rPr>
              <w:t>משולב אמבולטורי</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1</w:t>
            </w:r>
            <w:r>
              <w:rPr>
                <w:rStyle w:val="ab"/>
                <w:sz w:val="22"/>
                <w:szCs w:val="22"/>
                <w:rtl/>
              </w:rPr>
              <w:footnoteReference w:id="286"/>
            </w:r>
          </w:p>
        </w:tc>
        <w:tc>
          <w:tcPr>
            <w:tcW w:w="468"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1</w:t>
            </w:r>
            <w:r>
              <w:rPr>
                <w:rStyle w:val="ab"/>
                <w:sz w:val="22"/>
                <w:szCs w:val="22"/>
                <w:rtl/>
              </w:rPr>
              <w:footnoteReference w:id="287"/>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6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2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2</w:t>
            </w:r>
          </w:p>
        </w:tc>
      </w:tr>
      <w:tr w:rsidR="006F5B1E" w:rsidRPr="00B429F2" w:rsidTr="006F5B1E">
        <w:trPr>
          <w:tblCellSpacing w:w="20" w:type="dxa"/>
          <w:jc w:val="center"/>
        </w:trPr>
        <w:tc>
          <w:tcPr>
            <w:tcW w:w="512" w:type="pct"/>
            <w:vMerge w:val="restart"/>
            <w:shd w:val="clear" w:color="auto" w:fill="auto"/>
          </w:tcPr>
          <w:p w:rsidR="006F5EAC" w:rsidRPr="002E3135" w:rsidRDefault="006F5EAC" w:rsidP="0069129F">
            <w:pPr>
              <w:spacing w:before="60" w:after="0" w:line="240" w:lineRule="auto"/>
              <w:rPr>
                <w:b/>
                <w:bCs/>
                <w:sz w:val="22"/>
                <w:szCs w:val="22"/>
                <w:rtl/>
              </w:rPr>
            </w:pPr>
            <w:r w:rsidRPr="002E3135">
              <w:rPr>
                <w:rFonts w:hint="cs"/>
                <w:b/>
                <w:bCs/>
                <w:sz w:val="22"/>
                <w:szCs w:val="22"/>
                <w:rtl/>
              </w:rPr>
              <w:t>תל-אביב</w:t>
            </w:r>
          </w:p>
        </w:tc>
        <w:tc>
          <w:tcPr>
            <w:tcW w:w="740" w:type="pct"/>
            <w:shd w:val="clear" w:color="auto" w:fill="auto"/>
          </w:tcPr>
          <w:p w:rsidR="006F5EAC" w:rsidRPr="00B429F2" w:rsidRDefault="006F5EAC" w:rsidP="0069129F">
            <w:pPr>
              <w:spacing w:before="60" w:after="0" w:line="240" w:lineRule="auto"/>
              <w:rPr>
                <w:sz w:val="22"/>
                <w:szCs w:val="22"/>
                <w:rtl/>
              </w:rPr>
            </w:pPr>
            <w:r w:rsidRPr="00B429F2">
              <w:rPr>
                <w:rFonts w:hint="cs"/>
                <w:sz w:val="22"/>
                <w:szCs w:val="22"/>
                <w:rtl/>
              </w:rPr>
              <w:t>רפואי אשפוזי</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68"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1</w:t>
            </w:r>
            <w:r>
              <w:rPr>
                <w:rStyle w:val="ab"/>
                <w:sz w:val="22"/>
                <w:szCs w:val="22"/>
                <w:rtl/>
              </w:rPr>
              <w:footnoteReference w:id="288"/>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6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1</w:t>
            </w:r>
            <w:r>
              <w:rPr>
                <w:rStyle w:val="ab"/>
                <w:sz w:val="22"/>
                <w:szCs w:val="22"/>
                <w:rtl/>
              </w:rPr>
              <w:footnoteReference w:id="289"/>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2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2</w:t>
            </w:r>
          </w:p>
        </w:tc>
      </w:tr>
      <w:tr w:rsidR="006F5B1E" w:rsidRPr="00B429F2" w:rsidTr="006F5B1E">
        <w:trPr>
          <w:tblCellSpacing w:w="20" w:type="dxa"/>
          <w:jc w:val="center"/>
        </w:trPr>
        <w:tc>
          <w:tcPr>
            <w:tcW w:w="512" w:type="pct"/>
            <w:vMerge/>
            <w:shd w:val="clear" w:color="auto" w:fill="auto"/>
          </w:tcPr>
          <w:p w:rsidR="006F5EAC" w:rsidRPr="002E3135" w:rsidRDefault="006F5EAC" w:rsidP="0069129F">
            <w:pPr>
              <w:spacing w:before="60" w:after="0" w:line="240" w:lineRule="auto"/>
              <w:rPr>
                <w:b/>
                <w:bCs/>
                <w:sz w:val="22"/>
                <w:szCs w:val="22"/>
                <w:rtl/>
              </w:rPr>
            </w:pPr>
          </w:p>
        </w:tc>
        <w:tc>
          <w:tcPr>
            <w:tcW w:w="740" w:type="pct"/>
            <w:shd w:val="clear" w:color="auto" w:fill="auto"/>
          </w:tcPr>
          <w:p w:rsidR="006F5EAC" w:rsidRPr="00B429F2" w:rsidRDefault="006F5EAC" w:rsidP="0069129F">
            <w:pPr>
              <w:spacing w:before="60" w:after="0" w:line="240" w:lineRule="auto"/>
              <w:rPr>
                <w:sz w:val="22"/>
                <w:szCs w:val="22"/>
                <w:rtl/>
              </w:rPr>
            </w:pPr>
            <w:r w:rsidRPr="00B429F2">
              <w:rPr>
                <w:rFonts w:hint="cs"/>
                <w:sz w:val="22"/>
                <w:szCs w:val="22"/>
                <w:rtl/>
              </w:rPr>
              <w:t>משולב אשפוזי</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68"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6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2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0</w:t>
            </w:r>
          </w:p>
        </w:tc>
      </w:tr>
      <w:tr w:rsidR="006F5B1E" w:rsidRPr="00B429F2" w:rsidTr="006F5B1E">
        <w:trPr>
          <w:tblCellSpacing w:w="20" w:type="dxa"/>
          <w:jc w:val="center"/>
        </w:trPr>
        <w:tc>
          <w:tcPr>
            <w:tcW w:w="512" w:type="pct"/>
            <w:vMerge/>
            <w:shd w:val="clear" w:color="auto" w:fill="auto"/>
          </w:tcPr>
          <w:p w:rsidR="006F5EAC" w:rsidRPr="002E3135" w:rsidRDefault="006F5EAC" w:rsidP="0069129F">
            <w:pPr>
              <w:spacing w:before="60" w:after="0" w:line="240" w:lineRule="auto"/>
              <w:rPr>
                <w:b/>
                <w:bCs/>
                <w:sz w:val="22"/>
                <w:szCs w:val="22"/>
                <w:rtl/>
              </w:rPr>
            </w:pPr>
          </w:p>
        </w:tc>
        <w:tc>
          <w:tcPr>
            <w:tcW w:w="740" w:type="pct"/>
            <w:shd w:val="clear" w:color="auto" w:fill="auto"/>
          </w:tcPr>
          <w:p w:rsidR="006F5EAC" w:rsidRPr="00B429F2" w:rsidRDefault="006F5EAC" w:rsidP="0069129F">
            <w:pPr>
              <w:spacing w:before="60" w:after="0" w:line="240" w:lineRule="auto"/>
              <w:rPr>
                <w:sz w:val="22"/>
                <w:szCs w:val="22"/>
                <w:rtl/>
              </w:rPr>
            </w:pPr>
            <w:r w:rsidRPr="00B429F2">
              <w:rPr>
                <w:rFonts w:hint="cs"/>
                <w:sz w:val="22"/>
                <w:szCs w:val="22"/>
                <w:rtl/>
              </w:rPr>
              <w:t>רפואי אמבולטורי</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1</w:t>
            </w:r>
            <w:r>
              <w:rPr>
                <w:rStyle w:val="ab"/>
                <w:sz w:val="22"/>
                <w:szCs w:val="22"/>
                <w:rtl/>
              </w:rPr>
              <w:footnoteReference w:id="290"/>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3</w:t>
            </w:r>
            <w:r>
              <w:rPr>
                <w:rStyle w:val="ab"/>
                <w:sz w:val="22"/>
                <w:szCs w:val="22"/>
                <w:rtl/>
              </w:rPr>
              <w:footnoteReference w:id="291"/>
            </w:r>
          </w:p>
        </w:tc>
        <w:tc>
          <w:tcPr>
            <w:tcW w:w="468"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4</w:t>
            </w:r>
            <w:r>
              <w:rPr>
                <w:rStyle w:val="ab"/>
                <w:sz w:val="22"/>
                <w:szCs w:val="22"/>
                <w:rtl/>
              </w:rPr>
              <w:footnoteReference w:id="292"/>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6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2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8</w:t>
            </w:r>
          </w:p>
        </w:tc>
      </w:tr>
      <w:tr w:rsidR="006F5B1E" w:rsidRPr="00B429F2" w:rsidTr="006F5B1E">
        <w:trPr>
          <w:tblCellSpacing w:w="20" w:type="dxa"/>
          <w:jc w:val="center"/>
        </w:trPr>
        <w:tc>
          <w:tcPr>
            <w:tcW w:w="512" w:type="pct"/>
            <w:vMerge/>
            <w:shd w:val="clear" w:color="auto" w:fill="auto"/>
          </w:tcPr>
          <w:p w:rsidR="006F5EAC" w:rsidRPr="002E3135" w:rsidRDefault="006F5EAC" w:rsidP="0069129F">
            <w:pPr>
              <w:spacing w:before="60" w:after="0" w:line="240" w:lineRule="auto"/>
              <w:rPr>
                <w:b/>
                <w:bCs/>
                <w:sz w:val="22"/>
                <w:szCs w:val="22"/>
                <w:rtl/>
              </w:rPr>
            </w:pPr>
          </w:p>
        </w:tc>
        <w:tc>
          <w:tcPr>
            <w:tcW w:w="740" w:type="pct"/>
            <w:shd w:val="clear" w:color="auto" w:fill="auto"/>
          </w:tcPr>
          <w:p w:rsidR="006F5EAC" w:rsidRPr="00B429F2" w:rsidRDefault="006F5EAC" w:rsidP="0069129F">
            <w:pPr>
              <w:spacing w:before="60" w:after="0" w:line="240" w:lineRule="auto"/>
              <w:rPr>
                <w:sz w:val="22"/>
                <w:szCs w:val="22"/>
                <w:rtl/>
              </w:rPr>
            </w:pPr>
            <w:r w:rsidRPr="00B429F2">
              <w:rPr>
                <w:rFonts w:hint="cs"/>
                <w:sz w:val="22"/>
                <w:szCs w:val="22"/>
                <w:rtl/>
              </w:rPr>
              <w:t>משולב אמבולטורי</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68"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6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2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0</w:t>
            </w:r>
          </w:p>
        </w:tc>
      </w:tr>
      <w:tr w:rsidR="006F5B1E" w:rsidRPr="00B429F2" w:rsidTr="006F5B1E">
        <w:trPr>
          <w:tblCellSpacing w:w="20" w:type="dxa"/>
          <w:jc w:val="center"/>
        </w:trPr>
        <w:tc>
          <w:tcPr>
            <w:tcW w:w="512" w:type="pct"/>
            <w:vMerge w:val="restart"/>
            <w:shd w:val="clear" w:color="auto" w:fill="auto"/>
          </w:tcPr>
          <w:p w:rsidR="006F5EAC" w:rsidRPr="002E3135" w:rsidRDefault="006F5EAC" w:rsidP="0069129F">
            <w:pPr>
              <w:spacing w:before="60" w:after="0" w:line="240" w:lineRule="auto"/>
              <w:rPr>
                <w:b/>
                <w:bCs/>
                <w:sz w:val="22"/>
                <w:szCs w:val="22"/>
                <w:rtl/>
              </w:rPr>
            </w:pPr>
            <w:r w:rsidRPr="002E3135">
              <w:rPr>
                <w:rFonts w:hint="cs"/>
                <w:b/>
                <w:bCs/>
                <w:sz w:val="22"/>
                <w:szCs w:val="22"/>
                <w:rtl/>
              </w:rPr>
              <w:t>מרכז</w:t>
            </w:r>
          </w:p>
        </w:tc>
        <w:tc>
          <w:tcPr>
            <w:tcW w:w="740" w:type="pct"/>
            <w:shd w:val="clear" w:color="auto" w:fill="auto"/>
          </w:tcPr>
          <w:p w:rsidR="006F5EAC" w:rsidRPr="00B429F2" w:rsidRDefault="006F5EAC" w:rsidP="0069129F">
            <w:pPr>
              <w:spacing w:before="60" w:after="0" w:line="240" w:lineRule="auto"/>
              <w:rPr>
                <w:sz w:val="22"/>
                <w:szCs w:val="22"/>
                <w:rtl/>
              </w:rPr>
            </w:pPr>
            <w:r w:rsidRPr="00B429F2">
              <w:rPr>
                <w:rFonts w:hint="cs"/>
                <w:sz w:val="22"/>
                <w:szCs w:val="22"/>
                <w:rtl/>
              </w:rPr>
              <w:t>רפואי אשפוזי</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1</w:t>
            </w:r>
            <w:r>
              <w:rPr>
                <w:rStyle w:val="ab"/>
                <w:sz w:val="22"/>
                <w:szCs w:val="22"/>
                <w:rtl/>
              </w:rPr>
              <w:footnoteReference w:id="293"/>
            </w:r>
          </w:p>
        </w:tc>
        <w:tc>
          <w:tcPr>
            <w:tcW w:w="468"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2</w:t>
            </w:r>
            <w:r>
              <w:rPr>
                <w:rStyle w:val="ab"/>
                <w:sz w:val="22"/>
                <w:szCs w:val="22"/>
                <w:rtl/>
              </w:rPr>
              <w:footnoteReference w:id="294"/>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6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1</w:t>
            </w:r>
            <w:r>
              <w:rPr>
                <w:rStyle w:val="ab"/>
                <w:sz w:val="22"/>
                <w:szCs w:val="22"/>
                <w:rtl/>
              </w:rPr>
              <w:footnoteReference w:id="295"/>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w:t>
            </w:r>
          </w:p>
        </w:tc>
        <w:tc>
          <w:tcPr>
            <w:tcW w:w="42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4</w:t>
            </w:r>
          </w:p>
        </w:tc>
      </w:tr>
      <w:tr w:rsidR="006F5B1E" w:rsidRPr="00B429F2" w:rsidTr="006F5B1E">
        <w:trPr>
          <w:tblCellSpacing w:w="20" w:type="dxa"/>
          <w:jc w:val="center"/>
        </w:trPr>
        <w:tc>
          <w:tcPr>
            <w:tcW w:w="512" w:type="pct"/>
            <w:vMerge/>
            <w:shd w:val="clear" w:color="auto" w:fill="auto"/>
          </w:tcPr>
          <w:p w:rsidR="006F5EAC" w:rsidRPr="002E3135" w:rsidRDefault="006F5EAC" w:rsidP="0069129F">
            <w:pPr>
              <w:spacing w:before="60" w:after="0" w:line="240" w:lineRule="auto"/>
              <w:rPr>
                <w:b/>
                <w:bCs/>
                <w:sz w:val="22"/>
                <w:szCs w:val="22"/>
                <w:rtl/>
              </w:rPr>
            </w:pPr>
          </w:p>
        </w:tc>
        <w:tc>
          <w:tcPr>
            <w:tcW w:w="740" w:type="pct"/>
            <w:shd w:val="clear" w:color="auto" w:fill="auto"/>
          </w:tcPr>
          <w:p w:rsidR="006F5EAC" w:rsidRPr="00B429F2" w:rsidRDefault="006F5EAC" w:rsidP="0069129F">
            <w:pPr>
              <w:spacing w:before="60" w:after="0" w:line="240" w:lineRule="auto"/>
              <w:rPr>
                <w:sz w:val="22"/>
                <w:szCs w:val="22"/>
                <w:rtl/>
              </w:rPr>
            </w:pPr>
            <w:r w:rsidRPr="00B429F2">
              <w:rPr>
                <w:rFonts w:hint="cs"/>
                <w:sz w:val="22"/>
                <w:szCs w:val="22"/>
                <w:rtl/>
              </w:rPr>
              <w:t>משולב אשפוזי</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2</w:t>
            </w:r>
            <w:r>
              <w:rPr>
                <w:rStyle w:val="ab"/>
                <w:sz w:val="22"/>
                <w:szCs w:val="22"/>
                <w:rtl/>
              </w:rPr>
              <w:footnoteReference w:id="296"/>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68"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2</w:t>
            </w:r>
            <w:r>
              <w:rPr>
                <w:rStyle w:val="ab"/>
                <w:sz w:val="22"/>
                <w:szCs w:val="22"/>
                <w:rtl/>
              </w:rPr>
              <w:footnoteReference w:id="297"/>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6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3</w:t>
            </w:r>
            <w:r>
              <w:rPr>
                <w:rStyle w:val="ab"/>
                <w:sz w:val="22"/>
                <w:szCs w:val="22"/>
                <w:rtl/>
              </w:rPr>
              <w:footnoteReference w:id="298"/>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1</w:t>
            </w:r>
            <w:r>
              <w:rPr>
                <w:rStyle w:val="ab"/>
                <w:sz w:val="22"/>
                <w:szCs w:val="22"/>
                <w:rtl/>
              </w:rPr>
              <w:footnoteReference w:id="299"/>
            </w:r>
          </w:p>
        </w:tc>
        <w:tc>
          <w:tcPr>
            <w:tcW w:w="42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8</w:t>
            </w:r>
          </w:p>
        </w:tc>
      </w:tr>
      <w:tr w:rsidR="006F5B1E" w:rsidRPr="00B429F2" w:rsidTr="006F5B1E">
        <w:trPr>
          <w:tblCellSpacing w:w="20" w:type="dxa"/>
          <w:jc w:val="center"/>
        </w:trPr>
        <w:tc>
          <w:tcPr>
            <w:tcW w:w="512" w:type="pct"/>
            <w:vMerge/>
            <w:shd w:val="clear" w:color="auto" w:fill="auto"/>
          </w:tcPr>
          <w:p w:rsidR="006F5EAC" w:rsidRPr="002E3135" w:rsidRDefault="006F5EAC" w:rsidP="0069129F">
            <w:pPr>
              <w:spacing w:before="60" w:after="0" w:line="240" w:lineRule="auto"/>
              <w:rPr>
                <w:b/>
                <w:bCs/>
                <w:sz w:val="22"/>
                <w:szCs w:val="22"/>
                <w:rtl/>
              </w:rPr>
            </w:pPr>
          </w:p>
        </w:tc>
        <w:tc>
          <w:tcPr>
            <w:tcW w:w="740" w:type="pct"/>
            <w:shd w:val="clear" w:color="auto" w:fill="auto"/>
          </w:tcPr>
          <w:p w:rsidR="006F5EAC" w:rsidRPr="00B429F2" w:rsidRDefault="006F5EAC" w:rsidP="0069129F">
            <w:pPr>
              <w:spacing w:before="60" w:after="0" w:line="240" w:lineRule="auto"/>
              <w:rPr>
                <w:sz w:val="22"/>
                <w:szCs w:val="22"/>
                <w:rtl/>
              </w:rPr>
            </w:pPr>
            <w:r w:rsidRPr="00B429F2">
              <w:rPr>
                <w:rFonts w:hint="cs"/>
                <w:sz w:val="22"/>
                <w:szCs w:val="22"/>
                <w:rtl/>
              </w:rPr>
              <w:t>רפואי אמבולטורי</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1</w:t>
            </w:r>
            <w:r>
              <w:rPr>
                <w:rStyle w:val="ab"/>
                <w:sz w:val="22"/>
                <w:szCs w:val="22"/>
                <w:rtl/>
              </w:rPr>
              <w:footnoteReference w:id="300"/>
            </w:r>
          </w:p>
        </w:tc>
        <w:tc>
          <w:tcPr>
            <w:tcW w:w="468"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4</w:t>
            </w:r>
            <w:r>
              <w:rPr>
                <w:rStyle w:val="ab"/>
                <w:sz w:val="22"/>
                <w:szCs w:val="22"/>
                <w:rtl/>
              </w:rPr>
              <w:footnoteReference w:id="301"/>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63"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2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5</w:t>
            </w:r>
          </w:p>
        </w:tc>
      </w:tr>
      <w:tr w:rsidR="006F5B1E" w:rsidRPr="00B429F2" w:rsidTr="006F5B1E">
        <w:trPr>
          <w:tblCellSpacing w:w="20" w:type="dxa"/>
          <w:jc w:val="center"/>
        </w:trPr>
        <w:tc>
          <w:tcPr>
            <w:tcW w:w="512" w:type="pct"/>
            <w:vMerge/>
            <w:shd w:val="clear" w:color="auto" w:fill="auto"/>
          </w:tcPr>
          <w:p w:rsidR="006F5EAC" w:rsidRPr="002E3135" w:rsidRDefault="006F5EAC" w:rsidP="0069129F">
            <w:pPr>
              <w:spacing w:before="60" w:after="0" w:line="240" w:lineRule="auto"/>
              <w:rPr>
                <w:b/>
                <w:bCs/>
                <w:sz w:val="22"/>
                <w:szCs w:val="22"/>
                <w:rtl/>
              </w:rPr>
            </w:pPr>
          </w:p>
        </w:tc>
        <w:tc>
          <w:tcPr>
            <w:tcW w:w="740" w:type="pct"/>
            <w:shd w:val="clear" w:color="auto" w:fill="auto"/>
          </w:tcPr>
          <w:p w:rsidR="006F5EAC" w:rsidRPr="00B429F2" w:rsidRDefault="006F5EAC" w:rsidP="0069129F">
            <w:pPr>
              <w:spacing w:before="60" w:after="0" w:line="240" w:lineRule="auto"/>
              <w:rPr>
                <w:sz w:val="22"/>
                <w:szCs w:val="22"/>
                <w:rtl/>
              </w:rPr>
            </w:pPr>
            <w:r w:rsidRPr="00B429F2">
              <w:rPr>
                <w:rFonts w:hint="cs"/>
                <w:sz w:val="22"/>
                <w:szCs w:val="22"/>
                <w:rtl/>
              </w:rPr>
              <w:t>משולב אמבולטורי</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68"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63"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1</w:t>
            </w:r>
            <w:r>
              <w:rPr>
                <w:rStyle w:val="ab"/>
                <w:sz w:val="22"/>
                <w:szCs w:val="22"/>
                <w:rtl/>
              </w:rPr>
              <w:footnoteReference w:id="302"/>
            </w:r>
          </w:p>
        </w:tc>
        <w:tc>
          <w:tcPr>
            <w:tcW w:w="42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1</w:t>
            </w:r>
          </w:p>
        </w:tc>
      </w:tr>
      <w:tr w:rsidR="006F5B1E" w:rsidRPr="00B429F2" w:rsidTr="006F5B1E">
        <w:trPr>
          <w:tblCellSpacing w:w="20" w:type="dxa"/>
          <w:jc w:val="center"/>
        </w:trPr>
        <w:tc>
          <w:tcPr>
            <w:tcW w:w="512" w:type="pct"/>
            <w:vMerge w:val="restart"/>
            <w:shd w:val="clear" w:color="auto" w:fill="auto"/>
          </w:tcPr>
          <w:p w:rsidR="006F5EAC" w:rsidRPr="002E3135" w:rsidRDefault="006F5EAC" w:rsidP="0069129F">
            <w:pPr>
              <w:spacing w:before="60" w:after="0" w:line="240" w:lineRule="auto"/>
              <w:rPr>
                <w:b/>
                <w:bCs/>
                <w:sz w:val="22"/>
                <w:szCs w:val="22"/>
                <w:rtl/>
              </w:rPr>
            </w:pPr>
            <w:r w:rsidRPr="002E3135">
              <w:rPr>
                <w:rFonts w:hint="cs"/>
                <w:b/>
                <w:bCs/>
                <w:sz w:val="22"/>
                <w:szCs w:val="22"/>
                <w:rtl/>
              </w:rPr>
              <w:t>ירושלים</w:t>
            </w:r>
          </w:p>
        </w:tc>
        <w:tc>
          <w:tcPr>
            <w:tcW w:w="740" w:type="pct"/>
            <w:shd w:val="clear" w:color="auto" w:fill="auto"/>
          </w:tcPr>
          <w:p w:rsidR="006F5EAC" w:rsidRPr="00B429F2" w:rsidRDefault="006F5EAC" w:rsidP="0069129F">
            <w:pPr>
              <w:spacing w:before="60" w:after="0" w:line="240" w:lineRule="auto"/>
              <w:rPr>
                <w:sz w:val="22"/>
                <w:szCs w:val="22"/>
                <w:rtl/>
              </w:rPr>
            </w:pPr>
            <w:r w:rsidRPr="00B429F2">
              <w:rPr>
                <w:rFonts w:hint="cs"/>
                <w:sz w:val="22"/>
                <w:szCs w:val="22"/>
                <w:rtl/>
              </w:rPr>
              <w:t>רפואי אשפוזי</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68"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63"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2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0</w:t>
            </w:r>
          </w:p>
        </w:tc>
      </w:tr>
      <w:tr w:rsidR="006F5B1E" w:rsidRPr="00B429F2" w:rsidTr="006F5B1E">
        <w:trPr>
          <w:tblCellSpacing w:w="20" w:type="dxa"/>
          <w:jc w:val="center"/>
        </w:trPr>
        <w:tc>
          <w:tcPr>
            <w:tcW w:w="512" w:type="pct"/>
            <w:vMerge/>
            <w:shd w:val="clear" w:color="auto" w:fill="auto"/>
          </w:tcPr>
          <w:p w:rsidR="006F5EAC" w:rsidRPr="002E3135" w:rsidRDefault="006F5EAC" w:rsidP="0069129F">
            <w:pPr>
              <w:spacing w:before="60" w:after="0" w:line="240" w:lineRule="auto"/>
              <w:rPr>
                <w:b/>
                <w:bCs/>
                <w:sz w:val="22"/>
                <w:szCs w:val="22"/>
                <w:rtl/>
              </w:rPr>
            </w:pPr>
          </w:p>
        </w:tc>
        <w:tc>
          <w:tcPr>
            <w:tcW w:w="740" w:type="pct"/>
            <w:shd w:val="clear" w:color="auto" w:fill="auto"/>
          </w:tcPr>
          <w:p w:rsidR="006F5EAC" w:rsidRPr="00B429F2" w:rsidRDefault="006F5EAC" w:rsidP="0069129F">
            <w:pPr>
              <w:spacing w:before="60" w:after="0" w:line="240" w:lineRule="auto"/>
              <w:rPr>
                <w:sz w:val="22"/>
                <w:szCs w:val="22"/>
                <w:rtl/>
              </w:rPr>
            </w:pPr>
            <w:r w:rsidRPr="00B429F2">
              <w:rPr>
                <w:rFonts w:hint="cs"/>
                <w:sz w:val="22"/>
                <w:szCs w:val="22"/>
                <w:rtl/>
              </w:rPr>
              <w:t>משולב אשפוזי</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68"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2</w:t>
            </w:r>
            <w:r>
              <w:rPr>
                <w:rStyle w:val="ab"/>
                <w:sz w:val="22"/>
                <w:szCs w:val="22"/>
                <w:rtl/>
              </w:rPr>
              <w:footnoteReference w:id="303"/>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63"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2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2</w:t>
            </w:r>
          </w:p>
        </w:tc>
      </w:tr>
      <w:tr w:rsidR="006F5B1E" w:rsidRPr="00B429F2" w:rsidTr="006F5B1E">
        <w:trPr>
          <w:tblCellSpacing w:w="20" w:type="dxa"/>
          <w:jc w:val="center"/>
        </w:trPr>
        <w:tc>
          <w:tcPr>
            <w:tcW w:w="512" w:type="pct"/>
            <w:vMerge/>
            <w:shd w:val="clear" w:color="auto" w:fill="auto"/>
          </w:tcPr>
          <w:p w:rsidR="006F5EAC" w:rsidRPr="002E3135" w:rsidRDefault="006F5EAC" w:rsidP="0069129F">
            <w:pPr>
              <w:spacing w:before="60" w:after="0" w:line="240" w:lineRule="auto"/>
              <w:rPr>
                <w:b/>
                <w:bCs/>
                <w:sz w:val="22"/>
                <w:szCs w:val="22"/>
                <w:rtl/>
              </w:rPr>
            </w:pPr>
          </w:p>
        </w:tc>
        <w:tc>
          <w:tcPr>
            <w:tcW w:w="740" w:type="pct"/>
            <w:shd w:val="clear" w:color="auto" w:fill="auto"/>
          </w:tcPr>
          <w:p w:rsidR="006F5EAC" w:rsidRPr="00B429F2" w:rsidRDefault="006F5EAC" w:rsidP="0069129F">
            <w:pPr>
              <w:spacing w:before="60" w:after="0" w:line="240" w:lineRule="auto"/>
              <w:rPr>
                <w:sz w:val="22"/>
                <w:szCs w:val="22"/>
                <w:rtl/>
              </w:rPr>
            </w:pPr>
            <w:r w:rsidRPr="00B429F2">
              <w:rPr>
                <w:rFonts w:hint="cs"/>
                <w:sz w:val="22"/>
                <w:szCs w:val="22"/>
                <w:rtl/>
              </w:rPr>
              <w:t>רפואי אמבולטורי</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1</w:t>
            </w:r>
            <w:r>
              <w:rPr>
                <w:rStyle w:val="ab"/>
                <w:sz w:val="22"/>
                <w:szCs w:val="22"/>
                <w:rtl/>
              </w:rPr>
              <w:footnoteReference w:id="304"/>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1</w:t>
            </w:r>
            <w:r>
              <w:rPr>
                <w:rStyle w:val="ab"/>
                <w:sz w:val="22"/>
                <w:szCs w:val="22"/>
                <w:rtl/>
              </w:rPr>
              <w:footnoteReference w:id="305"/>
            </w:r>
          </w:p>
        </w:tc>
        <w:tc>
          <w:tcPr>
            <w:tcW w:w="468"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1</w:t>
            </w:r>
            <w:r>
              <w:rPr>
                <w:rStyle w:val="ab"/>
                <w:sz w:val="22"/>
                <w:szCs w:val="22"/>
                <w:rtl/>
              </w:rPr>
              <w:footnoteReference w:id="306"/>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63"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2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3</w:t>
            </w:r>
          </w:p>
        </w:tc>
      </w:tr>
      <w:tr w:rsidR="006F5B1E" w:rsidRPr="00B429F2" w:rsidTr="006F5B1E">
        <w:trPr>
          <w:tblCellSpacing w:w="20" w:type="dxa"/>
          <w:jc w:val="center"/>
        </w:trPr>
        <w:tc>
          <w:tcPr>
            <w:tcW w:w="512" w:type="pct"/>
            <w:tcBorders>
              <w:top w:val="nil"/>
            </w:tcBorders>
            <w:shd w:val="clear" w:color="auto" w:fill="auto"/>
          </w:tcPr>
          <w:p w:rsidR="006F5EAC" w:rsidRPr="002E3135" w:rsidRDefault="006F5EAC" w:rsidP="0069129F">
            <w:pPr>
              <w:spacing w:before="60" w:after="0" w:line="240" w:lineRule="auto"/>
              <w:rPr>
                <w:b/>
                <w:bCs/>
                <w:sz w:val="22"/>
                <w:szCs w:val="22"/>
                <w:rtl/>
              </w:rPr>
            </w:pPr>
          </w:p>
        </w:tc>
        <w:tc>
          <w:tcPr>
            <w:tcW w:w="740" w:type="pct"/>
            <w:shd w:val="clear" w:color="auto" w:fill="auto"/>
          </w:tcPr>
          <w:p w:rsidR="006F5EAC" w:rsidRPr="00B429F2" w:rsidRDefault="006F5EAC" w:rsidP="0069129F">
            <w:pPr>
              <w:spacing w:before="60" w:after="0" w:line="240" w:lineRule="auto"/>
              <w:rPr>
                <w:sz w:val="22"/>
                <w:szCs w:val="22"/>
                <w:rtl/>
              </w:rPr>
            </w:pPr>
            <w:r w:rsidRPr="00B429F2">
              <w:rPr>
                <w:rFonts w:hint="cs"/>
                <w:sz w:val="22"/>
                <w:szCs w:val="22"/>
                <w:rtl/>
              </w:rPr>
              <w:t>משולב אמבולטורי</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68"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63"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2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0</w:t>
            </w:r>
          </w:p>
        </w:tc>
      </w:tr>
      <w:tr w:rsidR="006F5B1E" w:rsidRPr="00B429F2" w:rsidTr="006F5B1E">
        <w:trPr>
          <w:tblCellSpacing w:w="20" w:type="dxa"/>
          <w:jc w:val="center"/>
        </w:trPr>
        <w:tc>
          <w:tcPr>
            <w:tcW w:w="512" w:type="pct"/>
            <w:vMerge w:val="restart"/>
            <w:shd w:val="clear" w:color="auto" w:fill="auto"/>
          </w:tcPr>
          <w:p w:rsidR="006F5EAC" w:rsidRPr="002E3135" w:rsidRDefault="006F5EAC" w:rsidP="0069129F">
            <w:pPr>
              <w:spacing w:before="60" w:after="0" w:line="240" w:lineRule="auto"/>
              <w:rPr>
                <w:b/>
                <w:bCs/>
                <w:sz w:val="22"/>
                <w:szCs w:val="22"/>
                <w:rtl/>
              </w:rPr>
            </w:pPr>
            <w:r w:rsidRPr="002E3135">
              <w:rPr>
                <w:rFonts w:hint="cs"/>
                <w:b/>
                <w:bCs/>
                <w:sz w:val="22"/>
                <w:szCs w:val="22"/>
                <w:rtl/>
              </w:rPr>
              <w:t>חיפה והצפון</w:t>
            </w:r>
          </w:p>
        </w:tc>
        <w:tc>
          <w:tcPr>
            <w:tcW w:w="740" w:type="pct"/>
            <w:shd w:val="clear" w:color="auto" w:fill="auto"/>
          </w:tcPr>
          <w:p w:rsidR="006F5EAC" w:rsidRPr="00B429F2" w:rsidRDefault="006F5EAC" w:rsidP="0069129F">
            <w:pPr>
              <w:spacing w:before="60" w:after="0" w:line="240" w:lineRule="auto"/>
              <w:rPr>
                <w:sz w:val="22"/>
                <w:szCs w:val="22"/>
                <w:rtl/>
              </w:rPr>
            </w:pPr>
            <w:r w:rsidRPr="00B429F2">
              <w:rPr>
                <w:rFonts w:hint="cs"/>
                <w:sz w:val="22"/>
                <w:szCs w:val="22"/>
                <w:rtl/>
              </w:rPr>
              <w:t>רפואי אשפוזי</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2</w:t>
            </w:r>
            <w:r>
              <w:rPr>
                <w:rStyle w:val="ab"/>
                <w:sz w:val="22"/>
                <w:szCs w:val="22"/>
                <w:rtl/>
              </w:rPr>
              <w:footnoteReference w:id="307"/>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68"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1</w:t>
            </w:r>
            <w:r>
              <w:rPr>
                <w:rStyle w:val="ab"/>
                <w:sz w:val="22"/>
                <w:szCs w:val="22"/>
                <w:rtl/>
              </w:rPr>
              <w:footnoteReference w:id="308"/>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63"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1</w:t>
            </w:r>
            <w:r>
              <w:rPr>
                <w:rStyle w:val="ab"/>
                <w:sz w:val="22"/>
                <w:szCs w:val="22"/>
                <w:rtl/>
              </w:rPr>
              <w:footnoteReference w:id="309"/>
            </w:r>
          </w:p>
        </w:tc>
        <w:tc>
          <w:tcPr>
            <w:tcW w:w="42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4</w:t>
            </w:r>
          </w:p>
        </w:tc>
      </w:tr>
      <w:tr w:rsidR="006F5B1E" w:rsidRPr="00B429F2" w:rsidTr="006F5B1E">
        <w:trPr>
          <w:tblCellSpacing w:w="20" w:type="dxa"/>
          <w:jc w:val="center"/>
        </w:trPr>
        <w:tc>
          <w:tcPr>
            <w:tcW w:w="512" w:type="pct"/>
            <w:vMerge/>
            <w:shd w:val="clear" w:color="auto" w:fill="auto"/>
          </w:tcPr>
          <w:p w:rsidR="006F5EAC" w:rsidRPr="002E3135" w:rsidRDefault="006F5EAC" w:rsidP="0069129F">
            <w:pPr>
              <w:spacing w:before="60" w:after="0" w:line="240" w:lineRule="auto"/>
              <w:rPr>
                <w:b/>
                <w:bCs/>
                <w:sz w:val="22"/>
                <w:szCs w:val="22"/>
                <w:rtl/>
              </w:rPr>
            </w:pPr>
          </w:p>
        </w:tc>
        <w:tc>
          <w:tcPr>
            <w:tcW w:w="740" w:type="pct"/>
            <w:shd w:val="clear" w:color="auto" w:fill="auto"/>
          </w:tcPr>
          <w:p w:rsidR="006F5EAC" w:rsidRPr="00B429F2" w:rsidRDefault="006F5EAC" w:rsidP="0069129F">
            <w:pPr>
              <w:spacing w:before="60" w:after="0" w:line="240" w:lineRule="auto"/>
              <w:rPr>
                <w:sz w:val="22"/>
                <w:szCs w:val="22"/>
                <w:rtl/>
              </w:rPr>
            </w:pPr>
            <w:r w:rsidRPr="00B429F2">
              <w:rPr>
                <w:rFonts w:hint="cs"/>
                <w:sz w:val="22"/>
                <w:szCs w:val="22"/>
                <w:rtl/>
              </w:rPr>
              <w:t>משולב אשפוזי</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68"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2</w:t>
            </w:r>
            <w:r>
              <w:rPr>
                <w:rStyle w:val="ab"/>
                <w:sz w:val="22"/>
                <w:szCs w:val="22"/>
                <w:rtl/>
              </w:rPr>
              <w:footnoteReference w:id="310"/>
            </w: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63"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1</w:t>
            </w:r>
            <w:r>
              <w:rPr>
                <w:rStyle w:val="ab"/>
                <w:sz w:val="22"/>
                <w:szCs w:val="22"/>
                <w:rtl/>
              </w:rPr>
              <w:footnoteReference w:id="311"/>
            </w:r>
          </w:p>
        </w:tc>
        <w:tc>
          <w:tcPr>
            <w:tcW w:w="42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3</w:t>
            </w:r>
          </w:p>
        </w:tc>
      </w:tr>
      <w:tr w:rsidR="006F5B1E" w:rsidRPr="00B429F2" w:rsidTr="006F5B1E">
        <w:trPr>
          <w:tblCellSpacing w:w="20" w:type="dxa"/>
          <w:jc w:val="center"/>
        </w:trPr>
        <w:tc>
          <w:tcPr>
            <w:tcW w:w="512" w:type="pct"/>
            <w:vMerge/>
            <w:shd w:val="clear" w:color="auto" w:fill="auto"/>
          </w:tcPr>
          <w:p w:rsidR="006F5EAC" w:rsidRPr="002E3135" w:rsidRDefault="006F5EAC" w:rsidP="0069129F">
            <w:pPr>
              <w:spacing w:before="60" w:after="0" w:line="240" w:lineRule="auto"/>
              <w:rPr>
                <w:b/>
                <w:bCs/>
                <w:sz w:val="22"/>
                <w:szCs w:val="22"/>
                <w:rtl/>
              </w:rPr>
            </w:pPr>
          </w:p>
        </w:tc>
        <w:tc>
          <w:tcPr>
            <w:tcW w:w="740" w:type="pct"/>
            <w:shd w:val="clear" w:color="auto" w:fill="auto"/>
          </w:tcPr>
          <w:p w:rsidR="006F5EAC" w:rsidRPr="00B429F2" w:rsidRDefault="006F5EAC" w:rsidP="0069129F">
            <w:pPr>
              <w:spacing w:before="60" w:after="0" w:line="240" w:lineRule="auto"/>
              <w:rPr>
                <w:sz w:val="22"/>
                <w:szCs w:val="22"/>
                <w:rtl/>
              </w:rPr>
            </w:pPr>
            <w:r w:rsidRPr="00B429F2">
              <w:rPr>
                <w:rFonts w:hint="cs"/>
                <w:sz w:val="22"/>
                <w:szCs w:val="22"/>
                <w:rtl/>
              </w:rPr>
              <w:t>רפואי אמבולטורי</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4</w:t>
            </w:r>
            <w:r>
              <w:rPr>
                <w:rStyle w:val="ab"/>
                <w:sz w:val="22"/>
                <w:szCs w:val="22"/>
                <w:rtl/>
              </w:rPr>
              <w:footnoteReference w:id="312"/>
            </w:r>
          </w:p>
        </w:tc>
        <w:tc>
          <w:tcPr>
            <w:tcW w:w="468"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2</w:t>
            </w:r>
            <w:r>
              <w:rPr>
                <w:rStyle w:val="ab"/>
                <w:sz w:val="22"/>
                <w:szCs w:val="22"/>
                <w:rtl/>
              </w:rPr>
              <w:footnoteReference w:id="313"/>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63"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2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6</w:t>
            </w:r>
          </w:p>
        </w:tc>
      </w:tr>
      <w:tr w:rsidR="006F5B1E" w:rsidRPr="00B429F2" w:rsidTr="006F5B1E">
        <w:trPr>
          <w:tblCellSpacing w:w="20" w:type="dxa"/>
          <w:jc w:val="center"/>
        </w:trPr>
        <w:tc>
          <w:tcPr>
            <w:tcW w:w="512" w:type="pct"/>
            <w:vMerge/>
            <w:shd w:val="clear" w:color="auto" w:fill="auto"/>
          </w:tcPr>
          <w:p w:rsidR="006F5EAC" w:rsidRPr="002E3135" w:rsidRDefault="006F5EAC" w:rsidP="0069129F">
            <w:pPr>
              <w:spacing w:before="60" w:after="0" w:line="240" w:lineRule="auto"/>
              <w:rPr>
                <w:b/>
                <w:bCs/>
                <w:sz w:val="22"/>
                <w:szCs w:val="22"/>
                <w:rtl/>
              </w:rPr>
            </w:pPr>
          </w:p>
        </w:tc>
        <w:tc>
          <w:tcPr>
            <w:tcW w:w="740" w:type="pct"/>
            <w:shd w:val="clear" w:color="auto" w:fill="auto"/>
          </w:tcPr>
          <w:p w:rsidR="006F5EAC" w:rsidRPr="00B429F2" w:rsidRDefault="006F5EAC" w:rsidP="0069129F">
            <w:pPr>
              <w:spacing w:before="60" w:after="0" w:line="240" w:lineRule="auto"/>
              <w:rPr>
                <w:sz w:val="22"/>
                <w:szCs w:val="22"/>
                <w:rtl/>
              </w:rPr>
            </w:pPr>
            <w:r w:rsidRPr="00B429F2">
              <w:rPr>
                <w:rFonts w:hint="cs"/>
                <w:sz w:val="22"/>
                <w:szCs w:val="22"/>
                <w:rtl/>
              </w:rPr>
              <w:t>משולב אמבולטורי</w:t>
            </w: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68"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22"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63"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36" w:type="pct"/>
            <w:shd w:val="clear" w:color="auto" w:fill="auto"/>
            <w:vAlign w:val="center"/>
          </w:tcPr>
          <w:p w:rsidR="006F5EAC" w:rsidRPr="00B429F2" w:rsidRDefault="006F5EAC" w:rsidP="0069129F">
            <w:pPr>
              <w:spacing w:before="60" w:after="0" w:line="240" w:lineRule="auto"/>
              <w:jc w:val="center"/>
              <w:rPr>
                <w:sz w:val="22"/>
                <w:szCs w:val="22"/>
                <w:rtl/>
              </w:rPr>
            </w:pPr>
          </w:p>
        </w:tc>
        <w:tc>
          <w:tcPr>
            <w:tcW w:w="423" w:type="pct"/>
            <w:shd w:val="clear" w:color="auto" w:fill="auto"/>
            <w:vAlign w:val="center"/>
          </w:tcPr>
          <w:p w:rsidR="006F5EAC" w:rsidRPr="00B429F2" w:rsidRDefault="006F5EAC" w:rsidP="0069129F">
            <w:pPr>
              <w:spacing w:before="60" w:after="0" w:line="240" w:lineRule="auto"/>
              <w:jc w:val="center"/>
              <w:rPr>
                <w:sz w:val="22"/>
                <w:szCs w:val="22"/>
                <w:rtl/>
              </w:rPr>
            </w:pPr>
            <w:r>
              <w:rPr>
                <w:rFonts w:hint="cs"/>
                <w:sz w:val="22"/>
                <w:szCs w:val="22"/>
                <w:rtl/>
              </w:rPr>
              <w:t>0</w:t>
            </w:r>
          </w:p>
        </w:tc>
      </w:tr>
      <w:tr w:rsidR="006F5B1E" w:rsidRPr="00B429F2" w:rsidTr="006F5B1E">
        <w:trPr>
          <w:tblCellSpacing w:w="20" w:type="dxa"/>
          <w:jc w:val="center"/>
        </w:trPr>
        <w:tc>
          <w:tcPr>
            <w:tcW w:w="1274" w:type="pct"/>
            <w:gridSpan w:val="2"/>
            <w:shd w:val="clear" w:color="auto" w:fill="auto"/>
          </w:tcPr>
          <w:p w:rsidR="006F5EAC" w:rsidRPr="00B429F2" w:rsidRDefault="006F5EAC" w:rsidP="0069129F">
            <w:pPr>
              <w:spacing w:before="60" w:after="0" w:line="240" w:lineRule="auto"/>
              <w:rPr>
                <w:sz w:val="22"/>
                <w:szCs w:val="22"/>
                <w:rtl/>
              </w:rPr>
            </w:pPr>
            <w:r w:rsidRPr="002E3135">
              <w:rPr>
                <w:rFonts w:hint="cs"/>
                <w:b/>
                <w:bCs/>
                <w:sz w:val="22"/>
                <w:szCs w:val="22"/>
                <w:rtl/>
              </w:rPr>
              <w:t>סה"כ</w:t>
            </w:r>
          </w:p>
        </w:tc>
        <w:tc>
          <w:tcPr>
            <w:tcW w:w="422" w:type="pct"/>
            <w:shd w:val="clear" w:color="auto" w:fill="auto"/>
            <w:vAlign w:val="center"/>
          </w:tcPr>
          <w:p w:rsidR="006F5EAC" w:rsidRPr="007B5846" w:rsidRDefault="006F5EAC" w:rsidP="0069129F">
            <w:pPr>
              <w:spacing w:before="60" w:after="0" w:line="240" w:lineRule="auto"/>
              <w:jc w:val="center"/>
              <w:rPr>
                <w:b/>
                <w:bCs/>
                <w:sz w:val="22"/>
                <w:szCs w:val="22"/>
                <w:rtl/>
              </w:rPr>
            </w:pPr>
            <w:r w:rsidRPr="007B5846">
              <w:rPr>
                <w:rFonts w:hint="cs"/>
                <w:b/>
                <w:bCs/>
                <w:sz w:val="22"/>
                <w:szCs w:val="22"/>
                <w:rtl/>
              </w:rPr>
              <w:t>8</w:t>
            </w:r>
          </w:p>
        </w:tc>
        <w:tc>
          <w:tcPr>
            <w:tcW w:w="436" w:type="pct"/>
            <w:shd w:val="clear" w:color="auto" w:fill="auto"/>
            <w:vAlign w:val="center"/>
          </w:tcPr>
          <w:p w:rsidR="006F5EAC" w:rsidRPr="007B5846" w:rsidRDefault="006F5EAC" w:rsidP="0069129F">
            <w:pPr>
              <w:spacing w:before="60" w:after="0" w:line="240" w:lineRule="auto"/>
              <w:jc w:val="center"/>
              <w:rPr>
                <w:b/>
                <w:bCs/>
                <w:sz w:val="22"/>
                <w:szCs w:val="22"/>
                <w:rtl/>
              </w:rPr>
            </w:pPr>
            <w:r w:rsidRPr="007B5846">
              <w:rPr>
                <w:rFonts w:hint="cs"/>
                <w:b/>
                <w:bCs/>
                <w:sz w:val="22"/>
                <w:szCs w:val="22"/>
                <w:rtl/>
              </w:rPr>
              <w:t>15</w:t>
            </w:r>
          </w:p>
        </w:tc>
        <w:tc>
          <w:tcPr>
            <w:tcW w:w="468" w:type="pct"/>
            <w:shd w:val="clear" w:color="auto" w:fill="auto"/>
            <w:vAlign w:val="center"/>
          </w:tcPr>
          <w:p w:rsidR="006F5EAC" w:rsidRPr="007B5846" w:rsidRDefault="006F5EAC" w:rsidP="0069129F">
            <w:pPr>
              <w:spacing w:before="60" w:after="0" w:line="240" w:lineRule="auto"/>
              <w:jc w:val="center"/>
              <w:rPr>
                <w:b/>
                <w:bCs/>
                <w:sz w:val="22"/>
                <w:szCs w:val="22"/>
                <w:rtl/>
              </w:rPr>
            </w:pPr>
            <w:r w:rsidRPr="007B5846">
              <w:rPr>
                <w:rFonts w:hint="cs"/>
                <w:b/>
                <w:bCs/>
                <w:sz w:val="22"/>
                <w:szCs w:val="22"/>
                <w:rtl/>
              </w:rPr>
              <w:t>21</w:t>
            </w:r>
          </w:p>
        </w:tc>
        <w:tc>
          <w:tcPr>
            <w:tcW w:w="422" w:type="pct"/>
            <w:shd w:val="clear" w:color="auto" w:fill="auto"/>
            <w:vAlign w:val="center"/>
          </w:tcPr>
          <w:p w:rsidR="006F5EAC" w:rsidRPr="007B5846" w:rsidRDefault="006F5EAC" w:rsidP="0069129F">
            <w:pPr>
              <w:spacing w:before="60" w:after="0" w:line="240" w:lineRule="auto"/>
              <w:jc w:val="center"/>
              <w:rPr>
                <w:b/>
                <w:bCs/>
                <w:sz w:val="22"/>
                <w:szCs w:val="22"/>
                <w:rtl/>
              </w:rPr>
            </w:pPr>
            <w:r w:rsidRPr="007B5846">
              <w:rPr>
                <w:rFonts w:hint="cs"/>
                <w:b/>
                <w:bCs/>
                <w:sz w:val="22"/>
                <w:szCs w:val="22"/>
                <w:rtl/>
              </w:rPr>
              <w:t>5</w:t>
            </w:r>
          </w:p>
        </w:tc>
        <w:tc>
          <w:tcPr>
            <w:tcW w:w="436" w:type="pct"/>
            <w:shd w:val="clear" w:color="auto" w:fill="auto"/>
            <w:vAlign w:val="center"/>
          </w:tcPr>
          <w:p w:rsidR="006F5EAC" w:rsidRPr="007B5846" w:rsidRDefault="006F5EAC" w:rsidP="0069129F">
            <w:pPr>
              <w:spacing w:before="60" w:after="0" w:line="240" w:lineRule="auto"/>
              <w:jc w:val="center"/>
              <w:rPr>
                <w:b/>
                <w:bCs/>
                <w:sz w:val="22"/>
                <w:szCs w:val="22"/>
                <w:rtl/>
              </w:rPr>
            </w:pPr>
            <w:r w:rsidRPr="007B5846">
              <w:rPr>
                <w:rFonts w:hint="cs"/>
                <w:b/>
                <w:bCs/>
                <w:sz w:val="22"/>
                <w:szCs w:val="22"/>
                <w:rtl/>
              </w:rPr>
              <w:t>0</w:t>
            </w:r>
          </w:p>
        </w:tc>
        <w:tc>
          <w:tcPr>
            <w:tcW w:w="463" w:type="pct"/>
            <w:shd w:val="clear" w:color="auto" w:fill="auto"/>
            <w:vAlign w:val="center"/>
          </w:tcPr>
          <w:p w:rsidR="006F5EAC" w:rsidRPr="007B5846" w:rsidRDefault="006F5EAC" w:rsidP="0069129F">
            <w:pPr>
              <w:spacing w:before="60" w:after="0" w:line="240" w:lineRule="auto"/>
              <w:jc w:val="center"/>
              <w:rPr>
                <w:b/>
                <w:bCs/>
                <w:sz w:val="22"/>
                <w:szCs w:val="22"/>
                <w:rtl/>
              </w:rPr>
            </w:pPr>
            <w:r w:rsidRPr="007B5846">
              <w:rPr>
                <w:rFonts w:hint="cs"/>
                <w:b/>
                <w:bCs/>
                <w:sz w:val="22"/>
                <w:szCs w:val="22"/>
                <w:rtl/>
              </w:rPr>
              <w:t>5</w:t>
            </w:r>
          </w:p>
        </w:tc>
        <w:tc>
          <w:tcPr>
            <w:tcW w:w="436" w:type="pct"/>
            <w:shd w:val="clear" w:color="auto" w:fill="auto"/>
            <w:vAlign w:val="center"/>
          </w:tcPr>
          <w:p w:rsidR="006F5EAC" w:rsidRPr="007B5846" w:rsidRDefault="006F5EAC" w:rsidP="0069129F">
            <w:pPr>
              <w:spacing w:before="60" w:after="0" w:line="240" w:lineRule="auto"/>
              <w:jc w:val="center"/>
              <w:rPr>
                <w:b/>
                <w:bCs/>
                <w:sz w:val="22"/>
                <w:szCs w:val="22"/>
                <w:rtl/>
              </w:rPr>
            </w:pPr>
            <w:r w:rsidRPr="007B5846">
              <w:rPr>
                <w:rFonts w:hint="cs"/>
                <w:b/>
                <w:bCs/>
                <w:sz w:val="22"/>
                <w:szCs w:val="22"/>
                <w:rtl/>
              </w:rPr>
              <w:t>4</w:t>
            </w:r>
          </w:p>
        </w:tc>
        <w:tc>
          <w:tcPr>
            <w:tcW w:w="423" w:type="pct"/>
            <w:shd w:val="clear" w:color="auto" w:fill="auto"/>
            <w:vAlign w:val="center"/>
          </w:tcPr>
          <w:p w:rsidR="006F5EAC" w:rsidRPr="007B5846" w:rsidRDefault="006F5EAC" w:rsidP="0069129F">
            <w:pPr>
              <w:spacing w:before="60" w:after="0" w:line="240" w:lineRule="auto"/>
              <w:jc w:val="center"/>
              <w:rPr>
                <w:b/>
                <w:bCs/>
                <w:sz w:val="22"/>
                <w:szCs w:val="22"/>
                <w:rtl/>
              </w:rPr>
            </w:pPr>
            <w:r w:rsidRPr="007B5846">
              <w:rPr>
                <w:rFonts w:hint="cs"/>
                <w:b/>
                <w:bCs/>
                <w:sz w:val="22"/>
                <w:szCs w:val="22"/>
                <w:rtl/>
              </w:rPr>
              <w:t>58</w:t>
            </w:r>
          </w:p>
        </w:tc>
      </w:tr>
    </w:tbl>
    <w:p w:rsidR="00B433BA" w:rsidRDefault="00B433BA" w:rsidP="00B433BA">
      <w:pPr>
        <w:rPr>
          <w:rtl/>
        </w:rPr>
      </w:pPr>
    </w:p>
    <w:p w:rsidR="00B433BA" w:rsidRPr="0065686F" w:rsidRDefault="00B30571" w:rsidP="00506EF1">
      <w:pPr>
        <w:rPr>
          <w:rtl/>
        </w:rPr>
      </w:pPr>
      <w:r w:rsidRPr="0065686F">
        <w:rPr>
          <w:rFonts w:hint="cs"/>
          <w:rtl/>
        </w:rPr>
        <w:t xml:space="preserve">מנתוני הטבלה </w:t>
      </w:r>
      <w:r w:rsidR="006F5EAC" w:rsidRPr="0065686F">
        <w:rPr>
          <w:rFonts w:hint="cs"/>
          <w:rtl/>
        </w:rPr>
        <w:t xml:space="preserve">עולה כי </w:t>
      </w:r>
      <w:r w:rsidR="006F5EAC" w:rsidRPr="0065686F">
        <w:rPr>
          <w:rFonts w:hint="cs"/>
          <w:b/>
          <w:bCs/>
          <w:rtl/>
        </w:rPr>
        <w:t>מתוך 58 המוסדות</w:t>
      </w:r>
      <w:r w:rsidR="006F5EAC" w:rsidRPr="0065686F">
        <w:rPr>
          <w:rFonts w:hint="cs"/>
          <w:rtl/>
        </w:rPr>
        <w:t xml:space="preserve"> לגמילה ואשפוז המעניקים שרותים לנפגעי סמים ואלכוהול תחת פיקוח משרד הבריאות</w:t>
      </w:r>
      <w:r w:rsidR="00E33D7F" w:rsidRPr="0065686F">
        <w:rPr>
          <w:rFonts w:hint="cs"/>
          <w:rtl/>
        </w:rPr>
        <w:t>,</w:t>
      </w:r>
    </w:p>
    <w:p w:rsidR="006F5EAC" w:rsidRPr="0065686F" w:rsidRDefault="00506EF1" w:rsidP="00E33D7F">
      <w:pPr>
        <w:pStyle w:val="afff6"/>
        <w:numPr>
          <w:ilvl w:val="0"/>
          <w:numId w:val="41"/>
        </w:numPr>
        <w:spacing w:line="360" w:lineRule="auto"/>
        <w:jc w:val="both"/>
        <w:rPr>
          <w:rFonts w:cs="David"/>
          <w:sz w:val="28"/>
          <w:szCs w:val="28"/>
        </w:rPr>
      </w:pPr>
      <w:r w:rsidRPr="0065686F">
        <w:rPr>
          <w:rFonts w:cs="David" w:hint="cs"/>
          <w:sz w:val="24"/>
          <w:szCs w:val="24"/>
          <w:rtl/>
        </w:rPr>
        <w:t xml:space="preserve">ישנם </w:t>
      </w:r>
      <w:r w:rsidR="006F5EAC" w:rsidRPr="0065686F">
        <w:rPr>
          <w:rFonts w:cs="David" w:hint="cs"/>
          <w:b/>
          <w:bCs/>
          <w:sz w:val="24"/>
          <w:szCs w:val="24"/>
          <w:rtl/>
        </w:rPr>
        <w:t xml:space="preserve">28 </w:t>
      </w:r>
      <w:r w:rsidR="006F5EAC" w:rsidRPr="0065686F">
        <w:rPr>
          <w:rFonts w:ascii="Arial" w:hAnsi="Arial" w:cs="David" w:hint="cs"/>
          <w:b/>
          <w:bCs/>
          <w:sz w:val="24"/>
          <w:szCs w:val="24"/>
          <w:rtl/>
        </w:rPr>
        <w:t>מרכזי</w:t>
      </w:r>
      <w:r w:rsidR="006F5EAC" w:rsidRPr="0065686F">
        <w:rPr>
          <w:rFonts w:cs="David" w:hint="cs"/>
          <w:b/>
          <w:bCs/>
          <w:sz w:val="24"/>
          <w:szCs w:val="24"/>
          <w:rtl/>
        </w:rPr>
        <w:t xml:space="preserve"> </w:t>
      </w:r>
      <w:r w:rsidR="006F5EAC" w:rsidRPr="0065686F">
        <w:rPr>
          <w:rFonts w:ascii="Arial" w:hAnsi="Arial" w:cs="David" w:hint="cs"/>
          <w:b/>
          <w:bCs/>
          <w:sz w:val="24"/>
          <w:szCs w:val="24"/>
          <w:rtl/>
        </w:rPr>
        <w:t>טיפול</w:t>
      </w:r>
      <w:r w:rsidR="006F5EAC" w:rsidRPr="0065686F">
        <w:rPr>
          <w:rFonts w:cs="David" w:hint="cs"/>
          <w:b/>
          <w:bCs/>
          <w:sz w:val="24"/>
          <w:szCs w:val="24"/>
          <w:rtl/>
        </w:rPr>
        <w:t xml:space="preserve"> </w:t>
      </w:r>
      <w:r w:rsidR="006F5EAC" w:rsidRPr="0065686F">
        <w:rPr>
          <w:rFonts w:ascii="Arial" w:hAnsi="Arial" w:cs="David" w:hint="cs"/>
          <w:b/>
          <w:bCs/>
          <w:sz w:val="24"/>
          <w:szCs w:val="24"/>
          <w:rtl/>
        </w:rPr>
        <w:t>באשפוז</w:t>
      </w:r>
      <w:r w:rsidR="006F5EAC" w:rsidRPr="0065686F">
        <w:rPr>
          <w:rFonts w:cs="David" w:hint="cs"/>
          <w:b/>
          <w:bCs/>
          <w:sz w:val="24"/>
          <w:szCs w:val="24"/>
          <w:rtl/>
        </w:rPr>
        <w:t xml:space="preserve"> </w:t>
      </w:r>
      <w:r w:rsidR="006F5EAC" w:rsidRPr="0065686F">
        <w:rPr>
          <w:rFonts w:ascii="Arial" w:hAnsi="Arial" w:cs="David" w:hint="cs"/>
          <w:b/>
          <w:bCs/>
          <w:sz w:val="24"/>
          <w:szCs w:val="24"/>
          <w:rtl/>
        </w:rPr>
        <w:t>ו</w:t>
      </w:r>
      <w:r w:rsidR="006F5EAC" w:rsidRPr="0065686F">
        <w:rPr>
          <w:rFonts w:cs="David" w:hint="cs"/>
          <w:b/>
          <w:bCs/>
          <w:sz w:val="24"/>
          <w:szCs w:val="24"/>
          <w:rtl/>
        </w:rPr>
        <w:t xml:space="preserve">-30 </w:t>
      </w:r>
      <w:r w:rsidR="006F5EAC" w:rsidRPr="0065686F">
        <w:rPr>
          <w:rFonts w:ascii="Arial" w:hAnsi="Arial" w:cs="David" w:hint="cs"/>
          <w:b/>
          <w:bCs/>
          <w:sz w:val="24"/>
          <w:szCs w:val="24"/>
          <w:rtl/>
        </w:rPr>
        <w:t>מרכזי</w:t>
      </w:r>
      <w:r w:rsidR="006F5EAC" w:rsidRPr="0065686F">
        <w:rPr>
          <w:rFonts w:cs="David" w:hint="cs"/>
          <w:b/>
          <w:bCs/>
          <w:sz w:val="24"/>
          <w:szCs w:val="24"/>
          <w:rtl/>
        </w:rPr>
        <w:t xml:space="preserve"> </w:t>
      </w:r>
      <w:r w:rsidR="006F5EAC" w:rsidRPr="0065686F">
        <w:rPr>
          <w:rFonts w:ascii="Arial" w:hAnsi="Arial" w:cs="David" w:hint="cs"/>
          <w:b/>
          <w:bCs/>
          <w:sz w:val="24"/>
          <w:szCs w:val="24"/>
          <w:rtl/>
        </w:rPr>
        <w:t>טיפול</w:t>
      </w:r>
      <w:r w:rsidR="006F5EAC" w:rsidRPr="0065686F">
        <w:rPr>
          <w:rFonts w:cs="David" w:hint="cs"/>
          <w:b/>
          <w:bCs/>
          <w:sz w:val="24"/>
          <w:szCs w:val="24"/>
          <w:rtl/>
        </w:rPr>
        <w:t xml:space="preserve"> </w:t>
      </w:r>
      <w:r w:rsidR="006F5EAC" w:rsidRPr="0065686F">
        <w:rPr>
          <w:rFonts w:ascii="Arial" w:hAnsi="Arial" w:cs="David" w:hint="cs"/>
          <w:b/>
          <w:bCs/>
          <w:sz w:val="24"/>
          <w:szCs w:val="24"/>
          <w:rtl/>
        </w:rPr>
        <w:t>במסגרת</w:t>
      </w:r>
      <w:r w:rsidR="006F5EAC" w:rsidRPr="0065686F">
        <w:rPr>
          <w:rFonts w:cs="David" w:hint="cs"/>
          <w:b/>
          <w:bCs/>
          <w:sz w:val="24"/>
          <w:szCs w:val="24"/>
          <w:rtl/>
        </w:rPr>
        <w:t xml:space="preserve"> </w:t>
      </w:r>
      <w:r w:rsidR="006F5EAC" w:rsidRPr="0065686F">
        <w:rPr>
          <w:rFonts w:ascii="Arial" w:hAnsi="Arial" w:cs="David" w:hint="cs"/>
          <w:b/>
          <w:bCs/>
          <w:sz w:val="24"/>
          <w:szCs w:val="24"/>
          <w:rtl/>
        </w:rPr>
        <w:t>מרפאתית</w:t>
      </w:r>
      <w:r w:rsidR="006F5EAC" w:rsidRPr="0065686F">
        <w:rPr>
          <w:rFonts w:cs="David" w:hint="cs"/>
          <w:sz w:val="24"/>
          <w:szCs w:val="24"/>
          <w:rtl/>
        </w:rPr>
        <w:t xml:space="preserve">, </w:t>
      </w:r>
      <w:r w:rsidR="006F5EAC" w:rsidRPr="0065686F">
        <w:rPr>
          <w:rFonts w:ascii="Arial" w:hAnsi="Arial" w:cs="David" w:hint="cs"/>
          <w:sz w:val="24"/>
          <w:szCs w:val="24"/>
          <w:rtl/>
        </w:rPr>
        <w:t>ובכלל</w:t>
      </w:r>
      <w:r w:rsidR="006F5EAC" w:rsidRPr="0065686F">
        <w:rPr>
          <w:rFonts w:cs="David" w:hint="cs"/>
          <w:sz w:val="24"/>
          <w:szCs w:val="24"/>
          <w:rtl/>
        </w:rPr>
        <w:t xml:space="preserve"> </w:t>
      </w:r>
      <w:r w:rsidR="006F5EAC" w:rsidRPr="0065686F">
        <w:rPr>
          <w:rFonts w:ascii="Arial" w:hAnsi="Arial" w:cs="David" w:hint="cs"/>
          <w:sz w:val="24"/>
          <w:szCs w:val="24"/>
          <w:rtl/>
        </w:rPr>
        <w:t>זאת</w:t>
      </w:r>
      <w:r w:rsidR="006F5EAC" w:rsidRPr="0065686F">
        <w:rPr>
          <w:rFonts w:cs="David" w:hint="cs"/>
          <w:sz w:val="24"/>
          <w:szCs w:val="24"/>
          <w:rtl/>
        </w:rPr>
        <w:t xml:space="preserve"> </w:t>
      </w:r>
      <w:r w:rsidR="006F5EAC" w:rsidRPr="0065686F">
        <w:rPr>
          <w:rFonts w:ascii="Arial" w:hAnsi="Arial" w:cs="David" w:hint="cs"/>
          <w:sz w:val="24"/>
          <w:szCs w:val="24"/>
          <w:rtl/>
        </w:rPr>
        <w:t>מרכזים</w:t>
      </w:r>
      <w:r w:rsidR="006F5EAC" w:rsidRPr="0065686F">
        <w:rPr>
          <w:rFonts w:cs="David" w:hint="cs"/>
          <w:sz w:val="24"/>
          <w:szCs w:val="24"/>
          <w:rtl/>
        </w:rPr>
        <w:t xml:space="preserve"> </w:t>
      </w:r>
      <w:r w:rsidR="006F5EAC" w:rsidRPr="0065686F">
        <w:rPr>
          <w:rFonts w:ascii="Arial" w:hAnsi="Arial" w:cs="David" w:hint="cs"/>
          <w:sz w:val="24"/>
          <w:szCs w:val="24"/>
          <w:rtl/>
        </w:rPr>
        <w:t>לטיפול</w:t>
      </w:r>
      <w:r w:rsidR="006F5EAC" w:rsidRPr="0065686F">
        <w:rPr>
          <w:rFonts w:cs="David" w:hint="cs"/>
          <w:sz w:val="24"/>
          <w:szCs w:val="24"/>
          <w:rtl/>
        </w:rPr>
        <w:t xml:space="preserve"> </w:t>
      </w:r>
      <w:r w:rsidR="006F5EAC" w:rsidRPr="0065686F">
        <w:rPr>
          <w:rFonts w:ascii="Arial" w:hAnsi="Arial" w:cs="David" w:hint="cs"/>
          <w:sz w:val="24"/>
          <w:szCs w:val="24"/>
          <w:rtl/>
        </w:rPr>
        <w:t>תרופתי</w:t>
      </w:r>
      <w:r w:rsidR="006F5EAC" w:rsidRPr="0065686F">
        <w:rPr>
          <w:rFonts w:cs="David" w:hint="cs"/>
          <w:sz w:val="24"/>
          <w:szCs w:val="24"/>
          <w:rtl/>
        </w:rPr>
        <w:t xml:space="preserve"> </w:t>
      </w:r>
      <w:r w:rsidR="006F5EAC" w:rsidRPr="0065686F">
        <w:rPr>
          <w:rFonts w:ascii="Arial" w:hAnsi="Arial" w:cs="David" w:hint="cs"/>
          <w:sz w:val="24"/>
          <w:szCs w:val="24"/>
          <w:rtl/>
        </w:rPr>
        <w:t>ממושך</w:t>
      </w:r>
      <w:r w:rsidR="006F5EAC" w:rsidRPr="0065686F">
        <w:rPr>
          <w:rFonts w:cs="David" w:hint="cs"/>
          <w:sz w:val="24"/>
          <w:szCs w:val="24"/>
          <w:rtl/>
        </w:rPr>
        <w:t xml:space="preserve">  </w:t>
      </w:r>
      <w:r w:rsidR="00961026" w:rsidRPr="0065686F">
        <w:rPr>
          <w:rFonts w:ascii="Arial" w:hAnsi="Arial" w:cs="David" w:hint="cs"/>
          <w:sz w:val="24"/>
          <w:szCs w:val="24"/>
          <w:rtl/>
        </w:rPr>
        <w:t>ב?</w:t>
      </w:r>
      <w:r w:rsidR="006F5EAC" w:rsidRPr="0065686F">
        <w:rPr>
          <w:rFonts w:ascii="Arial" w:hAnsi="Arial" w:cs="David" w:hint="cs"/>
          <w:sz w:val="24"/>
          <w:szCs w:val="24"/>
          <w:rtl/>
        </w:rPr>
        <w:t>תחליפי</w:t>
      </w:r>
      <w:r w:rsidR="006F5EAC" w:rsidRPr="0065686F">
        <w:rPr>
          <w:rFonts w:cs="David" w:hint="cs"/>
          <w:sz w:val="24"/>
          <w:szCs w:val="24"/>
          <w:rtl/>
        </w:rPr>
        <w:t xml:space="preserve"> </w:t>
      </w:r>
      <w:r w:rsidR="006F5EAC" w:rsidRPr="0065686F">
        <w:rPr>
          <w:rFonts w:ascii="Arial" w:hAnsi="Arial" w:cs="David" w:hint="cs"/>
          <w:sz w:val="24"/>
          <w:szCs w:val="24"/>
          <w:rtl/>
        </w:rPr>
        <w:t>סם</w:t>
      </w:r>
      <w:r w:rsidR="006F5EAC" w:rsidRPr="0065686F">
        <w:rPr>
          <w:rFonts w:cs="David" w:hint="cs"/>
          <w:sz w:val="24"/>
          <w:szCs w:val="24"/>
          <w:rtl/>
        </w:rPr>
        <w:t>.</w:t>
      </w:r>
    </w:p>
    <w:p w:rsidR="00B30571" w:rsidRPr="0065686F" w:rsidRDefault="00B0770D" w:rsidP="00961026">
      <w:pPr>
        <w:pStyle w:val="afff6"/>
        <w:numPr>
          <w:ilvl w:val="0"/>
          <w:numId w:val="41"/>
        </w:numPr>
        <w:spacing w:line="360" w:lineRule="auto"/>
        <w:jc w:val="both"/>
        <w:rPr>
          <w:rFonts w:cs="David"/>
          <w:sz w:val="24"/>
          <w:szCs w:val="24"/>
        </w:rPr>
      </w:pPr>
      <w:r w:rsidRPr="0065686F">
        <w:rPr>
          <w:rFonts w:cs="David" w:hint="cs"/>
          <w:b/>
          <w:bCs/>
          <w:sz w:val="24"/>
          <w:szCs w:val="24"/>
          <w:rtl/>
        </w:rPr>
        <w:t xml:space="preserve">44 </w:t>
      </w:r>
      <w:r w:rsidRPr="0065686F">
        <w:rPr>
          <w:rFonts w:ascii="Arial" w:hAnsi="Arial" w:cs="David" w:hint="cs"/>
          <w:b/>
          <w:bCs/>
          <w:sz w:val="24"/>
          <w:szCs w:val="24"/>
          <w:rtl/>
        </w:rPr>
        <w:t>מוסדות</w:t>
      </w:r>
      <w:r w:rsidRPr="0065686F">
        <w:rPr>
          <w:rFonts w:cs="David" w:hint="cs"/>
          <w:b/>
          <w:bCs/>
          <w:sz w:val="24"/>
          <w:szCs w:val="24"/>
          <w:rtl/>
        </w:rPr>
        <w:t xml:space="preserve"> </w:t>
      </w:r>
      <w:r w:rsidRPr="0065686F">
        <w:rPr>
          <w:rFonts w:ascii="Arial" w:hAnsi="Arial" w:cs="David" w:hint="cs"/>
          <w:b/>
          <w:bCs/>
          <w:sz w:val="24"/>
          <w:szCs w:val="24"/>
          <w:rtl/>
        </w:rPr>
        <w:t>מעניקים</w:t>
      </w:r>
      <w:r w:rsidRPr="0065686F">
        <w:rPr>
          <w:rFonts w:cs="David" w:hint="cs"/>
          <w:b/>
          <w:bCs/>
          <w:sz w:val="24"/>
          <w:szCs w:val="24"/>
          <w:rtl/>
        </w:rPr>
        <w:t xml:space="preserve"> </w:t>
      </w:r>
      <w:r w:rsidRPr="0065686F">
        <w:rPr>
          <w:rFonts w:ascii="Arial" w:hAnsi="Arial" w:cs="David" w:hint="cs"/>
          <w:b/>
          <w:bCs/>
          <w:sz w:val="24"/>
          <w:szCs w:val="24"/>
          <w:rtl/>
        </w:rPr>
        <w:t>טיפולי</w:t>
      </w:r>
      <w:r w:rsidRPr="0065686F">
        <w:rPr>
          <w:rFonts w:cs="David" w:hint="cs"/>
          <w:b/>
          <w:bCs/>
          <w:sz w:val="24"/>
          <w:szCs w:val="24"/>
          <w:rtl/>
        </w:rPr>
        <w:t xml:space="preserve"> </w:t>
      </w:r>
      <w:r w:rsidRPr="0065686F">
        <w:rPr>
          <w:rFonts w:ascii="Arial" w:hAnsi="Arial" w:cs="David" w:hint="cs"/>
          <w:b/>
          <w:bCs/>
          <w:sz w:val="24"/>
          <w:szCs w:val="24"/>
          <w:rtl/>
        </w:rPr>
        <w:t>גמילה</w:t>
      </w:r>
      <w:r w:rsidRPr="0065686F">
        <w:rPr>
          <w:rFonts w:cs="David" w:hint="cs"/>
          <w:b/>
          <w:bCs/>
          <w:sz w:val="24"/>
          <w:szCs w:val="24"/>
          <w:rtl/>
        </w:rPr>
        <w:t xml:space="preserve"> </w:t>
      </w:r>
      <w:r w:rsidRPr="0065686F">
        <w:rPr>
          <w:rFonts w:ascii="Arial" w:hAnsi="Arial" w:cs="David" w:hint="cs"/>
          <w:b/>
          <w:bCs/>
          <w:sz w:val="24"/>
          <w:szCs w:val="24"/>
          <w:rtl/>
        </w:rPr>
        <w:t>ואחזקה</w:t>
      </w:r>
      <w:r w:rsidRPr="0065686F">
        <w:rPr>
          <w:rFonts w:cs="David" w:hint="cs"/>
          <w:b/>
          <w:bCs/>
          <w:sz w:val="24"/>
          <w:szCs w:val="24"/>
          <w:rtl/>
        </w:rPr>
        <w:t xml:space="preserve"> </w:t>
      </w:r>
      <w:r w:rsidRPr="0065686F">
        <w:rPr>
          <w:rFonts w:ascii="Arial" w:hAnsi="Arial" w:cs="David" w:hint="cs"/>
          <w:b/>
          <w:bCs/>
          <w:sz w:val="24"/>
          <w:szCs w:val="24"/>
          <w:rtl/>
        </w:rPr>
        <w:t>לנפגעי</w:t>
      </w:r>
      <w:r w:rsidRPr="0065686F">
        <w:rPr>
          <w:rFonts w:cs="David" w:hint="cs"/>
          <w:b/>
          <w:bCs/>
          <w:sz w:val="24"/>
          <w:szCs w:val="24"/>
          <w:rtl/>
        </w:rPr>
        <w:t xml:space="preserve"> </w:t>
      </w:r>
      <w:r w:rsidRPr="0065686F">
        <w:rPr>
          <w:rFonts w:ascii="Arial" w:hAnsi="Arial" w:cs="David" w:hint="cs"/>
          <w:b/>
          <w:bCs/>
          <w:sz w:val="24"/>
          <w:szCs w:val="24"/>
          <w:rtl/>
        </w:rPr>
        <w:t>סמים</w:t>
      </w:r>
      <w:r w:rsidRPr="0065686F">
        <w:rPr>
          <w:rFonts w:cs="David" w:hint="cs"/>
          <w:b/>
          <w:bCs/>
          <w:sz w:val="24"/>
          <w:szCs w:val="24"/>
          <w:rtl/>
        </w:rPr>
        <w:t xml:space="preserve">, 10 </w:t>
      </w:r>
      <w:r w:rsidRPr="0065686F">
        <w:rPr>
          <w:rFonts w:ascii="Arial" w:hAnsi="Arial" w:cs="David" w:hint="cs"/>
          <w:b/>
          <w:bCs/>
          <w:sz w:val="24"/>
          <w:szCs w:val="24"/>
          <w:rtl/>
        </w:rPr>
        <w:t>מיועדים</w:t>
      </w:r>
      <w:r w:rsidRPr="0065686F">
        <w:rPr>
          <w:rFonts w:cs="David" w:hint="cs"/>
          <w:b/>
          <w:bCs/>
          <w:sz w:val="24"/>
          <w:szCs w:val="24"/>
          <w:rtl/>
        </w:rPr>
        <w:t xml:space="preserve"> </w:t>
      </w:r>
      <w:r w:rsidRPr="0065686F">
        <w:rPr>
          <w:rFonts w:ascii="Arial" w:hAnsi="Arial" w:cs="David" w:hint="cs"/>
          <w:b/>
          <w:bCs/>
          <w:sz w:val="24"/>
          <w:szCs w:val="24"/>
          <w:rtl/>
        </w:rPr>
        <w:t>לנפגעי</w:t>
      </w:r>
      <w:r w:rsidRPr="0065686F">
        <w:rPr>
          <w:rFonts w:cs="David" w:hint="cs"/>
          <w:b/>
          <w:bCs/>
          <w:sz w:val="24"/>
          <w:szCs w:val="24"/>
          <w:rtl/>
        </w:rPr>
        <w:t xml:space="preserve"> </w:t>
      </w:r>
      <w:r w:rsidRPr="0065686F">
        <w:rPr>
          <w:rFonts w:ascii="Arial" w:hAnsi="Arial" w:cs="David" w:hint="cs"/>
          <w:b/>
          <w:bCs/>
          <w:sz w:val="24"/>
          <w:szCs w:val="24"/>
          <w:rtl/>
        </w:rPr>
        <w:t>אלכוהול</w:t>
      </w:r>
      <w:r w:rsidRPr="0065686F">
        <w:rPr>
          <w:rFonts w:cs="David" w:hint="cs"/>
          <w:b/>
          <w:bCs/>
          <w:sz w:val="24"/>
          <w:szCs w:val="24"/>
          <w:rtl/>
        </w:rPr>
        <w:t xml:space="preserve">, </w:t>
      </w:r>
      <w:r w:rsidRPr="0065686F">
        <w:rPr>
          <w:rFonts w:ascii="Arial" w:hAnsi="Arial" w:cs="David" w:hint="cs"/>
          <w:b/>
          <w:bCs/>
          <w:sz w:val="24"/>
          <w:szCs w:val="24"/>
          <w:rtl/>
        </w:rPr>
        <w:t>ו</w:t>
      </w:r>
      <w:r w:rsidRPr="0065686F">
        <w:rPr>
          <w:rFonts w:cs="David" w:hint="cs"/>
          <w:b/>
          <w:bCs/>
          <w:sz w:val="24"/>
          <w:szCs w:val="24"/>
          <w:rtl/>
        </w:rPr>
        <w:t xml:space="preserve">- 4 </w:t>
      </w:r>
      <w:r w:rsidRPr="0065686F">
        <w:rPr>
          <w:rFonts w:ascii="Arial" w:hAnsi="Arial" w:cs="David" w:hint="cs"/>
          <w:b/>
          <w:bCs/>
          <w:sz w:val="24"/>
          <w:szCs w:val="24"/>
          <w:rtl/>
        </w:rPr>
        <w:t>המציעים</w:t>
      </w:r>
      <w:r w:rsidRPr="0065686F">
        <w:rPr>
          <w:rFonts w:cs="David" w:hint="cs"/>
          <w:b/>
          <w:bCs/>
          <w:sz w:val="24"/>
          <w:szCs w:val="24"/>
          <w:rtl/>
        </w:rPr>
        <w:t xml:space="preserve"> </w:t>
      </w:r>
      <w:r w:rsidRPr="0065686F">
        <w:rPr>
          <w:rFonts w:ascii="Arial" w:hAnsi="Arial" w:cs="David" w:hint="cs"/>
          <w:b/>
          <w:bCs/>
          <w:sz w:val="24"/>
          <w:szCs w:val="24"/>
          <w:rtl/>
        </w:rPr>
        <w:t>שירותים</w:t>
      </w:r>
      <w:r w:rsidRPr="0065686F">
        <w:rPr>
          <w:rFonts w:cs="David" w:hint="cs"/>
          <w:b/>
          <w:bCs/>
          <w:sz w:val="24"/>
          <w:szCs w:val="24"/>
          <w:rtl/>
        </w:rPr>
        <w:t xml:space="preserve"> </w:t>
      </w:r>
      <w:r w:rsidR="00506EF1" w:rsidRPr="0065686F">
        <w:rPr>
          <w:rFonts w:ascii="Arial" w:hAnsi="Arial" w:cs="David" w:hint="cs"/>
          <w:b/>
          <w:bCs/>
          <w:sz w:val="24"/>
          <w:szCs w:val="24"/>
          <w:rtl/>
        </w:rPr>
        <w:t>הן</w:t>
      </w:r>
      <w:r w:rsidR="00506EF1" w:rsidRPr="0065686F">
        <w:rPr>
          <w:rFonts w:cs="David" w:hint="cs"/>
          <w:b/>
          <w:bCs/>
          <w:sz w:val="24"/>
          <w:szCs w:val="24"/>
          <w:rtl/>
        </w:rPr>
        <w:t xml:space="preserve"> </w:t>
      </w:r>
      <w:r w:rsidR="00506EF1" w:rsidRPr="0065686F">
        <w:rPr>
          <w:rFonts w:ascii="Arial" w:hAnsi="Arial" w:cs="David" w:hint="cs"/>
          <w:b/>
          <w:bCs/>
          <w:sz w:val="24"/>
          <w:szCs w:val="24"/>
          <w:rtl/>
        </w:rPr>
        <w:t>לנפגעי</w:t>
      </w:r>
      <w:r w:rsidR="00506EF1" w:rsidRPr="0065686F">
        <w:rPr>
          <w:rFonts w:cs="David" w:hint="cs"/>
          <w:b/>
          <w:bCs/>
          <w:sz w:val="24"/>
          <w:szCs w:val="24"/>
          <w:rtl/>
        </w:rPr>
        <w:t xml:space="preserve"> </w:t>
      </w:r>
      <w:r w:rsidR="00506EF1" w:rsidRPr="0065686F">
        <w:rPr>
          <w:rFonts w:ascii="Arial" w:hAnsi="Arial" w:cs="David" w:hint="cs"/>
          <w:b/>
          <w:bCs/>
          <w:sz w:val="24"/>
          <w:szCs w:val="24"/>
          <w:rtl/>
        </w:rPr>
        <w:t>סמים</w:t>
      </w:r>
      <w:r w:rsidR="00506EF1" w:rsidRPr="0065686F">
        <w:rPr>
          <w:rFonts w:cs="David" w:hint="cs"/>
          <w:b/>
          <w:bCs/>
          <w:sz w:val="24"/>
          <w:szCs w:val="24"/>
          <w:rtl/>
        </w:rPr>
        <w:t xml:space="preserve"> </w:t>
      </w:r>
      <w:r w:rsidR="00506EF1" w:rsidRPr="0065686F">
        <w:rPr>
          <w:rFonts w:ascii="Arial" w:hAnsi="Arial" w:cs="David" w:hint="cs"/>
          <w:b/>
          <w:bCs/>
          <w:sz w:val="24"/>
          <w:szCs w:val="24"/>
          <w:rtl/>
        </w:rPr>
        <w:t>והן</w:t>
      </w:r>
      <w:r w:rsidR="00506EF1" w:rsidRPr="0065686F">
        <w:rPr>
          <w:rFonts w:cs="David" w:hint="cs"/>
          <w:b/>
          <w:bCs/>
          <w:sz w:val="24"/>
          <w:szCs w:val="24"/>
          <w:rtl/>
        </w:rPr>
        <w:t xml:space="preserve"> </w:t>
      </w:r>
      <w:r w:rsidR="00506EF1" w:rsidRPr="0065686F">
        <w:rPr>
          <w:rFonts w:ascii="Arial" w:hAnsi="Arial" w:cs="David" w:hint="cs"/>
          <w:b/>
          <w:bCs/>
          <w:sz w:val="24"/>
          <w:szCs w:val="24"/>
          <w:rtl/>
        </w:rPr>
        <w:t>לנפגעי</w:t>
      </w:r>
      <w:r w:rsidR="00506EF1" w:rsidRPr="0065686F">
        <w:rPr>
          <w:rFonts w:cs="David" w:hint="cs"/>
          <w:b/>
          <w:bCs/>
          <w:sz w:val="24"/>
          <w:szCs w:val="24"/>
          <w:rtl/>
        </w:rPr>
        <w:t xml:space="preserve"> </w:t>
      </w:r>
      <w:r w:rsidR="00506EF1" w:rsidRPr="0065686F">
        <w:rPr>
          <w:rFonts w:ascii="Arial" w:hAnsi="Arial" w:cs="David" w:hint="cs"/>
          <w:b/>
          <w:bCs/>
          <w:sz w:val="24"/>
          <w:szCs w:val="24"/>
          <w:rtl/>
        </w:rPr>
        <w:t>אלכוהול</w:t>
      </w:r>
      <w:r w:rsidRPr="0065686F">
        <w:rPr>
          <w:rFonts w:cs="David" w:hint="cs"/>
          <w:sz w:val="24"/>
          <w:szCs w:val="24"/>
          <w:rtl/>
        </w:rPr>
        <w:t>.</w:t>
      </w:r>
    </w:p>
    <w:p w:rsidR="00B0770D" w:rsidRPr="0065686F" w:rsidRDefault="005F4B59" w:rsidP="00E33D7F">
      <w:pPr>
        <w:pStyle w:val="afff6"/>
        <w:numPr>
          <w:ilvl w:val="0"/>
          <w:numId w:val="41"/>
        </w:numPr>
        <w:spacing w:line="360" w:lineRule="auto"/>
        <w:jc w:val="both"/>
        <w:rPr>
          <w:rFonts w:cs="David"/>
          <w:sz w:val="24"/>
          <w:szCs w:val="24"/>
        </w:rPr>
      </w:pPr>
      <w:r w:rsidRPr="0065686F">
        <w:rPr>
          <w:rFonts w:cs="David" w:hint="cs"/>
          <w:b/>
          <w:bCs/>
          <w:sz w:val="24"/>
          <w:szCs w:val="24"/>
          <w:rtl/>
        </w:rPr>
        <w:t xml:space="preserve">12 </w:t>
      </w:r>
      <w:r w:rsidRPr="0065686F">
        <w:rPr>
          <w:rFonts w:ascii="Arial" w:hAnsi="Arial" w:cs="David" w:hint="cs"/>
          <w:b/>
          <w:bCs/>
          <w:sz w:val="24"/>
          <w:szCs w:val="24"/>
          <w:rtl/>
        </w:rPr>
        <w:t>מהמוסדות</w:t>
      </w:r>
      <w:r w:rsidRPr="0065686F">
        <w:rPr>
          <w:rFonts w:cs="David" w:hint="cs"/>
          <w:b/>
          <w:bCs/>
          <w:sz w:val="24"/>
          <w:szCs w:val="24"/>
          <w:rtl/>
        </w:rPr>
        <w:t xml:space="preserve"> </w:t>
      </w:r>
      <w:r w:rsidRPr="0065686F">
        <w:rPr>
          <w:rFonts w:ascii="Arial" w:hAnsi="Arial" w:cs="David" w:hint="cs"/>
          <w:b/>
          <w:bCs/>
          <w:sz w:val="24"/>
          <w:szCs w:val="24"/>
          <w:rtl/>
        </w:rPr>
        <w:t>ממוקמים</w:t>
      </w:r>
      <w:r w:rsidRPr="0065686F">
        <w:rPr>
          <w:rFonts w:cs="David" w:hint="cs"/>
          <w:b/>
          <w:bCs/>
          <w:sz w:val="24"/>
          <w:szCs w:val="24"/>
          <w:rtl/>
        </w:rPr>
        <w:t xml:space="preserve"> </w:t>
      </w:r>
      <w:r w:rsidRPr="0065686F">
        <w:rPr>
          <w:rFonts w:ascii="Arial" w:hAnsi="Arial" w:cs="David" w:hint="cs"/>
          <w:b/>
          <w:bCs/>
          <w:sz w:val="24"/>
          <w:szCs w:val="24"/>
          <w:rtl/>
        </w:rPr>
        <w:t>במחוז</w:t>
      </w:r>
      <w:r w:rsidRPr="0065686F">
        <w:rPr>
          <w:rFonts w:cs="David" w:hint="cs"/>
          <w:b/>
          <w:bCs/>
          <w:sz w:val="24"/>
          <w:szCs w:val="24"/>
          <w:rtl/>
        </w:rPr>
        <w:t xml:space="preserve"> </w:t>
      </w:r>
      <w:r w:rsidRPr="0065686F">
        <w:rPr>
          <w:rFonts w:ascii="Arial" w:hAnsi="Arial" w:cs="David" w:hint="cs"/>
          <w:b/>
          <w:bCs/>
          <w:sz w:val="24"/>
          <w:szCs w:val="24"/>
          <w:rtl/>
        </w:rPr>
        <w:t>הדרום</w:t>
      </w:r>
      <w:r w:rsidRPr="0065686F">
        <w:rPr>
          <w:rFonts w:cs="David" w:hint="cs"/>
          <w:b/>
          <w:bCs/>
          <w:sz w:val="24"/>
          <w:szCs w:val="24"/>
          <w:rtl/>
        </w:rPr>
        <w:t xml:space="preserve">, 10 </w:t>
      </w:r>
      <w:r w:rsidRPr="0065686F">
        <w:rPr>
          <w:rFonts w:ascii="Arial" w:hAnsi="Arial" w:cs="David" w:hint="cs"/>
          <w:b/>
          <w:bCs/>
          <w:sz w:val="24"/>
          <w:szCs w:val="24"/>
          <w:rtl/>
        </w:rPr>
        <w:t>במחוז</w:t>
      </w:r>
      <w:r w:rsidRPr="0065686F">
        <w:rPr>
          <w:rFonts w:cs="David" w:hint="cs"/>
          <w:b/>
          <w:bCs/>
          <w:sz w:val="24"/>
          <w:szCs w:val="24"/>
          <w:rtl/>
        </w:rPr>
        <w:t xml:space="preserve"> </w:t>
      </w:r>
      <w:r w:rsidRPr="0065686F">
        <w:rPr>
          <w:rFonts w:ascii="Arial" w:hAnsi="Arial" w:cs="David" w:hint="cs"/>
          <w:b/>
          <w:bCs/>
          <w:sz w:val="24"/>
          <w:szCs w:val="24"/>
          <w:rtl/>
        </w:rPr>
        <w:t>תל</w:t>
      </w:r>
      <w:r w:rsidRPr="0065686F">
        <w:rPr>
          <w:rFonts w:cs="David" w:hint="cs"/>
          <w:b/>
          <w:bCs/>
          <w:sz w:val="24"/>
          <w:szCs w:val="24"/>
          <w:rtl/>
        </w:rPr>
        <w:t>-</w:t>
      </w:r>
      <w:r w:rsidRPr="0065686F">
        <w:rPr>
          <w:rFonts w:ascii="Arial" w:hAnsi="Arial" w:cs="David" w:hint="cs"/>
          <w:b/>
          <w:bCs/>
          <w:sz w:val="24"/>
          <w:szCs w:val="24"/>
          <w:rtl/>
        </w:rPr>
        <w:t>אביב</w:t>
      </w:r>
      <w:r w:rsidRPr="0065686F">
        <w:rPr>
          <w:rFonts w:cs="David" w:hint="cs"/>
          <w:b/>
          <w:bCs/>
          <w:sz w:val="24"/>
          <w:szCs w:val="24"/>
          <w:rtl/>
        </w:rPr>
        <w:t xml:space="preserve">, 18 </w:t>
      </w:r>
      <w:r w:rsidRPr="0065686F">
        <w:rPr>
          <w:rFonts w:ascii="Arial" w:hAnsi="Arial" w:cs="David" w:hint="cs"/>
          <w:b/>
          <w:bCs/>
          <w:sz w:val="24"/>
          <w:szCs w:val="24"/>
          <w:rtl/>
        </w:rPr>
        <w:t>במחוז</w:t>
      </w:r>
      <w:r w:rsidRPr="0065686F">
        <w:rPr>
          <w:rFonts w:cs="David" w:hint="cs"/>
          <w:b/>
          <w:bCs/>
          <w:sz w:val="24"/>
          <w:szCs w:val="24"/>
          <w:rtl/>
        </w:rPr>
        <w:t xml:space="preserve"> </w:t>
      </w:r>
      <w:r w:rsidRPr="0065686F">
        <w:rPr>
          <w:rFonts w:ascii="Arial" w:hAnsi="Arial" w:cs="David" w:hint="cs"/>
          <w:b/>
          <w:bCs/>
          <w:sz w:val="24"/>
          <w:szCs w:val="24"/>
          <w:rtl/>
        </w:rPr>
        <w:t>מרכז</w:t>
      </w:r>
      <w:r w:rsidRPr="0065686F">
        <w:rPr>
          <w:rFonts w:cs="David" w:hint="cs"/>
          <w:b/>
          <w:bCs/>
          <w:sz w:val="24"/>
          <w:szCs w:val="24"/>
          <w:rtl/>
        </w:rPr>
        <w:t xml:space="preserve">, 5 </w:t>
      </w:r>
      <w:r w:rsidRPr="0065686F">
        <w:rPr>
          <w:rFonts w:ascii="Arial" w:hAnsi="Arial" w:cs="David" w:hint="cs"/>
          <w:b/>
          <w:bCs/>
          <w:sz w:val="24"/>
          <w:szCs w:val="24"/>
          <w:rtl/>
        </w:rPr>
        <w:t>במחוז</w:t>
      </w:r>
      <w:r w:rsidRPr="0065686F">
        <w:rPr>
          <w:rFonts w:cs="David" w:hint="cs"/>
          <w:b/>
          <w:bCs/>
          <w:sz w:val="24"/>
          <w:szCs w:val="24"/>
          <w:rtl/>
        </w:rPr>
        <w:t xml:space="preserve"> </w:t>
      </w:r>
      <w:r w:rsidRPr="0065686F">
        <w:rPr>
          <w:rFonts w:ascii="Arial" w:hAnsi="Arial" w:cs="David" w:hint="cs"/>
          <w:b/>
          <w:bCs/>
          <w:sz w:val="24"/>
          <w:szCs w:val="24"/>
          <w:rtl/>
        </w:rPr>
        <w:t>ירושלים</w:t>
      </w:r>
      <w:r w:rsidRPr="0065686F">
        <w:rPr>
          <w:rFonts w:cs="David" w:hint="cs"/>
          <w:b/>
          <w:bCs/>
          <w:sz w:val="24"/>
          <w:szCs w:val="24"/>
          <w:rtl/>
        </w:rPr>
        <w:t xml:space="preserve">, </w:t>
      </w:r>
      <w:r w:rsidRPr="0065686F">
        <w:rPr>
          <w:rFonts w:ascii="Arial" w:hAnsi="Arial" w:cs="David" w:hint="cs"/>
          <w:b/>
          <w:bCs/>
          <w:sz w:val="24"/>
          <w:szCs w:val="24"/>
          <w:rtl/>
        </w:rPr>
        <w:t>ו</w:t>
      </w:r>
      <w:r w:rsidRPr="0065686F">
        <w:rPr>
          <w:rFonts w:cs="David" w:hint="cs"/>
          <w:b/>
          <w:bCs/>
          <w:sz w:val="24"/>
          <w:szCs w:val="24"/>
          <w:rtl/>
        </w:rPr>
        <w:t xml:space="preserve">- 13 </w:t>
      </w:r>
      <w:r w:rsidRPr="0065686F">
        <w:rPr>
          <w:rFonts w:ascii="Arial" w:hAnsi="Arial" w:cs="David" w:hint="cs"/>
          <w:b/>
          <w:bCs/>
          <w:sz w:val="24"/>
          <w:szCs w:val="24"/>
          <w:rtl/>
        </w:rPr>
        <w:t>במחוזות</w:t>
      </w:r>
      <w:r w:rsidRPr="0065686F">
        <w:rPr>
          <w:rFonts w:cs="David" w:hint="cs"/>
          <w:b/>
          <w:bCs/>
          <w:sz w:val="24"/>
          <w:szCs w:val="24"/>
          <w:rtl/>
        </w:rPr>
        <w:t xml:space="preserve"> </w:t>
      </w:r>
      <w:r w:rsidRPr="0065686F">
        <w:rPr>
          <w:rFonts w:ascii="Arial" w:hAnsi="Arial" w:cs="David" w:hint="cs"/>
          <w:b/>
          <w:bCs/>
          <w:sz w:val="24"/>
          <w:szCs w:val="24"/>
          <w:rtl/>
        </w:rPr>
        <w:t>חיפה</w:t>
      </w:r>
      <w:r w:rsidRPr="0065686F">
        <w:rPr>
          <w:rFonts w:cs="David" w:hint="cs"/>
          <w:b/>
          <w:bCs/>
          <w:sz w:val="24"/>
          <w:szCs w:val="24"/>
          <w:rtl/>
        </w:rPr>
        <w:t xml:space="preserve"> </w:t>
      </w:r>
      <w:r w:rsidRPr="0065686F">
        <w:rPr>
          <w:rFonts w:ascii="Arial" w:hAnsi="Arial" w:cs="David" w:hint="cs"/>
          <w:b/>
          <w:bCs/>
          <w:sz w:val="24"/>
          <w:szCs w:val="24"/>
          <w:rtl/>
        </w:rPr>
        <w:t>והצפון</w:t>
      </w:r>
      <w:r w:rsidRPr="0065686F">
        <w:rPr>
          <w:rFonts w:cs="David" w:hint="cs"/>
          <w:sz w:val="24"/>
          <w:szCs w:val="24"/>
          <w:rtl/>
        </w:rPr>
        <w:t>.</w:t>
      </w:r>
    </w:p>
    <w:p w:rsidR="005F4B59" w:rsidRPr="0065686F" w:rsidRDefault="00D46FCE" w:rsidP="00961026">
      <w:pPr>
        <w:pStyle w:val="afff6"/>
        <w:numPr>
          <w:ilvl w:val="0"/>
          <w:numId w:val="41"/>
        </w:numPr>
        <w:spacing w:line="360" w:lineRule="auto"/>
        <w:jc w:val="both"/>
        <w:rPr>
          <w:rFonts w:cs="David"/>
          <w:sz w:val="24"/>
          <w:szCs w:val="24"/>
        </w:rPr>
      </w:pPr>
      <w:r w:rsidRPr="0065686F">
        <w:rPr>
          <w:rFonts w:cs="David" w:hint="cs"/>
          <w:b/>
          <w:bCs/>
          <w:sz w:val="24"/>
          <w:szCs w:val="24"/>
          <w:rtl/>
        </w:rPr>
        <w:t xml:space="preserve">15 </w:t>
      </w:r>
      <w:r w:rsidRPr="0065686F">
        <w:rPr>
          <w:rFonts w:ascii="Arial" w:hAnsi="Arial" w:cs="David" w:hint="cs"/>
          <w:b/>
          <w:bCs/>
          <w:sz w:val="24"/>
          <w:szCs w:val="24"/>
          <w:rtl/>
        </w:rPr>
        <w:t>נמצאים</w:t>
      </w:r>
      <w:r w:rsidRPr="0065686F">
        <w:rPr>
          <w:rFonts w:cs="David" w:hint="cs"/>
          <w:b/>
          <w:bCs/>
          <w:sz w:val="24"/>
          <w:szCs w:val="24"/>
          <w:rtl/>
        </w:rPr>
        <w:t xml:space="preserve"> </w:t>
      </w:r>
      <w:r w:rsidRPr="0065686F">
        <w:rPr>
          <w:rFonts w:ascii="Arial" w:hAnsi="Arial" w:cs="David" w:hint="cs"/>
          <w:b/>
          <w:bCs/>
          <w:sz w:val="24"/>
          <w:szCs w:val="24"/>
          <w:rtl/>
        </w:rPr>
        <w:t>בבעלות</w:t>
      </w:r>
      <w:r w:rsidRPr="0065686F">
        <w:rPr>
          <w:rFonts w:cs="David" w:hint="cs"/>
          <w:b/>
          <w:bCs/>
          <w:sz w:val="24"/>
          <w:szCs w:val="24"/>
          <w:rtl/>
        </w:rPr>
        <w:t xml:space="preserve"> </w:t>
      </w:r>
      <w:r w:rsidRPr="0065686F">
        <w:rPr>
          <w:rFonts w:ascii="Arial" w:hAnsi="Arial" w:cs="David" w:hint="cs"/>
          <w:b/>
          <w:bCs/>
          <w:sz w:val="24"/>
          <w:szCs w:val="24"/>
          <w:rtl/>
        </w:rPr>
        <w:t>ציבורית</w:t>
      </w:r>
      <w:r w:rsidRPr="0065686F">
        <w:rPr>
          <w:rFonts w:cs="David" w:hint="cs"/>
          <w:b/>
          <w:bCs/>
          <w:sz w:val="24"/>
          <w:szCs w:val="24"/>
          <w:rtl/>
        </w:rPr>
        <w:t xml:space="preserve">, 16 </w:t>
      </w:r>
      <w:r w:rsidR="00961026" w:rsidRPr="0065686F">
        <w:rPr>
          <w:rFonts w:cs="David" w:hint="cs"/>
          <w:b/>
          <w:bCs/>
          <w:sz w:val="24"/>
          <w:szCs w:val="24"/>
          <w:rtl/>
        </w:rPr>
        <w:t xml:space="preserve"> הם</w:t>
      </w:r>
      <w:r w:rsidRPr="0065686F">
        <w:rPr>
          <w:rFonts w:cs="David" w:hint="cs"/>
          <w:b/>
          <w:bCs/>
          <w:sz w:val="24"/>
          <w:szCs w:val="24"/>
          <w:rtl/>
        </w:rPr>
        <w:t xml:space="preserve"> </w:t>
      </w:r>
      <w:r w:rsidRPr="0065686F">
        <w:rPr>
          <w:rFonts w:ascii="Arial" w:hAnsi="Arial" w:cs="David" w:hint="cs"/>
          <w:b/>
          <w:bCs/>
          <w:sz w:val="24"/>
          <w:szCs w:val="24"/>
          <w:rtl/>
        </w:rPr>
        <w:t>מלכ</w:t>
      </w:r>
      <w:r w:rsidRPr="0065686F">
        <w:rPr>
          <w:rFonts w:cs="David" w:hint="cs"/>
          <w:b/>
          <w:bCs/>
          <w:sz w:val="24"/>
          <w:szCs w:val="24"/>
          <w:rtl/>
        </w:rPr>
        <w:t>"</w:t>
      </w:r>
      <w:r w:rsidRPr="0065686F">
        <w:rPr>
          <w:rFonts w:ascii="Arial" w:hAnsi="Arial" w:cs="David" w:hint="cs"/>
          <w:b/>
          <w:bCs/>
          <w:sz w:val="24"/>
          <w:szCs w:val="24"/>
          <w:rtl/>
        </w:rPr>
        <w:t>ר</w:t>
      </w:r>
      <w:r w:rsidR="00961026" w:rsidRPr="0065686F">
        <w:rPr>
          <w:rFonts w:ascii="Arial" w:hAnsi="Arial" w:cs="David" w:hint="cs"/>
          <w:b/>
          <w:bCs/>
          <w:sz w:val="24"/>
          <w:szCs w:val="24"/>
          <w:rtl/>
        </w:rPr>
        <w:t>ים</w:t>
      </w:r>
      <w:r w:rsidRPr="0065686F">
        <w:rPr>
          <w:rFonts w:cs="David" w:hint="cs"/>
          <w:b/>
          <w:bCs/>
          <w:sz w:val="24"/>
          <w:szCs w:val="24"/>
          <w:rtl/>
        </w:rPr>
        <w:t xml:space="preserve">, </w:t>
      </w:r>
      <w:r w:rsidRPr="0065686F">
        <w:rPr>
          <w:rFonts w:ascii="Arial" w:hAnsi="Arial" w:cs="David" w:hint="cs"/>
          <w:b/>
          <w:bCs/>
          <w:sz w:val="24"/>
          <w:szCs w:val="24"/>
          <w:rtl/>
        </w:rPr>
        <w:t>ו</w:t>
      </w:r>
      <w:r w:rsidRPr="0065686F">
        <w:rPr>
          <w:rFonts w:cs="David" w:hint="cs"/>
          <w:b/>
          <w:bCs/>
          <w:sz w:val="24"/>
          <w:szCs w:val="24"/>
          <w:rtl/>
        </w:rPr>
        <w:t xml:space="preserve">- 27 </w:t>
      </w:r>
      <w:r w:rsidR="005B0E5F" w:rsidRPr="0065686F">
        <w:rPr>
          <w:rFonts w:ascii="Arial" w:hAnsi="Arial" w:cs="David" w:hint="cs"/>
          <w:b/>
          <w:bCs/>
          <w:sz w:val="24"/>
          <w:szCs w:val="24"/>
          <w:rtl/>
        </w:rPr>
        <w:t>ב</w:t>
      </w:r>
      <w:r w:rsidRPr="0065686F">
        <w:rPr>
          <w:rFonts w:ascii="Arial" w:hAnsi="Arial" w:cs="David" w:hint="cs"/>
          <w:b/>
          <w:bCs/>
          <w:sz w:val="24"/>
          <w:szCs w:val="24"/>
          <w:rtl/>
        </w:rPr>
        <w:t>בעלות</w:t>
      </w:r>
      <w:r w:rsidRPr="0065686F">
        <w:rPr>
          <w:rFonts w:cs="David" w:hint="cs"/>
          <w:b/>
          <w:bCs/>
          <w:sz w:val="24"/>
          <w:szCs w:val="24"/>
          <w:rtl/>
        </w:rPr>
        <w:t xml:space="preserve"> </w:t>
      </w:r>
      <w:r w:rsidRPr="0065686F">
        <w:rPr>
          <w:rFonts w:ascii="Arial" w:hAnsi="Arial" w:cs="David" w:hint="cs"/>
          <w:b/>
          <w:bCs/>
          <w:sz w:val="24"/>
          <w:szCs w:val="24"/>
          <w:rtl/>
        </w:rPr>
        <w:t>פרטית</w:t>
      </w:r>
      <w:r w:rsidRPr="0065686F">
        <w:rPr>
          <w:rFonts w:cs="David" w:hint="cs"/>
          <w:sz w:val="24"/>
          <w:szCs w:val="24"/>
          <w:rtl/>
        </w:rPr>
        <w:t>.</w:t>
      </w:r>
    </w:p>
    <w:p w:rsidR="006C467B" w:rsidRPr="00BB6388" w:rsidRDefault="006C467B" w:rsidP="00D46FCE">
      <w:pPr>
        <w:spacing w:line="360" w:lineRule="auto"/>
        <w:rPr>
          <w:b/>
          <w:bCs/>
          <w:rtl/>
        </w:rPr>
      </w:pPr>
      <w:r w:rsidRPr="00BB6388">
        <w:rPr>
          <w:rFonts w:hint="cs"/>
          <w:rtl/>
        </w:rPr>
        <w:t xml:space="preserve">לסיכום חלק זה חשוב לציין כי </w:t>
      </w:r>
      <w:r w:rsidRPr="001902DE">
        <w:rPr>
          <w:rFonts w:hint="cs"/>
          <w:b/>
          <w:bCs/>
          <w:rtl/>
        </w:rPr>
        <w:t>נתונים אלו אינם עונים על השאלה</w:t>
      </w:r>
      <w:r w:rsidRPr="00BB6388">
        <w:rPr>
          <w:rFonts w:hint="cs"/>
          <w:rtl/>
        </w:rPr>
        <w:t xml:space="preserve"> </w:t>
      </w:r>
      <w:r w:rsidRPr="00BB6388">
        <w:rPr>
          <w:rFonts w:hint="cs"/>
          <w:b/>
          <w:bCs/>
          <w:rtl/>
        </w:rPr>
        <w:t xml:space="preserve">האם מספר </w:t>
      </w:r>
      <w:r w:rsidR="00D46FCE">
        <w:rPr>
          <w:rFonts w:hint="cs"/>
          <w:b/>
          <w:bCs/>
          <w:rtl/>
        </w:rPr>
        <w:t>המוסדות והמיטות</w:t>
      </w:r>
      <w:r w:rsidRPr="00BB6388">
        <w:rPr>
          <w:rFonts w:hint="cs"/>
          <w:b/>
          <w:bCs/>
          <w:rtl/>
        </w:rPr>
        <w:t xml:space="preserve"> הקיים עונה על הצרכים</w:t>
      </w:r>
      <w:r w:rsidRPr="00BB6388">
        <w:rPr>
          <w:rFonts w:hint="cs"/>
          <w:rtl/>
        </w:rPr>
        <w:t>; מערכות הבריאות והרווחה אינן תרות באופן אקטיבי (</w:t>
      </w:r>
      <w:r w:rsidRPr="00BB6388">
        <w:rPr>
          <w:sz w:val="20"/>
          <w:szCs w:val="20"/>
        </w:rPr>
        <w:t>Reaching Out</w:t>
      </w:r>
      <w:r w:rsidRPr="00BB6388">
        <w:rPr>
          <w:rFonts w:hint="cs"/>
          <w:rtl/>
        </w:rPr>
        <w:t xml:space="preserve">) אחר מכורים בניסיון לשכנעם להיגמל. ברוב המקרים על המכור לפנות ביוזמתו אל המחלקות לשירותים חברתיים ברשויות המקומיות כדי לעבור טיפול גמילה. לפיכך, </w:t>
      </w:r>
      <w:r w:rsidRPr="00BB6388">
        <w:rPr>
          <w:rFonts w:hint="cs"/>
          <w:b/>
          <w:bCs/>
          <w:rtl/>
        </w:rPr>
        <w:t>אין נתונים על מספר הזקוקים לטיפול גמילה ואי-אפשר לאמוד את הביקוש לשירות זה בישראל אל מול ההיצע</w:t>
      </w:r>
      <w:r w:rsidRPr="00BB6388">
        <w:rPr>
          <w:rFonts w:hint="cs"/>
          <w:rtl/>
        </w:rPr>
        <w:t>.</w:t>
      </w:r>
      <w:r w:rsidR="00D0509E">
        <w:rPr>
          <w:rFonts w:hint="cs"/>
          <w:rtl/>
        </w:rPr>
        <w:t xml:space="preserve"> </w:t>
      </w:r>
      <w:r w:rsidR="00D0509E" w:rsidRPr="00BB6388">
        <w:rPr>
          <w:rFonts w:hint="cs"/>
          <w:rtl/>
        </w:rPr>
        <w:t xml:space="preserve">נציין </w:t>
      </w:r>
      <w:r w:rsidR="00D0509E">
        <w:rPr>
          <w:rFonts w:hint="cs"/>
          <w:rtl/>
        </w:rPr>
        <w:t xml:space="preserve">גם </w:t>
      </w:r>
      <w:r w:rsidR="00D0509E" w:rsidRPr="00BB6388">
        <w:rPr>
          <w:rFonts w:hint="cs"/>
          <w:rtl/>
        </w:rPr>
        <w:t>כי הנתונים שפורטו לעיל נאספו בעקבות בקשה ממרכז המחקר והמידע</w:t>
      </w:r>
      <w:r w:rsidR="00D0509E">
        <w:rPr>
          <w:rFonts w:hint="cs"/>
          <w:rtl/>
        </w:rPr>
        <w:t xml:space="preserve"> של הכנסת</w:t>
      </w:r>
      <w:r w:rsidR="00D0509E" w:rsidRPr="00BB6388">
        <w:rPr>
          <w:rFonts w:hint="cs"/>
          <w:rtl/>
        </w:rPr>
        <w:t xml:space="preserve">. מדובר </w:t>
      </w:r>
      <w:r w:rsidR="00D0509E" w:rsidRPr="00BB6388">
        <w:rPr>
          <w:rtl/>
        </w:rPr>
        <w:t>במידע חיוני שיש מקום שהמשרד יפרסמו מידי שנה, כפי שהוא עושה בתחומים אחרים, כדי שניתן יהיה ללמוד על השינויים בגודלו של מערך זה</w:t>
      </w:r>
      <w:r w:rsidR="00D0509E" w:rsidRPr="00BB6388">
        <w:rPr>
          <w:rFonts w:hint="cs"/>
          <w:rtl/>
        </w:rPr>
        <w:t>.</w:t>
      </w:r>
    </w:p>
    <w:p w:rsidR="006C467B" w:rsidRPr="00BB6388" w:rsidRDefault="006C467B" w:rsidP="00BB6388">
      <w:pPr>
        <w:pStyle w:val="4"/>
        <w:rPr>
          <w:rtl/>
        </w:rPr>
      </w:pPr>
      <w:bookmarkStart w:id="319" w:name="_Toc418585117"/>
      <w:bookmarkStart w:id="320" w:name="_Toc419963170"/>
      <w:r w:rsidRPr="00BB6388">
        <w:rPr>
          <w:rFonts w:hint="cs"/>
          <w:rtl/>
        </w:rPr>
        <w:t>תקציב</w:t>
      </w:r>
      <w:bookmarkEnd w:id="319"/>
      <w:bookmarkEnd w:id="320"/>
    </w:p>
    <w:p w:rsidR="006C467B" w:rsidRPr="00BB6388" w:rsidRDefault="00281E3F" w:rsidP="003F7D69">
      <w:pPr>
        <w:spacing w:line="360" w:lineRule="auto"/>
        <w:rPr>
          <w:b/>
          <w:rtl/>
        </w:rPr>
      </w:pPr>
      <w:r>
        <w:rPr>
          <w:rFonts w:hint="cs"/>
          <w:b/>
          <w:rtl/>
        </w:rPr>
        <w:t>נכון לשנת 2011</w:t>
      </w:r>
      <w:r w:rsidR="007C4C86">
        <w:rPr>
          <w:rFonts w:hint="cs"/>
          <w:b/>
          <w:rtl/>
        </w:rPr>
        <w:t xml:space="preserve"> </w:t>
      </w:r>
      <w:r w:rsidR="006C467B" w:rsidRPr="00BB6388">
        <w:rPr>
          <w:rFonts w:hint="cs"/>
          <w:b/>
          <w:rtl/>
        </w:rPr>
        <w:t xml:space="preserve">עיקר תקציבה של המחלקה לטיפול בהתמכרויות במשרד הבריאות </w:t>
      </w:r>
      <w:r w:rsidR="007C4C86">
        <w:rPr>
          <w:rFonts w:hint="cs"/>
          <w:b/>
          <w:rtl/>
        </w:rPr>
        <w:t>ה</w:t>
      </w:r>
      <w:r w:rsidR="006C467B" w:rsidRPr="00BB6388">
        <w:rPr>
          <w:rFonts w:hint="cs"/>
          <w:b/>
          <w:rtl/>
        </w:rPr>
        <w:t xml:space="preserve">וקצה לקניית שירותי גמילה </w:t>
      </w:r>
      <w:r w:rsidR="006C467B" w:rsidRPr="00BB6388">
        <w:rPr>
          <w:rFonts w:hint="cs"/>
          <w:rtl/>
        </w:rPr>
        <w:t>מגורמים חיצוניים, ואלה מפעילים את רוב מסגרות הגמילה מסמים ואלכוהול והתחנות לחלוקת תחליפי סם.</w:t>
      </w:r>
      <w:r w:rsidR="006C467B" w:rsidRPr="00BB6388">
        <w:rPr>
          <w:rStyle w:val="ab"/>
          <w:rtl/>
        </w:rPr>
        <w:footnoteReference w:id="314"/>
      </w:r>
      <w:r w:rsidR="006C467B" w:rsidRPr="00BB6388">
        <w:rPr>
          <w:rFonts w:hint="cs"/>
          <w:rtl/>
        </w:rPr>
        <w:t xml:space="preserve"> </w:t>
      </w:r>
      <w:r w:rsidR="008227A0">
        <w:rPr>
          <w:rFonts w:hint="cs"/>
          <w:rtl/>
        </w:rPr>
        <w:t xml:space="preserve"> </w:t>
      </w:r>
      <w:r w:rsidR="006C467B" w:rsidRPr="00BB6388">
        <w:rPr>
          <w:rFonts w:hint="cs"/>
          <w:b/>
          <w:bCs/>
          <w:rtl/>
        </w:rPr>
        <w:t xml:space="preserve">בשנת 2014 </w:t>
      </w:r>
      <w:r w:rsidR="006C467B" w:rsidRPr="00BB6388">
        <w:rPr>
          <w:rFonts w:hint="cs"/>
          <w:bCs/>
          <w:rtl/>
        </w:rPr>
        <w:t xml:space="preserve">היה תקציב </w:t>
      </w:r>
      <w:r w:rsidR="007C4C86">
        <w:rPr>
          <w:rFonts w:hint="cs"/>
          <w:bCs/>
          <w:rtl/>
        </w:rPr>
        <w:t>המחלקה</w:t>
      </w:r>
      <w:r w:rsidR="006C467B" w:rsidRPr="00BB6388">
        <w:rPr>
          <w:rFonts w:hint="cs"/>
          <w:bCs/>
          <w:rtl/>
        </w:rPr>
        <w:t xml:space="preserve"> על שינוייו נטו כ-53.5 מיליון ש"ח, ושיעורו היה כ-3% מתקציב אגף שירותי בריאות הנפש (שתקציבו על שינוייו נטו לשנת 2014 עמד על 1,651,359 מיליארד ש"ח).</w:t>
      </w:r>
      <w:r w:rsidR="006C467B" w:rsidRPr="00BB6388">
        <w:rPr>
          <w:rStyle w:val="ab"/>
          <w:bCs/>
          <w:rtl/>
        </w:rPr>
        <w:footnoteReference w:id="315"/>
      </w:r>
      <w:r w:rsidR="007C4C86">
        <w:rPr>
          <w:rFonts w:hint="cs"/>
          <w:b/>
          <w:rtl/>
        </w:rPr>
        <w:t xml:space="preserve"> </w:t>
      </w:r>
      <w:r w:rsidR="003F7D69">
        <w:rPr>
          <w:rFonts w:hint="cs"/>
          <w:b/>
          <w:rtl/>
        </w:rPr>
        <w:t>מתוך תקציבה</w:t>
      </w:r>
      <w:r w:rsidR="006C467B" w:rsidRPr="00BB6388">
        <w:rPr>
          <w:rFonts w:hint="cs"/>
          <w:b/>
          <w:rtl/>
        </w:rPr>
        <w:t xml:space="preserve"> הקדישה המחלקה 23.164 מיליון ש"ח לרכישת שירותים חיצוניים המיועדים לטיפולי גמילה מסמים ואלכוהול, וכן 30.212 מיליון ₪ לרכישת שירותי טיפול תרופתי ממושך.</w:t>
      </w:r>
      <w:r w:rsidR="006C467B" w:rsidRPr="00BB6388">
        <w:rPr>
          <w:rStyle w:val="ab"/>
          <w:b/>
          <w:rtl/>
        </w:rPr>
        <w:footnoteReference w:id="316"/>
      </w:r>
    </w:p>
    <w:p w:rsidR="006C467B" w:rsidRPr="00BB6388" w:rsidRDefault="001471E7" w:rsidP="001471E7">
      <w:pPr>
        <w:pStyle w:val="af2"/>
        <w:jc w:val="center"/>
        <w:rPr>
          <w:b w:val="0"/>
          <w:rtl/>
        </w:rPr>
      </w:pPr>
      <w:bookmarkStart w:id="321" w:name="_Toc418585118"/>
      <w:bookmarkStart w:id="322" w:name="_Toc419963171"/>
      <w:r w:rsidRPr="001471E7">
        <w:rPr>
          <w:sz w:val="24"/>
          <w:szCs w:val="24"/>
          <w:rtl/>
        </w:rPr>
        <w:t xml:space="preserve">טבלה </w:t>
      </w:r>
      <w:r w:rsidRPr="001471E7">
        <w:rPr>
          <w:sz w:val="24"/>
          <w:szCs w:val="24"/>
          <w:rtl/>
        </w:rPr>
        <w:fldChar w:fldCharType="begin"/>
      </w:r>
      <w:r w:rsidRPr="001471E7">
        <w:rPr>
          <w:sz w:val="24"/>
          <w:szCs w:val="24"/>
          <w:rtl/>
        </w:rPr>
        <w:instrText xml:space="preserve"> </w:instrText>
      </w:r>
      <w:r w:rsidRPr="001471E7">
        <w:rPr>
          <w:rFonts w:hint="cs"/>
          <w:sz w:val="24"/>
          <w:szCs w:val="24"/>
        </w:rPr>
        <w:instrText>SEQ</w:instrText>
      </w:r>
      <w:r w:rsidRPr="001471E7">
        <w:rPr>
          <w:rFonts w:hint="cs"/>
          <w:sz w:val="24"/>
          <w:szCs w:val="24"/>
          <w:rtl/>
        </w:rPr>
        <w:instrText xml:space="preserve"> טבלה \* </w:instrText>
      </w:r>
      <w:r w:rsidRPr="001471E7">
        <w:rPr>
          <w:rFonts w:hint="cs"/>
          <w:sz w:val="24"/>
          <w:szCs w:val="24"/>
        </w:rPr>
        <w:instrText>ARABIC</w:instrText>
      </w:r>
      <w:r w:rsidRPr="001471E7">
        <w:rPr>
          <w:sz w:val="24"/>
          <w:szCs w:val="24"/>
          <w:rtl/>
        </w:rPr>
        <w:instrText xml:space="preserve"> </w:instrText>
      </w:r>
      <w:r w:rsidRPr="001471E7">
        <w:rPr>
          <w:sz w:val="24"/>
          <w:szCs w:val="24"/>
          <w:rtl/>
        </w:rPr>
        <w:fldChar w:fldCharType="separate"/>
      </w:r>
      <w:r w:rsidR="007347AB">
        <w:rPr>
          <w:noProof/>
          <w:sz w:val="24"/>
          <w:szCs w:val="24"/>
          <w:rtl/>
        </w:rPr>
        <w:t>18</w:t>
      </w:r>
      <w:r w:rsidRPr="001471E7">
        <w:rPr>
          <w:sz w:val="24"/>
          <w:szCs w:val="24"/>
          <w:rtl/>
        </w:rPr>
        <w:fldChar w:fldCharType="end"/>
      </w:r>
      <w:r w:rsidR="006C467B" w:rsidRPr="001471E7">
        <w:rPr>
          <w:rFonts w:hint="cs"/>
          <w:sz w:val="24"/>
          <w:szCs w:val="24"/>
          <w:rtl/>
        </w:rPr>
        <w:t>: תקציב המחלקה לטיפול בהתמכרויות במשרד הבריאות, בשנים 2014-2008</w:t>
      </w:r>
      <w:r w:rsidR="006C467B" w:rsidRPr="00BB6388">
        <w:rPr>
          <w:rStyle w:val="ab"/>
          <w:bCs w:val="0"/>
          <w:rtl/>
        </w:rPr>
        <w:footnoteReference w:id="317"/>
      </w:r>
      <w:bookmarkEnd w:id="321"/>
      <w:bookmarkEnd w:id="322"/>
    </w:p>
    <w:tbl>
      <w:tblPr>
        <w:tblStyle w:val="afff5"/>
        <w:bidiVisual/>
        <w:tblW w:w="5838" w:type="dxa"/>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1381"/>
        <w:gridCol w:w="2131"/>
        <w:gridCol w:w="2326"/>
      </w:tblGrid>
      <w:tr w:rsidR="006C467B" w:rsidRPr="006D31C6" w:rsidTr="006D31C6">
        <w:trPr>
          <w:tblCellSpacing w:w="20" w:type="dxa"/>
          <w:jc w:val="center"/>
        </w:trPr>
        <w:tc>
          <w:tcPr>
            <w:tcW w:w="1321" w:type="dxa"/>
            <w:shd w:val="clear" w:color="auto" w:fill="auto"/>
          </w:tcPr>
          <w:p w:rsidR="006C467B" w:rsidRPr="006D31C6" w:rsidRDefault="006C467B" w:rsidP="006D31C6">
            <w:pPr>
              <w:spacing w:before="60" w:after="0" w:line="240" w:lineRule="auto"/>
              <w:rPr>
                <w:b/>
                <w:bCs/>
                <w:sz w:val="22"/>
                <w:szCs w:val="22"/>
                <w:rtl/>
              </w:rPr>
            </w:pPr>
            <w:r w:rsidRPr="006D31C6">
              <w:rPr>
                <w:rFonts w:hint="cs"/>
                <w:b/>
                <w:bCs/>
                <w:sz w:val="22"/>
                <w:szCs w:val="22"/>
                <w:rtl/>
              </w:rPr>
              <w:t>שנת תקציב</w:t>
            </w:r>
          </w:p>
        </w:tc>
        <w:tc>
          <w:tcPr>
            <w:tcW w:w="2091" w:type="dxa"/>
            <w:shd w:val="clear" w:color="auto" w:fill="auto"/>
          </w:tcPr>
          <w:p w:rsidR="006C467B" w:rsidRPr="006D31C6" w:rsidRDefault="006C467B" w:rsidP="006D31C6">
            <w:pPr>
              <w:spacing w:before="60" w:after="0" w:line="240" w:lineRule="auto"/>
              <w:jc w:val="center"/>
              <w:rPr>
                <w:b/>
                <w:bCs/>
                <w:sz w:val="22"/>
                <w:szCs w:val="22"/>
                <w:rtl/>
              </w:rPr>
            </w:pPr>
            <w:r w:rsidRPr="006D31C6">
              <w:rPr>
                <w:rFonts w:hint="cs"/>
                <w:b/>
                <w:bCs/>
                <w:sz w:val="22"/>
                <w:szCs w:val="22"/>
                <w:rtl/>
              </w:rPr>
              <w:t>התקציב המקורי נטו</w:t>
            </w:r>
          </w:p>
        </w:tc>
        <w:tc>
          <w:tcPr>
            <w:tcW w:w="2266" w:type="dxa"/>
            <w:shd w:val="clear" w:color="auto" w:fill="auto"/>
          </w:tcPr>
          <w:p w:rsidR="006C467B" w:rsidRPr="006D31C6" w:rsidRDefault="006C467B" w:rsidP="006D31C6">
            <w:pPr>
              <w:spacing w:before="60" w:after="0" w:line="240" w:lineRule="auto"/>
              <w:jc w:val="center"/>
              <w:rPr>
                <w:b/>
                <w:bCs/>
                <w:sz w:val="22"/>
                <w:szCs w:val="22"/>
                <w:rtl/>
              </w:rPr>
            </w:pPr>
            <w:r w:rsidRPr="006D31C6">
              <w:rPr>
                <w:rFonts w:hint="cs"/>
                <w:b/>
                <w:bCs/>
                <w:sz w:val="22"/>
                <w:szCs w:val="22"/>
                <w:rtl/>
              </w:rPr>
              <w:t>התקציב על שינוייו נטו</w:t>
            </w:r>
          </w:p>
        </w:tc>
      </w:tr>
      <w:tr w:rsidR="006C467B" w:rsidRPr="006D31C6" w:rsidTr="006D31C6">
        <w:trPr>
          <w:tblCellSpacing w:w="20" w:type="dxa"/>
          <w:jc w:val="center"/>
        </w:trPr>
        <w:tc>
          <w:tcPr>
            <w:tcW w:w="1321" w:type="dxa"/>
            <w:shd w:val="clear" w:color="auto" w:fill="auto"/>
          </w:tcPr>
          <w:p w:rsidR="006C467B" w:rsidRPr="006D31C6" w:rsidRDefault="006C467B" w:rsidP="006D31C6">
            <w:pPr>
              <w:spacing w:before="60" w:after="0" w:line="240" w:lineRule="auto"/>
              <w:rPr>
                <w:sz w:val="22"/>
                <w:szCs w:val="22"/>
                <w:rtl/>
              </w:rPr>
            </w:pPr>
            <w:r w:rsidRPr="006D31C6">
              <w:rPr>
                <w:rFonts w:hint="cs"/>
                <w:sz w:val="22"/>
                <w:szCs w:val="22"/>
                <w:rtl/>
              </w:rPr>
              <w:t>2008</w:t>
            </w:r>
          </w:p>
        </w:tc>
        <w:tc>
          <w:tcPr>
            <w:tcW w:w="2091" w:type="dxa"/>
            <w:shd w:val="clear" w:color="auto" w:fill="auto"/>
          </w:tcPr>
          <w:p w:rsidR="006C467B" w:rsidRPr="006D31C6" w:rsidRDefault="006C467B" w:rsidP="006D31C6">
            <w:pPr>
              <w:spacing w:before="60" w:after="0" w:line="240" w:lineRule="auto"/>
              <w:jc w:val="center"/>
              <w:rPr>
                <w:sz w:val="22"/>
                <w:szCs w:val="22"/>
                <w:rtl/>
              </w:rPr>
            </w:pPr>
            <w:r w:rsidRPr="006D31C6">
              <w:rPr>
                <w:rFonts w:hint="cs"/>
                <w:sz w:val="22"/>
                <w:szCs w:val="22"/>
                <w:rtl/>
              </w:rPr>
              <w:t>28,548,000</w:t>
            </w:r>
          </w:p>
        </w:tc>
        <w:tc>
          <w:tcPr>
            <w:tcW w:w="2266" w:type="dxa"/>
            <w:shd w:val="clear" w:color="auto" w:fill="auto"/>
          </w:tcPr>
          <w:p w:rsidR="006C467B" w:rsidRPr="006D31C6" w:rsidRDefault="006C467B" w:rsidP="006D31C6">
            <w:pPr>
              <w:spacing w:before="60" w:after="0" w:line="240" w:lineRule="auto"/>
              <w:jc w:val="center"/>
              <w:rPr>
                <w:sz w:val="22"/>
                <w:szCs w:val="22"/>
                <w:rtl/>
              </w:rPr>
            </w:pPr>
            <w:r w:rsidRPr="006D31C6">
              <w:rPr>
                <w:rFonts w:hint="cs"/>
                <w:sz w:val="22"/>
                <w:szCs w:val="22"/>
                <w:rtl/>
              </w:rPr>
              <w:t>30,500,000</w:t>
            </w:r>
          </w:p>
        </w:tc>
      </w:tr>
      <w:tr w:rsidR="006C467B" w:rsidRPr="006D31C6" w:rsidTr="006D31C6">
        <w:trPr>
          <w:tblCellSpacing w:w="20" w:type="dxa"/>
          <w:jc w:val="center"/>
        </w:trPr>
        <w:tc>
          <w:tcPr>
            <w:tcW w:w="1321" w:type="dxa"/>
            <w:shd w:val="clear" w:color="auto" w:fill="auto"/>
          </w:tcPr>
          <w:p w:rsidR="006C467B" w:rsidRPr="006D31C6" w:rsidRDefault="006C467B" w:rsidP="006D31C6">
            <w:pPr>
              <w:spacing w:before="60" w:after="0" w:line="240" w:lineRule="auto"/>
              <w:rPr>
                <w:sz w:val="22"/>
                <w:szCs w:val="22"/>
                <w:rtl/>
              </w:rPr>
            </w:pPr>
            <w:r w:rsidRPr="006D31C6">
              <w:rPr>
                <w:rFonts w:hint="cs"/>
                <w:sz w:val="22"/>
                <w:szCs w:val="22"/>
                <w:rtl/>
              </w:rPr>
              <w:t>2009</w:t>
            </w:r>
          </w:p>
        </w:tc>
        <w:tc>
          <w:tcPr>
            <w:tcW w:w="2091" w:type="dxa"/>
            <w:shd w:val="clear" w:color="auto" w:fill="auto"/>
          </w:tcPr>
          <w:p w:rsidR="006C467B" w:rsidRPr="006D31C6" w:rsidRDefault="006C467B" w:rsidP="006D31C6">
            <w:pPr>
              <w:spacing w:before="60" w:after="0" w:line="240" w:lineRule="auto"/>
              <w:jc w:val="center"/>
              <w:rPr>
                <w:sz w:val="22"/>
                <w:szCs w:val="22"/>
                <w:rtl/>
              </w:rPr>
            </w:pPr>
            <w:r w:rsidRPr="006D31C6">
              <w:rPr>
                <w:rFonts w:hint="cs"/>
                <w:sz w:val="22"/>
                <w:szCs w:val="22"/>
                <w:rtl/>
              </w:rPr>
              <w:t>28,904,000</w:t>
            </w:r>
          </w:p>
        </w:tc>
        <w:tc>
          <w:tcPr>
            <w:tcW w:w="2266" w:type="dxa"/>
            <w:shd w:val="clear" w:color="auto" w:fill="auto"/>
          </w:tcPr>
          <w:p w:rsidR="006C467B" w:rsidRPr="006D31C6" w:rsidRDefault="006C467B" w:rsidP="006D31C6">
            <w:pPr>
              <w:spacing w:before="60" w:after="0" w:line="240" w:lineRule="auto"/>
              <w:jc w:val="center"/>
              <w:rPr>
                <w:sz w:val="22"/>
                <w:szCs w:val="22"/>
                <w:rtl/>
              </w:rPr>
            </w:pPr>
            <w:r w:rsidRPr="006D31C6">
              <w:rPr>
                <w:rFonts w:hint="cs"/>
                <w:sz w:val="22"/>
                <w:szCs w:val="22"/>
                <w:rtl/>
              </w:rPr>
              <w:t>35,294,000</w:t>
            </w:r>
          </w:p>
        </w:tc>
      </w:tr>
      <w:tr w:rsidR="006C467B" w:rsidRPr="006D31C6" w:rsidTr="006D31C6">
        <w:trPr>
          <w:tblCellSpacing w:w="20" w:type="dxa"/>
          <w:jc w:val="center"/>
        </w:trPr>
        <w:tc>
          <w:tcPr>
            <w:tcW w:w="1321" w:type="dxa"/>
            <w:shd w:val="clear" w:color="auto" w:fill="auto"/>
          </w:tcPr>
          <w:p w:rsidR="006C467B" w:rsidRPr="006D31C6" w:rsidRDefault="006C467B" w:rsidP="006D31C6">
            <w:pPr>
              <w:spacing w:before="60" w:after="0" w:line="240" w:lineRule="auto"/>
              <w:rPr>
                <w:sz w:val="22"/>
                <w:szCs w:val="22"/>
                <w:rtl/>
              </w:rPr>
            </w:pPr>
            <w:r w:rsidRPr="006D31C6">
              <w:rPr>
                <w:rFonts w:hint="cs"/>
                <w:sz w:val="22"/>
                <w:szCs w:val="22"/>
                <w:rtl/>
              </w:rPr>
              <w:t>2010</w:t>
            </w:r>
          </w:p>
        </w:tc>
        <w:tc>
          <w:tcPr>
            <w:tcW w:w="2091" w:type="dxa"/>
            <w:shd w:val="clear" w:color="auto" w:fill="auto"/>
          </w:tcPr>
          <w:p w:rsidR="006C467B" w:rsidRPr="006D31C6" w:rsidRDefault="006C467B" w:rsidP="006D31C6">
            <w:pPr>
              <w:spacing w:before="60" w:after="0" w:line="240" w:lineRule="auto"/>
              <w:jc w:val="center"/>
              <w:rPr>
                <w:sz w:val="22"/>
                <w:szCs w:val="22"/>
                <w:rtl/>
              </w:rPr>
            </w:pPr>
            <w:r w:rsidRPr="006D31C6">
              <w:rPr>
                <w:rFonts w:hint="cs"/>
                <w:sz w:val="22"/>
                <w:szCs w:val="22"/>
                <w:rtl/>
              </w:rPr>
              <w:t>29,694,000</w:t>
            </w:r>
          </w:p>
        </w:tc>
        <w:tc>
          <w:tcPr>
            <w:tcW w:w="2266" w:type="dxa"/>
            <w:shd w:val="clear" w:color="auto" w:fill="auto"/>
          </w:tcPr>
          <w:p w:rsidR="006C467B" w:rsidRPr="006D31C6" w:rsidRDefault="006C467B" w:rsidP="006D31C6">
            <w:pPr>
              <w:spacing w:before="60" w:after="0" w:line="240" w:lineRule="auto"/>
              <w:jc w:val="center"/>
              <w:rPr>
                <w:sz w:val="22"/>
                <w:szCs w:val="22"/>
                <w:rtl/>
              </w:rPr>
            </w:pPr>
            <w:r w:rsidRPr="006D31C6">
              <w:rPr>
                <w:rFonts w:hint="cs"/>
                <w:sz w:val="22"/>
                <w:szCs w:val="22"/>
                <w:rtl/>
              </w:rPr>
              <w:t>39,955,000</w:t>
            </w:r>
          </w:p>
        </w:tc>
      </w:tr>
      <w:tr w:rsidR="006C467B" w:rsidRPr="006D31C6" w:rsidTr="006D31C6">
        <w:trPr>
          <w:tblCellSpacing w:w="20" w:type="dxa"/>
          <w:jc w:val="center"/>
        </w:trPr>
        <w:tc>
          <w:tcPr>
            <w:tcW w:w="1321" w:type="dxa"/>
            <w:shd w:val="clear" w:color="auto" w:fill="auto"/>
          </w:tcPr>
          <w:p w:rsidR="006C467B" w:rsidRPr="006D31C6" w:rsidRDefault="006C467B" w:rsidP="006D31C6">
            <w:pPr>
              <w:spacing w:before="60" w:after="0" w:line="240" w:lineRule="auto"/>
              <w:rPr>
                <w:sz w:val="22"/>
                <w:szCs w:val="22"/>
                <w:rtl/>
              </w:rPr>
            </w:pPr>
            <w:r w:rsidRPr="006D31C6">
              <w:rPr>
                <w:rFonts w:hint="cs"/>
                <w:sz w:val="22"/>
                <w:szCs w:val="22"/>
                <w:rtl/>
              </w:rPr>
              <w:t>2011</w:t>
            </w:r>
          </w:p>
        </w:tc>
        <w:tc>
          <w:tcPr>
            <w:tcW w:w="2091" w:type="dxa"/>
            <w:shd w:val="clear" w:color="auto" w:fill="auto"/>
          </w:tcPr>
          <w:p w:rsidR="006C467B" w:rsidRPr="006D31C6" w:rsidRDefault="006C467B" w:rsidP="006D31C6">
            <w:pPr>
              <w:spacing w:before="60" w:after="0" w:line="240" w:lineRule="auto"/>
              <w:jc w:val="center"/>
              <w:rPr>
                <w:sz w:val="22"/>
                <w:szCs w:val="22"/>
                <w:rtl/>
              </w:rPr>
            </w:pPr>
            <w:r w:rsidRPr="006D31C6">
              <w:rPr>
                <w:rFonts w:hint="cs"/>
                <w:sz w:val="22"/>
                <w:szCs w:val="22"/>
                <w:rtl/>
              </w:rPr>
              <w:t>38,688,000</w:t>
            </w:r>
          </w:p>
        </w:tc>
        <w:tc>
          <w:tcPr>
            <w:tcW w:w="2266" w:type="dxa"/>
            <w:shd w:val="clear" w:color="auto" w:fill="auto"/>
          </w:tcPr>
          <w:p w:rsidR="006C467B" w:rsidRPr="006D31C6" w:rsidRDefault="006C467B" w:rsidP="006D31C6">
            <w:pPr>
              <w:spacing w:before="60" w:after="0" w:line="240" w:lineRule="auto"/>
              <w:jc w:val="center"/>
              <w:rPr>
                <w:sz w:val="22"/>
                <w:szCs w:val="22"/>
                <w:rtl/>
              </w:rPr>
            </w:pPr>
            <w:r w:rsidRPr="006D31C6">
              <w:rPr>
                <w:rFonts w:hint="cs"/>
                <w:sz w:val="22"/>
                <w:szCs w:val="22"/>
                <w:rtl/>
              </w:rPr>
              <w:t>45,954,000</w:t>
            </w:r>
          </w:p>
        </w:tc>
      </w:tr>
      <w:tr w:rsidR="006C467B" w:rsidRPr="006D31C6" w:rsidTr="006D31C6">
        <w:trPr>
          <w:tblCellSpacing w:w="20" w:type="dxa"/>
          <w:jc w:val="center"/>
        </w:trPr>
        <w:tc>
          <w:tcPr>
            <w:tcW w:w="1321" w:type="dxa"/>
            <w:shd w:val="clear" w:color="auto" w:fill="auto"/>
          </w:tcPr>
          <w:p w:rsidR="006C467B" w:rsidRPr="006D31C6" w:rsidRDefault="006C467B" w:rsidP="006D31C6">
            <w:pPr>
              <w:spacing w:before="60" w:after="0" w:line="240" w:lineRule="auto"/>
              <w:rPr>
                <w:sz w:val="22"/>
                <w:szCs w:val="22"/>
                <w:rtl/>
              </w:rPr>
            </w:pPr>
            <w:r w:rsidRPr="006D31C6">
              <w:rPr>
                <w:rFonts w:hint="cs"/>
                <w:sz w:val="22"/>
                <w:szCs w:val="22"/>
                <w:rtl/>
              </w:rPr>
              <w:t>2012</w:t>
            </w:r>
          </w:p>
        </w:tc>
        <w:tc>
          <w:tcPr>
            <w:tcW w:w="2091" w:type="dxa"/>
            <w:shd w:val="clear" w:color="auto" w:fill="auto"/>
          </w:tcPr>
          <w:p w:rsidR="006C467B" w:rsidRPr="006D31C6" w:rsidRDefault="006C467B" w:rsidP="006D31C6">
            <w:pPr>
              <w:spacing w:before="60" w:after="0" w:line="240" w:lineRule="auto"/>
              <w:jc w:val="center"/>
              <w:rPr>
                <w:sz w:val="22"/>
                <w:szCs w:val="22"/>
                <w:rtl/>
              </w:rPr>
            </w:pPr>
            <w:r w:rsidRPr="006D31C6">
              <w:rPr>
                <w:rFonts w:hint="cs"/>
                <w:sz w:val="22"/>
                <w:szCs w:val="22"/>
                <w:rtl/>
              </w:rPr>
              <w:t>38,972,000</w:t>
            </w:r>
          </w:p>
        </w:tc>
        <w:tc>
          <w:tcPr>
            <w:tcW w:w="2266" w:type="dxa"/>
            <w:shd w:val="clear" w:color="auto" w:fill="auto"/>
          </w:tcPr>
          <w:p w:rsidR="006C467B" w:rsidRPr="006D31C6" w:rsidRDefault="006C467B" w:rsidP="006D31C6">
            <w:pPr>
              <w:spacing w:before="60" w:after="0" w:line="240" w:lineRule="auto"/>
              <w:jc w:val="center"/>
              <w:rPr>
                <w:sz w:val="22"/>
                <w:szCs w:val="22"/>
                <w:rtl/>
              </w:rPr>
            </w:pPr>
            <w:r w:rsidRPr="006D31C6">
              <w:rPr>
                <w:rFonts w:hint="cs"/>
                <w:sz w:val="22"/>
                <w:szCs w:val="22"/>
                <w:rtl/>
              </w:rPr>
              <w:t>47,400,000</w:t>
            </w:r>
          </w:p>
        </w:tc>
      </w:tr>
      <w:tr w:rsidR="006C467B" w:rsidRPr="006D31C6" w:rsidTr="006D31C6">
        <w:trPr>
          <w:tblCellSpacing w:w="20" w:type="dxa"/>
          <w:jc w:val="center"/>
        </w:trPr>
        <w:tc>
          <w:tcPr>
            <w:tcW w:w="1321" w:type="dxa"/>
            <w:shd w:val="clear" w:color="auto" w:fill="auto"/>
          </w:tcPr>
          <w:p w:rsidR="006C467B" w:rsidRPr="006D31C6" w:rsidRDefault="006C467B" w:rsidP="006D31C6">
            <w:pPr>
              <w:spacing w:before="60" w:after="0" w:line="240" w:lineRule="auto"/>
              <w:rPr>
                <w:sz w:val="22"/>
                <w:szCs w:val="22"/>
                <w:rtl/>
              </w:rPr>
            </w:pPr>
            <w:r w:rsidRPr="006D31C6">
              <w:rPr>
                <w:rFonts w:hint="cs"/>
                <w:sz w:val="22"/>
                <w:szCs w:val="22"/>
                <w:rtl/>
              </w:rPr>
              <w:t>2013</w:t>
            </w:r>
          </w:p>
        </w:tc>
        <w:tc>
          <w:tcPr>
            <w:tcW w:w="2091" w:type="dxa"/>
            <w:shd w:val="clear" w:color="auto" w:fill="auto"/>
          </w:tcPr>
          <w:p w:rsidR="006C467B" w:rsidRPr="006D31C6" w:rsidRDefault="006C467B" w:rsidP="006D31C6">
            <w:pPr>
              <w:spacing w:before="60" w:after="0" w:line="240" w:lineRule="auto"/>
              <w:jc w:val="center"/>
              <w:rPr>
                <w:sz w:val="22"/>
                <w:szCs w:val="22"/>
                <w:rtl/>
              </w:rPr>
            </w:pPr>
            <w:r w:rsidRPr="006D31C6">
              <w:rPr>
                <w:sz w:val="22"/>
                <w:szCs w:val="22"/>
              </w:rPr>
              <w:t>53,571,000</w:t>
            </w:r>
          </w:p>
        </w:tc>
        <w:tc>
          <w:tcPr>
            <w:tcW w:w="2266" w:type="dxa"/>
            <w:shd w:val="clear" w:color="auto" w:fill="auto"/>
          </w:tcPr>
          <w:p w:rsidR="006C467B" w:rsidRPr="006D31C6" w:rsidRDefault="006C467B" w:rsidP="006D31C6">
            <w:pPr>
              <w:spacing w:before="60" w:after="0" w:line="240" w:lineRule="auto"/>
              <w:jc w:val="center"/>
              <w:rPr>
                <w:sz w:val="22"/>
                <w:szCs w:val="22"/>
                <w:rtl/>
              </w:rPr>
            </w:pPr>
            <w:r w:rsidRPr="006D31C6">
              <w:rPr>
                <w:sz w:val="22"/>
                <w:szCs w:val="22"/>
              </w:rPr>
              <w:t>55,200,000</w:t>
            </w:r>
          </w:p>
        </w:tc>
      </w:tr>
      <w:tr w:rsidR="006C467B" w:rsidRPr="006D31C6" w:rsidTr="006D31C6">
        <w:trPr>
          <w:tblCellSpacing w:w="20" w:type="dxa"/>
          <w:jc w:val="center"/>
        </w:trPr>
        <w:tc>
          <w:tcPr>
            <w:tcW w:w="1321" w:type="dxa"/>
            <w:shd w:val="clear" w:color="auto" w:fill="auto"/>
          </w:tcPr>
          <w:p w:rsidR="006C467B" w:rsidRPr="006D31C6" w:rsidRDefault="006C467B" w:rsidP="006D31C6">
            <w:pPr>
              <w:spacing w:before="60" w:after="0" w:line="240" w:lineRule="auto"/>
              <w:rPr>
                <w:sz w:val="22"/>
                <w:szCs w:val="22"/>
                <w:rtl/>
              </w:rPr>
            </w:pPr>
            <w:r w:rsidRPr="006D31C6">
              <w:rPr>
                <w:rFonts w:hint="cs"/>
                <w:sz w:val="22"/>
                <w:szCs w:val="22"/>
                <w:rtl/>
              </w:rPr>
              <w:t>2014</w:t>
            </w:r>
          </w:p>
        </w:tc>
        <w:tc>
          <w:tcPr>
            <w:tcW w:w="2091" w:type="dxa"/>
            <w:shd w:val="clear" w:color="auto" w:fill="auto"/>
          </w:tcPr>
          <w:p w:rsidR="006C467B" w:rsidRPr="006D31C6" w:rsidRDefault="006C467B" w:rsidP="006D31C6">
            <w:pPr>
              <w:spacing w:before="60" w:after="0" w:line="240" w:lineRule="auto"/>
              <w:jc w:val="center"/>
              <w:rPr>
                <w:sz w:val="22"/>
                <w:szCs w:val="22"/>
              </w:rPr>
            </w:pPr>
            <w:r w:rsidRPr="006D31C6">
              <w:rPr>
                <w:sz w:val="22"/>
                <w:szCs w:val="22"/>
              </w:rPr>
              <w:t>53,539,000</w:t>
            </w:r>
          </w:p>
        </w:tc>
        <w:tc>
          <w:tcPr>
            <w:tcW w:w="2266" w:type="dxa"/>
            <w:shd w:val="clear" w:color="auto" w:fill="auto"/>
          </w:tcPr>
          <w:p w:rsidR="006C467B" w:rsidRPr="006D31C6" w:rsidRDefault="006C467B" w:rsidP="006D31C6">
            <w:pPr>
              <w:spacing w:before="60" w:after="0" w:line="240" w:lineRule="auto"/>
              <w:jc w:val="center"/>
              <w:rPr>
                <w:sz w:val="22"/>
                <w:szCs w:val="22"/>
              </w:rPr>
            </w:pPr>
            <w:r w:rsidRPr="006D31C6">
              <w:rPr>
                <w:sz w:val="22"/>
                <w:szCs w:val="22"/>
              </w:rPr>
              <w:t>64,800,000</w:t>
            </w:r>
          </w:p>
        </w:tc>
      </w:tr>
    </w:tbl>
    <w:p w:rsidR="006F5B1E" w:rsidRDefault="006F5B1E" w:rsidP="006F5B1E">
      <w:pPr>
        <w:pStyle w:val="a2"/>
      </w:pPr>
      <w:bookmarkStart w:id="323" w:name="_Toc419959732"/>
      <w:bookmarkStart w:id="324" w:name="_Toc419963172"/>
      <w:bookmarkStart w:id="325" w:name="_Toc419963303"/>
      <w:bookmarkStart w:id="326" w:name="_Toc421697070"/>
    </w:p>
    <w:p w:rsidR="006A45E4" w:rsidRPr="00BB6388" w:rsidRDefault="00C270DC" w:rsidP="006A45E4">
      <w:pPr>
        <w:pStyle w:val="3"/>
        <w:rPr>
          <w:rtl/>
        </w:rPr>
      </w:pPr>
      <w:r w:rsidRPr="00BB6388">
        <w:rPr>
          <w:rFonts w:hint="cs"/>
          <w:rtl/>
        </w:rPr>
        <w:t xml:space="preserve">פעילות משרד הבריאות </w:t>
      </w:r>
      <w:r w:rsidR="007461D9" w:rsidRPr="00BB6388">
        <w:rPr>
          <w:rFonts w:hint="cs"/>
          <w:rtl/>
        </w:rPr>
        <w:t>כרגולטור</w:t>
      </w:r>
      <w:r w:rsidR="00DB556D" w:rsidRPr="00BB6388">
        <w:rPr>
          <w:rFonts w:hint="cs"/>
          <w:rtl/>
        </w:rPr>
        <w:t xml:space="preserve"> תחום</w:t>
      </w:r>
      <w:r w:rsidR="007461D9" w:rsidRPr="00BB6388">
        <w:rPr>
          <w:rFonts w:hint="cs"/>
          <w:rtl/>
        </w:rPr>
        <w:t xml:space="preserve"> סמים</w:t>
      </w:r>
      <w:bookmarkEnd w:id="323"/>
      <w:bookmarkEnd w:id="324"/>
      <w:bookmarkEnd w:id="325"/>
      <w:r w:rsidR="004E39F8" w:rsidRPr="00BB6388">
        <w:rPr>
          <w:rFonts w:hint="cs"/>
          <w:rtl/>
        </w:rPr>
        <w:t xml:space="preserve"> מסוכנים</w:t>
      </w:r>
      <w:bookmarkEnd w:id="312"/>
      <w:bookmarkEnd w:id="313"/>
      <w:r w:rsidR="001F5087">
        <w:rPr>
          <w:rFonts w:hint="cs"/>
          <w:rtl/>
        </w:rPr>
        <w:t xml:space="preserve"> וחומרים </w:t>
      </w:r>
      <w:r w:rsidR="00961026">
        <w:rPr>
          <w:rFonts w:hint="cs"/>
          <w:rtl/>
        </w:rPr>
        <w:t>מְסַכְּנִי</w:t>
      </w:r>
      <w:r w:rsidR="001F5087" w:rsidRPr="00BB6388">
        <w:rPr>
          <w:rFonts w:hint="cs"/>
          <w:rtl/>
        </w:rPr>
        <w:t>ם</w:t>
      </w:r>
      <w:bookmarkEnd w:id="326"/>
    </w:p>
    <w:p w:rsidR="00852DF5" w:rsidRDefault="00437BB4" w:rsidP="00335FA5">
      <w:pPr>
        <w:pStyle w:val="a2"/>
        <w:rPr>
          <w:rtl/>
        </w:rPr>
      </w:pPr>
      <w:r w:rsidRPr="00BB6388">
        <w:rPr>
          <w:rFonts w:hint="cs"/>
          <w:rtl/>
        </w:rPr>
        <w:t>לפי פקודת הסמים המסוכנים [נוסח חדש], התשל"ג-1973,</w:t>
      </w:r>
      <w:r>
        <w:rPr>
          <w:rStyle w:val="ab"/>
          <w:rtl/>
        </w:rPr>
        <w:footnoteReference w:id="318"/>
      </w:r>
      <w:r w:rsidRPr="00BB6388">
        <w:rPr>
          <w:rFonts w:hint="cs"/>
          <w:rtl/>
        </w:rPr>
        <w:t xml:space="preserve"> </w:t>
      </w:r>
      <w:r w:rsidRPr="001F5087">
        <w:rPr>
          <w:rFonts w:hint="cs"/>
          <w:b/>
          <w:bCs/>
          <w:rtl/>
        </w:rPr>
        <w:t xml:space="preserve">משרד בריאות הוא הרגולטור האמון על נהלי היבוא, היצוא, הקנייה, ההחזקה, המכירה, החלוקה, הביקורת והפיקוח על סמים מסוכנים, וכן </w:t>
      </w:r>
      <w:r w:rsidR="00335FA5">
        <w:rPr>
          <w:rFonts w:hint="cs"/>
          <w:b/>
          <w:bCs/>
          <w:rtl/>
        </w:rPr>
        <w:t xml:space="preserve">על </w:t>
      </w:r>
      <w:r w:rsidRPr="001F5087">
        <w:rPr>
          <w:rFonts w:hint="cs"/>
          <w:b/>
          <w:bCs/>
          <w:rtl/>
        </w:rPr>
        <w:t>הסדרת מתן המרשמים להם</w:t>
      </w:r>
      <w:r w:rsidRPr="006A45E4">
        <w:rPr>
          <w:rFonts w:hint="cs"/>
          <w:rtl/>
        </w:rPr>
        <w:t xml:space="preserve">. </w:t>
      </w:r>
      <w:r w:rsidRPr="00BB6388">
        <w:rPr>
          <w:rFonts w:hint="cs"/>
          <w:rtl/>
        </w:rPr>
        <w:t>חוק המאבק בתופעת השימוש בחומרים מְסַכְּניִם, התשע"ג-2013</w:t>
      </w:r>
      <w:r>
        <w:rPr>
          <w:rStyle w:val="ab"/>
          <w:rtl/>
        </w:rPr>
        <w:footnoteReference w:id="319"/>
      </w:r>
      <w:r w:rsidRPr="00BB6388">
        <w:rPr>
          <w:rFonts w:hint="cs"/>
          <w:rtl/>
        </w:rPr>
        <w:t xml:space="preserve"> </w:t>
      </w:r>
      <w:r>
        <w:rPr>
          <w:rFonts w:hint="cs"/>
          <w:rtl/>
        </w:rPr>
        <w:t xml:space="preserve">קבע </w:t>
      </w:r>
      <w:r w:rsidRPr="00BB6388">
        <w:rPr>
          <w:rFonts w:hint="cs"/>
          <w:rtl/>
        </w:rPr>
        <w:t xml:space="preserve">כי </w:t>
      </w:r>
      <w:r w:rsidRPr="00437BB4">
        <w:rPr>
          <w:rFonts w:hint="cs"/>
          <w:b/>
          <w:bCs/>
          <w:rtl/>
        </w:rPr>
        <w:t>למשרד הבריאות גם</w:t>
      </w:r>
      <w:r w:rsidRPr="00BB6388">
        <w:rPr>
          <w:rFonts w:hint="cs"/>
          <w:rtl/>
        </w:rPr>
        <w:t xml:space="preserve"> </w:t>
      </w:r>
      <w:r>
        <w:rPr>
          <w:rFonts w:hint="cs"/>
          <w:b/>
          <w:bCs/>
          <w:rtl/>
        </w:rPr>
        <w:t>הסמכות להכריז על חומר כ</w:t>
      </w:r>
      <w:r w:rsidRPr="001F5087">
        <w:rPr>
          <w:rFonts w:hint="cs"/>
          <w:b/>
          <w:bCs/>
          <w:rtl/>
        </w:rPr>
        <w:t>חומר אסור בהפצה</w:t>
      </w:r>
      <w:r>
        <w:rPr>
          <w:rFonts w:hint="cs"/>
          <w:rtl/>
        </w:rPr>
        <w:t xml:space="preserve">, כשלב ביניים לבחינה על המלצתה להגדרתו כסם מסוכן. תחת שני חוקים אלו </w:t>
      </w:r>
      <w:r w:rsidRPr="0047395C">
        <w:rPr>
          <w:rFonts w:hint="cs"/>
          <w:b/>
          <w:bCs/>
          <w:rtl/>
        </w:rPr>
        <w:t xml:space="preserve">משרד הבריאות הוא </w:t>
      </w:r>
      <w:r w:rsidRPr="001F5087">
        <w:rPr>
          <w:rFonts w:hint="cs"/>
          <w:b/>
          <w:bCs/>
          <w:rtl/>
        </w:rPr>
        <w:t xml:space="preserve">האמון על המלצה לוועדת העבודה, ההרווחה </w:t>
      </w:r>
      <w:r w:rsidR="00335FA5">
        <w:rPr>
          <w:rFonts w:hint="cs"/>
          <w:b/>
          <w:bCs/>
          <w:rtl/>
        </w:rPr>
        <w:t xml:space="preserve">והבריאות </w:t>
      </w:r>
      <w:r w:rsidRPr="001F5087">
        <w:rPr>
          <w:rFonts w:hint="cs"/>
          <w:b/>
          <w:bCs/>
          <w:rtl/>
        </w:rPr>
        <w:t xml:space="preserve">של הכנסת על הוספת או החסרת חומרים מרשימות הסמים המפורטות בתוספות </w:t>
      </w:r>
      <w:r w:rsidRPr="00396E11">
        <w:rPr>
          <w:rFonts w:hint="cs"/>
          <w:b/>
          <w:bCs/>
          <w:rtl/>
        </w:rPr>
        <w:t>לפקודת הסמים המסוכנים [נוסח חדש], התשל"ג-1973</w:t>
      </w:r>
      <w:r>
        <w:rPr>
          <w:rFonts w:hint="cs"/>
          <w:rtl/>
        </w:rPr>
        <w:t>.</w:t>
      </w:r>
      <w:r>
        <w:rPr>
          <w:rStyle w:val="ab"/>
          <w:rtl/>
        </w:rPr>
        <w:footnoteReference w:id="320"/>
      </w:r>
      <w:r w:rsidR="0091237E">
        <w:rPr>
          <w:rFonts w:hint="cs"/>
          <w:rtl/>
        </w:rPr>
        <w:t xml:space="preserve"> </w:t>
      </w:r>
      <w:r w:rsidR="00852DF5">
        <w:rPr>
          <w:rFonts w:hint="cs"/>
          <w:rtl/>
        </w:rPr>
        <w:t xml:space="preserve">בנוסף, </w:t>
      </w:r>
      <w:r w:rsidR="00852DF5" w:rsidRPr="00121735">
        <w:rPr>
          <w:rFonts w:hint="cs"/>
          <w:rtl/>
        </w:rPr>
        <w:t xml:space="preserve">שר הבריאות הוא הממונה </w:t>
      </w:r>
      <w:r w:rsidR="004B7DB4">
        <w:rPr>
          <w:rFonts w:hint="cs"/>
          <w:rtl/>
        </w:rPr>
        <w:t>על ביצוע</w:t>
      </w:r>
      <w:r w:rsidR="00852DF5" w:rsidRPr="00121735">
        <w:rPr>
          <w:rFonts w:hint="cs"/>
          <w:rtl/>
        </w:rPr>
        <w:t xml:space="preserve"> </w:t>
      </w:r>
      <w:r w:rsidR="00852DF5" w:rsidRPr="00852DF5">
        <w:rPr>
          <w:b/>
          <w:bCs/>
          <w:rtl/>
        </w:rPr>
        <w:t>חוק הגבלת הפרסומת והשיווק של משקאות אלכוהוליים, התשע"ב</w:t>
      </w:r>
      <w:r w:rsidR="00852DF5" w:rsidRPr="00852DF5">
        <w:rPr>
          <w:rFonts w:hint="cs"/>
          <w:b/>
          <w:bCs/>
          <w:rtl/>
        </w:rPr>
        <w:t>-</w:t>
      </w:r>
      <w:r w:rsidR="00852DF5" w:rsidRPr="00852DF5">
        <w:rPr>
          <w:b/>
          <w:bCs/>
          <w:rtl/>
        </w:rPr>
        <w:t>2012</w:t>
      </w:r>
      <w:r w:rsidR="00852DF5" w:rsidRPr="00BB6388">
        <w:rPr>
          <w:rStyle w:val="ab"/>
          <w:rtl/>
        </w:rPr>
        <w:footnoteReference w:id="321"/>
      </w:r>
      <w:r w:rsidR="00852DF5" w:rsidRPr="00121735">
        <w:rPr>
          <w:rFonts w:hint="cs"/>
          <w:rtl/>
        </w:rPr>
        <w:t xml:space="preserve"> והוא רשאי להסמיך מפקחים </w:t>
      </w:r>
      <w:r w:rsidR="00852DF5">
        <w:rPr>
          <w:rFonts w:hint="cs"/>
          <w:rtl/>
        </w:rPr>
        <w:t>בנושא</w:t>
      </w:r>
      <w:r w:rsidR="00E346DA">
        <w:rPr>
          <w:rFonts w:hint="cs"/>
          <w:rtl/>
        </w:rPr>
        <w:t>.</w:t>
      </w:r>
    </w:p>
    <w:p w:rsidR="0091237E" w:rsidRDefault="00E56582" w:rsidP="00E346DA">
      <w:pPr>
        <w:pStyle w:val="a2"/>
        <w:rPr>
          <w:rtl/>
        </w:rPr>
      </w:pPr>
      <w:r>
        <w:rPr>
          <w:rFonts w:hint="cs"/>
          <w:rtl/>
        </w:rPr>
        <w:t xml:space="preserve">החלק הנוכחי יסקור היבט זה בפעילות משרד הבריאות בתחום החומרים </w:t>
      </w:r>
      <w:r w:rsidR="00335FA5">
        <w:rPr>
          <w:rFonts w:hint="cs"/>
          <w:rtl/>
        </w:rPr>
        <w:t>ה</w:t>
      </w:r>
      <w:r>
        <w:rPr>
          <w:rFonts w:hint="cs"/>
          <w:rtl/>
        </w:rPr>
        <w:t xml:space="preserve">פסיכואקטיביים, תוך תיאור פעילות </w:t>
      </w:r>
      <w:r w:rsidRPr="00BB6388">
        <w:rPr>
          <w:rFonts w:hint="cs"/>
          <w:b/>
          <w:bCs/>
          <w:rtl/>
        </w:rPr>
        <w:t>המחלקה למאבק בפשע פרמצבטי שבאגף לאכיפה ולפיקוח</w:t>
      </w:r>
      <w:r>
        <w:rPr>
          <w:rFonts w:hint="cs"/>
          <w:rtl/>
        </w:rPr>
        <w:t xml:space="preserve">, </w:t>
      </w:r>
      <w:r w:rsidRPr="00BB6388">
        <w:rPr>
          <w:rFonts w:hint="cs"/>
          <w:b/>
          <w:bCs/>
          <w:rtl/>
        </w:rPr>
        <w:t>אגף הרוקחות</w:t>
      </w:r>
      <w:r>
        <w:rPr>
          <w:rFonts w:hint="cs"/>
          <w:rtl/>
        </w:rPr>
        <w:t xml:space="preserve">, </w:t>
      </w:r>
      <w:r w:rsidR="0091237E">
        <w:rPr>
          <w:rFonts w:hint="cs"/>
          <w:rtl/>
        </w:rPr>
        <w:t xml:space="preserve">ופעילות המשרד במסגרת </w:t>
      </w:r>
      <w:r w:rsidR="00E346DA">
        <w:rPr>
          <w:rFonts w:hint="cs"/>
          <w:rtl/>
        </w:rPr>
        <w:t>החוקים הללו.</w:t>
      </w:r>
    </w:p>
    <w:p w:rsidR="007B5846" w:rsidRDefault="007B5846" w:rsidP="00BB6388">
      <w:pPr>
        <w:pStyle w:val="4"/>
        <w:rPr>
          <w:rtl/>
        </w:rPr>
      </w:pPr>
      <w:bookmarkStart w:id="327" w:name="_Toc418585108"/>
      <w:bookmarkStart w:id="328" w:name="_Toc419963174"/>
    </w:p>
    <w:p w:rsidR="00C270DC" w:rsidRPr="00BB6388" w:rsidRDefault="00C270DC" w:rsidP="00BB6388">
      <w:pPr>
        <w:pStyle w:val="4"/>
      </w:pPr>
      <w:r w:rsidRPr="00BB6388">
        <w:rPr>
          <w:rFonts w:hint="cs"/>
          <w:rtl/>
        </w:rPr>
        <w:t>המחלקה למאבק בפשע פרמצבטי שבאגף לאכיפה ופיקוח</w:t>
      </w:r>
      <w:bookmarkEnd w:id="327"/>
      <w:bookmarkEnd w:id="328"/>
    </w:p>
    <w:p w:rsidR="00C270DC" w:rsidRDefault="00C270DC" w:rsidP="00BB6388">
      <w:pPr>
        <w:pStyle w:val="a2"/>
        <w:spacing w:line="360" w:lineRule="auto"/>
        <w:rPr>
          <w:rtl/>
        </w:rPr>
      </w:pPr>
      <w:r w:rsidRPr="00BB6388">
        <w:rPr>
          <w:rFonts w:hint="cs"/>
          <w:b/>
          <w:bCs/>
          <w:rtl/>
        </w:rPr>
        <w:t xml:space="preserve">המחלקה למאבק בפשע פרמצבטי שבאגף לאכיפה ופיקוח </w:t>
      </w:r>
      <w:r w:rsidRPr="00BB6388">
        <w:rPr>
          <w:rFonts w:hint="cs"/>
          <w:rtl/>
        </w:rPr>
        <w:t>בחטיבת הבריאות של המשרד החלה את דרכה ב- 2007 כיחידה למאבק בפשיעה הפרמצבטית באגף הרוקחות. ב-2012 הוקם האגף לאכיפה ופיקוח והיחידה הפכה למחלקה תחת ניהולו.</w:t>
      </w:r>
      <w:r w:rsidRPr="00BB6388">
        <w:rPr>
          <w:rStyle w:val="ab"/>
          <w:rtl/>
        </w:rPr>
        <w:footnoteReference w:id="322"/>
      </w:r>
    </w:p>
    <w:p w:rsidR="005B2286" w:rsidRPr="00BB6388" w:rsidRDefault="005B2286" w:rsidP="00BB6388">
      <w:pPr>
        <w:pStyle w:val="a2"/>
        <w:spacing w:line="360" w:lineRule="auto"/>
        <w:rPr>
          <w:rtl/>
        </w:rPr>
      </w:pPr>
      <w:r w:rsidRPr="00BB6388">
        <w:rPr>
          <w:rFonts w:hint="cs"/>
          <w:rtl/>
        </w:rPr>
        <w:t xml:space="preserve">עם הקמת האגף ב- 2012 הוקצו לו 7 תקנים, אך לאחרונה קוצצה מצבת התקנים של היחידה למניעת עישון ואלכוהול שבאגף מ- 2 ל- 1, ובכך קוצצה מצבת התקנים של כלל האגף מ- 7 ל- 6, כאשר </w:t>
      </w:r>
      <w:r w:rsidRPr="00710AD3">
        <w:rPr>
          <w:rFonts w:hint="cs"/>
          <w:rtl/>
        </w:rPr>
        <w:t>5 מתוכם מקדישים מזמנם לפשיעה פרמבצטית.</w:t>
      </w:r>
      <w:r>
        <w:rPr>
          <w:rStyle w:val="ab"/>
          <w:rtl/>
        </w:rPr>
        <w:footnoteReference w:id="323"/>
      </w:r>
    </w:p>
    <w:p w:rsidR="00C270DC" w:rsidRDefault="00CB0E6A" w:rsidP="00270319">
      <w:pPr>
        <w:pStyle w:val="a2"/>
        <w:spacing w:line="360" w:lineRule="auto"/>
        <w:rPr>
          <w:rtl/>
        </w:rPr>
      </w:pPr>
      <w:r w:rsidRPr="00BB6388">
        <w:rPr>
          <w:rFonts w:hint="cs"/>
          <w:rtl/>
        </w:rPr>
        <w:t>פעילות האגף בתחום ה</w:t>
      </w:r>
      <w:r w:rsidR="00C270DC" w:rsidRPr="00BB6388">
        <w:rPr>
          <w:rFonts w:hint="cs"/>
          <w:rtl/>
        </w:rPr>
        <w:t xml:space="preserve">פשיעה </w:t>
      </w:r>
      <w:r w:rsidR="00961026">
        <w:rPr>
          <w:rFonts w:hint="cs"/>
          <w:rtl/>
        </w:rPr>
        <w:t>ה</w:t>
      </w:r>
      <w:r w:rsidR="00C270DC" w:rsidRPr="00BB6388">
        <w:rPr>
          <w:rFonts w:hint="cs"/>
          <w:rtl/>
        </w:rPr>
        <w:t>פרמצבטית כולל</w:t>
      </w:r>
      <w:r w:rsidRPr="00BB6388">
        <w:rPr>
          <w:rFonts w:hint="cs"/>
          <w:rtl/>
        </w:rPr>
        <w:t>ת</w:t>
      </w:r>
      <w:r w:rsidR="00C270DC" w:rsidRPr="00BB6388">
        <w:rPr>
          <w:rFonts w:hint="cs"/>
          <w:rtl/>
        </w:rPr>
        <w:t xml:space="preserve"> התמודדות עם גניבה, הברחה, זיוף, שימוש לרעה ועוד של תרופות, תמרוקים, חומרים מסכנים וכדומה. בנוסף, עוסקת היחידה במתן ייעוץ מקצועי לכלל יחידות האכיפה בישראל (כגון המשטרה ורשות המיסים שבמשרד האוצר) בתחום הפשיעה הפרמצבטית, הסמים והחומרים </w:t>
      </w:r>
      <w:r w:rsidR="004B7DB4">
        <w:rPr>
          <w:rFonts w:hint="cs"/>
          <w:rtl/>
        </w:rPr>
        <w:t>ה</w:t>
      </w:r>
      <w:r w:rsidR="004B7DB4" w:rsidRPr="00BB6388">
        <w:rPr>
          <w:rFonts w:hint="cs"/>
          <w:rtl/>
        </w:rPr>
        <w:t>מְסַכְּניִם</w:t>
      </w:r>
      <w:r w:rsidR="00C270DC" w:rsidRPr="00BB6388">
        <w:rPr>
          <w:rFonts w:hint="cs"/>
          <w:rtl/>
        </w:rPr>
        <w:t xml:space="preserve">; מתן עדות בבתי משפט בתיקים הקשורים בהפרת חוק המאבק בחומרים </w:t>
      </w:r>
      <w:r w:rsidR="00C5562E" w:rsidRPr="00BB6388">
        <w:rPr>
          <w:rFonts w:hint="cs"/>
          <w:rtl/>
        </w:rPr>
        <w:t>מְסַכְּניִם</w:t>
      </w:r>
      <w:r w:rsidR="00C270DC" w:rsidRPr="00BB6388">
        <w:rPr>
          <w:rFonts w:hint="cs"/>
          <w:rtl/>
        </w:rPr>
        <w:t>; שיתוף פעולה עם יחידות מקבילות בחו"ל; הגשת חוות דעת מקצועיות וניהול עבודת הוועדה המייעצת למנכ"ל המשרד על-בסיס חוק המאבק בחומרים מְסַכְּניִם; פעילות כנגד אתרי מרשתת (אינטרנט) המשווקים תרופות מזויפות וסמים לא-חוקיים; תפיסה ובדיקה של מוצרים אלכוהוליים החשודים כמזוייפים ומפוגלים; ומעקב אחר פרסומים למוצרי אלכוהול במדיות השונות.</w:t>
      </w:r>
      <w:r w:rsidR="00C270DC" w:rsidRPr="00BB6388">
        <w:rPr>
          <w:rStyle w:val="ab"/>
          <w:rtl/>
        </w:rPr>
        <w:footnoteReference w:id="324"/>
      </w:r>
      <w:r w:rsidR="00270319">
        <w:rPr>
          <w:rFonts w:hint="cs"/>
          <w:rtl/>
        </w:rPr>
        <w:t xml:space="preserve"> </w:t>
      </w:r>
    </w:p>
    <w:p w:rsidR="00710AD3" w:rsidRDefault="00C270DC" w:rsidP="00710AD3">
      <w:pPr>
        <w:pStyle w:val="a2"/>
        <w:spacing w:line="360" w:lineRule="auto"/>
        <w:rPr>
          <w:rtl/>
        </w:rPr>
      </w:pPr>
      <w:r w:rsidRPr="00BB6388">
        <w:rPr>
          <w:rFonts w:hint="cs"/>
          <w:rtl/>
        </w:rPr>
        <w:t>מעבר לפשיעה פרמצבטית אחראי אגף הפיקוח והאכיפה גם על פשיעה בתחום האביזרים והמכשירים הרפואיים ועל מניעת עישון במקומות ציבוריים.</w:t>
      </w:r>
      <w:r w:rsidR="00710AD3" w:rsidRPr="00BB6388">
        <w:rPr>
          <w:rStyle w:val="ab"/>
          <w:rtl/>
        </w:rPr>
        <w:footnoteReference w:id="325"/>
      </w:r>
      <w:r w:rsidR="00710AD3">
        <w:rPr>
          <w:rFonts w:hint="cs"/>
          <w:rtl/>
        </w:rPr>
        <w:t xml:space="preserve"> </w:t>
      </w:r>
      <w:r w:rsidRPr="00BB6388">
        <w:rPr>
          <w:rFonts w:hint="cs"/>
          <w:rtl/>
        </w:rPr>
        <w:t xml:space="preserve"> </w:t>
      </w:r>
    </w:p>
    <w:p w:rsidR="00C270DC" w:rsidRPr="00BB6388" w:rsidRDefault="004E5FD0" w:rsidP="00BB6388">
      <w:pPr>
        <w:pStyle w:val="a2"/>
        <w:spacing w:line="360" w:lineRule="auto"/>
        <w:rPr>
          <w:rtl/>
        </w:rPr>
      </w:pPr>
      <w:r w:rsidRPr="00BB6388">
        <w:rPr>
          <w:rFonts w:hint="cs"/>
          <w:rtl/>
        </w:rPr>
        <w:t>רישומי האגף לשנת 2014 מעידים כי בשנה זו נערכו 852 פעילויות יזומות של האגף, מתוכן 650 (כ- 76%) הניבו תפיסה של חומרים מסוכנים, סמים וציוד רפואי מוברח, מזוייף, מוסט או שהוצג באופן כוזב.</w:t>
      </w:r>
      <w:r w:rsidRPr="00BB6388">
        <w:rPr>
          <w:rStyle w:val="ab"/>
          <w:rtl/>
        </w:rPr>
        <w:footnoteReference w:id="326"/>
      </w:r>
    </w:p>
    <w:p w:rsidR="008C0CF9" w:rsidRPr="00BB6388" w:rsidRDefault="008C0CF9" w:rsidP="00BB6388">
      <w:pPr>
        <w:pStyle w:val="a2"/>
        <w:spacing w:line="360" w:lineRule="auto"/>
        <w:rPr>
          <w:rtl/>
        </w:rPr>
      </w:pPr>
      <w:r w:rsidRPr="00BB6388">
        <w:rPr>
          <w:rFonts w:hint="cs"/>
          <w:b/>
          <w:bCs/>
          <w:rtl/>
        </w:rPr>
        <w:t xml:space="preserve">תקציב </w:t>
      </w:r>
      <w:r w:rsidR="009E0011" w:rsidRPr="00BB6388">
        <w:rPr>
          <w:rFonts w:hint="cs"/>
          <w:b/>
          <w:bCs/>
          <w:rtl/>
        </w:rPr>
        <w:t>כוח האדם של ה</w:t>
      </w:r>
      <w:r w:rsidRPr="00BB6388">
        <w:rPr>
          <w:rFonts w:hint="cs"/>
          <w:b/>
          <w:bCs/>
          <w:rtl/>
        </w:rPr>
        <w:t>אגף לאכיפה ופיקוח על שינוייו נטו לשנת 2014 היה 962,000 ש"ח.</w:t>
      </w:r>
      <w:r w:rsidR="009E0011" w:rsidRPr="00BB6388">
        <w:rPr>
          <w:rFonts w:hint="cs"/>
          <w:b/>
          <w:bCs/>
          <w:rtl/>
        </w:rPr>
        <w:t xml:space="preserve"> בנוסף, עמד לרשות האגף </w:t>
      </w:r>
      <w:r w:rsidR="009E0011" w:rsidRPr="00BB6388">
        <w:rPr>
          <w:rFonts w:hint="cs"/>
          <w:rtl/>
        </w:rPr>
        <w:t>תקציב תפעול המאושר על-בסיס תוכניות עבודה שנתיות. לתקציב זה אין מספר תקנה תקציבית משל עצמו, אלא הוא חלק מתקנה תקציבית המשותפת לו יחד עם מספר גורמים אחרים במשרד הבריאות. לפי אורלי ביטרמן, סגנית מנהלת תחום תקצוב באגף תקציבים שבמשרד הבריאות, תקציב התפעול של האגף לשנת 2014 עמד על 650,000 ₪.</w:t>
      </w:r>
      <w:r w:rsidR="000B29D5" w:rsidRPr="00BB6388">
        <w:rPr>
          <w:rStyle w:val="ab"/>
          <w:rtl/>
        </w:rPr>
        <w:footnoteReference w:id="327"/>
      </w:r>
    </w:p>
    <w:p w:rsidR="000B29D5" w:rsidRPr="00BB6388" w:rsidRDefault="000B29D5" w:rsidP="00C435CF">
      <w:pPr>
        <w:pStyle w:val="a2"/>
        <w:spacing w:line="360" w:lineRule="auto"/>
        <w:rPr>
          <w:rtl/>
        </w:rPr>
      </w:pPr>
      <w:r w:rsidRPr="00BB6388">
        <w:rPr>
          <w:rFonts w:hint="cs"/>
          <w:rtl/>
        </w:rPr>
        <w:t xml:space="preserve">טבלה </w:t>
      </w:r>
      <w:r w:rsidRPr="001471E7">
        <w:rPr>
          <w:rFonts w:hint="cs"/>
          <w:rtl/>
        </w:rPr>
        <w:t xml:space="preserve">מס' </w:t>
      </w:r>
      <w:r w:rsidR="00C435CF">
        <w:rPr>
          <w:rFonts w:hint="cs"/>
          <w:rtl/>
        </w:rPr>
        <w:t>19</w:t>
      </w:r>
      <w:r w:rsidRPr="00BB6388">
        <w:rPr>
          <w:rFonts w:hint="cs"/>
          <w:rtl/>
        </w:rPr>
        <w:t xml:space="preserve"> מציגה את תקציב כוח האדם של האגף, בשנים 2008-2014. יש לזכור כי עד 2012 משקף </w:t>
      </w:r>
      <w:r w:rsidR="00780AD6" w:rsidRPr="00BB6388">
        <w:rPr>
          <w:rFonts w:hint="cs"/>
          <w:rtl/>
        </w:rPr>
        <w:t>הסכום את תקציב</w:t>
      </w:r>
      <w:r w:rsidRPr="00BB6388">
        <w:rPr>
          <w:rFonts w:hint="cs"/>
          <w:rtl/>
        </w:rPr>
        <w:t xml:space="preserve"> כוח האדם של היחידה לפשיעה פרמצבטית בלבד</w:t>
      </w:r>
      <w:r w:rsidR="00780AD6" w:rsidRPr="00BB6388">
        <w:rPr>
          <w:rFonts w:hint="cs"/>
          <w:rtl/>
        </w:rPr>
        <w:t xml:space="preserve"> וכי החל משנה זו הוא משקף את תקציב כוח האדם של האגף לפיקוח ואכיפה בכללו.</w:t>
      </w:r>
    </w:p>
    <w:p w:rsidR="00C270DC" w:rsidRPr="00BB6388" w:rsidRDefault="00710AD3" w:rsidP="00710AD3">
      <w:pPr>
        <w:pStyle w:val="af2"/>
        <w:jc w:val="center"/>
        <w:rPr>
          <w:rtl/>
        </w:rPr>
      </w:pPr>
      <w:bookmarkStart w:id="329" w:name="_Toc418585109"/>
      <w:bookmarkStart w:id="330" w:name="_Toc419963175"/>
      <w:r w:rsidRPr="00710AD3">
        <w:rPr>
          <w:sz w:val="24"/>
          <w:szCs w:val="24"/>
          <w:rtl/>
        </w:rPr>
        <w:t xml:space="preserve">טבלה </w:t>
      </w:r>
      <w:r w:rsidR="00F3448E" w:rsidRPr="00710AD3">
        <w:rPr>
          <w:sz w:val="24"/>
          <w:szCs w:val="24"/>
          <w:rtl/>
        </w:rPr>
        <w:fldChar w:fldCharType="begin"/>
      </w:r>
      <w:r w:rsidRPr="00710AD3">
        <w:rPr>
          <w:sz w:val="24"/>
          <w:szCs w:val="24"/>
          <w:rtl/>
        </w:rPr>
        <w:instrText xml:space="preserve"> </w:instrText>
      </w:r>
      <w:r w:rsidRPr="00710AD3">
        <w:rPr>
          <w:sz w:val="24"/>
          <w:szCs w:val="24"/>
        </w:rPr>
        <w:instrText>SEQ</w:instrText>
      </w:r>
      <w:r w:rsidRPr="00710AD3">
        <w:rPr>
          <w:sz w:val="24"/>
          <w:szCs w:val="24"/>
          <w:rtl/>
        </w:rPr>
        <w:instrText xml:space="preserve"> טבלה \* </w:instrText>
      </w:r>
      <w:r w:rsidRPr="00710AD3">
        <w:rPr>
          <w:sz w:val="24"/>
          <w:szCs w:val="24"/>
        </w:rPr>
        <w:instrText>ARABIC</w:instrText>
      </w:r>
      <w:r w:rsidRPr="00710AD3">
        <w:rPr>
          <w:sz w:val="24"/>
          <w:szCs w:val="24"/>
          <w:rtl/>
        </w:rPr>
        <w:instrText xml:space="preserve"> </w:instrText>
      </w:r>
      <w:r w:rsidR="00F3448E" w:rsidRPr="00710AD3">
        <w:rPr>
          <w:sz w:val="24"/>
          <w:szCs w:val="24"/>
          <w:rtl/>
        </w:rPr>
        <w:fldChar w:fldCharType="separate"/>
      </w:r>
      <w:r w:rsidR="007347AB">
        <w:rPr>
          <w:noProof/>
          <w:sz w:val="24"/>
          <w:szCs w:val="24"/>
          <w:rtl/>
        </w:rPr>
        <w:t>19</w:t>
      </w:r>
      <w:r w:rsidR="00F3448E" w:rsidRPr="00710AD3">
        <w:rPr>
          <w:sz w:val="24"/>
          <w:szCs w:val="24"/>
          <w:rtl/>
        </w:rPr>
        <w:fldChar w:fldCharType="end"/>
      </w:r>
      <w:r w:rsidR="00C270DC" w:rsidRPr="00710AD3">
        <w:rPr>
          <w:rFonts w:hint="cs"/>
          <w:sz w:val="24"/>
          <w:szCs w:val="24"/>
          <w:rtl/>
        </w:rPr>
        <w:t xml:space="preserve">: תקציב </w:t>
      </w:r>
      <w:r w:rsidR="00780AD6" w:rsidRPr="00710AD3">
        <w:rPr>
          <w:rFonts w:hint="cs"/>
          <w:sz w:val="24"/>
          <w:szCs w:val="24"/>
          <w:rtl/>
        </w:rPr>
        <w:t>כוח אדם ל</w:t>
      </w:r>
      <w:r w:rsidR="00C270DC" w:rsidRPr="00710AD3">
        <w:rPr>
          <w:rFonts w:hint="cs"/>
          <w:sz w:val="24"/>
          <w:szCs w:val="24"/>
          <w:rtl/>
        </w:rPr>
        <w:t>מאבק בפשיעה פרמצבטית במשרד הבריאות בשנים 2014-2008</w:t>
      </w:r>
      <w:r w:rsidR="00C270DC" w:rsidRPr="00BB6388">
        <w:rPr>
          <w:rStyle w:val="ab"/>
          <w:bCs w:val="0"/>
          <w:rtl/>
        </w:rPr>
        <w:footnoteReference w:id="328"/>
      </w:r>
      <w:bookmarkEnd w:id="329"/>
      <w:bookmarkEnd w:id="330"/>
    </w:p>
    <w:tbl>
      <w:tblPr>
        <w:tblStyle w:val="afff5"/>
        <w:bidiVisual/>
        <w:tblW w:w="5838" w:type="dxa"/>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1381"/>
        <w:gridCol w:w="2131"/>
        <w:gridCol w:w="2326"/>
      </w:tblGrid>
      <w:tr w:rsidR="00C270DC" w:rsidRPr="00B46FDA" w:rsidTr="00B46FDA">
        <w:trPr>
          <w:tblCellSpacing w:w="20" w:type="dxa"/>
          <w:jc w:val="center"/>
        </w:trPr>
        <w:tc>
          <w:tcPr>
            <w:tcW w:w="1321" w:type="dxa"/>
            <w:shd w:val="clear" w:color="auto" w:fill="auto"/>
          </w:tcPr>
          <w:p w:rsidR="00C270DC" w:rsidRPr="00B46FDA" w:rsidRDefault="00C270DC" w:rsidP="00B46FDA">
            <w:pPr>
              <w:spacing w:before="60" w:after="0" w:line="240" w:lineRule="auto"/>
              <w:rPr>
                <w:b/>
                <w:bCs/>
                <w:sz w:val="22"/>
                <w:szCs w:val="22"/>
                <w:rtl/>
              </w:rPr>
            </w:pPr>
            <w:r w:rsidRPr="00B46FDA">
              <w:rPr>
                <w:rFonts w:hint="cs"/>
                <w:b/>
                <w:bCs/>
                <w:sz w:val="22"/>
                <w:szCs w:val="22"/>
                <w:rtl/>
              </w:rPr>
              <w:t>שנת תקציב</w:t>
            </w:r>
          </w:p>
        </w:tc>
        <w:tc>
          <w:tcPr>
            <w:tcW w:w="2091" w:type="dxa"/>
            <w:shd w:val="clear" w:color="auto" w:fill="auto"/>
          </w:tcPr>
          <w:p w:rsidR="00C270DC" w:rsidRPr="00B46FDA" w:rsidRDefault="00C270DC" w:rsidP="00B46FDA">
            <w:pPr>
              <w:spacing w:before="60" w:after="0" w:line="240" w:lineRule="auto"/>
              <w:jc w:val="center"/>
              <w:rPr>
                <w:b/>
                <w:bCs/>
                <w:sz w:val="22"/>
                <w:szCs w:val="22"/>
                <w:rtl/>
              </w:rPr>
            </w:pPr>
            <w:r w:rsidRPr="00B46FDA">
              <w:rPr>
                <w:rFonts w:hint="cs"/>
                <w:b/>
                <w:bCs/>
                <w:sz w:val="22"/>
                <w:szCs w:val="22"/>
                <w:rtl/>
              </w:rPr>
              <w:t>התקציב המקורי נטו</w:t>
            </w:r>
          </w:p>
        </w:tc>
        <w:tc>
          <w:tcPr>
            <w:tcW w:w="2266" w:type="dxa"/>
            <w:shd w:val="clear" w:color="auto" w:fill="auto"/>
          </w:tcPr>
          <w:p w:rsidR="00C270DC" w:rsidRPr="00B46FDA" w:rsidRDefault="00C270DC" w:rsidP="00B46FDA">
            <w:pPr>
              <w:spacing w:before="60" w:after="0" w:line="240" w:lineRule="auto"/>
              <w:jc w:val="center"/>
              <w:rPr>
                <w:b/>
                <w:bCs/>
                <w:sz w:val="22"/>
                <w:szCs w:val="22"/>
                <w:rtl/>
              </w:rPr>
            </w:pPr>
            <w:r w:rsidRPr="00B46FDA">
              <w:rPr>
                <w:rFonts w:hint="cs"/>
                <w:b/>
                <w:bCs/>
                <w:sz w:val="22"/>
                <w:szCs w:val="22"/>
                <w:rtl/>
              </w:rPr>
              <w:t>התקציב על שינוייו נטו</w:t>
            </w:r>
          </w:p>
        </w:tc>
      </w:tr>
      <w:tr w:rsidR="00C270DC" w:rsidRPr="00B46FDA" w:rsidTr="00B46FDA">
        <w:trPr>
          <w:tblCellSpacing w:w="20" w:type="dxa"/>
          <w:jc w:val="center"/>
        </w:trPr>
        <w:tc>
          <w:tcPr>
            <w:tcW w:w="1321" w:type="dxa"/>
            <w:shd w:val="clear" w:color="auto" w:fill="auto"/>
          </w:tcPr>
          <w:p w:rsidR="00C270DC" w:rsidRPr="00B46FDA" w:rsidRDefault="00C270DC" w:rsidP="00B46FDA">
            <w:pPr>
              <w:spacing w:before="60" w:after="0" w:line="240" w:lineRule="auto"/>
              <w:rPr>
                <w:sz w:val="22"/>
                <w:szCs w:val="22"/>
                <w:rtl/>
              </w:rPr>
            </w:pPr>
            <w:r w:rsidRPr="00B46FDA">
              <w:rPr>
                <w:rFonts w:hint="cs"/>
                <w:sz w:val="22"/>
                <w:szCs w:val="22"/>
                <w:rtl/>
              </w:rPr>
              <w:t>2008</w:t>
            </w:r>
          </w:p>
        </w:tc>
        <w:tc>
          <w:tcPr>
            <w:tcW w:w="2091" w:type="dxa"/>
            <w:shd w:val="clear" w:color="auto" w:fill="auto"/>
          </w:tcPr>
          <w:p w:rsidR="00C270DC" w:rsidRPr="00B46FDA" w:rsidRDefault="00C270DC" w:rsidP="00B46FDA">
            <w:pPr>
              <w:spacing w:before="60" w:after="0" w:line="240" w:lineRule="auto"/>
              <w:jc w:val="center"/>
              <w:rPr>
                <w:sz w:val="22"/>
                <w:szCs w:val="22"/>
                <w:rtl/>
              </w:rPr>
            </w:pPr>
            <w:r w:rsidRPr="00B46FDA">
              <w:rPr>
                <w:rFonts w:hint="cs"/>
                <w:sz w:val="22"/>
                <w:szCs w:val="22"/>
                <w:rtl/>
              </w:rPr>
              <w:t>362,000</w:t>
            </w:r>
          </w:p>
        </w:tc>
        <w:tc>
          <w:tcPr>
            <w:tcW w:w="2266" w:type="dxa"/>
            <w:shd w:val="clear" w:color="auto" w:fill="auto"/>
          </w:tcPr>
          <w:p w:rsidR="00C270DC" w:rsidRPr="00B46FDA" w:rsidRDefault="00C270DC" w:rsidP="00B46FDA">
            <w:pPr>
              <w:spacing w:before="60" w:after="0" w:line="240" w:lineRule="auto"/>
              <w:jc w:val="center"/>
              <w:rPr>
                <w:sz w:val="22"/>
                <w:szCs w:val="22"/>
                <w:rtl/>
              </w:rPr>
            </w:pPr>
            <w:r w:rsidRPr="00B46FDA">
              <w:rPr>
                <w:rFonts w:hint="cs"/>
                <w:sz w:val="22"/>
                <w:szCs w:val="22"/>
                <w:rtl/>
              </w:rPr>
              <w:t>314,000</w:t>
            </w:r>
          </w:p>
        </w:tc>
      </w:tr>
      <w:tr w:rsidR="00C270DC" w:rsidRPr="00B46FDA" w:rsidTr="00B46FDA">
        <w:trPr>
          <w:tblCellSpacing w:w="20" w:type="dxa"/>
          <w:jc w:val="center"/>
        </w:trPr>
        <w:tc>
          <w:tcPr>
            <w:tcW w:w="1321" w:type="dxa"/>
            <w:shd w:val="clear" w:color="auto" w:fill="auto"/>
          </w:tcPr>
          <w:p w:rsidR="00C270DC" w:rsidRPr="00B46FDA" w:rsidRDefault="00C270DC" w:rsidP="00B46FDA">
            <w:pPr>
              <w:spacing w:before="60" w:after="0" w:line="240" w:lineRule="auto"/>
              <w:rPr>
                <w:sz w:val="22"/>
                <w:szCs w:val="22"/>
                <w:rtl/>
              </w:rPr>
            </w:pPr>
            <w:r w:rsidRPr="00B46FDA">
              <w:rPr>
                <w:rFonts w:hint="cs"/>
                <w:sz w:val="22"/>
                <w:szCs w:val="22"/>
                <w:rtl/>
              </w:rPr>
              <w:t>2009</w:t>
            </w:r>
          </w:p>
        </w:tc>
        <w:tc>
          <w:tcPr>
            <w:tcW w:w="2091" w:type="dxa"/>
            <w:shd w:val="clear" w:color="auto" w:fill="auto"/>
          </w:tcPr>
          <w:p w:rsidR="00C270DC" w:rsidRPr="00B46FDA" w:rsidRDefault="00C270DC" w:rsidP="00B46FDA">
            <w:pPr>
              <w:spacing w:before="60" w:after="0" w:line="240" w:lineRule="auto"/>
              <w:jc w:val="center"/>
              <w:rPr>
                <w:sz w:val="22"/>
                <w:szCs w:val="22"/>
                <w:rtl/>
              </w:rPr>
            </w:pPr>
            <w:r w:rsidRPr="00B46FDA">
              <w:rPr>
                <w:rFonts w:hint="cs"/>
                <w:sz w:val="22"/>
                <w:szCs w:val="22"/>
                <w:rtl/>
              </w:rPr>
              <w:t>555,000</w:t>
            </w:r>
          </w:p>
        </w:tc>
        <w:tc>
          <w:tcPr>
            <w:tcW w:w="2266" w:type="dxa"/>
            <w:shd w:val="clear" w:color="auto" w:fill="auto"/>
          </w:tcPr>
          <w:p w:rsidR="00C270DC" w:rsidRPr="00B46FDA" w:rsidRDefault="00C270DC" w:rsidP="00B46FDA">
            <w:pPr>
              <w:spacing w:before="60" w:after="0" w:line="240" w:lineRule="auto"/>
              <w:jc w:val="center"/>
              <w:rPr>
                <w:sz w:val="22"/>
                <w:szCs w:val="22"/>
                <w:rtl/>
              </w:rPr>
            </w:pPr>
            <w:r w:rsidRPr="00B46FDA">
              <w:rPr>
                <w:rFonts w:hint="cs"/>
                <w:sz w:val="22"/>
                <w:szCs w:val="22"/>
                <w:rtl/>
              </w:rPr>
              <w:t>312,000</w:t>
            </w:r>
          </w:p>
        </w:tc>
      </w:tr>
      <w:tr w:rsidR="00C270DC" w:rsidRPr="00B46FDA" w:rsidTr="00B46FDA">
        <w:trPr>
          <w:tblCellSpacing w:w="20" w:type="dxa"/>
          <w:jc w:val="center"/>
        </w:trPr>
        <w:tc>
          <w:tcPr>
            <w:tcW w:w="1321" w:type="dxa"/>
            <w:shd w:val="clear" w:color="auto" w:fill="auto"/>
          </w:tcPr>
          <w:p w:rsidR="00C270DC" w:rsidRPr="00B46FDA" w:rsidRDefault="00C270DC" w:rsidP="00B46FDA">
            <w:pPr>
              <w:spacing w:before="60" w:after="0" w:line="240" w:lineRule="auto"/>
              <w:rPr>
                <w:sz w:val="22"/>
                <w:szCs w:val="22"/>
                <w:rtl/>
              </w:rPr>
            </w:pPr>
            <w:r w:rsidRPr="00B46FDA">
              <w:rPr>
                <w:rFonts w:hint="cs"/>
                <w:sz w:val="22"/>
                <w:szCs w:val="22"/>
                <w:rtl/>
              </w:rPr>
              <w:t>2010</w:t>
            </w:r>
          </w:p>
        </w:tc>
        <w:tc>
          <w:tcPr>
            <w:tcW w:w="2091" w:type="dxa"/>
            <w:shd w:val="clear" w:color="auto" w:fill="auto"/>
          </w:tcPr>
          <w:p w:rsidR="00C270DC" w:rsidRPr="00B46FDA" w:rsidRDefault="00C270DC" w:rsidP="00B46FDA">
            <w:pPr>
              <w:spacing w:before="60" w:after="0" w:line="240" w:lineRule="auto"/>
              <w:jc w:val="center"/>
              <w:rPr>
                <w:sz w:val="22"/>
                <w:szCs w:val="22"/>
                <w:rtl/>
              </w:rPr>
            </w:pPr>
            <w:r w:rsidRPr="00B46FDA">
              <w:rPr>
                <w:rFonts w:hint="cs"/>
                <w:sz w:val="22"/>
                <w:szCs w:val="22"/>
                <w:rtl/>
              </w:rPr>
              <w:t>579,000</w:t>
            </w:r>
          </w:p>
        </w:tc>
        <w:tc>
          <w:tcPr>
            <w:tcW w:w="2266" w:type="dxa"/>
            <w:shd w:val="clear" w:color="auto" w:fill="auto"/>
          </w:tcPr>
          <w:p w:rsidR="00C270DC" w:rsidRPr="00B46FDA" w:rsidRDefault="00C270DC" w:rsidP="00B46FDA">
            <w:pPr>
              <w:spacing w:before="60" w:after="0" w:line="240" w:lineRule="auto"/>
              <w:jc w:val="center"/>
              <w:rPr>
                <w:sz w:val="22"/>
                <w:szCs w:val="22"/>
                <w:rtl/>
              </w:rPr>
            </w:pPr>
            <w:r w:rsidRPr="00B46FDA">
              <w:rPr>
                <w:rFonts w:hint="cs"/>
                <w:sz w:val="22"/>
                <w:szCs w:val="22"/>
                <w:rtl/>
              </w:rPr>
              <w:t>457,000</w:t>
            </w:r>
          </w:p>
        </w:tc>
      </w:tr>
      <w:tr w:rsidR="00C270DC" w:rsidRPr="00B46FDA" w:rsidTr="00B46FDA">
        <w:trPr>
          <w:tblCellSpacing w:w="20" w:type="dxa"/>
          <w:jc w:val="center"/>
        </w:trPr>
        <w:tc>
          <w:tcPr>
            <w:tcW w:w="1321" w:type="dxa"/>
            <w:shd w:val="clear" w:color="auto" w:fill="auto"/>
          </w:tcPr>
          <w:p w:rsidR="00C270DC" w:rsidRPr="00B46FDA" w:rsidRDefault="00C270DC" w:rsidP="00B46FDA">
            <w:pPr>
              <w:spacing w:before="60" w:after="0" w:line="240" w:lineRule="auto"/>
              <w:rPr>
                <w:sz w:val="22"/>
                <w:szCs w:val="22"/>
                <w:rtl/>
              </w:rPr>
            </w:pPr>
            <w:r w:rsidRPr="00B46FDA">
              <w:rPr>
                <w:rFonts w:hint="cs"/>
                <w:sz w:val="22"/>
                <w:szCs w:val="22"/>
                <w:rtl/>
              </w:rPr>
              <w:t>2011</w:t>
            </w:r>
          </w:p>
        </w:tc>
        <w:tc>
          <w:tcPr>
            <w:tcW w:w="2091" w:type="dxa"/>
            <w:shd w:val="clear" w:color="auto" w:fill="auto"/>
          </w:tcPr>
          <w:p w:rsidR="00C270DC" w:rsidRPr="00B46FDA" w:rsidRDefault="00C270DC" w:rsidP="00B46FDA">
            <w:pPr>
              <w:spacing w:before="60" w:after="0" w:line="240" w:lineRule="auto"/>
              <w:jc w:val="center"/>
              <w:rPr>
                <w:sz w:val="22"/>
                <w:szCs w:val="22"/>
                <w:rtl/>
              </w:rPr>
            </w:pPr>
            <w:r w:rsidRPr="00B46FDA">
              <w:rPr>
                <w:rFonts w:hint="cs"/>
                <w:sz w:val="22"/>
                <w:szCs w:val="22"/>
                <w:rtl/>
              </w:rPr>
              <w:t>598,000</w:t>
            </w:r>
          </w:p>
        </w:tc>
        <w:tc>
          <w:tcPr>
            <w:tcW w:w="2266" w:type="dxa"/>
            <w:shd w:val="clear" w:color="auto" w:fill="auto"/>
          </w:tcPr>
          <w:p w:rsidR="00C270DC" w:rsidRPr="00B46FDA" w:rsidRDefault="00C270DC" w:rsidP="00B46FDA">
            <w:pPr>
              <w:spacing w:before="60" w:after="0" w:line="240" w:lineRule="auto"/>
              <w:jc w:val="center"/>
              <w:rPr>
                <w:sz w:val="22"/>
                <w:szCs w:val="22"/>
                <w:rtl/>
              </w:rPr>
            </w:pPr>
            <w:r w:rsidRPr="00B46FDA">
              <w:rPr>
                <w:rFonts w:hint="cs"/>
                <w:sz w:val="22"/>
                <w:szCs w:val="22"/>
                <w:rtl/>
              </w:rPr>
              <w:t>523,000</w:t>
            </w:r>
          </w:p>
        </w:tc>
      </w:tr>
      <w:tr w:rsidR="00C270DC" w:rsidRPr="00B46FDA" w:rsidTr="00B46FDA">
        <w:trPr>
          <w:tblCellSpacing w:w="20" w:type="dxa"/>
          <w:jc w:val="center"/>
        </w:trPr>
        <w:tc>
          <w:tcPr>
            <w:tcW w:w="1321" w:type="dxa"/>
            <w:shd w:val="clear" w:color="auto" w:fill="auto"/>
          </w:tcPr>
          <w:p w:rsidR="00C270DC" w:rsidRPr="00B46FDA" w:rsidRDefault="00C270DC" w:rsidP="00B46FDA">
            <w:pPr>
              <w:spacing w:before="60" w:after="0" w:line="240" w:lineRule="auto"/>
              <w:rPr>
                <w:sz w:val="22"/>
                <w:szCs w:val="22"/>
                <w:rtl/>
              </w:rPr>
            </w:pPr>
            <w:r w:rsidRPr="00B46FDA">
              <w:rPr>
                <w:rFonts w:hint="cs"/>
                <w:sz w:val="22"/>
                <w:szCs w:val="22"/>
                <w:rtl/>
              </w:rPr>
              <w:t>2012</w:t>
            </w:r>
          </w:p>
        </w:tc>
        <w:tc>
          <w:tcPr>
            <w:tcW w:w="2091" w:type="dxa"/>
            <w:shd w:val="clear" w:color="auto" w:fill="auto"/>
          </w:tcPr>
          <w:p w:rsidR="00C270DC" w:rsidRPr="00B46FDA" w:rsidRDefault="00C270DC" w:rsidP="00B46FDA">
            <w:pPr>
              <w:spacing w:before="60" w:after="0" w:line="240" w:lineRule="auto"/>
              <w:jc w:val="center"/>
              <w:rPr>
                <w:sz w:val="22"/>
                <w:szCs w:val="22"/>
                <w:rtl/>
              </w:rPr>
            </w:pPr>
            <w:r w:rsidRPr="00B46FDA">
              <w:rPr>
                <w:rFonts w:hint="cs"/>
                <w:sz w:val="22"/>
                <w:szCs w:val="22"/>
                <w:rtl/>
              </w:rPr>
              <w:t>605,000</w:t>
            </w:r>
          </w:p>
        </w:tc>
        <w:tc>
          <w:tcPr>
            <w:tcW w:w="2266" w:type="dxa"/>
            <w:shd w:val="clear" w:color="auto" w:fill="auto"/>
          </w:tcPr>
          <w:p w:rsidR="00C270DC" w:rsidRPr="00B46FDA" w:rsidRDefault="00C270DC" w:rsidP="00B46FDA">
            <w:pPr>
              <w:spacing w:before="60" w:after="0" w:line="240" w:lineRule="auto"/>
              <w:jc w:val="center"/>
              <w:rPr>
                <w:sz w:val="22"/>
                <w:szCs w:val="22"/>
                <w:rtl/>
              </w:rPr>
            </w:pPr>
            <w:r w:rsidRPr="00B46FDA">
              <w:rPr>
                <w:rFonts w:hint="cs"/>
                <w:sz w:val="22"/>
                <w:szCs w:val="22"/>
                <w:rtl/>
              </w:rPr>
              <w:t>688,000</w:t>
            </w:r>
          </w:p>
        </w:tc>
      </w:tr>
      <w:tr w:rsidR="00C270DC" w:rsidRPr="00B46FDA" w:rsidTr="00B46FDA">
        <w:trPr>
          <w:tblCellSpacing w:w="20" w:type="dxa"/>
          <w:jc w:val="center"/>
        </w:trPr>
        <w:tc>
          <w:tcPr>
            <w:tcW w:w="1321" w:type="dxa"/>
            <w:shd w:val="clear" w:color="auto" w:fill="auto"/>
          </w:tcPr>
          <w:p w:rsidR="00C270DC" w:rsidRPr="00B46FDA" w:rsidRDefault="00C270DC" w:rsidP="00B46FDA">
            <w:pPr>
              <w:spacing w:before="60" w:after="0" w:line="240" w:lineRule="auto"/>
              <w:rPr>
                <w:sz w:val="22"/>
                <w:szCs w:val="22"/>
                <w:rtl/>
              </w:rPr>
            </w:pPr>
            <w:r w:rsidRPr="00B46FDA">
              <w:rPr>
                <w:rFonts w:hint="cs"/>
                <w:sz w:val="22"/>
                <w:szCs w:val="22"/>
                <w:rtl/>
              </w:rPr>
              <w:t>2013</w:t>
            </w:r>
          </w:p>
        </w:tc>
        <w:tc>
          <w:tcPr>
            <w:tcW w:w="2091" w:type="dxa"/>
            <w:shd w:val="clear" w:color="auto" w:fill="auto"/>
          </w:tcPr>
          <w:p w:rsidR="00C270DC" w:rsidRPr="00B46FDA" w:rsidRDefault="00C270DC" w:rsidP="00B46FDA">
            <w:pPr>
              <w:spacing w:before="60" w:after="0" w:line="240" w:lineRule="auto"/>
              <w:jc w:val="center"/>
              <w:rPr>
                <w:sz w:val="22"/>
                <w:szCs w:val="22"/>
                <w:rtl/>
              </w:rPr>
            </w:pPr>
            <w:r w:rsidRPr="00B46FDA">
              <w:rPr>
                <w:rFonts w:hint="cs"/>
                <w:sz w:val="22"/>
                <w:szCs w:val="22"/>
                <w:rtl/>
              </w:rPr>
              <w:t>622,000</w:t>
            </w:r>
          </w:p>
        </w:tc>
        <w:tc>
          <w:tcPr>
            <w:tcW w:w="2266" w:type="dxa"/>
            <w:shd w:val="clear" w:color="auto" w:fill="auto"/>
          </w:tcPr>
          <w:p w:rsidR="00C270DC" w:rsidRPr="00B46FDA" w:rsidRDefault="00C270DC" w:rsidP="00B46FDA">
            <w:pPr>
              <w:spacing w:before="60" w:after="0" w:line="240" w:lineRule="auto"/>
              <w:jc w:val="center"/>
              <w:rPr>
                <w:sz w:val="22"/>
                <w:szCs w:val="22"/>
                <w:rtl/>
              </w:rPr>
            </w:pPr>
            <w:r w:rsidRPr="00B46FDA">
              <w:rPr>
                <w:rFonts w:hint="cs"/>
                <w:sz w:val="22"/>
                <w:szCs w:val="22"/>
                <w:rtl/>
              </w:rPr>
              <w:t>848,000</w:t>
            </w:r>
          </w:p>
        </w:tc>
      </w:tr>
      <w:tr w:rsidR="00C270DC" w:rsidRPr="00B46FDA" w:rsidTr="00B46FDA">
        <w:trPr>
          <w:tblCellSpacing w:w="20" w:type="dxa"/>
          <w:jc w:val="center"/>
        </w:trPr>
        <w:tc>
          <w:tcPr>
            <w:tcW w:w="1321" w:type="dxa"/>
            <w:shd w:val="clear" w:color="auto" w:fill="auto"/>
          </w:tcPr>
          <w:p w:rsidR="00C270DC" w:rsidRPr="00B46FDA" w:rsidRDefault="00C270DC" w:rsidP="00B46FDA">
            <w:pPr>
              <w:spacing w:before="60" w:after="0" w:line="240" w:lineRule="auto"/>
              <w:rPr>
                <w:sz w:val="22"/>
                <w:szCs w:val="22"/>
                <w:rtl/>
              </w:rPr>
            </w:pPr>
            <w:r w:rsidRPr="00B46FDA">
              <w:rPr>
                <w:rFonts w:hint="cs"/>
                <w:sz w:val="22"/>
                <w:szCs w:val="22"/>
                <w:rtl/>
              </w:rPr>
              <w:t>2014</w:t>
            </w:r>
          </w:p>
        </w:tc>
        <w:tc>
          <w:tcPr>
            <w:tcW w:w="2091" w:type="dxa"/>
            <w:shd w:val="clear" w:color="auto" w:fill="auto"/>
          </w:tcPr>
          <w:p w:rsidR="00C270DC" w:rsidRPr="00B46FDA" w:rsidRDefault="00C270DC" w:rsidP="00B46FDA">
            <w:pPr>
              <w:spacing w:before="60" w:after="0" w:line="240" w:lineRule="auto"/>
              <w:jc w:val="center"/>
              <w:rPr>
                <w:sz w:val="22"/>
                <w:szCs w:val="22"/>
                <w:rtl/>
              </w:rPr>
            </w:pPr>
            <w:r w:rsidRPr="00B46FDA">
              <w:rPr>
                <w:rFonts w:hint="cs"/>
                <w:sz w:val="22"/>
                <w:szCs w:val="22"/>
                <w:rtl/>
              </w:rPr>
              <w:t>629,000</w:t>
            </w:r>
          </w:p>
        </w:tc>
        <w:tc>
          <w:tcPr>
            <w:tcW w:w="2266" w:type="dxa"/>
            <w:shd w:val="clear" w:color="auto" w:fill="auto"/>
          </w:tcPr>
          <w:p w:rsidR="00C270DC" w:rsidRPr="00B46FDA" w:rsidRDefault="00C270DC" w:rsidP="00B46FDA">
            <w:pPr>
              <w:spacing w:before="60" w:after="0" w:line="240" w:lineRule="auto"/>
              <w:jc w:val="center"/>
              <w:rPr>
                <w:sz w:val="22"/>
                <w:szCs w:val="22"/>
                <w:rtl/>
              </w:rPr>
            </w:pPr>
            <w:r w:rsidRPr="00B46FDA">
              <w:rPr>
                <w:rFonts w:hint="cs"/>
                <w:sz w:val="22"/>
                <w:szCs w:val="22"/>
                <w:rtl/>
              </w:rPr>
              <w:t>962,000</w:t>
            </w:r>
          </w:p>
        </w:tc>
      </w:tr>
    </w:tbl>
    <w:p w:rsidR="00C270DC" w:rsidRPr="00BB6388" w:rsidRDefault="00C270DC" w:rsidP="00BB6388">
      <w:pPr>
        <w:pStyle w:val="4"/>
        <w:rPr>
          <w:rtl/>
        </w:rPr>
      </w:pPr>
      <w:bookmarkStart w:id="331" w:name="_Toc418585110"/>
      <w:bookmarkStart w:id="332" w:name="_Toc419963176"/>
      <w:r w:rsidRPr="00BB6388">
        <w:rPr>
          <w:rFonts w:hint="cs"/>
          <w:rtl/>
        </w:rPr>
        <w:t>אגף הרוקחות</w:t>
      </w:r>
      <w:bookmarkEnd w:id="331"/>
      <w:bookmarkEnd w:id="332"/>
    </w:p>
    <w:p w:rsidR="00261112" w:rsidRDefault="00C270DC" w:rsidP="005B2286">
      <w:pPr>
        <w:pStyle w:val="a2"/>
        <w:spacing w:line="360" w:lineRule="auto"/>
        <w:rPr>
          <w:rtl/>
        </w:rPr>
      </w:pPr>
      <w:r w:rsidRPr="00BB6388">
        <w:rPr>
          <w:rFonts w:hint="cs"/>
          <w:rtl/>
        </w:rPr>
        <w:t xml:space="preserve">יחידה נוספת במשרד הבריאות העוסק בתחום החומרים הפיסכואקטיביים היא </w:t>
      </w:r>
      <w:r w:rsidRPr="00BB6388">
        <w:rPr>
          <w:rFonts w:hint="cs"/>
          <w:b/>
          <w:bCs/>
          <w:rtl/>
        </w:rPr>
        <w:t xml:space="preserve">האגף לרוקחות. </w:t>
      </w:r>
      <w:r w:rsidRPr="00BB6388">
        <w:rPr>
          <w:rFonts w:hint="cs"/>
          <w:rtl/>
        </w:rPr>
        <w:t>אגף הרוקחות הוא הרשות הארצית המוסמכת לנושא הסמים והתרופות בישראל, וככזה מטרתו לפקח על איכות, בטיחות ויעילות של כל התרופות בשוק.</w:t>
      </w:r>
      <w:r w:rsidRPr="00BB6388">
        <w:rPr>
          <w:rStyle w:val="ab"/>
          <w:rtl/>
        </w:rPr>
        <w:footnoteReference w:id="329"/>
      </w:r>
      <w:r w:rsidRPr="00BB6388">
        <w:rPr>
          <w:rFonts w:hint="cs"/>
          <w:rtl/>
        </w:rPr>
        <w:t xml:space="preserve"> עיקר עבודתו היא בהיבטיו החוקיים של שוק זה, כדוגמת אישורי יבוא ומכירה שונים, אך מאחר והאגף הוא גם בעל הידע לקבוע האם חומר חדש שאותר על-ידי סמכויות האכיפה בתחום הוא חומר המוכר מתחום המחקר הפרמקולוגי או התרופות, ומכאן שייתכן ויש להשית עליו מגבלות חוקיות אחרות כגון רשיונות יבוא, </w:t>
      </w:r>
      <w:r w:rsidR="005414D6" w:rsidRPr="00BB6388">
        <w:rPr>
          <w:rFonts w:hint="cs"/>
          <w:rtl/>
        </w:rPr>
        <w:t xml:space="preserve">לוקח </w:t>
      </w:r>
      <w:r w:rsidRPr="00BB6388">
        <w:rPr>
          <w:rFonts w:hint="cs"/>
          <w:rtl/>
        </w:rPr>
        <w:t>גם הוא חלק מקצועי בוועד</w:t>
      </w:r>
      <w:r w:rsidR="005B2286">
        <w:rPr>
          <w:rFonts w:hint="cs"/>
          <w:rtl/>
        </w:rPr>
        <w:t>ות</w:t>
      </w:r>
      <w:r w:rsidRPr="00BB6388">
        <w:rPr>
          <w:rFonts w:hint="cs"/>
          <w:rtl/>
        </w:rPr>
        <w:t xml:space="preserve"> המיי</w:t>
      </w:r>
      <w:r w:rsidR="0012152C" w:rsidRPr="00BB6388">
        <w:rPr>
          <w:rFonts w:hint="cs"/>
          <w:rtl/>
        </w:rPr>
        <w:t>עצ</w:t>
      </w:r>
      <w:r w:rsidR="005B2286">
        <w:rPr>
          <w:rFonts w:hint="cs"/>
          <w:rtl/>
        </w:rPr>
        <w:t>ו</w:t>
      </w:r>
      <w:r w:rsidR="0012152C" w:rsidRPr="00BB6388">
        <w:rPr>
          <w:rFonts w:hint="cs"/>
          <w:rtl/>
        </w:rPr>
        <w:t>ת למנכ"ל משרד הבריאות</w:t>
      </w:r>
      <w:r w:rsidR="00E137D4">
        <w:rPr>
          <w:rFonts w:hint="cs"/>
          <w:rtl/>
        </w:rPr>
        <w:t xml:space="preserve"> (להלן)</w:t>
      </w:r>
      <w:r w:rsidRPr="00BB6388">
        <w:rPr>
          <w:rFonts w:hint="cs"/>
          <w:rtl/>
        </w:rPr>
        <w:t>.</w:t>
      </w:r>
      <w:r w:rsidRPr="00BB6388">
        <w:rPr>
          <w:rStyle w:val="ab"/>
          <w:rtl/>
        </w:rPr>
        <w:footnoteReference w:id="330"/>
      </w:r>
      <w:bookmarkStart w:id="333" w:name="_Toc419963177"/>
      <w:bookmarkStart w:id="334" w:name="_Toc418585111"/>
    </w:p>
    <w:p w:rsidR="00261112" w:rsidRDefault="00261112" w:rsidP="00BB6388">
      <w:pPr>
        <w:pStyle w:val="4"/>
        <w:rPr>
          <w:rtl/>
        </w:rPr>
      </w:pPr>
      <w:r>
        <w:rPr>
          <w:rFonts w:hint="cs"/>
          <w:rtl/>
        </w:rPr>
        <w:t xml:space="preserve">פעילות משרד הבריאות במסגרת </w:t>
      </w:r>
      <w:r w:rsidRPr="00BB6388">
        <w:rPr>
          <w:rFonts w:hint="cs"/>
          <w:rtl/>
        </w:rPr>
        <w:t>פקודת הסמים המסוכנים [נוסח חדש], התשל"ג-1973</w:t>
      </w:r>
      <w:r w:rsidR="00B46FDA">
        <w:rPr>
          <w:rStyle w:val="ab"/>
          <w:rtl/>
        </w:rPr>
        <w:footnoteReference w:id="331"/>
      </w:r>
    </w:p>
    <w:p w:rsidR="007F3961" w:rsidRDefault="007F3961" w:rsidP="007F3961">
      <w:pPr>
        <w:pStyle w:val="a2"/>
        <w:rPr>
          <w:rtl/>
        </w:rPr>
      </w:pPr>
      <w:r w:rsidRPr="00BB6388">
        <w:rPr>
          <w:rFonts w:hint="cs"/>
          <w:b/>
          <w:bCs/>
          <w:rtl/>
        </w:rPr>
        <w:t>נוהל "הכנסת חומרים חדשים לפקודת הסמים המסוכנים" (נוהל מס' 81) של משרד הבריאות</w:t>
      </w:r>
      <w:r w:rsidRPr="00BB6388">
        <w:rPr>
          <w:rFonts w:hint="cs"/>
          <w:rtl/>
        </w:rPr>
        <w:t>,</w:t>
      </w:r>
      <w:r w:rsidRPr="00BB6388">
        <w:rPr>
          <w:rStyle w:val="ab"/>
          <w:rtl/>
        </w:rPr>
        <w:footnoteReference w:id="332"/>
      </w:r>
      <w:r w:rsidRPr="00BB6388">
        <w:rPr>
          <w:rFonts w:hint="cs"/>
          <w:rtl/>
        </w:rPr>
        <w:t xml:space="preserve"> הופץ בשנת 2010 ומהווה את התשתית המנהלית הקיימת כיום לשינוי רשימת החומרים המנויה בתוספת פקודת הסמים המסוכנים [נוסח חדש], התשל"ג-1973, וזאת בהתאם לסמכות המשרד כפי שהוגדרה בסעיף 41 בפקודה זו.</w:t>
      </w:r>
      <w:r w:rsidRPr="00BB6388">
        <w:rPr>
          <w:rStyle w:val="ab"/>
          <w:rtl/>
        </w:rPr>
        <w:footnoteReference w:id="333"/>
      </w:r>
    </w:p>
    <w:p w:rsidR="007F3961" w:rsidRPr="00BB6388" w:rsidRDefault="007F3961" w:rsidP="007F3961">
      <w:pPr>
        <w:pStyle w:val="a2"/>
        <w:spacing w:line="360" w:lineRule="auto"/>
        <w:rPr>
          <w:rtl/>
        </w:rPr>
      </w:pPr>
      <w:r w:rsidRPr="00BB6388">
        <w:rPr>
          <w:rFonts w:hint="cs"/>
          <w:rtl/>
        </w:rPr>
        <w:t>הנוהל קובע כי "</w:t>
      </w:r>
      <w:r w:rsidRPr="00BB6388">
        <w:rPr>
          <w:rtl/>
        </w:rPr>
        <w:t>הצעות להכללת חומרים</w:t>
      </w:r>
      <w:r w:rsidRPr="00BB6388">
        <w:rPr>
          <w:rFonts w:hint="cs"/>
          <w:rtl/>
        </w:rPr>
        <w:t xml:space="preserve"> </w:t>
      </w:r>
      <w:r w:rsidRPr="00BB6388">
        <w:rPr>
          <w:rtl/>
        </w:rPr>
        <w:t xml:space="preserve">בתוספת לפקודת הסמים, או לשינויה, יועלו ויידונו במסגרת </w:t>
      </w:r>
      <w:r w:rsidRPr="00BB6388">
        <w:rPr>
          <w:b/>
          <w:bCs/>
          <w:rtl/>
        </w:rPr>
        <w:t>הו</w:t>
      </w:r>
      <w:r w:rsidRPr="00BB6388">
        <w:rPr>
          <w:rFonts w:hint="eastAsia"/>
          <w:b/>
          <w:bCs/>
          <w:rtl/>
        </w:rPr>
        <w:t>ו</w:t>
      </w:r>
      <w:r w:rsidRPr="00BB6388">
        <w:rPr>
          <w:b/>
          <w:bCs/>
          <w:rtl/>
        </w:rPr>
        <w:t xml:space="preserve">עדה </w:t>
      </w:r>
      <w:r w:rsidRPr="00BB6388">
        <w:rPr>
          <w:rFonts w:hint="eastAsia"/>
          <w:b/>
          <w:bCs/>
          <w:rtl/>
        </w:rPr>
        <w:t>הבין</w:t>
      </w:r>
      <w:r w:rsidRPr="00BB6388">
        <w:rPr>
          <w:b/>
          <w:bCs/>
          <w:rtl/>
        </w:rPr>
        <w:t xml:space="preserve"> </w:t>
      </w:r>
      <w:r w:rsidRPr="00BB6388">
        <w:rPr>
          <w:rFonts w:hint="eastAsia"/>
          <w:b/>
          <w:bCs/>
          <w:rtl/>
        </w:rPr>
        <w:t>משרדית</w:t>
      </w:r>
      <w:r w:rsidRPr="00BB6388">
        <w:rPr>
          <w:b/>
          <w:bCs/>
          <w:rtl/>
        </w:rPr>
        <w:t xml:space="preserve"> לחומרים פסיכואקטיביים</w:t>
      </w:r>
      <w:r w:rsidRPr="00BB6388">
        <w:rPr>
          <w:rtl/>
        </w:rPr>
        <w:t xml:space="preserve"> המתכנסת מפעם לפעם ברשות </w:t>
      </w:r>
      <w:r w:rsidRPr="00BB6388">
        <w:rPr>
          <w:rFonts w:hint="cs"/>
          <w:rtl/>
        </w:rPr>
        <w:t xml:space="preserve">הלאומית </w:t>
      </w:r>
      <w:r w:rsidRPr="00BB6388">
        <w:rPr>
          <w:rtl/>
        </w:rPr>
        <w:t>למלחמה בסמים ואלכוהול</w:t>
      </w:r>
      <w:r w:rsidRPr="00BB6388">
        <w:rPr>
          <w:rFonts w:hint="cs"/>
          <w:rtl/>
        </w:rPr>
        <w:t>".</w:t>
      </w:r>
      <w:r w:rsidRPr="00BB6388">
        <w:rPr>
          <w:rStyle w:val="ab"/>
          <w:rtl/>
        </w:rPr>
        <w:footnoteReference w:id="334"/>
      </w:r>
      <w:r w:rsidRPr="00BB6388">
        <w:rPr>
          <w:rFonts w:hint="cs"/>
          <w:rtl/>
        </w:rPr>
        <w:t xml:space="preserve"> הוועדה היא בראשות מנכ"ל הרשות הלאומית למלחמה בסמים ובאלכוהול, ונכללים בה בין השאר נציגים מקצועיים מטעם האגף לרוקחות, האגף לאכיפה ופיקוח והלשכה המשפטית שבמשרד הבריאות, משטרת ישראל, משרד המשפטים, רשות המיסים, המשרד להגנת הסביבה, ומשרד הכלכלה.</w:t>
      </w:r>
      <w:r w:rsidRPr="00BB6388">
        <w:rPr>
          <w:rStyle w:val="ab"/>
          <w:rtl/>
        </w:rPr>
        <w:footnoteReference w:id="335"/>
      </w:r>
      <w:r w:rsidRPr="00BB6388">
        <w:rPr>
          <w:rFonts w:hint="cs"/>
          <w:rtl/>
        </w:rPr>
        <w:t xml:space="preserve"> הוועדה בוחנת חומרים חדשים שנתפסו על-ידי רשויות האכיפה, והמלצותיה מועברות אל נציג אגף הרוקחות בוועדה לבדיקה נוספת ומשם אל הלשכה המשפטית של משרד הבריאות. </w:t>
      </w:r>
    </w:p>
    <w:p w:rsidR="007F3961" w:rsidRPr="00BB6388" w:rsidRDefault="007F3961" w:rsidP="007F3961">
      <w:pPr>
        <w:pStyle w:val="a2"/>
        <w:spacing w:line="360" w:lineRule="auto"/>
        <w:rPr>
          <w:rtl/>
        </w:rPr>
      </w:pPr>
      <w:r w:rsidRPr="00BB6388">
        <w:rPr>
          <w:rFonts w:hint="cs"/>
          <w:rtl/>
        </w:rPr>
        <w:t xml:space="preserve">בסיום הטיפול המשפטי, עוברת ההמלצה ללשכת שר הבריאות להחלטתו הסופית בדבר שינוי רשימת החומרים המסוכנים שבפקודה. </w:t>
      </w:r>
      <w:r w:rsidRPr="00BB6388">
        <w:rPr>
          <w:rtl/>
        </w:rPr>
        <w:t xml:space="preserve">שר הבריאות </w:t>
      </w:r>
      <w:r w:rsidRPr="00BB6388">
        <w:rPr>
          <w:rFonts w:hint="cs"/>
          <w:rtl/>
        </w:rPr>
        <w:t>הוא הרשאי</w:t>
      </w:r>
      <w:r w:rsidRPr="00BB6388">
        <w:rPr>
          <w:rtl/>
        </w:rPr>
        <w:t xml:space="preserve">, </w:t>
      </w:r>
      <w:r w:rsidRPr="00BB6388">
        <w:rPr>
          <w:b/>
          <w:bCs/>
          <w:rtl/>
        </w:rPr>
        <w:t xml:space="preserve">באישור ועדת </w:t>
      </w:r>
      <w:r w:rsidRPr="00BB6388">
        <w:rPr>
          <w:rFonts w:hint="cs"/>
          <w:b/>
          <w:bCs/>
          <w:rtl/>
        </w:rPr>
        <w:t>העבודה, הרווחה והבריאות של הכנסת</w:t>
      </w:r>
      <w:r w:rsidRPr="00BB6388">
        <w:rPr>
          <w:rFonts w:hint="cs"/>
          <w:rtl/>
        </w:rPr>
        <w:t xml:space="preserve"> ו</w:t>
      </w:r>
      <w:r w:rsidRPr="00BB6388">
        <w:rPr>
          <w:rtl/>
        </w:rPr>
        <w:t>ב</w:t>
      </w:r>
      <w:r w:rsidRPr="00BB6388">
        <w:rPr>
          <w:rFonts w:hint="cs"/>
          <w:rtl/>
        </w:rPr>
        <w:t xml:space="preserve">אמצעות </w:t>
      </w:r>
      <w:r w:rsidRPr="00BB6388">
        <w:rPr>
          <w:rtl/>
        </w:rPr>
        <w:t>הודעה ברשומות, לשנות את התוספת, להוסיף עליה או לגרוע מ</w:t>
      </w:r>
      <w:r w:rsidRPr="00BB6388">
        <w:rPr>
          <w:rFonts w:hint="cs"/>
          <w:rtl/>
        </w:rPr>
        <w:t>מנ</w:t>
      </w:r>
      <w:r w:rsidRPr="00BB6388">
        <w:rPr>
          <w:rtl/>
        </w:rPr>
        <w:t>ה</w:t>
      </w:r>
      <w:r w:rsidRPr="00BB6388">
        <w:rPr>
          <w:rFonts w:hint="cs"/>
          <w:rtl/>
        </w:rPr>
        <w:t>.</w:t>
      </w:r>
      <w:r w:rsidRPr="00BB6388">
        <w:rPr>
          <w:rStyle w:val="ab"/>
          <w:rtl/>
        </w:rPr>
        <w:footnoteReference w:id="336"/>
      </w:r>
      <w:r w:rsidRPr="00BB6388">
        <w:rPr>
          <w:rFonts w:hint="cs"/>
          <w:rtl/>
        </w:rPr>
        <w:t xml:space="preserve"> לפיכך הוועדה מתכנסת כמה פעמים בשנה לדיון בבקשות משרד הבריאות להגדיר חומרים חדשים כסמים מסוכנים. </w:t>
      </w:r>
    </w:p>
    <w:p w:rsidR="007F3961" w:rsidRPr="00BB6388" w:rsidRDefault="007F3961" w:rsidP="007F3961">
      <w:pPr>
        <w:pStyle w:val="a2"/>
        <w:spacing w:line="360" w:lineRule="auto"/>
        <w:rPr>
          <w:rtl/>
        </w:rPr>
      </w:pPr>
      <w:r w:rsidRPr="00BB6388">
        <w:rPr>
          <w:rFonts w:hint="cs"/>
          <w:rtl/>
        </w:rPr>
        <w:t>הקריטריונים העומדים לנגד עיני הוועדה בבואה להחליט בדבר החומרים השונים הם:</w:t>
      </w:r>
    </w:p>
    <w:p w:rsidR="007F3961" w:rsidRPr="00BB6388" w:rsidRDefault="007F3961" w:rsidP="00DC2DB0">
      <w:pPr>
        <w:pStyle w:val="a2"/>
        <w:numPr>
          <w:ilvl w:val="0"/>
          <w:numId w:val="20"/>
        </w:numPr>
        <w:spacing w:line="360" w:lineRule="auto"/>
      </w:pPr>
      <w:r w:rsidRPr="00BB6388">
        <w:rPr>
          <w:rFonts w:hint="cs"/>
          <w:rtl/>
        </w:rPr>
        <w:t>השפעותיו הפסיכואקטיביות והבריאותיות של החומר על המשתמש;</w:t>
      </w:r>
    </w:p>
    <w:p w:rsidR="007F3961" w:rsidRPr="00BB6388" w:rsidRDefault="007F3961" w:rsidP="00DC2DB0">
      <w:pPr>
        <w:pStyle w:val="a2"/>
        <w:numPr>
          <w:ilvl w:val="0"/>
          <w:numId w:val="20"/>
        </w:numPr>
        <w:spacing w:line="360" w:lineRule="auto"/>
      </w:pPr>
      <w:r w:rsidRPr="00BB6388">
        <w:rPr>
          <w:rFonts w:hint="cs"/>
          <w:rtl/>
        </w:rPr>
        <w:t xml:space="preserve">האם החומר מיובא או מיוצר בארץ; </w:t>
      </w:r>
    </w:p>
    <w:p w:rsidR="007F3961" w:rsidRPr="00BB6388" w:rsidRDefault="007F3961" w:rsidP="00DC2DB0">
      <w:pPr>
        <w:pStyle w:val="a2"/>
        <w:numPr>
          <w:ilvl w:val="0"/>
          <w:numId w:val="20"/>
        </w:numPr>
        <w:spacing w:line="360" w:lineRule="auto"/>
      </w:pPr>
      <w:r w:rsidRPr="00BB6388">
        <w:rPr>
          <w:rFonts w:hint="cs"/>
          <w:rtl/>
        </w:rPr>
        <w:t xml:space="preserve">סיכוייו להפוך נפוץ בקרב הציבור; </w:t>
      </w:r>
    </w:p>
    <w:p w:rsidR="007F3961" w:rsidRPr="00BB6388" w:rsidRDefault="007F3961" w:rsidP="00DC2DB0">
      <w:pPr>
        <w:pStyle w:val="a2"/>
        <w:numPr>
          <w:ilvl w:val="0"/>
          <w:numId w:val="20"/>
        </w:numPr>
        <w:spacing w:line="360" w:lineRule="auto"/>
      </w:pPr>
      <w:r w:rsidRPr="00BB6388">
        <w:rPr>
          <w:rFonts w:hint="cs"/>
          <w:rtl/>
        </w:rPr>
        <w:t>החשש כי הוא מופץ כתחליף לסם מסוכן או כי ייעשה בו שימוש לרעה;</w:t>
      </w:r>
    </w:p>
    <w:p w:rsidR="007F3961" w:rsidRPr="00BB6388" w:rsidRDefault="007F3961" w:rsidP="00DC2DB0">
      <w:pPr>
        <w:pStyle w:val="a2"/>
        <w:numPr>
          <w:ilvl w:val="0"/>
          <w:numId w:val="20"/>
        </w:numPr>
        <w:spacing w:line="360" w:lineRule="auto"/>
      </w:pPr>
      <w:r w:rsidRPr="00BB6388">
        <w:rPr>
          <w:rFonts w:hint="cs"/>
          <w:rtl/>
        </w:rPr>
        <w:t>מעמדו של החומר בעיני רשויות רגולטוריות אחרות בארץ ובעולם;</w:t>
      </w:r>
    </w:p>
    <w:p w:rsidR="007F3961" w:rsidRDefault="007F3961" w:rsidP="00DC2DB0">
      <w:pPr>
        <w:pStyle w:val="a2"/>
        <w:numPr>
          <w:ilvl w:val="0"/>
          <w:numId w:val="20"/>
        </w:numPr>
        <w:spacing w:line="360" w:lineRule="auto"/>
      </w:pPr>
      <w:r w:rsidRPr="00BB6388">
        <w:rPr>
          <w:rFonts w:hint="cs"/>
          <w:rtl/>
        </w:rPr>
        <w:t>שימושים חוקיים ידועים ורצויים של החומר, והיקפם בישראל;</w:t>
      </w:r>
    </w:p>
    <w:p w:rsidR="007F3961" w:rsidRDefault="007F3961" w:rsidP="00DC2DB0">
      <w:pPr>
        <w:pStyle w:val="a2"/>
        <w:numPr>
          <w:ilvl w:val="0"/>
          <w:numId w:val="20"/>
        </w:numPr>
        <w:spacing w:line="360" w:lineRule="auto"/>
        <w:rPr>
          <w:rtl/>
        </w:rPr>
      </w:pPr>
      <w:r w:rsidRPr="00BB6388">
        <w:rPr>
          <w:rFonts w:hint="cs"/>
          <w:rtl/>
        </w:rPr>
        <w:t>קרבתו הכימית לסם מסוכן שכבר נכלל בתוספת לפקודת הסמים.</w:t>
      </w:r>
    </w:p>
    <w:p w:rsidR="00261112" w:rsidRDefault="00E465A4" w:rsidP="00E3325A">
      <w:pPr>
        <w:pStyle w:val="4"/>
        <w:rPr>
          <w:rtl/>
        </w:rPr>
      </w:pPr>
      <w:r>
        <w:rPr>
          <w:rFonts w:hint="cs"/>
          <w:rtl/>
        </w:rPr>
        <w:t xml:space="preserve">פעילות משרד הבריאות במסגרת </w:t>
      </w:r>
      <w:r w:rsidRPr="00BB6388">
        <w:rPr>
          <w:rFonts w:hint="cs"/>
          <w:rtl/>
        </w:rPr>
        <w:t xml:space="preserve">חוק המאבק </w:t>
      </w:r>
      <w:r w:rsidR="00AD2B9C">
        <w:rPr>
          <w:rFonts w:hint="cs"/>
          <w:rtl/>
        </w:rPr>
        <w:t>בתופעת השימוש בחומרים מְסַכְּנִי</w:t>
      </w:r>
      <w:r w:rsidRPr="00BB6388">
        <w:rPr>
          <w:rFonts w:hint="cs"/>
          <w:rtl/>
        </w:rPr>
        <w:t>ם, התשע"ג- 2013</w:t>
      </w:r>
    </w:p>
    <w:bookmarkEnd w:id="333"/>
    <w:p w:rsidR="00034B54" w:rsidRPr="00BB6388" w:rsidRDefault="003254EA" w:rsidP="00123289">
      <w:pPr>
        <w:pStyle w:val="a2"/>
        <w:spacing w:line="360" w:lineRule="auto"/>
        <w:rPr>
          <w:rtl/>
        </w:rPr>
      </w:pPr>
      <w:r>
        <w:rPr>
          <w:rFonts w:hint="cs"/>
          <w:rtl/>
        </w:rPr>
        <w:t xml:space="preserve">באוגסט 2013 נכנס לתוקפו </w:t>
      </w:r>
      <w:r w:rsidR="005C75C1" w:rsidRPr="00B46FDA">
        <w:rPr>
          <w:rFonts w:hint="cs"/>
          <w:b/>
          <w:bCs/>
          <w:rtl/>
        </w:rPr>
        <w:t xml:space="preserve">חוק המאבק </w:t>
      </w:r>
      <w:r w:rsidR="00AD2B9C">
        <w:rPr>
          <w:rFonts w:hint="cs"/>
          <w:b/>
          <w:bCs/>
          <w:rtl/>
        </w:rPr>
        <w:t>בתופעת השימוש בחומרים מְסַכְּנִי</w:t>
      </w:r>
      <w:r w:rsidR="005C75C1" w:rsidRPr="00B46FDA">
        <w:rPr>
          <w:rFonts w:hint="cs"/>
          <w:b/>
          <w:bCs/>
          <w:rtl/>
        </w:rPr>
        <w:t>ם, התשע"ג- 2013</w:t>
      </w:r>
      <w:r w:rsidR="00B77023" w:rsidRPr="00BB6388">
        <w:rPr>
          <w:rStyle w:val="ab"/>
          <w:rtl/>
        </w:rPr>
        <w:footnoteReference w:id="337"/>
      </w:r>
      <w:r w:rsidR="00F03B2C" w:rsidRPr="00BB6388">
        <w:rPr>
          <w:rFonts w:hint="cs"/>
          <w:rtl/>
        </w:rPr>
        <w:t xml:space="preserve"> </w:t>
      </w:r>
      <w:r>
        <w:rPr>
          <w:rFonts w:hint="cs"/>
          <w:rtl/>
        </w:rPr>
        <w:t>ה</w:t>
      </w:r>
      <w:r w:rsidR="009825C7" w:rsidRPr="00BB6388">
        <w:rPr>
          <w:rFonts w:hint="cs"/>
          <w:rtl/>
        </w:rPr>
        <w:t>מבקש, בין היתר</w:t>
      </w:r>
      <w:r w:rsidR="000C5FBD" w:rsidRPr="00BB6388">
        <w:rPr>
          <w:rFonts w:hint="cs"/>
          <w:rtl/>
        </w:rPr>
        <w:t>, "לתת מענה מיוחד לפרק הזמן שבין כניסתו של חומר פסיכואקטיבי לשוק ועד להכרזתו של חומר כסם מסוכן לפי פקודת הסמים המסוכנים."</w:t>
      </w:r>
      <w:r w:rsidR="00123289">
        <w:rPr>
          <w:rStyle w:val="ab"/>
          <w:rtl/>
        </w:rPr>
        <w:footnoteReference w:id="338"/>
      </w:r>
      <w:r w:rsidR="000C5FBD" w:rsidRPr="00BB6388">
        <w:rPr>
          <w:rFonts w:hint="cs"/>
          <w:rtl/>
        </w:rPr>
        <w:t xml:space="preserve"> הדבר נעשה באמצעות יצירתו של שלב ביניים, </w:t>
      </w:r>
      <w:r w:rsidR="00034B54" w:rsidRPr="00BB6388">
        <w:rPr>
          <w:rFonts w:hint="cs"/>
          <w:rtl/>
        </w:rPr>
        <w:t>המאפשר הכרזה זמנית ומקדימה של חומר כ'חומר אסור בהפצה'</w:t>
      </w:r>
      <w:r w:rsidR="00E3325A">
        <w:rPr>
          <w:rFonts w:hint="cs"/>
          <w:rtl/>
        </w:rPr>
        <w:t>, המאפשרת פעולה להסרתו מהשוק</w:t>
      </w:r>
      <w:r w:rsidR="00034B54" w:rsidRPr="00BB6388">
        <w:rPr>
          <w:rFonts w:hint="cs"/>
          <w:rtl/>
        </w:rPr>
        <w:t xml:space="preserve"> עד שיוברר סופית מעמדו כסם מסוכן ותנתן השהות להגדרתו החוקית ככזה.</w:t>
      </w:r>
    </w:p>
    <w:p w:rsidR="003254EA" w:rsidRDefault="00F03B2C" w:rsidP="005F700F">
      <w:pPr>
        <w:pStyle w:val="a2"/>
        <w:spacing w:line="360" w:lineRule="auto"/>
        <w:rPr>
          <w:rtl/>
        </w:rPr>
      </w:pPr>
      <w:r w:rsidRPr="00BB6388">
        <w:rPr>
          <w:rFonts w:hint="cs"/>
          <w:b/>
          <w:bCs/>
          <w:rtl/>
        </w:rPr>
        <w:t>נוהל 'הכרזה דחופה על חומרים אסורים בהפצה' (נוהל 114)</w:t>
      </w:r>
      <w:r w:rsidR="00123289" w:rsidRPr="00B23E65">
        <w:rPr>
          <w:rStyle w:val="ab"/>
          <w:rtl/>
        </w:rPr>
        <w:footnoteReference w:id="339"/>
      </w:r>
      <w:r w:rsidRPr="00BB6388">
        <w:rPr>
          <w:rFonts w:hint="cs"/>
          <w:b/>
          <w:bCs/>
          <w:rtl/>
        </w:rPr>
        <w:t xml:space="preserve"> של משרד הבריאות</w:t>
      </w:r>
      <w:r w:rsidRPr="00BB6388">
        <w:rPr>
          <w:rFonts w:hint="cs"/>
          <w:rtl/>
        </w:rPr>
        <w:t xml:space="preserve">, כולל את התנאים תחתם יוכרז חומר כאסור בהפצה </w:t>
      </w:r>
      <w:r w:rsidR="00034B54" w:rsidRPr="00BB6388">
        <w:rPr>
          <w:rFonts w:hint="cs"/>
          <w:rtl/>
        </w:rPr>
        <w:t>ואת ההליך לביצועה של הכרזה כזו.</w:t>
      </w:r>
      <w:r w:rsidR="002E607E" w:rsidRPr="00BB6388">
        <w:rPr>
          <w:rFonts w:hint="cs"/>
          <w:rtl/>
        </w:rPr>
        <w:t xml:space="preserve"> </w:t>
      </w:r>
      <w:r w:rsidR="005F700F">
        <w:rPr>
          <w:rFonts w:hint="cs"/>
          <w:rtl/>
        </w:rPr>
        <w:t>ישנו</w:t>
      </w:r>
      <w:r w:rsidR="003254EA">
        <w:rPr>
          <w:rFonts w:hint="cs"/>
          <w:rtl/>
        </w:rPr>
        <w:t xml:space="preserve"> </w:t>
      </w:r>
      <w:r w:rsidR="005F700F">
        <w:rPr>
          <w:rFonts w:hint="cs"/>
          <w:rtl/>
        </w:rPr>
        <w:t xml:space="preserve">צוות מקצועי </w:t>
      </w:r>
      <w:r w:rsidR="003254EA">
        <w:rPr>
          <w:rFonts w:hint="cs"/>
          <w:rtl/>
        </w:rPr>
        <w:t>יחודי המוקדש לנושא, בראשותו של ראש האגף לפיקוח ואכיפה במשרד הבריאות ובהשתתפות נציג</w:t>
      </w:r>
      <w:r w:rsidR="0043700B">
        <w:rPr>
          <w:rFonts w:hint="cs"/>
          <w:rtl/>
        </w:rPr>
        <w:t xml:space="preserve">ים </w:t>
      </w:r>
      <w:r w:rsidR="003254EA">
        <w:rPr>
          <w:rFonts w:hint="cs"/>
          <w:rtl/>
        </w:rPr>
        <w:t xml:space="preserve"> מהמשטרה, מהרשות הלאומית למלחמה בסמים ובאלכוהול</w:t>
      </w:r>
      <w:r w:rsidR="00352149">
        <w:rPr>
          <w:rFonts w:hint="cs"/>
          <w:rtl/>
        </w:rPr>
        <w:t xml:space="preserve"> וממשרד המשפטים, וכל אחד מחבריה רשאי להציג בפני הוועדה חומר החשוד כמסכן, למשל בעקבות תפיסה </w:t>
      </w:r>
      <w:r w:rsidR="00B952D0">
        <w:rPr>
          <w:rFonts w:hint="cs"/>
          <w:rtl/>
        </w:rPr>
        <w:t xml:space="preserve">של חומר </w:t>
      </w:r>
      <w:r w:rsidR="00352149">
        <w:rPr>
          <w:rFonts w:hint="cs"/>
          <w:rtl/>
        </w:rPr>
        <w:t>או בעקבות דיווח מרשויות מקבילות בחו"ל</w:t>
      </w:r>
      <w:r w:rsidR="00B952D0">
        <w:rPr>
          <w:rFonts w:hint="cs"/>
          <w:rtl/>
        </w:rPr>
        <w:t xml:space="preserve"> בדבר חומר שנתפס שם</w:t>
      </w:r>
      <w:r w:rsidR="00352149">
        <w:rPr>
          <w:rFonts w:hint="cs"/>
          <w:rtl/>
        </w:rPr>
        <w:t>.</w:t>
      </w:r>
      <w:r w:rsidR="00352149">
        <w:rPr>
          <w:rStyle w:val="ab"/>
          <w:rtl/>
        </w:rPr>
        <w:footnoteReference w:id="340"/>
      </w:r>
    </w:p>
    <w:bookmarkEnd w:id="334"/>
    <w:p w:rsidR="00C270DC" w:rsidRPr="00BB6388" w:rsidRDefault="00C270DC" w:rsidP="00BB6388">
      <w:pPr>
        <w:pStyle w:val="a2"/>
        <w:spacing w:line="360" w:lineRule="auto"/>
        <w:rPr>
          <w:rtl/>
        </w:rPr>
      </w:pPr>
      <w:r w:rsidRPr="00BB6388">
        <w:rPr>
          <w:rtl/>
        </w:rPr>
        <w:t xml:space="preserve">הנוהל קובע שלושה קריטריונים לביסוס הכרזתו של חומר כחומר אסור בהפצה: </w:t>
      </w:r>
    </w:p>
    <w:p w:rsidR="00C270DC" w:rsidRPr="00BB6388" w:rsidRDefault="00C270DC" w:rsidP="00DC2DB0">
      <w:pPr>
        <w:pStyle w:val="a2"/>
        <w:numPr>
          <w:ilvl w:val="0"/>
          <w:numId w:val="11"/>
        </w:numPr>
        <w:spacing w:line="360" w:lineRule="auto"/>
        <w:rPr>
          <w:rtl/>
        </w:rPr>
      </w:pPr>
      <w:r w:rsidRPr="00BB6388">
        <w:rPr>
          <w:rFonts w:hint="eastAsia"/>
          <w:rtl/>
        </w:rPr>
        <w:t>דרך</w:t>
      </w:r>
      <w:r w:rsidRPr="00BB6388">
        <w:rPr>
          <w:rtl/>
        </w:rPr>
        <w:t xml:space="preserve"> </w:t>
      </w:r>
      <w:r w:rsidRPr="00BB6388">
        <w:rPr>
          <w:rFonts w:hint="eastAsia"/>
          <w:rtl/>
        </w:rPr>
        <w:t>הצריכה</w:t>
      </w:r>
      <w:r w:rsidRPr="00BB6388">
        <w:rPr>
          <w:rtl/>
        </w:rPr>
        <w:t xml:space="preserve">: </w:t>
      </w:r>
      <w:r w:rsidRPr="00BB6388">
        <w:rPr>
          <w:rFonts w:hint="eastAsia"/>
          <w:rtl/>
        </w:rPr>
        <w:t>האם</w:t>
      </w:r>
      <w:r w:rsidRPr="00BB6388">
        <w:rPr>
          <w:rtl/>
        </w:rPr>
        <w:t xml:space="preserve"> </w:t>
      </w:r>
      <w:r w:rsidRPr="00BB6388">
        <w:rPr>
          <w:rFonts w:hint="eastAsia"/>
          <w:rtl/>
        </w:rPr>
        <w:t>צריכתו</w:t>
      </w:r>
      <w:r w:rsidRPr="00BB6388">
        <w:rPr>
          <w:rtl/>
        </w:rPr>
        <w:t xml:space="preserve"> </w:t>
      </w:r>
      <w:r w:rsidRPr="00BB6388">
        <w:rPr>
          <w:rFonts w:hint="eastAsia"/>
          <w:rtl/>
        </w:rPr>
        <w:t>נעשית</w:t>
      </w:r>
      <w:r w:rsidRPr="00BB6388">
        <w:rPr>
          <w:rtl/>
        </w:rPr>
        <w:t xml:space="preserve"> </w:t>
      </w:r>
      <w:r w:rsidRPr="00BB6388">
        <w:rPr>
          <w:rFonts w:hint="eastAsia"/>
          <w:rtl/>
        </w:rPr>
        <w:t>באכילה</w:t>
      </w:r>
      <w:r w:rsidRPr="00BB6388">
        <w:rPr>
          <w:rtl/>
        </w:rPr>
        <w:t xml:space="preserve">, </w:t>
      </w:r>
      <w:r w:rsidRPr="00BB6388">
        <w:rPr>
          <w:rFonts w:hint="eastAsia"/>
          <w:rtl/>
        </w:rPr>
        <w:t>שתייה</w:t>
      </w:r>
      <w:r w:rsidRPr="00BB6388">
        <w:rPr>
          <w:rtl/>
        </w:rPr>
        <w:t xml:space="preserve">, </w:t>
      </w:r>
      <w:r w:rsidRPr="00BB6388">
        <w:rPr>
          <w:rFonts w:hint="eastAsia"/>
          <w:rtl/>
        </w:rPr>
        <w:t>לעיסה</w:t>
      </w:r>
      <w:r w:rsidRPr="00BB6388">
        <w:rPr>
          <w:rtl/>
        </w:rPr>
        <w:t xml:space="preserve">, </w:t>
      </w:r>
      <w:r w:rsidRPr="00BB6388">
        <w:rPr>
          <w:rFonts w:hint="eastAsia"/>
          <w:rtl/>
        </w:rPr>
        <w:t>הזרקה</w:t>
      </w:r>
      <w:r w:rsidR="0043700B">
        <w:rPr>
          <w:rFonts w:hint="cs"/>
          <w:rtl/>
        </w:rPr>
        <w:t>,</w:t>
      </w:r>
      <w:r w:rsidRPr="00BB6388">
        <w:rPr>
          <w:rtl/>
        </w:rPr>
        <w:t xml:space="preserve"> </w:t>
      </w:r>
      <w:r w:rsidRPr="00BB6388">
        <w:rPr>
          <w:rFonts w:hint="eastAsia"/>
          <w:rtl/>
        </w:rPr>
        <w:t>החדרה</w:t>
      </w:r>
      <w:r w:rsidRPr="00BB6388">
        <w:rPr>
          <w:rtl/>
        </w:rPr>
        <w:t xml:space="preserve">, </w:t>
      </w:r>
      <w:r w:rsidRPr="00BB6388">
        <w:rPr>
          <w:rFonts w:hint="eastAsia"/>
          <w:rtl/>
        </w:rPr>
        <w:t>עישון</w:t>
      </w:r>
      <w:r w:rsidRPr="00BB6388">
        <w:rPr>
          <w:rtl/>
        </w:rPr>
        <w:t xml:space="preserve"> </w:t>
      </w:r>
      <w:r w:rsidRPr="00BB6388">
        <w:rPr>
          <w:rFonts w:hint="eastAsia"/>
          <w:rtl/>
        </w:rPr>
        <w:t>או</w:t>
      </w:r>
      <w:r w:rsidRPr="00BB6388">
        <w:rPr>
          <w:rtl/>
        </w:rPr>
        <w:t xml:space="preserve"> </w:t>
      </w:r>
      <w:r w:rsidRPr="00BB6388">
        <w:rPr>
          <w:rFonts w:hint="eastAsia"/>
          <w:rtl/>
        </w:rPr>
        <w:t>הרחה</w:t>
      </w:r>
      <w:r w:rsidRPr="00BB6388">
        <w:rPr>
          <w:rtl/>
        </w:rPr>
        <w:t>;</w:t>
      </w:r>
    </w:p>
    <w:p w:rsidR="00C270DC" w:rsidRPr="00BB6388" w:rsidRDefault="00C270DC" w:rsidP="00DC2DB0">
      <w:pPr>
        <w:pStyle w:val="a2"/>
        <w:numPr>
          <w:ilvl w:val="0"/>
          <w:numId w:val="11"/>
        </w:numPr>
        <w:spacing w:line="360" w:lineRule="auto"/>
      </w:pPr>
      <w:r w:rsidRPr="00BB6388">
        <w:rPr>
          <w:rFonts w:hint="eastAsia"/>
          <w:rtl/>
        </w:rPr>
        <w:t>ההשפעה</w:t>
      </w:r>
      <w:r w:rsidRPr="00BB6388">
        <w:rPr>
          <w:rtl/>
        </w:rPr>
        <w:t xml:space="preserve">: </w:t>
      </w:r>
      <w:r w:rsidRPr="00BB6388">
        <w:rPr>
          <w:rFonts w:hint="eastAsia"/>
          <w:rtl/>
        </w:rPr>
        <w:t>האם</w:t>
      </w:r>
      <w:r w:rsidRPr="00BB6388">
        <w:rPr>
          <w:rtl/>
        </w:rPr>
        <w:t xml:space="preserve"> </w:t>
      </w:r>
      <w:r w:rsidRPr="00BB6388">
        <w:rPr>
          <w:rFonts w:hint="eastAsia"/>
          <w:rtl/>
        </w:rPr>
        <w:t>השפעתו</w:t>
      </w:r>
      <w:r w:rsidRPr="00BB6388">
        <w:rPr>
          <w:rtl/>
        </w:rPr>
        <w:t xml:space="preserve"> </w:t>
      </w:r>
      <w:r w:rsidRPr="00BB6388">
        <w:rPr>
          <w:rFonts w:hint="eastAsia"/>
          <w:rtl/>
        </w:rPr>
        <w:t>של</w:t>
      </w:r>
      <w:r w:rsidRPr="00BB6388">
        <w:rPr>
          <w:rtl/>
        </w:rPr>
        <w:t xml:space="preserve"> </w:t>
      </w:r>
      <w:r w:rsidRPr="00BB6388">
        <w:rPr>
          <w:rFonts w:hint="eastAsia"/>
          <w:rtl/>
        </w:rPr>
        <w:t>החומר</w:t>
      </w:r>
      <w:r w:rsidRPr="00BB6388">
        <w:rPr>
          <w:rtl/>
        </w:rPr>
        <w:t xml:space="preserve"> </w:t>
      </w:r>
      <w:r w:rsidRPr="00BB6388">
        <w:rPr>
          <w:rFonts w:hint="eastAsia"/>
          <w:rtl/>
        </w:rPr>
        <w:t>על</w:t>
      </w:r>
      <w:r w:rsidRPr="00BB6388">
        <w:rPr>
          <w:rtl/>
        </w:rPr>
        <w:t xml:space="preserve"> </w:t>
      </w:r>
      <w:r w:rsidRPr="00BB6388">
        <w:rPr>
          <w:rFonts w:hint="eastAsia"/>
          <w:rtl/>
        </w:rPr>
        <w:t>המשתמש</w:t>
      </w:r>
      <w:r w:rsidRPr="00BB6388">
        <w:rPr>
          <w:rtl/>
        </w:rPr>
        <w:t xml:space="preserve"> </w:t>
      </w:r>
      <w:r w:rsidRPr="00BB6388">
        <w:rPr>
          <w:rFonts w:hint="eastAsia"/>
          <w:rtl/>
        </w:rPr>
        <w:t>דומה</w:t>
      </w:r>
      <w:r w:rsidRPr="00BB6388">
        <w:rPr>
          <w:rtl/>
        </w:rPr>
        <w:t xml:space="preserve"> </w:t>
      </w:r>
      <w:r w:rsidRPr="00BB6388">
        <w:rPr>
          <w:rFonts w:hint="eastAsia"/>
          <w:rtl/>
        </w:rPr>
        <w:t>להשפעה</w:t>
      </w:r>
      <w:r w:rsidRPr="00BB6388">
        <w:rPr>
          <w:rtl/>
        </w:rPr>
        <w:t xml:space="preserve"> </w:t>
      </w:r>
      <w:r w:rsidRPr="00BB6388">
        <w:rPr>
          <w:rFonts w:hint="eastAsia"/>
          <w:rtl/>
        </w:rPr>
        <w:t>פסיכואקטיבית</w:t>
      </w:r>
      <w:r w:rsidRPr="00BB6388">
        <w:rPr>
          <w:rtl/>
        </w:rPr>
        <w:t xml:space="preserve"> </w:t>
      </w:r>
      <w:r w:rsidRPr="00BB6388">
        <w:rPr>
          <w:rFonts w:hint="eastAsia"/>
          <w:rtl/>
        </w:rPr>
        <w:t>הנגרמת</w:t>
      </w:r>
      <w:r w:rsidRPr="00BB6388">
        <w:rPr>
          <w:rtl/>
        </w:rPr>
        <w:t xml:space="preserve"> </w:t>
      </w:r>
      <w:r w:rsidRPr="00BB6388">
        <w:rPr>
          <w:rFonts w:hint="eastAsia"/>
          <w:rtl/>
        </w:rPr>
        <w:t>על</w:t>
      </w:r>
      <w:r w:rsidRPr="00BB6388">
        <w:rPr>
          <w:rtl/>
        </w:rPr>
        <w:t xml:space="preserve">-ידי </w:t>
      </w:r>
      <w:r w:rsidRPr="00BB6388">
        <w:rPr>
          <w:rFonts w:hint="eastAsia"/>
          <w:rtl/>
        </w:rPr>
        <w:t>סם</w:t>
      </w:r>
      <w:r w:rsidRPr="00BB6388">
        <w:rPr>
          <w:rtl/>
        </w:rPr>
        <w:t xml:space="preserve"> </w:t>
      </w:r>
      <w:r w:rsidRPr="00BB6388">
        <w:rPr>
          <w:rFonts w:hint="eastAsia"/>
          <w:rtl/>
        </w:rPr>
        <w:t>מסוכן</w:t>
      </w:r>
      <w:r w:rsidRPr="00BB6388">
        <w:rPr>
          <w:rtl/>
        </w:rPr>
        <w:t>;</w:t>
      </w:r>
    </w:p>
    <w:p w:rsidR="00C270DC" w:rsidRPr="00BB6388" w:rsidRDefault="00C270DC" w:rsidP="00DC2DB0">
      <w:pPr>
        <w:pStyle w:val="a2"/>
        <w:numPr>
          <w:ilvl w:val="0"/>
          <w:numId w:val="11"/>
        </w:numPr>
        <w:spacing w:line="360" w:lineRule="auto"/>
        <w:rPr>
          <w:rtl/>
        </w:rPr>
      </w:pPr>
      <w:r w:rsidRPr="00BB6388">
        <w:rPr>
          <w:rFonts w:hint="eastAsia"/>
          <w:rtl/>
        </w:rPr>
        <w:t>הסיכונים</w:t>
      </w:r>
      <w:r w:rsidRPr="00BB6388">
        <w:rPr>
          <w:rtl/>
        </w:rPr>
        <w:t xml:space="preserve"> </w:t>
      </w:r>
      <w:r w:rsidRPr="00BB6388">
        <w:rPr>
          <w:rFonts w:hint="eastAsia"/>
          <w:rtl/>
        </w:rPr>
        <w:t>לציבור</w:t>
      </w:r>
      <w:r w:rsidRPr="00BB6388">
        <w:rPr>
          <w:rtl/>
        </w:rPr>
        <w:t xml:space="preserve">: </w:t>
      </w:r>
      <w:r w:rsidRPr="00BB6388">
        <w:rPr>
          <w:rFonts w:hint="eastAsia"/>
          <w:rtl/>
        </w:rPr>
        <w:t>האם</w:t>
      </w:r>
      <w:r w:rsidRPr="00BB6388">
        <w:rPr>
          <w:rtl/>
        </w:rPr>
        <w:t xml:space="preserve"> </w:t>
      </w:r>
      <w:r w:rsidRPr="00BB6388">
        <w:rPr>
          <w:rFonts w:hint="eastAsia"/>
          <w:rtl/>
        </w:rPr>
        <w:t>צריכת</w:t>
      </w:r>
      <w:r w:rsidRPr="00BB6388">
        <w:rPr>
          <w:rtl/>
        </w:rPr>
        <w:t xml:space="preserve"> </w:t>
      </w:r>
      <w:r w:rsidRPr="00BB6388">
        <w:rPr>
          <w:rFonts w:hint="eastAsia"/>
          <w:rtl/>
        </w:rPr>
        <w:t>החומר</w:t>
      </w:r>
      <w:r w:rsidRPr="00BB6388">
        <w:rPr>
          <w:rtl/>
        </w:rPr>
        <w:t xml:space="preserve"> </w:t>
      </w:r>
      <w:r w:rsidRPr="00BB6388">
        <w:rPr>
          <w:rFonts w:hint="eastAsia"/>
          <w:rtl/>
        </w:rPr>
        <w:t>עלולה</w:t>
      </w:r>
      <w:r w:rsidRPr="00BB6388">
        <w:rPr>
          <w:rtl/>
        </w:rPr>
        <w:t xml:space="preserve"> </w:t>
      </w:r>
      <w:r w:rsidRPr="00BB6388">
        <w:rPr>
          <w:rFonts w:hint="eastAsia"/>
          <w:rtl/>
        </w:rPr>
        <w:t>להוביל</w:t>
      </w:r>
      <w:r w:rsidRPr="00BB6388">
        <w:rPr>
          <w:rtl/>
        </w:rPr>
        <w:t xml:space="preserve"> </w:t>
      </w:r>
      <w:r w:rsidRPr="00BB6388">
        <w:rPr>
          <w:rFonts w:hint="eastAsia"/>
          <w:rtl/>
        </w:rPr>
        <w:t>להפרת</w:t>
      </w:r>
      <w:r w:rsidRPr="00BB6388">
        <w:rPr>
          <w:rtl/>
        </w:rPr>
        <w:t xml:space="preserve"> </w:t>
      </w:r>
      <w:r w:rsidRPr="00BB6388">
        <w:rPr>
          <w:rFonts w:hint="eastAsia"/>
          <w:rtl/>
        </w:rPr>
        <w:t>הסדר</w:t>
      </w:r>
      <w:r w:rsidRPr="00BB6388">
        <w:rPr>
          <w:rtl/>
        </w:rPr>
        <w:t xml:space="preserve"> </w:t>
      </w:r>
      <w:r w:rsidRPr="00BB6388">
        <w:rPr>
          <w:rFonts w:hint="eastAsia"/>
          <w:rtl/>
        </w:rPr>
        <w:t>הציבור</w:t>
      </w:r>
      <w:r w:rsidRPr="00BB6388">
        <w:rPr>
          <w:rtl/>
        </w:rPr>
        <w:t xml:space="preserve"> </w:t>
      </w:r>
      <w:r w:rsidRPr="00BB6388">
        <w:rPr>
          <w:rFonts w:hint="eastAsia"/>
          <w:rtl/>
        </w:rPr>
        <w:t>או</w:t>
      </w:r>
      <w:r w:rsidRPr="00BB6388">
        <w:rPr>
          <w:rtl/>
        </w:rPr>
        <w:t xml:space="preserve"> </w:t>
      </w:r>
      <w:r w:rsidRPr="00BB6388">
        <w:rPr>
          <w:rFonts w:hint="eastAsia"/>
          <w:rtl/>
        </w:rPr>
        <w:t>לפגיעה</w:t>
      </w:r>
      <w:r w:rsidRPr="00BB6388">
        <w:rPr>
          <w:rtl/>
        </w:rPr>
        <w:t xml:space="preserve"> </w:t>
      </w:r>
      <w:r w:rsidRPr="00BB6388">
        <w:rPr>
          <w:rFonts w:hint="eastAsia"/>
          <w:rtl/>
        </w:rPr>
        <w:t>בשלומו</w:t>
      </w:r>
      <w:r w:rsidRPr="00BB6388">
        <w:rPr>
          <w:rtl/>
        </w:rPr>
        <w:t xml:space="preserve">, </w:t>
      </w:r>
      <w:r w:rsidRPr="00BB6388">
        <w:rPr>
          <w:rFonts w:hint="eastAsia"/>
          <w:rtl/>
        </w:rPr>
        <w:t>ביטחונו</w:t>
      </w:r>
      <w:r w:rsidRPr="00BB6388">
        <w:rPr>
          <w:rtl/>
        </w:rPr>
        <w:t xml:space="preserve"> </w:t>
      </w:r>
      <w:r w:rsidRPr="00BB6388">
        <w:rPr>
          <w:rFonts w:hint="eastAsia"/>
          <w:rtl/>
        </w:rPr>
        <w:t>או</w:t>
      </w:r>
      <w:r w:rsidRPr="00BB6388">
        <w:rPr>
          <w:rtl/>
        </w:rPr>
        <w:t xml:space="preserve"> </w:t>
      </w:r>
      <w:r w:rsidRPr="00BB6388">
        <w:rPr>
          <w:rFonts w:hint="eastAsia"/>
          <w:rtl/>
        </w:rPr>
        <w:t>בריאותו</w:t>
      </w:r>
      <w:r w:rsidRPr="00BB6388">
        <w:rPr>
          <w:rtl/>
        </w:rPr>
        <w:t xml:space="preserve"> </w:t>
      </w:r>
      <w:r w:rsidRPr="00BB6388">
        <w:rPr>
          <w:rFonts w:hint="eastAsia"/>
          <w:rtl/>
        </w:rPr>
        <w:t>של</w:t>
      </w:r>
      <w:r w:rsidRPr="00BB6388">
        <w:rPr>
          <w:rtl/>
        </w:rPr>
        <w:t xml:space="preserve"> </w:t>
      </w:r>
      <w:r w:rsidRPr="00BB6388">
        <w:rPr>
          <w:rFonts w:hint="eastAsia"/>
          <w:rtl/>
        </w:rPr>
        <w:t>הציבור</w:t>
      </w:r>
      <w:r w:rsidRPr="00BB6388">
        <w:rPr>
          <w:rtl/>
        </w:rPr>
        <w:t>.</w:t>
      </w:r>
    </w:p>
    <w:p w:rsidR="00C270DC" w:rsidRPr="00BB6388" w:rsidRDefault="000B4574" w:rsidP="000B4574">
      <w:pPr>
        <w:pStyle w:val="a2"/>
        <w:spacing w:line="360" w:lineRule="auto"/>
        <w:rPr>
          <w:rtl/>
        </w:rPr>
      </w:pPr>
      <w:r>
        <w:rPr>
          <w:rFonts w:hint="cs"/>
          <w:rtl/>
        </w:rPr>
        <w:t>בדומה לנעשה במסגרת הוועדה הבינמשרדית לחומרים פסיכואקטיביים, מועברות</w:t>
      </w:r>
      <w:r w:rsidR="00A845F3" w:rsidRPr="00BB6388">
        <w:rPr>
          <w:rFonts w:hint="cs"/>
          <w:rtl/>
        </w:rPr>
        <w:t xml:space="preserve"> </w:t>
      </w:r>
      <w:r w:rsidR="00C270DC" w:rsidRPr="00BB6388">
        <w:rPr>
          <w:rFonts w:hint="eastAsia"/>
          <w:rtl/>
        </w:rPr>
        <w:t>מסקנות</w:t>
      </w:r>
      <w:r w:rsidR="00C270DC" w:rsidRPr="00BB6388">
        <w:rPr>
          <w:rtl/>
        </w:rPr>
        <w:t xml:space="preserve"> </w:t>
      </w:r>
      <w:r w:rsidR="00C270DC" w:rsidRPr="00BB6388">
        <w:rPr>
          <w:rFonts w:hint="eastAsia"/>
          <w:rtl/>
        </w:rPr>
        <w:t>הצוות</w:t>
      </w:r>
      <w:r w:rsidR="00C270DC" w:rsidRPr="00BB6388">
        <w:rPr>
          <w:rtl/>
        </w:rPr>
        <w:t xml:space="preserve"> </w:t>
      </w:r>
      <w:r w:rsidR="00C270DC" w:rsidRPr="00BB6388">
        <w:rPr>
          <w:rFonts w:hint="eastAsia"/>
          <w:rtl/>
        </w:rPr>
        <w:t>המנומקות</w:t>
      </w:r>
      <w:r w:rsidR="00C270DC" w:rsidRPr="00BB6388">
        <w:rPr>
          <w:rtl/>
        </w:rPr>
        <w:t xml:space="preserve"> </w:t>
      </w:r>
      <w:r w:rsidR="00C270DC" w:rsidRPr="00BB6388">
        <w:rPr>
          <w:rFonts w:hint="eastAsia"/>
          <w:rtl/>
        </w:rPr>
        <w:t>לנציגי</w:t>
      </w:r>
      <w:r w:rsidR="00C270DC" w:rsidRPr="00BB6388">
        <w:rPr>
          <w:rtl/>
        </w:rPr>
        <w:t xml:space="preserve"> </w:t>
      </w:r>
      <w:r w:rsidR="00C270DC" w:rsidRPr="00BB6388">
        <w:rPr>
          <w:rFonts w:hint="eastAsia"/>
          <w:rtl/>
        </w:rPr>
        <w:t>משרד</w:t>
      </w:r>
      <w:r w:rsidR="00C270DC" w:rsidRPr="00BB6388">
        <w:rPr>
          <w:rtl/>
        </w:rPr>
        <w:t xml:space="preserve"> </w:t>
      </w:r>
      <w:r w:rsidR="00C270DC" w:rsidRPr="00BB6388">
        <w:rPr>
          <w:rFonts w:hint="eastAsia"/>
          <w:rtl/>
        </w:rPr>
        <w:t>הבריאות</w:t>
      </w:r>
      <w:r w:rsidR="00C270DC" w:rsidRPr="00BB6388">
        <w:rPr>
          <w:rtl/>
        </w:rPr>
        <w:t xml:space="preserve"> </w:t>
      </w:r>
      <w:r w:rsidR="00C270DC" w:rsidRPr="00BB6388">
        <w:rPr>
          <w:rFonts w:hint="eastAsia"/>
          <w:rtl/>
        </w:rPr>
        <w:t>בוועדה</w:t>
      </w:r>
      <w:r w:rsidR="00C270DC" w:rsidRPr="00BB6388">
        <w:rPr>
          <w:rtl/>
        </w:rPr>
        <w:t xml:space="preserve">, </w:t>
      </w:r>
      <w:r w:rsidR="00C270DC" w:rsidRPr="00BB6388">
        <w:rPr>
          <w:rFonts w:hint="eastAsia"/>
          <w:rtl/>
        </w:rPr>
        <w:t>הממשיכים</w:t>
      </w:r>
      <w:r w:rsidR="00C270DC" w:rsidRPr="00BB6388">
        <w:rPr>
          <w:rtl/>
        </w:rPr>
        <w:t xml:space="preserve"> </w:t>
      </w:r>
      <w:r w:rsidR="00C270DC" w:rsidRPr="00BB6388">
        <w:rPr>
          <w:rFonts w:hint="eastAsia"/>
          <w:rtl/>
        </w:rPr>
        <w:t>לפעול</w:t>
      </w:r>
      <w:r w:rsidR="00C270DC" w:rsidRPr="00BB6388">
        <w:rPr>
          <w:rtl/>
        </w:rPr>
        <w:t xml:space="preserve"> </w:t>
      </w:r>
      <w:r w:rsidR="00C270DC" w:rsidRPr="00BB6388">
        <w:rPr>
          <w:rFonts w:hint="eastAsia"/>
          <w:rtl/>
        </w:rPr>
        <w:t>לזיהויו</w:t>
      </w:r>
      <w:r w:rsidR="00C270DC" w:rsidRPr="00BB6388">
        <w:rPr>
          <w:rtl/>
        </w:rPr>
        <w:t xml:space="preserve"> </w:t>
      </w:r>
      <w:r w:rsidR="00C270DC" w:rsidRPr="00BB6388">
        <w:rPr>
          <w:rFonts w:hint="eastAsia"/>
          <w:rtl/>
        </w:rPr>
        <w:t>המלא</w:t>
      </w:r>
      <w:r w:rsidR="00C270DC" w:rsidRPr="00BB6388">
        <w:rPr>
          <w:rtl/>
        </w:rPr>
        <w:t xml:space="preserve"> </w:t>
      </w:r>
      <w:r w:rsidR="00C270DC" w:rsidRPr="00BB6388">
        <w:rPr>
          <w:rFonts w:hint="eastAsia"/>
          <w:rtl/>
        </w:rPr>
        <w:t>של</w:t>
      </w:r>
      <w:r w:rsidR="00C270DC" w:rsidRPr="00BB6388">
        <w:rPr>
          <w:rtl/>
        </w:rPr>
        <w:t xml:space="preserve"> </w:t>
      </w:r>
      <w:r w:rsidR="00C270DC" w:rsidRPr="00BB6388">
        <w:rPr>
          <w:rFonts w:hint="eastAsia"/>
          <w:rtl/>
        </w:rPr>
        <w:t>החומר</w:t>
      </w:r>
      <w:r w:rsidR="00C270DC" w:rsidRPr="00BB6388">
        <w:rPr>
          <w:rtl/>
        </w:rPr>
        <w:t xml:space="preserve">. </w:t>
      </w:r>
      <w:r w:rsidR="00C270DC" w:rsidRPr="00BB6388">
        <w:rPr>
          <w:rFonts w:hint="eastAsia"/>
          <w:rtl/>
        </w:rPr>
        <w:t>חוות</w:t>
      </w:r>
      <w:r w:rsidR="00C270DC" w:rsidRPr="00BB6388">
        <w:rPr>
          <w:rtl/>
        </w:rPr>
        <w:t xml:space="preserve"> </w:t>
      </w:r>
      <w:r w:rsidR="00C270DC" w:rsidRPr="00BB6388">
        <w:rPr>
          <w:rFonts w:hint="eastAsia"/>
          <w:rtl/>
        </w:rPr>
        <w:t>הדעת</w:t>
      </w:r>
      <w:r w:rsidR="00C270DC" w:rsidRPr="00BB6388">
        <w:rPr>
          <w:rtl/>
        </w:rPr>
        <w:t xml:space="preserve"> </w:t>
      </w:r>
      <w:r>
        <w:rPr>
          <w:rFonts w:hint="cs"/>
          <w:rtl/>
        </w:rPr>
        <w:t xml:space="preserve">הסופית </w:t>
      </w:r>
      <w:r w:rsidR="00C270DC" w:rsidRPr="00BB6388">
        <w:rPr>
          <w:rFonts w:hint="eastAsia"/>
          <w:rtl/>
        </w:rPr>
        <w:t>והשם</w:t>
      </w:r>
      <w:r w:rsidR="00C270DC" w:rsidRPr="00BB6388">
        <w:rPr>
          <w:rtl/>
        </w:rPr>
        <w:t xml:space="preserve"> </w:t>
      </w:r>
      <w:r w:rsidR="00C270DC" w:rsidRPr="00BB6388">
        <w:rPr>
          <w:rFonts w:hint="eastAsia"/>
          <w:rtl/>
        </w:rPr>
        <w:t>הכימי</w:t>
      </w:r>
      <w:r w:rsidR="00C270DC" w:rsidRPr="00BB6388">
        <w:rPr>
          <w:rtl/>
        </w:rPr>
        <w:t xml:space="preserve"> </w:t>
      </w:r>
      <w:r w:rsidR="00C270DC" w:rsidRPr="00BB6388">
        <w:rPr>
          <w:rFonts w:hint="eastAsia"/>
          <w:rtl/>
        </w:rPr>
        <w:t>של</w:t>
      </w:r>
      <w:r w:rsidR="00C270DC" w:rsidRPr="00BB6388">
        <w:rPr>
          <w:rtl/>
        </w:rPr>
        <w:t xml:space="preserve"> </w:t>
      </w:r>
      <w:r w:rsidR="00C270DC" w:rsidRPr="00BB6388">
        <w:rPr>
          <w:rFonts w:hint="eastAsia"/>
          <w:rtl/>
        </w:rPr>
        <w:t>החומר</w:t>
      </w:r>
      <w:r w:rsidR="00C270DC" w:rsidRPr="00BB6388">
        <w:rPr>
          <w:rtl/>
        </w:rPr>
        <w:t xml:space="preserve"> </w:t>
      </w:r>
      <w:r w:rsidR="00C270DC" w:rsidRPr="00BB6388">
        <w:rPr>
          <w:rFonts w:hint="eastAsia"/>
          <w:rtl/>
        </w:rPr>
        <w:t>מועברים</w:t>
      </w:r>
      <w:r w:rsidR="00C270DC" w:rsidRPr="00BB6388">
        <w:rPr>
          <w:rtl/>
        </w:rPr>
        <w:t xml:space="preserve"> </w:t>
      </w:r>
      <w:r w:rsidR="00C270DC" w:rsidRPr="00BB6388">
        <w:rPr>
          <w:rFonts w:hint="eastAsia"/>
          <w:rtl/>
        </w:rPr>
        <w:t>ללשכה</w:t>
      </w:r>
      <w:r w:rsidR="00C270DC" w:rsidRPr="00BB6388">
        <w:rPr>
          <w:rtl/>
        </w:rPr>
        <w:t xml:space="preserve"> </w:t>
      </w:r>
      <w:r w:rsidR="00C270DC" w:rsidRPr="00BB6388">
        <w:rPr>
          <w:rFonts w:hint="eastAsia"/>
          <w:rtl/>
        </w:rPr>
        <w:t>המשפטית</w:t>
      </w:r>
      <w:r w:rsidR="00C270DC" w:rsidRPr="00BB6388">
        <w:rPr>
          <w:rtl/>
        </w:rPr>
        <w:t xml:space="preserve"> </w:t>
      </w:r>
      <w:r w:rsidR="00C270DC" w:rsidRPr="00BB6388">
        <w:rPr>
          <w:rFonts w:hint="eastAsia"/>
          <w:rtl/>
        </w:rPr>
        <w:t>של</w:t>
      </w:r>
      <w:r w:rsidR="00C270DC" w:rsidRPr="00BB6388">
        <w:rPr>
          <w:rtl/>
        </w:rPr>
        <w:t xml:space="preserve"> </w:t>
      </w:r>
      <w:r w:rsidR="00C270DC" w:rsidRPr="00BB6388">
        <w:rPr>
          <w:rFonts w:hint="eastAsia"/>
          <w:rtl/>
        </w:rPr>
        <w:t>משרד</w:t>
      </w:r>
      <w:r w:rsidR="00C270DC" w:rsidRPr="00BB6388">
        <w:rPr>
          <w:rtl/>
        </w:rPr>
        <w:t xml:space="preserve"> </w:t>
      </w:r>
      <w:r w:rsidR="00C270DC" w:rsidRPr="00BB6388">
        <w:rPr>
          <w:rFonts w:hint="eastAsia"/>
          <w:rtl/>
        </w:rPr>
        <w:t>הבריאות</w:t>
      </w:r>
      <w:r w:rsidR="00C270DC" w:rsidRPr="00BB6388">
        <w:rPr>
          <w:rtl/>
        </w:rPr>
        <w:t xml:space="preserve">. </w:t>
      </w:r>
      <w:r w:rsidR="00C270DC" w:rsidRPr="00BB6388">
        <w:rPr>
          <w:rFonts w:hint="eastAsia"/>
          <w:rtl/>
        </w:rPr>
        <w:t>הלשכה</w:t>
      </w:r>
      <w:r w:rsidR="00C270DC" w:rsidRPr="00BB6388">
        <w:rPr>
          <w:rtl/>
        </w:rPr>
        <w:t xml:space="preserve"> </w:t>
      </w:r>
      <w:r w:rsidR="00C270DC" w:rsidRPr="00BB6388">
        <w:rPr>
          <w:rFonts w:hint="eastAsia"/>
          <w:rtl/>
        </w:rPr>
        <w:t>מכינה</w:t>
      </w:r>
      <w:r w:rsidR="00C270DC" w:rsidRPr="00BB6388">
        <w:rPr>
          <w:rtl/>
        </w:rPr>
        <w:t xml:space="preserve"> </w:t>
      </w:r>
      <w:r w:rsidR="00C270DC" w:rsidRPr="00BB6388">
        <w:rPr>
          <w:rFonts w:hint="eastAsia"/>
          <w:rtl/>
        </w:rPr>
        <w:t>את</w:t>
      </w:r>
      <w:r w:rsidR="00C270DC" w:rsidRPr="00BB6388">
        <w:rPr>
          <w:rtl/>
        </w:rPr>
        <w:t xml:space="preserve"> </w:t>
      </w:r>
      <w:r w:rsidR="00C270DC" w:rsidRPr="00BB6388">
        <w:rPr>
          <w:rFonts w:hint="eastAsia"/>
          <w:rtl/>
        </w:rPr>
        <w:t>המסמכים</w:t>
      </w:r>
      <w:r w:rsidR="00C270DC" w:rsidRPr="00BB6388">
        <w:rPr>
          <w:rtl/>
        </w:rPr>
        <w:t xml:space="preserve"> </w:t>
      </w:r>
      <w:r w:rsidR="00C270DC" w:rsidRPr="00BB6388">
        <w:rPr>
          <w:rFonts w:hint="eastAsia"/>
          <w:rtl/>
        </w:rPr>
        <w:t>המשפטיים</w:t>
      </w:r>
      <w:r w:rsidR="00C270DC" w:rsidRPr="00BB6388">
        <w:rPr>
          <w:rtl/>
        </w:rPr>
        <w:t xml:space="preserve"> </w:t>
      </w:r>
      <w:r w:rsidR="00C270DC" w:rsidRPr="00BB6388">
        <w:rPr>
          <w:rFonts w:hint="eastAsia"/>
          <w:rtl/>
        </w:rPr>
        <w:t>המתאימים</w:t>
      </w:r>
      <w:r w:rsidR="00C270DC" w:rsidRPr="00BB6388">
        <w:rPr>
          <w:rtl/>
        </w:rPr>
        <w:t xml:space="preserve"> </w:t>
      </w:r>
      <w:r w:rsidR="00C270DC" w:rsidRPr="00BB6388">
        <w:rPr>
          <w:rFonts w:hint="eastAsia"/>
          <w:rtl/>
        </w:rPr>
        <w:t>ומעבירה</w:t>
      </w:r>
      <w:r w:rsidR="00C270DC" w:rsidRPr="00BB6388">
        <w:rPr>
          <w:rtl/>
        </w:rPr>
        <w:t xml:space="preserve"> </w:t>
      </w:r>
      <w:r w:rsidR="00C270DC" w:rsidRPr="00BB6388">
        <w:rPr>
          <w:rFonts w:hint="eastAsia"/>
          <w:rtl/>
        </w:rPr>
        <w:t>אותם</w:t>
      </w:r>
      <w:r w:rsidR="00C270DC" w:rsidRPr="00BB6388">
        <w:rPr>
          <w:rtl/>
        </w:rPr>
        <w:t xml:space="preserve"> </w:t>
      </w:r>
      <w:r w:rsidR="00C270DC" w:rsidRPr="00BB6388">
        <w:rPr>
          <w:rFonts w:hint="eastAsia"/>
          <w:rtl/>
        </w:rPr>
        <w:t>יחד</w:t>
      </w:r>
      <w:r w:rsidR="00C270DC" w:rsidRPr="00BB6388">
        <w:rPr>
          <w:rtl/>
        </w:rPr>
        <w:t xml:space="preserve"> </w:t>
      </w:r>
      <w:r w:rsidR="00C270DC" w:rsidRPr="00BB6388">
        <w:rPr>
          <w:rFonts w:hint="eastAsia"/>
          <w:rtl/>
        </w:rPr>
        <w:t>עם</w:t>
      </w:r>
      <w:r w:rsidR="00C270DC" w:rsidRPr="00BB6388">
        <w:rPr>
          <w:rtl/>
        </w:rPr>
        <w:t xml:space="preserve"> </w:t>
      </w:r>
      <w:r w:rsidR="00C270DC" w:rsidRPr="00BB6388">
        <w:rPr>
          <w:rFonts w:hint="eastAsia"/>
          <w:rtl/>
        </w:rPr>
        <w:t>המסמכים</w:t>
      </w:r>
      <w:r w:rsidR="00C270DC" w:rsidRPr="00BB6388">
        <w:rPr>
          <w:rtl/>
        </w:rPr>
        <w:t xml:space="preserve"> </w:t>
      </w:r>
      <w:r w:rsidR="00C270DC" w:rsidRPr="00BB6388">
        <w:rPr>
          <w:rFonts w:hint="eastAsia"/>
          <w:rtl/>
        </w:rPr>
        <w:t>הרלוונטיים</w:t>
      </w:r>
      <w:r w:rsidR="00C270DC" w:rsidRPr="00BB6388">
        <w:rPr>
          <w:rtl/>
        </w:rPr>
        <w:t xml:space="preserve"> </w:t>
      </w:r>
      <w:r w:rsidR="00C270DC" w:rsidRPr="00BB6388">
        <w:rPr>
          <w:rFonts w:hint="eastAsia"/>
          <w:rtl/>
        </w:rPr>
        <w:t>ללשכת</w:t>
      </w:r>
      <w:r w:rsidR="00C270DC" w:rsidRPr="00BB6388">
        <w:rPr>
          <w:rtl/>
        </w:rPr>
        <w:t xml:space="preserve"> </w:t>
      </w:r>
      <w:r w:rsidR="00C270DC" w:rsidRPr="00BB6388">
        <w:rPr>
          <w:rFonts w:hint="eastAsia"/>
          <w:rtl/>
        </w:rPr>
        <w:t>מנכ</w:t>
      </w:r>
      <w:r w:rsidR="00C270DC" w:rsidRPr="00BB6388">
        <w:rPr>
          <w:rtl/>
        </w:rPr>
        <w:t xml:space="preserve">"ל </w:t>
      </w:r>
      <w:r w:rsidR="00C270DC" w:rsidRPr="00BB6388">
        <w:rPr>
          <w:rFonts w:hint="eastAsia"/>
          <w:rtl/>
        </w:rPr>
        <w:t>המשרד</w:t>
      </w:r>
      <w:r w:rsidR="00C270DC" w:rsidRPr="00BB6388">
        <w:rPr>
          <w:rtl/>
        </w:rPr>
        <w:t xml:space="preserve"> </w:t>
      </w:r>
      <w:r w:rsidR="00C270DC" w:rsidRPr="00BB6388">
        <w:rPr>
          <w:rFonts w:hint="eastAsia"/>
          <w:rtl/>
        </w:rPr>
        <w:t>להחלטה</w:t>
      </w:r>
      <w:r w:rsidR="00C270DC" w:rsidRPr="00BB6388">
        <w:rPr>
          <w:rtl/>
        </w:rPr>
        <w:t xml:space="preserve"> </w:t>
      </w:r>
      <w:r w:rsidR="00C270DC" w:rsidRPr="00BB6388">
        <w:rPr>
          <w:rFonts w:hint="eastAsia"/>
          <w:rtl/>
        </w:rPr>
        <w:t>סופית</w:t>
      </w:r>
      <w:r w:rsidR="00C270DC" w:rsidRPr="00BB6388">
        <w:rPr>
          <w:rtl/>
        </w:rPr>
        <w:t xml:space="preserve">. </w:t>
      </w:r>
      <w:r w:rsidR="00C270DC" w:rsidRPr="00BB6388">
        <w:rPr>
          <w:rFonts w:hint="eastAsia"/>
          <w:rtl/>
        </w:rPr>
        <w:t>עם</w:t>
      </w:r>
      <w:r w:rsidR="00C270DC" w:rsidRPr="00BB6388">
        <w:rPr>
          <w:rtl/>
        </w:rPr>
        <w:t xml:space="preserve"> </w:t>
      </w:r>
      <w:r w:rsidR="00C270DC" w:rsidRPr="00BB6388">
        <w:rPr>
          <w:rFonts w:hint="eastAsia"/>
          <w:rtl/>
        </w:rPr>
        <w:t>חתימת</w:t>
      </w:r>
      <w:r w:rsidR="00C270DC" w:rsidRPr="00BB6388">
        <w:rPr>
          <w:rtl/>
        </w:rPr>
        <w:t xml:space="preserve"> </w:t>
      </w:r>
      <w:r w:rsidR="00C270DC" w:rsidRPr="00BB6388">
        <w:rPr>
          <w:rFonts w:hint="eastAsia"/>
          <w:rtl/>
        </w:rPr>
        <w:t>המנכ</w:t>
      </w:r>
      <w:r w:rsidR="00C270DC" w:rsidRPr="00BB6388">
        <w:rPr>
          <w:rtl/>
        </w:rPr>
        <w:t xml:space="preserve">"ל </w:t>
      </w:r>
      <w:r w:rsidR="00C270DC" w:rsidRPr="00BB6388">
        <w:rPr>
          <w:rFonts w:hint="eastAsia"/>
          <w:rtl/>
        </w:rPr>
        <w:t>מסיימת</w:t>
      </w:r>
      <w:r w:rsidR="00C270DC" w:rsidRPr="00BB6388">
        <w:rPr>
          <w:rtl/>
        </w:rPr>
        <w:t xml:space="preserve"> </w:t>
      </w:r>
      <w:r w:rsidR="00C270DC" w:rsidRPr="00BB6388">
        <w:rPr>
          <w:rFonts w:hint="eastAsia"/>
          <w:rtl/>
        </w:rPr>
        <w:t>הלשכה</w:t>
      </w:r>
      <w:r w:rsidR="00C270DC" w:rsidRPr="00BB6388">
        <w:rPr>
          <w:rtl/>
        </w:rPr>
        <w:t xml:space="preserve"> </w:t>
      </w:r>
      <w:r w:rsidR="00C270DC" w:rsidRPr="00BB6388">
        <w:rPr>
          <w:rFonts w:hint="eastAsia"/>
          <w:rtl/>
        </w:rPr>
        <w:t>המשפטית</w:t>
      </w:r>
      <w:r w:rsidR="00C270DC" w:rsidRPr="00BB6388">
        <w:rPr>
          <w:rtl/>
        </w:rPr>
        <w:t xml:space="preserve"> </w:t>
      </w:r>
      <w:r w:rsidR="00C270DC" w:rsidRPr="00BB6388">
        <w:rPr>
          <w:rFonts w:hint="eastAsia"/>
          <w:rtl/>
        </w:rPr>
        <w:t>את</w:t>
      </w:r>
      <w:r w:rsidR="00C270DC" w:rsidRPr="00BB6388">
        <w:rPr>
          <w:rtl/>
        </w:rPr>
        <w:t xml:space="preserve"> </w:t>
      </w:r>
      <w:r w:rsidR="00C270DC" w:rsidRPr="00BB6388">
        <w:rPr>
          <w:rFonts w:hint="eastAsia"/>
          <w:rtl/>
        </w:rPr>
        <w:t>הטיפול</w:t>
      </w:r>
      <w:r w:rsidR="00C270DC" w:rsidRPr="00BB6388">
        <w:rPr>
          <w:rtl/>
        </w:rPr>
        <w:t xml:space="preserve"> </w:t>
      </w:r>
      <w:r w:rsidR="00C270DC" w:rsidRPr="00BB6388">
        <w:rPr>
          <w:rFonts w:hint="eastAsia"/>
          <w:rtl/>
        </w:rPr>
        <w:t>בהכרזה</w:t>
      </w:r>
      <w:r w:rsidR="00C270DC" w:rsidRPr="00BB6388">
        <w:rPr>
          <w:rtl/>
        </w:rPr>
        <w:t xml:space="preserve">, </w:t>
      </w:r>
      <w:r w:rsidR="00C270DC" w:rsidRPr="00BB6388">
        <w:rPr>
          <w:rFonts w:hint="eastAsia"/>
          <w:rtl/>
        </w:rPr>
        <w:t>ומעבירה</w:t>
      </w:r>
      <w:r w:rsidR="00C270DC" w:rsidRPr="00BB6388">
        <w:rPr>
          <w:rtl/>
        </w:rPr>
        <w:t xml:space="preserve"> </w:t>
      </w:r>
      <w:r w:rsidR="00C270DC" w:rsidRPr="00BB6388">
        <w:rPr>
          <w:rFonts w:hint="eastAsia"/>
          <w:rtl/>
        </w:rPr>
        <w:t>אותה</w:t>
      </w:r>
      <w:r w:rsidR="00C270DC" w:rsidRPr="00BB6388">
        <w:rPr>
          <w:rtl/>
        </w:rPr>
        <w:t xml:space="preserve"> </w:t>
      </w:r>
      <w:r w:rsidR="00C270DC" w:rsidRPr="00BB6388">
        <w:rPr>
          <w:rFonts w:hint="eastAsia"/>
          <w:rtl/>
        </w:rPr>
        <w:t>לפרסום</w:t>
      </w:r>
      <w:r w:rsidR="00C270DC" w:rsidRPr="00BB6388">
        <w:rPr>
          <w:rtl/>
        </w:rPr>
        <w:t xml:space="preserve"> </w:t>
      </w:r>
      <w:r w:rsidR="00C270DC" w:rsidRPr="00BB6388">
        <w:rPr>
          <w:rFonts w:hint="eastAsia"/>
          <w:rtl/>
        </w:rPr>
        <w:t>ברשומות</w:t>
      </w:r>
      <w:r w:rsidR="00C270DC" w:rsidRPr="00BB6388">
        <w:rPr>
          <w:rtl/>
        </w:rPr>
        <w:t xml:space="preserve"> </w:t>
      </w:r>
      <w:r w:rsidR="00C270DC" w:rsidRPr="00BB6388">
        <w:rPr>
          <w:rFonts w:hint="eastAsia"/>
          <w:rtl/>
        </w:rPr>
        <w:t>ולאתר</w:t>
      </w:r>
      <w:r w:rsidR="00C270DC" w:rsidRPr="00BB6388">
        <w:rPr>
          <w:rtl/>
        </w:rPr>
        <w:t xml:space="preserve"> </w:t>
      </w:r>
      <w:r w:rsidR="00C270DC" w:rsidRPr="00BB6388">
        <w:rPr>
          <w:rFonts w:hint="eastAsia"/>
          <w:rtl/>
        </w:rPr>
        <w:t>האינטרנט</w:t>
      </w:r>
      <w:r w:rsidR="00C270DC" w:rsidRPr="00BB6388">
        <w:rPr>
          <w:rtl/>
        </w:rPr>
        <w:t xml:space="preserve"> </w:t>
      </w:r>
      <w:r w:rsidR="00C270DC" w:rsidRPr="00BB6388">
        <w:rPr>
          <w:rFonts w:hint="eastAsia"/>
          <w:rtl/>
        </w:rPr>
        <w:t>של</w:t>
      </w:r>
      <w:r w:rsidR="00C270DC" w:rsidRPr="00BB6388">
        <w:rPr>
          <w:rtl/>
        </w:rPr>
        <w:t xml:space="preserve"> </w:t>
      </w:r>
      <w:r w:rsidR="00C270DC" w:rsidRPr="00BB6388">
        <w:rPr>
          <w:rFonts w:hint="eastAsia"/>
          <w:rtl/>
        </w:rPr>
        <w:t>המשרד</w:t>
      </w:r>
      <w:r w:rsidR="00194861">
        <w:rPr>
          <w:rFonts w:hint="cs"/>
          <w:rtl/>
        </w:rPr>
        <w:t xml:space="preserve"> כ'חומר אסור בהפצה'</w:t>
      </w:r>
      <w:r w:rsidR="00C270DC" w:rsidRPr="00BB6388">
        <w:rPr>
          <w:rtl/>
        </w:rPr>
        <w:t>.</w:t>
      </w:r>
      <w:r w:rsidR="007B16B3" w:rsidRPr="00BB6388">
        <w:rPr>
          <w:rFonts w:hint="cs"/>
          <w:rtl/>
        </w:rPr>
        <w:t xml:space="preserve"> </w:t>
      </w:r>
      <w:r w:rsidR="007B16B3" w:rsidRPr="00BB6388">
        <w:rPr>
          <w:rFonts w:hint="cs"/>
          <w:b/>
          <w:bCs/>
          <w:rtl/>
        </w:rPr>
        <w:t>בשלב זה לא נדרש אישור ועדת העבודה, הרווחה והבריאות של הכנסת</w:t>
      </w:r>
      <w:r w:rsidR="007B16B3" w:rsidRPr="00BB6388">
        <w:rPr>
          <w:rFonts w:hint="cs"/>
          <w:rtl/>
        </w:rPr>
        <w:t>.</w:t>
      </w:r>
    </w:p>
    <w:p w:rsidR="00C270DC" w:rsidRPr="00BB6388" w:rsidRDefault="00C270DC" w:rsidP="00DA08BB">
      <w:pPr>
        <w:pStyle w:val="a2"/>
        <w:spacing w:line="360" w:lineRule="auto"/>
        <w:rPr>
          <w:rtl/>
        </w:rPr>
      </w:pPr>
      <w:r w:rsidRPr="00BB6388">
        <w:rPr>
          <w:rFonts w:hint="eastAsia"/>
          <w:rtl/>
        </w:rPr>
        <w:t>לאחר</w:t>
      </w:r>
      <w:r w:rsidRPr="00BB6388">
        <w:rPr>
          <w:rtl/>
        </w:rPr>
        <w:t xml:space="preserve"> </w:t>
      </w:r>
      <w:r w:rsidRPr="00BB6388">
        <w:rPr>
          <w:rFonts w:hint="eastAsia"/>
          <w:rtl/>
        </w:rPr>
        <w:t>שהוכרז</w:t>
      </w:r>
      <w:r w:rsidRPr="00BB6388">
        <w:rPr>
          <w:rtl/>
        </w:rPr>
        <w:t xml:space="preserve"> </w:t>
      </w:r>
      <w:r w:rsidRPr="00BB6388">
        <w:rPr>
          <w:rFonts w:hint="eastAsia"/>
          <w:rtl/>
        </w:rPr>
        <w:t>חומר</w:t>
      </w:r>
      <w:r w:rsidRPr="00BB6388">
        <w:rPr>
          <w:rtl/>
        </w:rPr>
        <w:t xml:space="preserve"> </w:t>
      </w:r>
      <w:r w:rsidRPr="00BB6388">
        <w:rPr>
          <w:rFonts w:hint="eastAsia"/>
          <w:rtl/>
        </w:rPr>
        <w:t>כחומר</w:t>
      </w:r>
      <w:r w:rsidRPr="00BB6388">
        <w:rPr>
          <w:rtl/>
        </w:rPr>
        <w:t xml:space="preserve"> </w:t>
      </w:r>
      <w:r w:rsidRPr="00BB6388">
        <w:rPr>
          <w:rFonts w:hint="eastAsia"/>
          <w:rtl/>
        </w:rPr>
        <w:t>אסור</w:t>
      </w:r>
      <w:r w:rsidRPr="00BB6388">
        <w:rPr>
          <w:rtl/>
        </w:rPr>
        <w:t xml:space="preserve"> </w:t>
      </w:r>
      <w:r w:rsidRPr="00BB6388">
        <w:rPr>
          <w:rFonts w:hint="eastAsia"/>
          <w:rtl/>
        </w:rPr>
        <w:t>בהפצה</w:t>
      </w:r>
      <w:r w:rsidRPr="00BB6388">
        <w:rPr>
          <w:rtl/>
        </w:rPr>
        <w:t xml:space="preserve">, </w:t>
      </w:r>
      <w:r w:rsidRPr="00BB6388">
        <w:rPr>
          <w:rFonts w:hint="eastAsia"/>
          <w:rtl/>
        </w:rPr>
        <w:t>רשאי</w:t>
      </w:r>
      <w:r w:rsidRPr="00BB6388">
        <w:rPr>
          <w:rtl/>
        </w:rPr>
        <w:t xml:space="preserve"> </w:t>
      </w:r>
      <w:r w:rsidRPr="00BB6388">
        <w:rPr>
          <w:rFonts w:hint="eastAsia"/>
          <w:rtl/>
        </w:rPr>
        <w:t>משרד</w:t>
      </w:r>
      <w:r w:rsidRPr="00BB6388">
        <w:rPr>
          <w:rtl/>
        </w:rPr>
        <w:t xml:space="preserve"> </w:t>
      </w:r>
      <w:r w:rsidRPr="00BB6388">
        <w:rPr>
          <w:rFonts w:hint="eastAsia"/>
          <w:rtl/>
        </w:rPr>
        <w:t>הבריאות</w:t>
      </w:r>
      <w:r w:rsidRPr="00BB6388">
        <w:rPr>
          <w:rtl/>
        </w:rPr>
        <w:t xml:space="preserve"> </w:t>
      </w:r>
      <w:r w:rsidRPr="00BB6388">
        <w:rPr>
          <w:rFonts w:hint="eastAsia"/>
          <w:rtl/>
        </w:rPr>
        <w:t>לפעול</w:t>
      </w:r>
      <w:r w:rsidRPr="00BB6388">
        <w:rPr>
          <w:rtl/>
        </w:rPr>
        <w:t xml:space="preserve"> </w:t>
      </w:r>
      <w:r w:rsidRPr="00BB6388">
        <w:rPr>
          <w:rFonts w:hint="eastAsia"/>
          <w:rtl/>
        </w:rPr>
        <w:t>תוך</w:t>
      </w:r>
      <w:r w:rsidRPr="00BB6388">
        <w:rPr>
          <w:rtl/>
        </w:rPr>
        <w:t xml:space="preserve"> 12 </w:t>
      </w:r>
      <w:r w:rsidRPr="00BB6388">
        <w:rPr>
          <w:rFonts w:hint="eastAsia"/>
          <w:rtl/>
        </w:rPr>
        <w:t>חודשים</w:t>
      </w:r>
      <w:r w:rsidRPr="00BB6388">
        <w:rPr>
          <w:rtl/>
        </w:rPr>
        <w:t xml:space="preserve"> </w:t>
      </w:r>
      <w:r w:rsidRPr="00BB6388">
        <w:rPr>
          <w:rFonts w:hint="eastAsia"/>
          <w:rtl/>
        </w:rPr>
        <w:t>להכללתו</w:t>
      </w:r>
      <w:r w:rsidRPr="00BB6388">
        <w:rPr>
          <w:rtl/>
        </w:rPr>
        <w:t xml:space="preserve"> </w:t>
      </w:r>
      <w:r w:rsidRPr="00BB6388">
        <w:rPr>
          <w:rFonts w:hint="eastAsia"/>
          <w:rtl/>
        </w:rPr>
        <w:t>של</w:t>
      </w:r>
      <w:r w:rsidRPr="00BB6388">
        <w:rPr>
          <w:rtl/>
        </w:rPr>
        <w:t xml:space="preserve"> </w:t>
      </w:r>
      <w:r w:rsidRPr="00BB6388">
        <w:rPr>
          <w:rFonts w:hint="eastAsia"/>
          <w:rtl/>
        </w:rPr>
        <w:t>החומר</w:t>
      </w:r>
      <w:r w:rsidRPr="00BB6388">
        <w:rPr>
          <w:rtl/>
        </w:rPr>
        <w:t xml:space="preserve"> </w:t>
      </w:r>
      <w:r w:rsidRPr="00BB6388">
        <w:rPr>
          <w:rFonts w:hint="eastAsia"/>
          <w:rtl/>
        </w:rPr>
        <w:t>בתוספת</w:t>
      </w:r>
      <w:r w:rsidRPr="00BB6388">
        <w:rPr>
          <w:rtl/>
        </w:rPr>
        <w:t xml:space="preserve"> </w:t>
      </w:r>
      <w:r w:rsidRPr="00BB6388">
        <w:rPr>
          <w:rFonts w:hint="eastAsia"/>
          <w:rtl/>
        </w:rPr>
        <w:t>הראשונה</w:t>
      </w:r>
      <w:r w:rsidRPr="00BB6388">
        <w:rPr>
          <w:rtl/>
        </w:rPr>
        <w:t xml:space="preserve"> </w:t>
      </w:r>
      <w:r w:rsidRPr="00BB6388">
        <w:rPr>
          <w:rFonts w:hint="eastAsia"/>
          <w:rtl/>
        </w:rPr>
        <w:t>לפקודת</w:t>
      </w:r>
      <w:r w:rsidRPr="00BB6388">
        <w:rPr>
          <w:rtl/>
        </w:rPr>
        <w:t xml:space="preserve"> </w:t>
      </w:r>
      <w:r w:rsidRPr="00BB6388">
        <w:rPr>
          <w:rFonts w:hint="eastAsia"/>
          <w:rtl/>
        </w:rPr>
        <w:t>הסמים</w:t>
      </w:r>
      <w:r w:rsidRPr="00BB6388">
        <w:rPr>
          <w:rtl/>
        </w:rPr>
        <w:t xml:space="preserve"> </w:t>
      </w:r>
      <w:r w:rsidRPr="00BB6388">
        <w:rPr>
          <w:rFonts w:hint="eastAsia"/>
          <w:rtl/>
        </w:rPr>
        <w:t>המסוכנים</w:t>
      </w:r>
      <w:r w:rsidRPr="00BB6388">
        <w:rPr>
          <w:rtl/>
        </w:rPr>
        <w:t xml:space="preserve">, </w:t>
      </w:r>
      <w:r w:rsidRPr="00BB6388">
        <w:rPr>
          <w:rFonts w:hint="eastAsia"/>
          <w:rtl/>
        </w:rPr>
        <w:t>וזאת</w:t>
      </w:r>
      <w:r w:rsidRPr="00BB6388">
        <w:rPr>
          <w:rtl/>
        </w:rPr>
        <w:t xml:space="preserve"> </w:t>
      </w:r>
      <w:r w:rsidRPr="00BB6388">
        <w:rPr>
          <w:rFonts w:hint="eastAsia"/>
          <w:rtl/>
        </w:rPr>
        <w:t>בהתאם</w:t>
      </w:r>
      <w:r w:rsidRPr="00BB6388">
        <w:rPr>
          <w:rtl/>
        </w:rPr>
        <w:t xml:space="preserve"> </w:t>
      </w:r>
      <w:r w:rsidRPr="00BB6388">
        <w:rPr>
          <w:rFonts w:hint="eastAsia"/>
          <w:rtl/>
        </w:rPr>
        <w:t>לנוהל</w:t>
      </w:r>
      <w:r w:rsidRPr="00BB6388">
        <w:rPr>
          <w:rtl/>
        </w:rPr>
        <w:t xml:space="preserve"> "הכנסת </w:t>
      </w:r>
      <w:r w:rsidRPr="00BB6388">
        <w:rPr>
          <w:rFonts w:hint="eastAsia"/>
          <w:rtl/>
        </w:rPr>
        <w:t>חומרים</w:t>
      </w:r>
      <w:r w:rsidRPr="00BB6388">
        <w:rPr>
          <w:rtl/>
        </w:rPr>
        <w:t xml:space="preserve"> </w:t>
      </w:r>
      <w:r w:rsidRPr="00BB6388">
        <w:rPr>
          <w:rFonts w:hint="eastAsia"/>
          <w:rtl/>
        </w:rPr>
        <w:t>חדשים</w:t>
      </w:r>
      <w:r w:rsidRPr="00BB6388">
        <w:rPr>
          <w:rtl/>
        </w:rPr>
        <w:t xml:space="preserve"> </w:t>
      </w:r>
      <w:r w:rsidRPr="00BB6388">
        <w:rPr>
          <w:rFonts w:hint="eastAsia"/>
          <w:rtl/>
        </w:rPr>
        <w:t>לפקודת</w:t>
      </w:r>
      <w:r w:rsidRPr="00BB6388">
        <w:rPr>
          <w:rtl/>
        </w:rPr>
        <w:t xml:space="preserve"> </w:t>
      </w:r>
      <w:r w:rsidRPr="00BB6388">
        <w:rPr>
          <w:rFonts w:hint="eastAsia"/>
          <w:rtl/>
        </w:rPr>
        <w:t>הסמים</w:t>
      </w:r>
      <w:r w:rsidRPr="00BB6388">
        <w:rPr>
          <w:rtl/>
        </w:rPr>
        <w:t xml:space="preserve"> </w:t>
      </w:r>
      <w:r w:rsidRPr="00BB6388">
        <w:rPr>
          <w:rFonts w:hint="eastAsia"/>
          <w:rtl/>
        </w:rPr>
        <w:t>המסוכנים</w:t>
      </w:r>
      <w:r w:rsidRPr="00BB6388">
        <w:rPr>
          <w:rtl/>
        </w:rPr>
        <w:t xml:space="preserve">" (נוהל </w:t>
      </w:r>
      <w:r w:rsidRPr="00BB6388">
        <w:rPr>
          <w:rFonts w:hint="eastAsia"/>
          <w:rtl/>
        </w:rPr>
        <w:t>מס</w:t>
      </w:r>
      <w:r w:rsidRPr="00BB6388">
        <w:rPr>
          <w:rtl/>
        </w:rPr>
        <w:t>' 81)</w:t>
      </w:r>
      <w:r w:rsidR="00B23E65">
        <w:rPr>
          <w:rStyle w:val="ab"/>
          <w:rtl/>
        </w:rPr>
        <w:footnoteReference w:id="341"/>
      </w:r>
      <w:r w:rsidRPr="00BB6388">
        <w:rPr>
          <w:rtl/>
        </w:rPr>
        <w:t xml:space="preserve"> </w:t>
      </w:r>
      <w:r w:rsidRPr="00BB6388">
        <w:rPr>
          <w:rFonts w:hint="eastAsia"/>
          <w:rtl/>
        </w:rPr>
        <w:t>של</w:t>
      </w:r>
      <w:r w:rsidRPr="00BB6388">
        <w:rPr>
          <w:rtl/>
        </w:rPr>
        <w:t xml:space="preserve"> </w:t>
      </w:r>
      <w:r w:rsidRPr="00BB6388">
        <w:rPr>
          <w:rFonts w:hint="eastAsia"/>
          <w:rtl/>
        </w:rPr>
        <w:t>משרד</w:t>
      </w:r>
      <w:r w:rsidRPr="00BB6388">
        <w:rPr>
          <w:rtl/>
        </w:rPr>
        <w:t xml:space="preserve"> </w:t>
      </w:r>
      <w:r w:rsidRPr="00BB6388">
        <w:rPr>
          <w:rFonts w:hint="eastAsia"/>
          <w:rtl/>
        </w:rPr>
        <w:t>הבריאות</w:t>
      </w:r>
      <w:r w:rsidR="007B16B3" w:rsidRPr="00BB6388">
        <w:rPr>
          <w:rFonts w:hint="cs"/>
          <w:rtl/>
        </w:rPr>
        <w:t xml:space="preserve"> שתואר לעיל.</w:t>
      </w:r>
      <w:r w:rsidR="00530AA8" w:rsidRPr="00BB6388">
        <w:rPr>
          <w:rFonts w:hint="cs"/>
          <w:rtl/>
        </w:rPr>
        <w:t xml:space="preserve"> </w:t>
      </w:r>
      <w:r w:rsidR="00530AA8" w:rsidRPr="00BB6388">
        <w:rPr>
          <w:rtl/>
        </w:rPr>
        <w:t xml:space="preserve">היה והדבר לא נעשה תוך 12 חודשים, רשאי משרד הבריאות להאריך את מעמדו של החומר כמוגבל בהפצה לתקופה קצובה </w:t>
      </w:r>
      <w:r w:rsidR="00123289">
        <w:rPr>
          <w:rFonts w:hint="cs"/>
          <w:rtl/>
        </w:rPr>
        <w:t xml:space="preserve">של שלושה חודשים. </w:t>
      </w:r>
      <w:r w:rsidR="00530AA8" w:rsidRPr="00BB6388">
        <w:rPr>
          <w:rtl/>
        </w:rPr>
        <w:t xml:space="preserve">היה ותהליך ההכנסה אף </w:t>
      </w:r>
      <w:r w:rsidR="00530AA8" w:rsidRPr="00BB6388">
        <w:rPr>
          <w:rFonts w:hint="eastAsia"/>
          <w:rtl/>
        </w:rPr>
        <w:t>מתארך</w:t>
      </w:r>
      <w:r w:rsidR="00530AA8" w:rsidRPr="00BB6388">
        <w:rPr>
          <w:rtl/>
        </w:rPr>
        <w:t xml:space="preserve"> מעבר להארכה והגדרתו פגה </w:t>
      </w:r>
      <w:r w:rsidR="00123289">
        <w:rPr>
          <w:rtl/>
        </w:rPr>
        <w:t>–</w:t>
      </w:r>
      <w:r w:rsidR="00530AA8" w:rsidRPr="00BB6388">
        <w:rPr>
          <w:rtl/>
        </w:rPr>
        <w:t xml:space="preserve"> </w:t>
      </w:r>
      <w:r w:rsidR="00123289">
        <w:rPr>
          <w:rFonts w:hint="cs"/>
          <w:rtl/>
        </w:rPr>
        <w:t xml:space="preserve">רשאי המשרד </w:t>
      </w:r>
      <w:r w:rsidR="00530AA8" w:rsidRPr="00BB6388">
        <w:rPr>
          <w:rtl/>
        </w:rPr>
        <w:t>להגיש בקשה חוזרת להגדרתו של החומר כאסור בהפצה.</w:t>
      </w:r>
    </w:p>
    <w:p w:rsidR="00C270DC" w:rsidRPr="00BB6388" w:rsidRDefault="00340B14" w:rsidP="006E351A">
      <w:pPr>
        <w:pStyle w:val="a2"/>
        <w:spacing w:line="360" w:lineRule="auto"/>
        <w:rPr>
          <w:rtl/>
        </w:rPr>
      </w:pPr>
      <w:r>
        <w:rPr>
          <w:rFonts w:hint="cs"/>
          <w:rtl/>
        </w:rPr>
        <w:t xml:space="preserve">ממשרד הבריאות נמסרו </w:t>
      </w:r>
      <w:r w:rsidR="00556C6A">
        <w:rPr>
          <w:rFonts w:hint="cs"/>
          <w:rtl/>
        </w:rPr>
        <w:t>הנתונים הבאים בהתייחס לפעילות המשרד</w:t>
      </w:r>
      <w:r w:rsidR="006E351A">
        <w:rPr>
          <w:rFonts w:hint="cs"/>
          <w:rtl/>
        </w:rPr>
        <w:t xml:space="preserve"> במסגרת החוק, </w:t>
      </w:r>
      <w:r w:rsidR="006E351A" w:rsidRPr="006E351A">
        <w:rPr>
          <w:rFonts w:hint="cs"/>
          <w:rtl/>
        </w:rPr>
        <w:t>וזאת</w:t>
      </w:r>
      <w:r w:rsidR="00482EDE" w:rsidRPr="006E351A">
        <w:rPr>
          <w:rFonts w:hint="cs"/>
          <w:rtl/>
        </w:rPr>
        <w:t xml:space="preserve"> </w:t>
      </w:r>
      <w:r w:rsidR="006E351A" w:rsidRPr="006E351A">
        <w:rPr>
          <w:rFonts w:hint="cs"/>
          <w:rtl/>
        </w:rPr>
        <w:t>מרגע כניסתו של החוק לתוקף באוגוסט 2013 ועד ליום כתיבת תשובת משרד הבריאות במרץ 2015 (סה"כ כ- 20 חודשים)</w:t>
      </w:r>
      <w:r w:rsidR="00556C6A">
        <w:rPr>
          <w:rFonts w:hint="cs"/>
          <w:rtl/>
        </w:rPr>
        <w:t>:</w:t>
      </w:r>
      <w:r w:rsidR="00C270DC" w:rsidRPr="00BB6388">
        <w:rPr>
          <w:rStyle w:val="ab"/>
          <w:rtl/>
        </w:rPr>
        <w:footnoteReference w:id="342"/>
      </w:r>
    </w:p>
    <w:p w:rsidR="00482EDE" w:rsidRDefault="006E351A" w:rsidP="00BB6388">
      <w:pPr>
        <w:pStyle w:val="a2"/>
        <w:spacing w:line="360" w:lineRule="auto"/>
        <w:rPr>
          <w:b/>
          <w:bCs/>
          <w:rtl/>
        </w:rPr>
      </w:pPr>
      <w:r w:rsidRPr="006E351A">
        <w:rPr>
          <w:rFonts w:hint="cs"/>
          <w:rtl/>
        </w:rPr>
        <w:t>במהלך תקופה זו</w:t>
      </w:r>
      <w:r w:rsidR="00482EDE" w:rsidRPr="00BB6388">
        <w:rPr>
          <w:rFonts w:hint="cs"/>
          <w:b/>
          <w:bCs/>
          <w:rtl/>
        </w:rPr>
        <w:t xml:space="preserve"> 60 חומרים או משפחות חומרים</w:t>
      </w:r>
      <w:r w:rsidR="00482EDE" w:rsidRPr="006E351A">
        <w:rPr>
          <w:rStyle w:val="ab"/>
          <w:rtl/>
        </w:rPr>
        <w:footnoteReference w:id="343"/>
      </w:r>
      <w:r w:rsidR="00482EDE" w:rsidRPr="00BB6388">
        <w:rPr>
          <w:rFonts w:hint="cs"/>
          <w:b/>
          <w:bCs/>
          <w:rtl/>
        </w:rPr>
        <w:t xml:space="preserve"> </w:t>
      </w:r>
      <w:r>
        <w:rPr>
          <w:rFonts w:hint="cs"/>
          <w:b/>
          <w:bCs/>
          <w:rtl/>
        </w:rPr>
        <w:t xml:space="preserve">הוכרזו </w:t>
      </w:r>
      <w:r w:rsidR="00482EDE" w:rsidRPr="00BB6388">
        <w:rPr>
          <w:rFonts w:hint="cs"/>
          <w:b/>
          <w:bCs/>
          <w:rtl/>
        </w:rPr>
        <w:t>כחומרים אסורים בהפצה</w:t>
      </w:r>
      <w:r w:rsidR="00482EDE" w:rsidRPr="00BB6388">
        <w:rPr>
          <w:rFonts w:hint="cs"/>
          <w:rtl/>
        </w:rPr>
        <w:t>: 38 הכרזות במהלך 2013, 19 במהלך 2014, ו- 3 עד ה- 19 במרץ 2015.</w:t>
      </w:r>
    </w:p>
    <w:p w:rsidR="00C270DC" w:rsidRPr="00BB6388" w:rsidRDefault="00C270DC" w:rsidP="00BB6388">
      <w:pPr>
        <w:pStyle w:val="a2"/>
        <w:spacing w:line="360" w:lineRule="auto"/>
      </w:pPr>
      <w:r w:rsidRPr="00BB6388">
        <w:rPr>
          <w:rFonts w:hint="cs"/>
          <w:b/>
          <w:bCs/>
          <w:rtl/>
        </w:rPr>
        <w:t>משך ההליך להכרזתו של חומר, מרגע שהחלה ההתייעצות המקצועית לגביו ועד לפרסום ההכרזה ברשומות, יכול לנוע בין מספר ימים למספר שבועות</w:t>
      </w:r>
      <w:r w:rsidRPr="00BB6388">
        <w:rPr>
          <w:rFonts w:hint="cs"/>
          <w:rtl/>
        </w:rPr>
        <w:t>, וזאת בהתאם לסוג החומרים, אופן הערכתם והבדיקות הנדרשות. קביעת המשרד היא כי מדובר בפרק זמן מספק ואף מיטבי.</w:t>
      </w:r>
    </w:p>
    <w:p w:rsidR="00C270DC" w:rsidRPr="00482EDE" w:rsidRDefault="00C270DC" w:rsidP="004B6B39">
      <w:pPr>
        <w:pStyle w:val="a2"/>
        <w:spacing w:line="360" w:lineRule="auto"/>
      </w:pPr>
      <w:r w:rsidRPr="00BB6388">
        <w:rPr>
          <w:rFonts w:hint="eastAsia"/>
          <w:rtl/>
        </w:rPr>
        <w:t>כאמור</w:t>
      </w:r>
      <w:r w:rsidRPr="00BB6388">
        <w:rPr>
          <w:rtl/>
        </w:rPr>
        <w:t xml:space="preserve">, החוק מעניק למשרד הבריאות 12 חודשים </w:t>
      </w:r>
      <w:r w:rsidR="006E351A" w:rsidRPr="00BB6388">
        <w:rPr>
          <w:rtl/>
        </w:rPr>
        <w:t xml:space="preserve">לפעול להכנסתו </w:t>
      </w:r>
      <w:r w:rsidR="00C00481">
        <w:rPr>
          <w:rFonts w:hint="cs"/>
          <w:rtl/>
        </w:rPr>
        <w:t xml:space="preserve">של חומר </w:t>
      </w:r>
      <w:r w:rsidR="006E351A" w:rsidRPr="00BB6388">
        <w:rPr>
          <w:rtl/>
        </w:rPr>
        <w:t>לתוספת הראשונה של פקודת הסמים המסוכנים</w:t>
      </w:r>
      <w:r w:rsidR="006E351A">
        <w:rPr>
          <w:rFonts w:hint="cs"/>
          <w:rtl/>
        </w:rPr>
        <w:t>, וזאת</w:t>
      </w:r>
      <w:r w:rsidR="006E351A" w:rsidRPr="00BB6388">
        <w:rPr>
          <w:rtl/>
        </w:rPr>
        <w:t xml:space="preserve"> </w:t>
      </w:r>
      <w:r w:rsidRPr="00BB6388">
        <w:rPr>
          <w:rtl/>
        </w:rPr>
        <w:t xml:space="preserve">מרגע שהוכרז </w:t>
      </w:r>
      <w:r w:rsidR="00C00481">
        <w:rPr>
          <w:rFonts w:hint="cs"/>
          <w:rtl/>
        </w:rPr>
        <w:t>ה</w:t>
      </w:r>
      <w:r w:rsidRPr="00BB6388">
        <w:rPr>
          <w:rtl/>
        </w:rPr>
        <w:t xml:space="preserve">חומר כאסור בהפצה. לפי משרד הבריאות, </w:t>
      </w:r>
      <w:r w:rsidRPr="00C00481">
        <w:rPr>
          <w:rFonts w:hint="eastAsia"/>
          <w:rtl/>
        </w:rPr>
        <w:t>מאז</w:t>
      </w:r>
      <w:r w:rsidR="00C00481">
        <w:rPr>
          <w:rtl/>
        </w:rPr>
        <w:t xml:space="preserve"> תחולת החוק</w:t>
      </w:r>
      <w:r w:rsidRPr="00482EDE">
        <w:rPr>
          <w:b/>
          <w:bCs/>
          <w:rtl/>
        </w:rPr>
        <w:t xml:space="preserve"> 50 מתוך 60 החומרים</w:t>
      </w:r>
      <w:r w:rsidRPr="00BB6388">
        <w:rPr>
          <w:b/>
          <w:bCs/>
          <w:rtl/>
        </w:rPr>
        <w:t xml:space="preserve"> </w:t>
      </w:r>
      <w:r w:rsidRPr="00BB6388">
        <w:rPr>
          <w:rFonts w:hint="eastAsia"/>
          <w:b/>
          <w:bCs/>
          <w:rtl/>
        </w:rPr>
        <w:t>שהוכרזו</w:t>
      </w:r>
      <w:r w:rsidRPr="00BB6388">
        <w:rPr>
          <w:b/>
          <w:bCs/>
          <w:rtl/>
        </w:rPr>
        <w:t xml:space="preserve"> </w:t>
      </w:r>
      <w:r w:rsidRPr="00BB6388">
        <w:rPr>
          <w:rFonts w:hint="eastAsia"/>
          <w:b/>
          <w:bCs/>
          <w:rtl/>
        </w:rPr>
        <w:t>כאסורים</w:t>
      </w:r>
      <w:r w:rsidRPr="00BB6388">
        <w:rPr>
          <w:b/>
          <w:bCs/>
          <w:rtl/>
        </w:rPr>
        <w:t xml:space="preserve"> </w:t>
      </w:r>
      <w:r w:rsidRPr="00BB6388">
        <w:rPr>
          <w:rFonts w:hint="eastAsia"/>
          <w:b/>
          <w:bCs/>
          <w:rtl/>
        </w:rPr>
        <w:t>בהפצה</w:t>
      </w:r>
      <w:r w:rsidRPr="00BB6388">
        <w:rPr>
          <w:b/>
          <w:bCs/>
          <w:rtl/>
        </w:rPr>
        <w:t xml:space="preserve"> </w:t>
      </w:r>
      <w:r w:rsidRPr="00BB6388">
        <w:rPr>
          <w:rFonts w:hint="eastAsia"/>
          <w:b/>
          <w:bCs/>
          <w:rtl/>
        </w:rPr>
        <w:t>כבר</w:t>
      </w:r>
      <w:r w:rsidRPr="00BB6388">
        <w:rPr>
          <w:b/>
          <w:bCs/>
          <w:rtl/>
        </w:rPr>
        <w:t xml:space="preserve"> </w:t>
      </w:r>
      <w:r w:rsidRPr="00BB6388">
        <w:rPr>
          <w:rFonts w:hint="eastAsia"/>
          <w:b/>
          <w:bCs/>
          <w:rtl/>
        </w:rPr>
        <w:t>הוכנסו</w:t>
      </w:r>
      <w:r w:rsidRPr="00BB6388">
        <w:rPr>
          <w:b/>
          <w:bCs/>
          <w:rtl/>
        </w:rPr>
        <w:t xml:space="preserve"> </w:t>
      </w:r>
      <w:r w:rsidRPr="00BB6388">
        <w:rPr>
          <w:rFonts w:hint="eastAsia"/>
          <w:b/>
          <w:bCs/>
          <w:rtl/>
        </w:rPr>
        <w:t>לתוספת</w:t>
      </w:r>
      <w:r w:rsidRPr="00BB6388">
        <w:rPr>
          <w:b/>
          <w:bCs/>
          <w:rtl/>
        </w:rPr>
        <w:t xml:space="preserve"> </w:t>
      </w:r>
      <w:r w:rsidRPr="00BB6388">
        <w:rPr>
          <w:rFonts w:hint="eastAsia"/>
          <w:b/>
          <w:bCs/>
          <w:rtl/>
        </w:rPr>
        <w:t>הראשונה</w:t>
      </w:r>
      <w:r w:rsidRPr="00BB6388">
        <w:rPr>
          <w:b/>
          <w:bCs/>
          <w:rtl/>
        </w:rPr>
        <w:t xml:space="preserve"> </w:t>
      </w:r>
      <w:r w:rsidRPr="00BB6388">
        <w:rPr>
          <w:rFonts w:hint="eastAsia"/>
          <w:b/>
          <w:bCs/>
          <w:rtl/>
        </w:rPr>
        <w:t>בפקודת</w:t>
      </w:r>
      <w:r w:rsidRPr="00BB6388">
        <w:rPr>
          <w:b/>
          <w:bCs/>
          <w:rtl/>
        </w:rPr>
        <w:t xml:space="preserve"> </w:t>
      </w:r>
      <w:r w:rsidRPr="00BB6388">
        <w:rPr>
          <w:rFonts w:hint="eastAsia"/>
          <w:b/>
          <w:bCs/>
          <w:rtl/>
        </w:rPr>
        <w:t>הסמים</w:t>
      </w:r>
      <w:r w:rsidRPr="00BB6388">
        <w:rPr>
          <w:b/>
          <w:bCs/>
          <w:rtl/>
        </w:rPr>
        <w:t xml:space="preserve"> </w:t>
      </w:r>
      <w:r w:rsidRPr="00BB6388">
        <w:rPr>
          <w:rFonts w:hint="eastAsia"/>
          <w:b/>
          <w:bCs/>
          <w:rtl/>
        </w:rPr>
        <w:t>המסוכנים</w:t>
      </w:r>
      <w:r w:rsidRPr="00BB6388">
        <w:rPr>
          <w:b/>
          <w:bCs/>
          <w:rtl/>
        </w:rPr>
        <w:t xml:space="preserve">. </w:t>
      </w:r>
      <w:r w:rsidR="00482EDE">
        <w:rPr>
          <w:rFonts w:hint="cs"/>
          <w:rtl/>
        </w:rPr>
        <w:t xml:space="preserve">עשרת החומרים הנותרים </w:t>
      </w:r>
      <w:r w:rsidR="00310E12">
        <w:rPr>
          <w:rFonts w:hint="cs"/>
          <w:rtl/>
        </w:rPr>
        <w:t xml:space="preserve">נדונו במסגרת </w:t>
      </w:r>
      <w:r w:rsidR="00310E12" w:rsidRPr="006F5B1E">
        <w:rPr>
          <w:rFonts w:hint="cs"/>
          <w:rtl/>
        </w:rPr>
        <w:t xml:space="preserve">הוועדה לחומרים פסיכואקטיביים </w:t>
      </w:r>
      <w:r w:rsidR="00F0114B" w:rsidRPr="006F5B1E">
        <w:rPr>
          <w:rFonts w:hint="cs"/>
          <w:rtl/>
        </w:rPr>
        <w:t xml:space="preserve">ב- </w:t>
      </w:r>
      <w:r w:rsidR="00F0114B" w:rsidRPr="006F5B1E">
        <w:rPr>
          <w:rtl/>
        </w:rPr>
        <w:t xml:space="preserve">31 </w:t>
      </w:r>
      <w:r w:rsidR="00F0114B" w:rsidRPr="006F5B1E">
        <w:rPr>
          <w:rFonts w:hint="eastAsia"/>
          <w:rtl/>
        </w:rPr>
        <w:t>במאי</w:t>
      </w:r>
      <w:r w:rsidR="00F0114B" w:rsidRPr="006F5B1E">
        <w:rPr>
          <w:rtl/>
        </w:rPr>
        <w:t xml:space="preserve"> 2015</w:t>
      </w:r>
      <w:r w:rsidR="00F0114B" w:rsidRPr="006F5B1E">
        <w:rPr>
          <w:rFonts w:hint="cs"/>
          <w:rtl/>
        </w:rPr>
        <w:t>.</w:t>
      </w:r>
      <w:r w:rsidR="00C00481" w:rsidRPr="006F5B1E">
        <w:rPr>
          <w:rStyle w:val="ab"/>
          <w:rtl/>
        </w:rPr>
        <w:footnoteReference w:id="344"/>
      </w:r>
      <w:r w:rsidR="00F0114B" w:rsidRPr="006F5B1E">
        <w:rPr>
          <w:rFonts w:hint="cs"/>
          <w:rtl/>
        </w:rPr>
        <w:t xml:space="preserve"> </w:t>
      </w:r>
      <w:r w:rsidR="008828CE" w:rsidRPr="006F5B1E">
        <w:rPr>
          <w:rFonts w:hint="cs"/>
          <w:rtl/>
        </w:rPr>
        <w:t xml:space="preserve">בעקבות הדיון המליצה הוועדה כי תשעה מתוך העשרה יוספו </w:t>
      </w:r>
      <w:r w:rsidR="006074F9" w:rsidRPr="006F5B1E">
        <w:rPr>
          <w:rFonts w:hint="cs"/>
          <w:rtl/>
        </w:rPr>
        <w:t>לפקודת הסמים</w:t>
      </w:r>
      <w:r w:rsidR="008828CE" w:rsidRPr="006F5B1E">
        <w:rPr>
          <w:rFonts w:hint="cs"/>
          <w:rtl/>
        </w:rPr>
        <w:t xml:space="preserve"> המסוכנים</w:t>
      </w:r>
      <w:r w:rsidR="006074F9" w:rsidRPr="006F5B1E">
        <w:rPr>
          <w:rFonts w:hint="cs"/>
          <w:rtl/>
        </w:rPr>
        <w:t>, ו</w:t>
      </w:r>
      <w:r w:rsidR="005F700F" w:rsidRPr="006F5B1E">
        <w:rPr>
          <w:rFonts w:hint="cs"/>
          <w:rtl/>
        </w:rPr>
        <w:t xml:space="preserve">כי על האחד הנותר </w:t>
      </w:r>
      <w:r w:rsidR="006074F9" w:rsidRPr="006F5B1E">
        <w:rPr>
          <w:rFonts w:hint="cs"/>
          <w:rtl/>
        </w:rPr>
        <w:t xml:space="preserve">יש עוד לדון טרם תתקבל החלטה </w:t>
      </w:r>
      <w:r w:rsidR="005F700F" w:rsidRPr="006F5B1E">
        <w:rPr>
          <w:rFonts w:hint="cs"/>
          <w:rtl/>
        </w:rPr>
        <w:t xml:space="preserve">סופית להמלצה </w:t>
      </w:r>
      <w:r w:rsidR="006074F9" w:rsidRPr="006F5B1E">
        <w:rPr>
          <w:rFonts w:hint="cs"/>
          <w:rtl/>
        </w:rPr>
        <w:t>בעניינו.</w:t>
      </w:r>
      <w:r w:rsidR="006074F9" w:rsidRPr="006F5B1E">
        <w:rPr>
          <w:rStyle w:val="ab"/>
          <w:rtl/>
        </w:rPr>
        <w:footnoteReference w:id="345"/>
      </w:r>
      <w:r w:rsidR="005F700F" w:rsidRPr="006F5B1E">
        <w:rPr>
          <w:rFonts w:hint="cs"/>
          <w:rtl/>
        </w:rPr>
        <w:t xml:space="preserve"> </w:t>
      </w:r>
      <w:r w:rsidR="00F0114B" w:rsidRPr="006F5B1E">
        <w:rPr>
          <w:rFonts w:hint="cs"/>
          <w:rtl/>
        </w:rPr>
        <w:t>מידע</w:t>
      </w:r>
      <w:r w:rsidR="00F0114B">
        <w:rPr>
          <w:rFonts w:hint="cs"/>
          <w:rtl/>
        </w:rPr>
        <w:t xml:space="preserve"> נוסף לא נמסר ממשרד הבריאות. </w:t>
      </w:r>
      <w:r w:rsidRPr="00BB6388">
        <w:rPr>
          <w:rFonts w:hint="eastAsia"/>
          <w:b/>
          <w:bCs/>
          <w:rtl/>
        </w:rPr>
        <w:t>בנוסף</w:t>
      </w:r>
      <w:r w:rsidRPr="00BB6388">
        <w:rPr>
          <w:b/>
          <w:bCs/>
          <w:rtl/>
        </w:rPr>
        <w:t xml:space="preserve">, </w:t>
      </w:r>
      <w:r w:rsidRPr="00BB6388">
        <w:rPr>
          <w:rFonts w:hint="eastAsia"/>
          <w:b/>
          <w:bCs/>
          <w:rtl/>
        </w:rPr>
        <w:t>עד</w:t>
      </w:r>
      <w:r w:rsidRPr="00BB6388">
        <w:rPr>
          <w:b/>
          <w:bCs/>
          <w:rtl/>
        </w:rPr>
        <w:t xml:space="preserve"> </w:t>
      </w:r>
      <w:r w:rsidRPr="00BB6388">
        <w:rPr>
          <w:rFonts w:hint="eastAsia"/>
          <w:b/>
          <w:bCs/>
          <w:rtl/>
        </w:rPr>
        <w:t>כה</w:t>
      </w:r>
      <w:r w:rsidRPr="00BB6388">
        <w:rPr>
          <w:b/>
          <w:bCs/>
          <w:rtl/>
        </w:rPr>
        <w:t xml:space="preserve">, </w:t>
      </w:r>
      <w:r w:rsidRPr="00BB6388">
        <w:rPr>
          <w:rFonts w:hint="eastAsia"/>
          <w:b/>
          <w:bCs/>
          <w:rtl/>
        </w:rPr>
        <w:t>לא</w:t>
      </w:r>
      <w:r w:rsidRPr="00BB6388">
        <w:rPr>
          <w:b/>
          <w:bCs/>
          <w:rtl/>
        </w:rPr>
        <w:t xml:space="preserve"> </w:t>
      </w:r>
      <w:r w:rsidRPr="00BB6388">
        <w:rPr>
          <w:rFonts w:hint="eastAsia"/>
          <w:b/>
          <w:bCs/>
          <w:rtl/>
        </w:rPr>
        <w:t>נדרש</w:t>
      </w:r>
      <w:r w:rsidRPr="00BB6388">
        <w:rPr>
          <w:b/>
          <w:bCs/>
          <w:rtl/>
        </w:rPr>
        <w:t xml:space="preserve"> </w:t>
      </w:r>
      <w:r w:rsidRPr="00BB6388">
        <w:rPr>
          <w:rFonts w:hint="eastAsia"/>
          <w:b/>
          <w:bCs/>
          <w:rtl/>
        </w:rPr>
        <w:t>המשרד</w:t>
      </w:r>
      <w:r w:rsidRPr="00BB6388">
        <w:rPr>
          <w:b/>
          <w:bCs/>
          <w:rtl/>
        </w:rPr>
        <w:t xml:space="preserve"> </w:t>
      </w:r>
      <w:r w:rsidRPr="00BB6388">
        <w:rPr>
          <w:rFonts w:hint="eastAsia"/>
          <w:b/>
          <w:bCs/>
          <w:rtl/>
        </w:rPr>
        <w:t>לבטל</w:t>
      </w:r>
      <w:r w:rsidRPr="00BB6388">
        <w:rPr>
          <w:b/>
          <w:bCs/>
          <w:rtl/>
        </w:rPr>
        <w:t xml:space="preserve"> </w:t>
      </w:r>
      <w:r w:rsidRPr="00BB6388">
        <w:rPr>
          <w:rFonts w:hint="eastAsia"/>
          <w:b/>
          <w:bCs/>
          <w:rtl/>
        </w:rPr>
        <w:t>מעמדו</w:t>
      </w:r>
      <w:r w:rsidRPr="00BB6388">
        <w:rPr>
          <w:b/>
          <w:bCs/>
          <w:rtl/>
        </w:rPr>
        <w:t xml:space="preserve"> </w:t>
      </w:r>
      <w:r w:rsidRPr="00BB6388">
        <w:rPr>
          <w:rFonts w:hint="eastAsia"/>
          <w:b/>
          <w:bCs/>
          <w:rtl/>
        </w:rPr>
        <w:t>של</w:t>
      </w:r>
      <w:r w:rsidRPr="00BB6388">
        <w:rPr>
          <w:b/>
          <w:bCs/>
          <w:rtl/>
        </w:rPr>
        <w:t xml:space="preserve"> </w:t>
      </w:r>
      <w:r w:rsidRPr="00BB6388">
        <w:rPr>
          <w:rFonts w:hint="eastAsia"/>
          <w:b/>
          <w:bCs/>
          <w:rtl/>
        </w:rPr>
        <w:t>חומר</w:t>
      </w:r>
      <w:r w:rsidRPr="00BB6388">
        <w:rPr>
          <w:b/>
          <w:bCs/>
          <w:rtl/>
        </w:rPr>
        <w:t xml:space="preserve"> </w:t>
      </w:r>
      <w:r w:rsidRPr="00BB6388">
        <w:rPr>
          <w:rFonts w:hint="eastAsia"/>
          <w:b/>
          <w:bCs/>
          <w:rtl/>
        </w:rPr>
        <w:t>כעבור</w:t>
      </w:r>
      <w:r w:rsidRPr="00BB6388">
        <w:rPr>
          <w:b/>
          <w:bCs/>
          <w:rtl/>
        </w:rPr>
        <w:t xml:space="preserve"> 12 </w:t>
      </w:r>
      <w:r w:rsidRPr="00BB6388">
        <w:rPr>
          <w:rFonts w:hint="eastAsia"/>
          <w:b/>
          <w:bCs/>
          <w:rtl/>
        </w:rPr>
        <w:t>חודשים</w:t>
      </w:r>
      <w:r w:rsidRPr="00BB6388">
        <w:rPr>
          <w:b/>
          <w:bCs/>
          <w:rtl/>
        </w:rPr>
        <w:t xml:space="preserve">, </w:t>
      </w:r>
      <w:r w:rsidRPr="00BB6388">
        <w:rPr>
          <w:rFonts w:hint="eastAsia"/>
          <w:b/>
          <w:bCs/>
          <w:rtl/>
        </w:rPr>
        <w:t>להגיש</w:t>
      </w:r>
      <w:r w:rsidRPr="00BB6388">
        <w:rPr>
          <w:b/>
          <w:bCs/>
          <w:rtl/>
        </w:rPr>
        <w:t xml:space="preserve"> </w:t>
      </w:r>
      <w:r w:rsidRPr="00BB6388">
        <w:rPr>
          <w:rFonts w:hint="eastAsia"/>
          <w:b/>
          <w:bCs/>
          <w:rtl/>
        </w:rPr>
        <w:t>בקשת</w:t>
      </w:r>
      <w:r w:rsidRPr="00BB6388">
        <w:rPr>
          <w:b/>
          <w:bCs/>
          <w:rtl/>
        </w:rPr>
        <w:t xml:space="preserve"> </w:t>
      </w:r>
      <w:r w:rsidRPr="00BB6388">
        <w:rPr>
          <w:rFonts w:hint="eastAsia"/>
          <w:b/>
          <w:bCs/>
          <w:rtl/>
        </w:rPr>
        <w:t>להארכת</w:t>
      </w:r>
      <w:r w:rsidRPr="00BB6388">
        <w:rPr>
          <w:b/>
          <w:bCs/>
          <w:rtl/>
        </w:rPr>
        <w:t xml:space="preserve"> </w:t>
      </w:r>
      <w:r w:rsidRPr="00BB6388">
        <w:rPr>
          <w:rFonts w:hint="eastAsia"/>
          <w:b/>
          <w:bCs/>
          <w:rtl/>
        </w:rPr>
        <w:t>מעמדו</w:t>
      </w:r>
      <w:r w:rsidRPr="00BB6388">
        <w:rPr>
          <w:b/>
          <w:bCs/>
          <w:rtl/>
        </w:rPr>
        <w:t xml:space="preserve"> </w:t>
      </w:r>
      <w:r w:rsidRPr="00BB6388">
        <w:rPr>
          <w:rFonts w:hint="eastAsia"/>
          <w:b/>
          <w:bCs/>
          <w:rtl/>
        </w:rPr>
        <w:t>או</w:t>
      </w:r>
      <w:r w:rsidRPr="00BB6388">
        <w:rPr>
          <w:b/>
          <w:bCs/>
          <w:rtl/>
        </w:rPr>
        <w:t xml:space="preserve"> </w:t>
      </w:r>
      <w:r w:rsidRPr="00BB6388">
        <w:rPr>
          <w:rFonts w:hint="eastAsia"/>
          <w:b/>
          <w:bCs/>
          <w:rtl/>
        </w:rPr>
        <w:t>לבקש</w:t>
      </w:r>
      <w:r w:rsidRPr="00BB6388">
        <w:rPr>
          <w:b/>
          <w:bCs/>
          <w:rtl/>
        </w:rPr>
        <w:t xml:space="preserve"> </w:t>
      </w:r>
      <w:r w:rsidRPr="00BB6388">
        <w:rPr>
          <w:rFonts w:hint="eastAsia"/>
          <w:b/>
          <w:bCs/>
          <w:rtl/>
        </w:rPr>
        <w:t>שוב</w:t>
      </w:r>
      <w:r w:rsidRPr="00BB6388">
        <w:rPr>
          <w:b/>
          <w:bCs/>
          <w:rtl/>
        </w:rPr>
        <w:t xml:space="preserve"> </w:t>
      </w:r>
      <w:r w:rsidRPr="00BB6388">
        <w:rPr>
          <w:rFonts w:hint="eastAsia"/>
          <w:b/>
          <w:bCs/>
          <w:rtl/>
        </w:rPr>
        <w:t>את</w:t>
      </w:r>
      <w:r w:rsidRPr="00BB6388">
        <w:rPr>
          <w:b/>
          <w:bCs/>
          <w:rtl/>
        </w:rPr>
        <w:t xml:space="preserve"> </w:t>
      </w:r>
      <w:r w:rsidRPr="00BB6388">
        <w:rPr>
          <w:rFonts w:hint="eastAsia"/>
          <w:b/>
          <w:bCs/>
          <w:rtl/>
        </w:rPr>
        <w:t>הגדרתו</w:t>
      </w:r>
      <w:r w:rsidRPr="00BB6388">
        <w:rPr>
          <w:b/>
          <w:bCs/>
          <w:rtl/>
        </w:rPr>
        <w:t xml:space="preserve"> </w:t>
      </w:r>
      <w:r w:rsidRPr="00BB6388">
        <w:rPr>
          <w:rFonts w:hint="eastAsia"/>
          <w:b/>
          <w:bCs/>
          <w:rtl/>
        </w:rPr>
        <w:t>של</w:t>
      </w:r>
      <w:r w:rsidRPr="00BB6388">
        <w:rPr>
          <w:b/>
          <w:bCs/>
          <w:rtl/>
        </w:rPr>
        <w:t xml:space="preserve"> </w:t>
      </w:r>
      <w:r w:rsidRPr="00BB6388">
        <w:rPr>
          <w:rFonts w:hint="eastAsia"/>
          <w:b/>
          <w:bCs/>
          <w:rtl/>
        </w:rPr>
        <w:t>חומר</w:t>
      </w:r>
      <w:r w:rsidRPr="00BB6388">
        <w:rPr>
          <w:b/>
          <w:bCs/>
          <w:rtl/>
        </w:rPr>
        <w:t xml:space="preserve"> </w:t>
      </w:r>
      <w:r w:rsidRPr="00BB6388">
        <w:rPr>
          <w:rFonts w:hint="eastAsia"/>
          <w:b/>
          <w:bCs/>
          <w:rtl/>
        </w:rPr>
        <w:t>כחומר</w:t>
      </w:r>
      <w:r w:rsidRPr="00BB6388">
        <w:rPr>
          <w:b/>
          <w:bCs/>
          <w:rtl/>
        </w:rPr>
        <w:t xml:space="preserve"> </w:t>
      </w:r>
      <w:r w:rsidRPr="00BB6388">
        <w:rPr>
          <w:rFonts w:hint="eastAsia"/>
          <w:b/>
          <w:bCs/>
          <w:rtl/>
        </w:rPr>
        <w:t>מסכן</w:t>
      </w:r>
      <w:r w:rsidRPr="00BB6388">
        <w:rPr>
          <w:b/>
          <w:bCs/>
          <w:rtl/>
        </w:rPr>
        <w:t>.</w:t>
      </w:r>
    </w:p>
    <w:p w:rsidR="00C270DC" w:rsidRDefault="00C270DC" w:rsidP="00BB6388">
      <w:pPr>
        <w:pStyle w:val="a2"/>
        <w:spacing w:line="360" w:lineRule="auto"/>
        <w:rPr>
          <w:rtl/>
        </w:rPr>
      </w:pPr>
      <w:r w:rsidRPr="00BB6388">
        <w:rPr>
          <w:b/>
          <w:bCs/>
          <w:rtl/>
        </w:rPr>
        <w:t>מאז כניסת החוק לתוקפו נידונו בוועדה הבינמשרדית גם 21 חומרים שהוחלט שלא להכריזם כאסורים בהפצה</w:t>
      </w:r>
      <w:r w:rsidRPr="00BB6388">
        <w:rPr>
          <w:rtl/>
        </w:rPr>
        <w:t xml:space="preserve">. </w:t>
      </w:r>
      <w:r w:rsidRPr="00BB6388">
        <w:rPr>
          <w:rFonts w:hint="eastAsia"/>
          <w:rtl/>
        </w:rPr>
        <w:t>לפי</w:t>
      </w:r>
      <w:r w:rsidRPr="00BB6388">
        <w:rPr>
          <w:rtl/>
        </w:rPr>
        <w:t xml:space="preserve"> </w:t>
      </w:r>
      <w:r w:rsidRPr="00BB6388">
        <w:rPr>
          <w:rFonts w:hint="eastAsia"/>
          <w:rtl/>
        </w:rPr>
        <w:t>משרד</w:t>
      </w:r>
      <w:r w:rsidRPr="00BB6388">
        <w:rPr>
          <w:rtl/>
        </w:rPr>
        <w:t xml:space="preserve"> </w:t>
      </w:r>
      <w:r w:rsidRPr="00BB6388">
        <w:rPr>
          <w:rFonts w:hint="eastAsia"/>
          <w:rtl/>
        </w:rPr>
        <w:t>הבריאות</w:t>
      </w:r>
      <w:r w:rsidRPr="00BB6388">
        <w:rPr>
          <w:rtl/>
        </w:rPr>
        <w:t xml:space="preserve">, 9 </w:t>
      </w:r>
      <w:r w:rsidRPr="00BB6388">
        <w:rPr>
          <w:rFonts w:hint="eastAsia"/>
          <w:rtl/>
        </w:rPr>
        <w:t>חומרים</w:t>
      </w:r>
      <w:r w:rsidRPr="00BB6388">
        <w:rPr>
          <w:rtl/>
        </w:rPr>
        <w:t xml:space="preserve"> </w:t>
      </w:r>
      <w:r w:rsidRPr="00BB6388">
        <w:rPr>
          <w:rFonts w:hint="eastAsia"/>
          <w:rtl/>
        </w:rPr>
        <w:t>מתוכם</w:t>
      </w:r>
      <w:r w:rsidRPr="00BB6388">
        <w:rPr>
          <w:rtl/>
        </w:rPr>
        <w:t xml:space="preserve"> </w:t>
      </w:r>
      <w:r w:rsidRPr="00BB6388">
        <w:rPr>
          <w:rFonts w:hint="eastAsia"/>
          <w:rtl/>
        </w:rPr>
        <w:t>לא</w:t>
      </w:r>
      <w:r w:rsidRPr="00BB6388">
        <w:rPr>
          <w:rtl/>
        </w:rPr>
        <w:t xml:space="preserve"> </w:t>
      </w:r>
      <w:r w:rsidRPr="00BB6388">
        <w:rPr>
          <w:rFonts w:hint="eastAsia"/>
          <w:rtl/>
        </w:rPr>
        <w:t>הוכרזו</w:t>
      </w:r>
      <w:r w:rsidRPr="00BB6388">
        <w:rPr>
          <w:rtl/>
        </w:rPr>
        <w:t xml:space="preserve"> </w:t>
      </w:r>
      <w:r w:rsidRPr="00BB6388">
        <w:rPr>
          <w:rFonts w:hint="eastAsia"/>
          <w:rtl/>
        </w:rPr>
        <w:t>מאחר</w:t>
      </w:r>
      <w:r w:rsidRPr="00BB6388">
        <w:rPr>
          <w:rtl/>
        </w:rPr>
        <w:t xml:space="preserve"> </w:t>
      </w:r>
      <w:r w:rsidRPr="00BB6388">
        <w:rPr>
          <w:rFonts w:hint="eastAsia"/>
          <w:rtl/>
        </w:rPr>
        <w:t>ובדיקה</w:t>
      </w:r>
      <w:r w:rsidRPr="00BB6388">
        <w:rPr>
          <w:rtl/>
        </w:rPr>
        <w:t xml:space="preserve"> </w:t>
      </w:r>
      <w:r w:rsidRPr="00BB6388">
        <w:rPr>
          <w:rFonts w:hint="eastAsia"/>
          <w:rtl/>
        </w:rPr>
        <w:t>מעמיקה</w:t>
      </w:r>
      <w:r w:rsidRPr="00BB6388">
        <w:rPr>
          <w:rtl/>
        </w:rPr>
        <w:t xml:space="preserve"> </w:t>
      </w:r>
      <w:r w:rsidRPr="00BB6388">
        <w:rPr>
          <w:rFonts w:hint="eastAsia"/>
          <w:rtl/>
        </w:rPr>
        <w:t>של</w:t>
      </w:r>
      <w:r w:rsidRPr="00BB6388">
        <w:rPr>
          <w:rtl/>
        </w:rPr>
        <w:t xml:space="preserve"> </w:t>
      </w:r>
      <w:r w:rsidRPr="00BB6388">
        <w:rPr>
          <w:rFonts w:hint="eastAsia"/>
          <w:rtl/>
        </w:rPr>
        <w:t>הרכבם</w:t>
      </w:r>
      <w:r w:rsidRPr="00BB6388">
        <w:rPr>
          <w:rtl/>
        </w:rPr>
        <w:t xml:space="preserve"> </w:t>
      </w:r>
      <w:r w:rsidRPr="00BB6388">
        <w:rPr>
          <w:rFonts w:hint="eastAsia"/>
          <w:rtl/>
        </w:rPr>
        <w:t>הכימי</w:t>
      </w:r>
      <w:r w:rsidRPr="00BB6388">
        <w:rPr>
          <w:rtl/>
        </w:rPr>
        <w:t xml:space="preserve"> </w:t>
      </w:r>
      <w:r w:rsidRPr="00BB6388">
        <w:rPr>
          <w:rFonts w:hint="eastAsia"/>
          <w:rtl/>
        </w:rPr>
        <w:t>העלתה</w:t>
      </w:r>
      <w:r w:rsidRPr="00BB6388">
        <w:rPr>
          <w:rtl/>
        </w:rPr>
        <w:t xml:space="preserve"> </w:t>
      </w:r>
      <w:r w:rsidRPr="00BB6388">
        <w:rPr>
          <w:rFonts w:hint="eastAsia"/>
          <w:rtl/>
        </w:rPr>
        <w:t>כי</w:t>
      </w:r>
      <w:r w:rsidRPr="00BB6388">
        <w:rPr>
          <w:rtl/>
        </w:rPr>
        <w:t xml:space="preserve"> </w:t>
      </w:r>
      <w:r w:rsidRPr="00BB6388">
        <w:rPr>
          <w:rFonts w:hint="eastAsia"/>
          <w:rtl/>
        </w:rPr>
        <w:t>החומרים</w:t>
      </w:r>
      <w:r w:rsidRPr="00BB6388">
        <w:rPr>
          <w:rtl/>
        </w:rPr>
        <w:t xml:space="preserve"> </w:t>
      </w:r>
      <w:r w:rsidRPr="00BB6388">
        <w:rPr>
          <w:rFonts w:hint="eastAsia"/>
          <w:rtl/>
        </w:rPr>
        <w:t>הוכרזו</w:t>
      </w:r>
      <w:r w:rsidRPr="00BB6388">
        <w:rPr>
          <w:rtl/>
        </w:rPr>
        <w:t xml:space="preserve"> </w:t>
      </w:r>
      <w:r w:rsidRPr="00BB6388">
        <w:rPr>
          <w:rFonts w:hint="eastAsia"/>
          <w:rtl/>
        </w:rPr>
        <w:t>כבר</w:t>
      </w:r>
      <w:r w:rsidRPr="00BB6388">
        <w:rPr>
          <w:rtl/>
        </w:rPr>
        <w:t xml:space="preserve"> </w:t>
      </w:r>
      <w:r w:rsidR="00AB6539" w:rsidRPr="00BB6388">
        <w:rPr>
          <w:rFonts w:hint="cs"/>
          <w:rtl/>
        </w:rPr>
        <w:t xml:space="preserve">כאסורים בהפצה </w:t>
      </w:r>
      <w:r w:rsidRPr="00BB6388">
        <w:rPr>
          <w:rFonts w:hint="eastAsia"/>
          <w:rtl/>
        </w:rPr>
        <w:t>או</w:t>
      </w:r>
      <w:r w:rsidRPr="00BB6388">
        <w:rPr>
          <w:rtl/>
        </w:rPr>
        <w:t xml:space="preserve"> </w:t>
      </w:r>
      <w:r w:rsidRPr="00BB6388">
        <w:rPr>
          <w:rFonts w:hint="eastAsia"/>
          <w:rtl/>
        </w:rPr>
        <w:t>שהם</w:t>
      </w:r>
      <w:r w:rsidRPr="00BB6388">
        <w:rPr>
          <w:rtl/>
        </w:rPr>
        <w:t xml:space="preserve"> </w:t>
      </w:r>
      <w:r w:rsidRPr="00BB6388">
        <w:rPr>
          <w:rFonts w:hint="eastAsia"/>
          <w:rtl/>
        </w:rPr>
        <w:t>אף</w:t>
      </w:r>
      <w:r w:rsidRPr="00BB6388">
        <w:rPr>
          <w:rtl/>
        </w:rPr>
        <w:t xml:space="preserve"> </w:t>
      </w:r>
      <w:r w:rsidRPr="00BB6388">
        <w:rPr>
          <w:rFonts w:hint="eastAsia"/>
          <w:rtl/>
        </w:rPr>
        <w:t>כלולים</w:t>
      </w:r>
      <w:r w:rsidRPr="00BB6388">
        <w:rPr>
          <w:rtl/>
        </w:rPr>
        <w:t xml:space="preserve"> </w:t>
      </w:r>
      <w:r w:rsidRPr="00BB6388">
        <w:rPr>
          <w:rFonts w:hint="eastAsia"/>
          <w:rtl/>
        </w:rPr>
        <w:t>בפקודת</w:t>
      </w:r>
      <w:r w:rsidRPr="00BB6388">
        <w:rPr>
          <w:rtl/>
        </w:rPr>
        <w:t xml:space="preserve"> </w:t>
      </w:r>
      <w:r w:rsidRPr="00BB6388">
        <w:rPr>
          <w:rFonts w:hint="eastAsia"/>
          <w:rtl/>
        </w:rPr>
        <w:t>הסמים</w:t>
      </w:r>
      <w:r w:rsidRPr="00BB6388">
        <w:rPr>
          <w:rtl/>
        </w:rPr>
        <w:t xml:space="preserve"> </w:t>
      </w:r>
      <w:r w:rsidRPr="00BB6388">
        <w:rPr>
          <w:rFonts w:hint="eastAsia"/>
          <w:rtl/>
        </w:rPr>
        <w:t>המסוכנים</w:t>
      </w:r>
      <w:r w:rsidRPr="00BB6388">
        <w:rPr>
          <w:rtl/>
        </w:rPr>
        <w:t xml:space="preserve">, </w:t>
      </w:r>
      <w:r w:rsidRPr="00BB6388">
        <w:rPr>
          <w:rFonts w:hint="eastAsia"/>
          <w:rtl/>
        </w:rPr>
        <w:t>ובעבור</w:t>
      </w:r>
      <w:r w:rsidRPr="00BB6388">
        <w:rPr>
          <w:rtl/>
        </w:rPr>
        <w:t xml:space="preserve"> 12 </w:t>
      </w:r>
      <w:r w:rsidRPr="00BB6388">
        <w:rPr>
          <w:rFonts w:hint="eastAsia"/>
          <w:rtl/>
        </w:rPr>
        <w:t>החומרים</w:t>
      </w:r>
      <w:r w:rsidRPr="00BB6388">
        <w:rPr>
          <w:rtl/>
        </w:rPr>
        <w:t xml:space="preserve"> </w:t>
      </w:r>
      <w:r w:rsidRPr="00BB6388">
        <w:rPr>
          <w:rFonts w:hint="eastAsia"/>
          <w:rtl/>
        </w:rPr>
        <w:t>האחרים</w:t>
      </w:r>
      <w:r w:rsidRPr="00BB6388">
        <w:rPr>
          <w:rtl/>
        </w:rPr>
        <w:t xml:space="preserve"> </w:t>
      </w:r>
      <w:r w:rsidRPr="00BB6388">
        <w:rPr>
          <w:rFonts w:hint="eastAsia"/>
          <w:rtl/>
        </w:rPr>
        <w:t>חסר</w:t>
      </w:r>
      <w:r w:rsidRPr="00BB6388">
        <w:rPr>
          <w:rtl/>
        </w:rPr>
        <w:t xml:space="preserve"> </w:t>
      </w:r>
      <w:r w:rsidRPr="00BB6388">
        <w:rPr>
          <w:rFonts w:hint="eastAsia"/>
          <w:rtl/>
        </w:rPr>
        <w:t>מידע</w:t>
      </w:r>
      <w:r w:rsidRPr="00BB6388">
        <w:rPr>
          <w:rtl/>
        </w:rPr>
        <w:t xml:space="preserve"> </w:t>
      </w:r>
      <w:r w:rsidRPr="00BB6388">
        <w:rPr>
          <w:rFonts w:hint="eastAsia"/>
          <w:rtl/>
        </w:rPr>
        <w:t>מספק</w:t>
      </w:r>
      <w:r w:rsidRPr="00BB6388">
        <w:rPr>
          <w:rtl/>
        </w:rPr>
        <w:t xml:space="preserve"> </w:t>
      </w:r>
      <w:r w:rsidRPr="00BB6388">
        <w:rPr>
          <w:rFonts w:hint="eastAsia"/>
          <w:rtl/>
        </w:rPr>
        <w:t>בעת</w:t>
      </w:r>
      <w:r w:rsidRPr="00BB6388">
        <w:rPr>
          <w:rtl/>
        </w:rPr>
        <w:t xml:space="preserve"> </w:t>
      </w:r>
      <w:r w:rsidRPr="00BB6388">
        <w:rPr>
          <w:rFonts w:hint="eastAsia"/>
          <w:rtl/>
        </w:rPr>
        <w:t>הדיון</w:t>
      </w:r>
      <w:r w:rsidRPr="00BB6388">
        <w:rPr>
          <w:rtl/>
        </w:rPr>
        <w:t>.</w:t>
      </w:r>
      <w:r w:rsidRPr="00BB6388">
        <w:rPr>
          <w:rFonts w:hint="cs"/>
          <w:rtl/>
        </w:rPr>
        <w:t xml:space="preserve"> </w:t>
      </w:r>
    </w:p>
    <w:p w:rsidR="006A45E4" w:rsidRPr="00BB6388" w:rsidRDefault="000837EB" w:rsidP="006A45E4">
      <w:pPr>
        <w:pStyle w:val="3"/>
        <w:rPr>
          <w:rtl/>
        </w:rPr>
      </w:pPr>
      <w:bookmarkStart w:id="335" w:name="_Toc421697071"/>
      <w:r>
        <w:rPr>
          <w:rFonts w:hint="cs"/>
          <w:rtl/>
        </w:rPr>
        <w:t>היחידה לקנביס רפואי (יק"ר)</w:t>
      </w:r>
      <w:r w:rsidRPr="008A1F1F">
        <w:rPr>
          <w:rStyle w:val="ab"/>
          <w:b w:val="0"/>
          <w:bCs w:val="0"/>
          <w:rtl/>
        </w:rPr>
        <w:footnoteReference w:id="346"/>
      </w:r>
      <w:bookmarkEnd w:id="335"/>
      <w:r w:rsidR="006A45E4" w:rsidRPr="006A45E4">
        <w:rPr>
          <w:rtl/>
        </w:rPr>
        <w:t xml:space="preserve"> </w:t>
      </w:r>
    </w:p>
    <w:p w:rsidR="000837EB" w:rsidRDefault="000837EB" w:rsidP="006A1A3D">
      <w:pPr>
        <w:pStyle w:val="a2"/>
        <w:rPr>
          <w:rtl/>
        </w:rPr>
      </w:pPr>
      <w:r>
        <w:rPr>
          <w:rFonts w:hint="cs"/>
          <w:rtl/>
        </w:rPr>
        <w:t>התוספת הראשונה לפקודת הסמים המסוכנים [נוסח חדש], התשל"ג-1973, מגדירה את צמח הקנביס (</w:t>
      </w:r>
      <w:r>
        <w:t>Cannabis</w:t>
      </w:r>
      <w:r>
        <w:rPr>
          <w:rFonts w:hint="cs"/>
          <w:rtl/>
        </w:rPr>
        <w:t xml:space="preserve">) וכל חלק ממנו כסם מסוכן. </w:t>
      </w:r>
      <w:r w:rsidR="006A1A3D">
        <w:rPr>
          <w:rFonts w:hint="cs"/>
          <w:rtl/>
        </w:rPr>
        <w:t>בו-בזמן קובע</w:t>
      </w:r>
      <w:r>
        <w:rPr>
          <w:rFonts w:hint="cs"/>
          <w:rtl/>
        </w:rPr>
        <w:t xml:space="preserve"> סעיף 12 לחוק כי "השימוש בסם מסוכן מותר אם הוא לצורך ריפוי והסם סופק למשתמש מאת רוקח, רופא או רופא וטרינרי בתנאים האמורים בסעיף 11(3) או סופק על-פי רישיון".</w:t>
      </w:r>
      <w:r>
        <w:rPr>
          <w:rStyle w:val="ab"/>
          <w:rtl/>
        </w:rPr>
        <w:footnoteReference w:id="347"/>
      </w:r>
    </w:p>
    <w:p w:rsidR="000837EB" w:rsidRDefault="000837EB" w:rsidP="000837EB">
      <w:pPr>
        <w:pStyle w:val="a2"/>
        <w:rPr>
          <w:rtl/>
        </w:rPr>
      </w:pPr>
      <w:r>
        <w:rPr>
          <w:rFonts w:hint="cs"/>
          <w:rtl/>
        </w:rPr>
        <w:t>לשם בחינת הסדרת השימוש בקנביס רפואי הוקמה על-ידי משרד הבריאות ועדה בין-משרדית לבחינת הנושא, שפרסמה את המלצותיה בנובמבר 2010.</w:t>
      </w:r>
      <w:r>
        <w:rPr>
          <w:rStyle w:val="ab"/>
          <w:rtl/>
        </w:rPr>
        <w:footnoteReference w:id="348"/>
      </w:r>
      <w:r>
        <w:rPr>
          <w:rFonts w:hint="cs"/>
          <w:rtl/>
        </w:rPr>
        <w:t xml:space="preserve"> בין השאר, המליצה הוועדה לכלול את הטיפול הקנביס הרפואי בסל הבריאות "בבוא העת".</w:t>
      </w:r>
      <w:r>
        <w:rPr>
          <w:rStyle w:val="ab"/>
          <w:rtl/>
        </w:rPr>
        <w:footnoteReference w:id="349"/>
      </w:r>
    </w:p>
    <w:p w:rsidR="000837EB" w:rsidRDefault="000837EB" w:rsidP="00CD22FF">
      <w:pPr>
        <w:pStyle w:val="a2"/>
        <w:rPr>
          <w:rtl/>
        </w:rPr>
      </w:pPr>
      <w:r>
        <w:rPr>
          <w:rFonts w:hint="cs"/>
          <w:rtl/>
        </w:rPr>
        <w:t>המלצות הוועדה היוו את הבסיס להחלטת הממשלה מתאריך 7 באוגוסט 2011 בדבר "פיקוח והסדרת מקור לאספקת קנביס למטרות רפואיות ולמחקר" (החלטה מס' 3609).</w:t>
      </w:r>
      <w:r>
        <w:rPr>
          <w:rStyle w:val="ab"/>
          <w:rtl/>
        </w:rPr>
        <w:footnoteReference w:id="350"/>
      </w:r>
      <w:r>
        <w:rPr>
          <w:rFonts w:hint="cs"/>
          <w:rtl/>
        </w:rPr>
        <w:t xml:space="preserve"> בהחלטה זו קבעה הממשלה כי </w:t>
      </w:r>
      <w:r w:rsidRPr="003C2D76">
        <w:rPr>
          <w:rFonts w:hint="cs"/>
          <w:b/>
          <w:bCs/>
          <w:rtl/>
        </w:rPr>
        <w:t>משרד הבריאות ישמש כסוכנות הממשלתית בכל הנוגע לפיקוח ולהסדרת הטיפול בקנביס למטרות רפואיות ולמחקר</w:t>
      </w:r>
      <w:r>
        <w:rPr>
          <w:rFonts w:hint="cs"/>
          <w:rtl/>
        </w:rPr>
        <w:t>.</w:t>
      </w:r>
      <w:r w:rsidR="00AE2A83">
        <w:rPr>
          <w:rStyle w:val="ab"/>
          <w:rtl/>
        </w:rPr>
        <w:footnoteReference w:id="351"/>
      </w:r>
      <w:r>
        <w:rPr>
          <w:rFonts w:hint="cs"/>
          <w:rtl/>
        </w:rPr>
        <w:t xml:space="preserve"> זאת, בהתאם להוראות האמנה היחידה לסמים נרקוטיים (1961) (</w:t>
      </w:r>
      <w:r>
        <w:t>Single Convention on Narcotic Drugs</w:t>
      </w:r>
      <w:r>
        <w:rPr>
          <w:rFonts w:hint="cs"/>
          <w:rtl/>
        </w:rPr>
        <w:t>).</w:t>
      </w:r>
      <w:r w:rsidR="008B6603">
        <w:rPr>
          <w:rStyle w:val="ab"/>
          <w:rtl/>
        </w:rPr>
        <w:footnoteReference w:id="352"/>
      </w:r>
      <w:r>
        <w:rPr>
          <w:rFonts w:hint="cs"/>
          <w:rtl/>
        </w:rPr>
        <w:t xml:space="preserve"> </w:t>
      </w:r>
    </w:p>
    <w:p w:rsidR="000837EB" w:rsidRDefault="000837EB" w:rsidP="00AE2A83">
      <w:pPr>
        <w:pStyle w:val="a2"/>
        <w:rPr>
          <w:rtl/>
        </w:rPr>
      </w:pPr>
      <w:r>
        <w:rPr>
          <w:rFonts w:hint="cs"/>
          <w:rtl/>
        </w:rPr>
        <w:t xml:space="preserve">ואלו התפקידים והסמכויות שהוקנו למשרד הבריאות במסגרת </w:t>
      </w:r>
      <w:r w:rsidR="00AE2A83">
        <w:rPr>
          <w:rFonts w:hint="cs"/>
          <w:rtl/>
        </w:rPr>
        <w:t>ה</w:t>
      </w:r>
      <w:r>
        <w:rPr>
          <w:rFonts w:hint="cs"/>
          <w:rtl/>
        </w:rPr>
        <w:t xml:space="preserve">החלטה למנותו כסוכנות הממשלתית: </w:t>
      </w:r>
    </w:p>
    <w:p w:rsidR="000837EB" w:rsidRDefault="000837EB" w:rsidP="00DC2DB0">
      <w:pPr>
        <w:pStyle w:val="a2"/>
        <w:numPr>
          <w:ilvl w:val="0"/>
          <w:numId w:val="21"/>
        </w:numPr>
      </w:pPr>
      <w:r>
        <w:rPr>
          <w:rFonts w:hint="cs"/>
          <w:rtl/>
        </w:rPr>
        <w:t>הסדרה, פיקוח ובקרה של קנביס לצרכים רפואיים.</w:t>
      </w:r>
    </w:p>
    <w:p w:rsidR="000837EB" w:rsidRDefault="000837EB" w:rsidP="00DC2DB0">
      <w:pPr>
        <w:pStyle w:val="a2"/>
        <w:numPr>
          <w:ilvl w:val="0"/>
          <w:numId w:val="21"/>
        </w:numPr>
      </w:pPr>
      <w:r>
        <w:rPr>
          <w:rFonts w:hint="cs"/>
          <w:rtl/>
        </w:rPr>
        <w:t>רכישת והחזקת קנביס, בעצמה או באמצעות אחרים, בין אם מגידול בישראל או מייבוא, לצרכים רפואיים.</w:t>
      </w:r>
    </w:p>
    <w:p w:rsidR="000837EB" w:rsidRDefault="000837EB" w:rsidP="00DC2DB0">
      <w:pPr>
        <w:pStyle w:val="a2"/>
        <w:numPr>
          <w:ilvl w:val="0"/>
          <w:numId w:val="21"/>
        </w:numPr>
      </w:pPr>
      <w:r>
        <w:rPr>
          <w:rFonts w:hint="cs"/>
          <w:rtl/>
        </w:rPr>
        <w:t>פעילות מול גורמי ממשלה ואחרים בחו"ל לצורך קבלת אישורים לייבוא קנביס לצרכים רפואיים.</w:t>
      </w:r>
    </w:p>
    <w:p w:rsidR="000837EB" w:rsidRDefault="000837EB" w:rsidP="00DC2DB0">
      <w:pPr>
        <w:pStyle w:val="a2"/>
        <w:numPr>
          <w:ilvl w:val="0"/>
          <w:numId w:val="21"/>
        </w:numPr>
      </w:pPr>
      <w:r>
        <w:rPr>
          <w:rFonts w:hint="cs"/>
          <w:rtl/>
        </w:rPr>
        <w:t>ניהול הקשר אל מול סוכנויות ממשלה במדינות אחרות החתומות על האמנה.</w:t>
      </w:r>
    </w:p>
    <w:p w:rsidR="000837EB" w:rsidRDefault="000837EB" w:rsidP="00DC2DB0">
      <w:pPr>
        <w:pStyle w:val="a2"/>
        <w:numPr>
          <w:ilvl w:val="0"/>
          <w:numId w:val="21"/>
        </w:numPr>
      </w:pPr>
      <w:r>
        <w:rPr>
          <w:rFonts w:hint="cs"/>
          <w:rtl/>
        </w:rPr>
        <w:t>דיווח לרשויות האו"ם (וזאת בתאום עם הרשות הלאומית למלחמה בסמים ובאלכוהול).</w:t>
      </w:r>
    </w:p>
    <w:p w:rsidR="000837EB" w:rsidRDefault="000837EB" w:rsidP="00730398">
      <w:pPr>
        <w:pStyle w:val="a2"/>
        <w:rPr>
          <w:rtl/>
        </w:rPr>
      </w:pPr>
      <w:r>
        <w:rPr>
          <w:rFonts w:hint="cs"/>
          <w:rtl/>
        </w:rPr>
        <w:t xml:space="preserve">החלטה זו קובעת גם את הקמתה של ועדת היגוי בינמשרדית למעקב ולתיאום בנושא שעל חבריה נמנים נציגי משרד הבריאות, משרד האוצר, משרד המשפטים, המשרד לבטחון הפנים, משטרת ישראל, משרד החקלאות ופיתוח הכפר, הרשות הלאומית למלחמה בסמים ובאלכוהול והמכס. האחריות ליישום ההחלטה </w:t>
      </w:r>
      <w:r w:rsidR="00730398">
        <w:rPr>
          <w:rFonts w:hint="cs"/>
          <w:rtl/>
        </w:rPr>
        <w:t>נתנה</w:t>
      </w:r>
      <w:r>
        <w:rPr>
          <w:rFonts w:hint="cs"/>
          <w:rtl/>
        </w:rPr>
        <w:t xml:space="preserve"> בידי מנכ"ל משרד הבריאות. פרוטוקולי הדיון של הוועדה הבינמשרדית, בין השאר סביב יישום מודל האסדרה, מוצגים באתר משרד הבריאות.</w:t>
      </w:r>
      <w:r>
        <w:rPr>
          <w:rStyle w:val="ab"/>
          <w:rtl/>
        </w:rPr>
        <w:footnoteReference w:id="353"/>
      </w:r>
    </w:p>
    <w:p w:rsidR="000837EB" w:rsidRDefault="000837EB" w:rsidP="000837EB">
      <w:pPr>
        <w:pStyle w:val="a2"/>
        <w:rPr>
          <w:rtl/>
        </w:rPr>
      </w:pPr>
      <w:r w:rsidRPr="002A1307">
        <w:rPr>
          <w:rFonts w:hint="cs"/>
          <w:b/>
          <w:bCs/>
          <w:rtl/>
        </w:rPr>
        <w:t xml:space="preserve">באפריל 2013 הוקמה היחידה לקנביס רפואי (להלן </w:t>
      </w:r>
      <w:r w:rsidRPr="002A1307">
        <w:rPr>
          <w:b/>
          <w:bCs/>
          <w:rtl/>
        </w:rPr>
        <w:t>–</w:t>
      </w:r>
      <w:r w:rsidRPr="002A1307">
        <w:rPr>
          <w:rFonts w:hint="cs"/>
          <w:b/>
          <w:bCs/>
          <w:rtl/>
        </w:rPr>
        <w:t xml:space="preserve"> יק"ר) באגף הרוקחות שבמשרד הבריאות</w:t>
      </w:r>
      <w:r>
        <w:rPr>
          <w:rFonts w:hint="cs"/>
          <w:rtl/>
        </w:rPr>
        <w:t>.</w:t>
      </w:r>
      <w:r>
        <w:rPr>
          <w:rStyle w:val="ab"/>
          <w:rtl/>
        </w:rPr>
        <w:footnoteReference w:id="354"/>
      </w:r>
      <w:r>
        <w:rPr>
          <w:rFonts w:hint="cs"/>
          <w:rtl/>
        </w:rPr>
        <w:t xml:space="preserve"> היחידה היא הגוף המוסמך במשרד הבריאות להנפקת רשיונות שימוש בקנביס למטרות רפואיות,</w:t>
      </w:r>
      <w:r>
        <w:rPr>
          <w:rStyle w:val="ab"/>
          <w:rtl/>
        </w:rPr>
        <w:footnoteReference w:id="355"/>
      </w:r>
      <w:r>
        <w:rPr>
          <w:rFonts w:hint="cs"/>
          <w:rtl/>
        </w:rPr>
        <w:t xml:space="preserve"> ולבחינת האישור והנפקת הרשיונות לעוסקים בתחום ובכלל זה גופי מחקר.</w:t>
      </w:r>
      <w:r>
        <w:rPr>
          <w:rStyle w:val="ab"/>
          <w:rtl/>
        </w:rPr>
        <w:footnoteReference w:id="356"/>
      </w:r>
      <w:r>
        <w:rPr>
          <w:rFonts w:hint="cs"/>
          <w:rtl/>
        </w:rPr>
        <w:t xml:space="preserve">  יק"ר רואה בקנביס ככל מוצר רפואי אחר החייב בפיקוח ובהסדרה, וכי </w:t>
      </w:r>
      <w:r w:rsidRPr="004031E0">
        <w:rPr>
          <w:rFonts w:hint="cs"/>
          <w:b/>
          <w:bCs/>
          <w:rtl/>
        </w:rPr>
        <w:t>בהנתן הסיווג של קנביס כסם מסוכן, כל הסדר הנוגע לשימוש הרפואי בקנביס בישראל צריך להיות קרוב ככל האפשר להסדרים הנוגעים לשימוש בתרופות נרקוטיות</w:t>
      </w:r>
      <w:r>
        <w:rPr>
          <w:rFonts w:hint="cs"/>
          <w:rtl/>
        </w:rPr>
        <w:t>.</w:t>
      </w:r>
      <w:r>
        <w:rPr>
          <w:rStyle w:val="ab"/>
          <w:rtl/>
        </w:rPr>
        <w:footnoteReference w:id="357"/>
      </w:r>
      <w:r>
        <w:rPr>
          <w:rFonts w:hint="cs"/>
          <w:rtl/>
        </w:rPr>
        <w:t xml:space="preserve"> בה בעת מצהיר משרד הבריאות כי הוא מחוייב להסרת חסמים בכל הנוגע לאספקת הסם למטופלים בו.</w:t>
      </w:r>
      <w:r>
        <w:rPr>
          <w:rStyle w:val="ab"/>
          <w:rtl/>
        </w:rPr>
        <w:footnoteReference w:id="358"/>
      </w:r>
      <w:r>
        <w:rPr>
          <w:rFonts w:hint="cs"/>
          <w:rtl/>
        </w:rPr>
        <w:t xml:space="preserve"> </w:t>
      </w:r>
    </w:p>
    <w:p w:rsidR="000837EB" w:rsidRDefault="000837EB" w:rsidP="000837EB">
      <w:pPr>
        <w:pStyle w:val="a2"/>
        <w:rPr>
          <w:rtl/>
        </w:rPr>
      </w:pPr>
      <w:r>
        <w:rPr>
          <w:rFonts w:hint="cs"/>
          <w:rtl/>
        </w:rPr>
        <w:t>ב- 15 בדצמבר 2013 התקבלה החלטת ממשלה נוספת בנושא, תחת הכותרת "שימוש בקנביס למטרות רפואיות" (החלטה מס' 1050).</w:t>
      </w:r>
      <w:r>
        <w:rPr>
          <w:rStyle w:val="ab"/>
          <w:rtl/>
        </w:rPr>
        <w:footnoteReference w:id="359"/>
      </w:r>
      <w:r>
        <w:rPr>
          <w:rFonts w:hint="cs"/>
          <w:rtl/>
        </w:rPr>
        <w:t xml:space="preserve">  אלו עיקריה:</w:t>
      </w:r>
    </w:p>
    <w:p w:rsidR="000837EB" w:rsidRDefault="000837EB" w:rsidP="00DC2DB0">
      <w:pPr>
        <w:pStyle w:val="a2"/>
        <w:numPr>
          <w:ilvl w:val="0"/>
          <w:numId w:val="22"/>
        </w:numPr>
      </w:pPr>
      <w:r>
        <w:rPr>
          <w:rFonts w:hint="cs"/>
          <w:rtl/>
        </w:rPr>
        <w:t xml:space="preserve">קביעת </w:t>
      </w:r>
      <w:r w:rsidRPr="00206FC6">
        <w:rPr>
          <w:rFonts w:hint="cs"/>
          <w:b/>
          <w:bCs/>
          <w:rtl/>
        </w:rPr>
        <w:t>עדיפות לחיפוש אחר מקורות לייבוא קנביס</w:t>
      </w:r>
      <w:r>
        <w:rPr>
          <w:rFonts w:hint="cs"/>
          <w:rtl/>
        </w:rPr>
        <w:t>, וזאת תחת אחריות משרד הבריאות והרשות הלאומית למלחמה בסמים ובאלכוהול.</w:t>
      </w:r>
    </w:p>
    <w:p w:rsidR="000837EB" w:rsidRDefault="000837EB" w:rsidP="00DC2DB0">
      <w:pPr>
        <w:pStyle w:val="a2"/>
        <w:numPr>
          <w:ilvl w:val="0"/>
          <w:numId w:val="22"/>
        </w:numPr>
      </w:pPr>
      <w:r w:rsidRPr="0059174C">
        <w:rPr>
          <w:rFonts w:hint="cs"/>
          <w:rtl/>
        </w:rPr>
        <w:t>פקודת</w:t>
      </w:r>
      <w:r>
        <w:rPr>
          <w:rFonts w:hint="cs"/>
          <w:rtl/>
        </w:rPr>
        <w:t xml:space="preserve"> הסמים המסוכנים [נוסח חדש], התשל"ג-1973,</w:t>
      </w:r>
      <w:r w:rsidR="0059174C">
        <w:rPr>
          <w:rStyle w:val="ab"/>
          <w:rtl/>
        </w:rPr>
        <w:footnoteReference w:id="360"/>
      </w:r>
      <w:r>
        <w:rPr>
          <w:rFonts w:hint="cs"/>
          <w:rtl/>
        </w:rPr>
        <w:t xml:space="preserve"> </w:t>
      </w:r>
      <w:r w:rsidR="0059174C">
        <w:rPr>
          <w:rFonts w:hint="cs"/>
          <w:rtl/>
        </w:rPr>
        <w:t xml:space="preserve">קובעת כי </w:t>
      </w:r>
      <w:r>
        <w:rPr>
          <w:rFonts w:hint="cs"/>
          <w:rtl/>
        </w:rPr>
        <w:t xml:space="preserve">הסמכות למתן רשיונות פרטניים לייבוא או לגידול של קנביס היא בידי ה"מנהל", שהוא מנכ"ל משרד הבריאות או מי שהוסמך על-ידו. </w:t>
      </w:r>
      <w:r w:rsidR="00C6550A">
        <w:rPr>
          <w:rFonts w:hint="cs"/>
          <w:rtl/>
        </w:rPr>
        <w:t>החלטת הממשלה קובעת כי</w:t>
      </w:r>
      <w:r w:rsidR="0059174C">
        <w:rPr>
          <w:rFonts w:hint="cs"/>
          <w:rtl/>
        </w:rPr>
        <w:t xml:space="preserve"> </w:t>
      </w:r>
      <w:r w:rsidR="0059174C" w:rsidRPr="00206FC6">
        <w:rPr>
          <w:rFonts w:hint="cs"/>
          <w:b/>
          <w:bCs/>
          <w:rtl/>
        </w:rPr>
        <w:t xml:space="preserve">על </w:t>
      </w:r>
      <w:r w:rsidR="00C6550A" w:rsidRPr="00206FC6">
        <w:rPr>
          <w:rFonts w:hint="cs"/>
          <w:b/>
          <w:bCs/>
          <w:rtl/>
        </w:rPr>
        <w:t xml:space="preserve">מנכ"ל משרד הבריאות להסמיך </w:t>
      </w:r>
      <w:r w:rsidR="0059174C" w:rsidRPr="00206FC6">
        <w:rPr>
          <w:rFonts w:hint="cs"/>
          <w:b/>
          <w:bCs/>
          <w:rtl/>
        </w:rPr>
        <w:t>"מנהלים" נוספים</w:t>
      </w:r>
      <w:r w:rsidR="0059174C">
        <w:rPr>
          <w:rFonts w:hint="cs"/>
          <w:rtl/>
        </w:rPr>
        <w:t xml:space="preserve">, </w:t>
      </w:r>
      <w:r w:rsidR="00C6550A">
        <w:rPr>
          <w:rFonts w:hint="cs"/>
          <w:rtl/>
        </w:rPr>
        <w:t xml:space="preserve">שבסמכותם לבחון, ולאשר או לדחות, את המלצות הרופאים המטפלים בדבר הענקת רישיון לשימוש בקנביס למטרות רפואיות, </w:t>
      </w:r>
      <w:r w:rsidR="0059174C" w:rsidRPr="00206FC6">
        <w:rPr>
          <w:rFonts w:hint="cs"/>
          <w:b/>
          <w:bCs/>
          <w:rtl/>
        </w:rPr>
        <w:t>כך שמספרם יג</w:t>
      </w:r>
      <w:r w:rsidR="00C6550A" w:rsidRPr="00206FC6">
        <w:rPr>
          <w:rFonts w:hint="cs"/>
          <w:b/>
          <w:bCs/>
          <w:rtl/>
        </w:rPr>
        <w:t>יע ל- 30 תוך חצי שנה מיום החלטה</w:t>
      </w:r>
      <w:r>
        <w:rPr>
          <w:rFonts w:hint="cs"/>
          <w:rtl/>
        </w:rPr>
        <w:t>.</w:t>
      </w:r>
      <w:r w:rsidR="00C6550A">
        <w:rPr>
          <w:rFonts w:hint="cs"/>
          <w:rtl/>
        </w:rPr>
        <w:t xml:space="preserve"> "מנהלים" אלו הם כולם רופאים.</w:t>
      </w:r>
    </w:p>
    <w:p w:rsidR="000837EB" w:rsidRDefault="000837EB" w:rsidP="00DC2DB0">
      <w:pPr>
        <w:pStyle w:val="a2"/>
        <w:numPr>
          <w:ilvl w:val="0"/>
          <w:numId w:val="22"/>
        </w:numPr>
      </w:pPr>
      <w:r w:rsidRPr="00206FC6">
        <w:rPr>
          <w:rFonts w:hint="cs"/>
          <w:b/>
          <w:bCs/>
          <w:rtl/>
        </w:rPr>
        <w:t>הפעלת מערכת מחשוב עדכנית לניהול רשיונות השימוש בקנביס</w:t>
      </w:r>
      <w:r>
        <w:rPr>
          <w:rFonts w:hint="cs"/>
          <w:rtl/>
        </w:rPr>
        <w:t>, תוך מספר חודשים מיום ההחלטה.</w:t>
      </w:r>
    </w:p>
    <w:p w:rsidR="000837EB" w:rsidRDefault="000837EB" w:rsidP="005D1059">
      <w:pPr>
        <w:pStyle w:val="a2"/>
        <w:numPr>
          <w:ilvl w:val="0"/>
          <w:numId w:val="22"/>
        </w:numPr>
      </w:pPr>
      <w:r>
        <w:rPr>
          <w:rFonts w:hint="cs"/>
          <w:rtl/>
        </w:rPr>
        <w:t>קידום אסדרת הנושא בהתאם למודל ולעקרונות שגובשו על-ידי ועדת ההיגוי הבינמשרדית בנושא. בקצרה, מצהירה החלטת הממשלה כי מטרת מודל האסדרה היא "</w:t>
      </w:r>
      <w:r w:rsidRPr="00206FC6">
        <w:rPr>
          <w:rFonts w:hint="cs"/>
          <w:b/>
          <w:bCs/>
          <w:rtl/>
        </w:rPr>
        <w:t>הפרדה וניתוק קשר ותלות בין מגדלי הקנביס למטופלים, וזאת בניגוד למצב הקיים היום</w:t>
      </w:r>
      <w:r>
        <w:rPr>
          <w:rFonts w:hint="cs"/>
          <w:rtl/>
        </w:rPr>
        <w:t>."</w:t>
      </w:r>
      <w:r>
        <w:rPr>
          <w:rStyle w:val="ab"/>
          <w:rtl/>
        </w:rPr>
        <w:footnoteReference w:id="361"/>
      </w:r>
    </w:p>
    <w:p w:rsidR="000837EB" w:rsidRDefault="000837EB" w:rsidP="00DC2DB0">
      <w:pPr>
        <w:pStyle w:val="a2"/>
        <w:numPr>
          <w:ilvl w:val="0"/>
          <w:numId w:val="22"/>
        </w:numPr>
      </w:pPr>
      <w:r>
        <w:rPr>
          <w:rFonts w:hint="cs"/>
          <w:rtl/>
        </w:rPr>
        <w:t xml:space="preserve">על ועדת ההיגוי לדון בנושא </w:t>
      </w:r>
      <w:r w:rsidRPr="002C08D0">
        <w:rPr>
          <w:rFonts w:hint="cs"/>
          <w:b/>
          <w:bCs/>
          <w:rtl/>
        </w:rPr>
        <w:t>הִתכנות יצוא קנביס רפואי מישראל</w:t>
      </w:r>
      <w:r>
        <w:rPr>
          <w:rFonts w:hint="cs"/>
          <w:rtl/>
        </w:rPr>
        <w:t>, ולהגיש את מסקנותיה בתוך ששה חודשים בפני הממשלה, אשר תקיים דיון בסוגיה ותגבש את עמדתה.</w:t>
      </w:r>
    </w:p>
    <w:p w:rsidR="000837EB" w:rsidRDefault="000837EB" w:rsidP="00DC2DB0">
      <w:pPr>
        <w:pStyle w:val="a2"/>
        <w:numPr>
          <w:ilvl w:val="0"/>
          <w:numId w:val="22"/>
        </w:numPr>
      </w:pPr>
      <w:r w:rsidRPr="00C6550A">
        <w:rPr>
          <w:rFonts w:hint="cs"/>
          <w:b/>
          <w:bCs/>
          <w:rtl/>
        </w:rPr>
        <w:t>על הממשלה לשבת ולבחון שוב החלטה זו שנתיים מיום ההחלטה, ולצורך כך היא מבקשת דיווח בנושא ממשרד הבריאות בתאריך שלא יאוחר מה- 18 בדצמבר 2015</w:t>
      </w:r>
      <w:r>
        <w:rPr>
          <w:rFonts w:hint="cs"/>
          <w:rtl/>
        </w:rPr>
        <w:t>.</w:t>
      </w:r>
    </w:p>
    <w:p w:rsidR="000837EB" w:rsidRDefault="000837EB" w:rsidP="000837EB">
      <w:pPr>
        <w:pStyle w:val="a2"/>
        <w:rPr>
          <w:rtl/>
        </w:rPr>
      </w:pPr>
      <w:r>
        <w:rPr>
          <w:rFonts w:hint="cs"/>
          <w:rtl/>
        </w:rPr>
        <w:t>בנוסף, מציינת ההחלטה כי משרד הבריאות התקשר עם חברת "שראל פתרונות לוגיסטיים ומוצרים לרפואה מתקדמת בע"מ" לצורך הפעלת מערך אספקה, חלוקה וניפוק הקנביס למטרות רפואיות ולמחקר, הכולל את רכישת הקנביס, ייצור מוצרים מאושרים, אחסון, שמירה, הובלה, ניפוק וניהול רוקחי.</w:t>
      </w:r>
      <w:r w:rsidR="00486AA9">
        <w:rPr>
          <w:rStyle w:val="ab"/>
          <w:rtl/>
        </w:rPr>
        <w:footnoteReference w:id="362"/>
      </w:r>
    </w:p>
    <w:p w:rsidR="000837EB" w:rsidRDefault="000837EB" w:rsidP="000837EB">
      <w:pPr>
        <w:pStyle w:val="a2"/>
        <w:rPr>
          <w:rtl/>
        </w:rPr>
      </w:pPr>
      <w:r>
        <w:rPr>
          <w:rFonts w:hint="cs"/>
          <w:rtl/>
        </w:rPr>
        <w:t>על רקע זה להלן מספר נתונים המתארים את הנעשה בתחום כיום, תוך דגש על פעילות יק"ר:</w:t>
      </w:r>
    </w:p>
    <w:p w:rsidR="000837EB" w:rsidRDefault="000837EB" w:rsidP="005D1059">
      <w:pPr>
        <w:pStyle w:val="a2"/>
      </w:pPr>
      <w:r>
        <w:rPr>
          <w:rFonts w:hint="cs"/>
          <w:rtl/>
        </w:rPr>
        <w:t>ביק"ר כיום 4 תקנים: מנהל היחידה, מנהל תחום (ייצור), מנהלת הלשכה, ומרכזת תחום (מטופלים).</w:t>
      </w:r>
      <w:r w:rsidRPr="00574C9D">
        <w:rPr>
          <w:rStyle w:val="ab"/>
          <w:rtl/>
        </w:rPr>
        <w:t xml:space="preserve"> </w:t>
      </w:r>
      <w:r>
        <w:rPr>
          <w:rStyle w:val="ab"/>
          <w:rtl/>
        </w:rPr>
        <w:footnoteReference w:id="363"/>
      </w:r>
      <w:r>
        <w:rPr>
          <w:rFonts w:hint="cs"/>
          <w:rtl/>
        </w:rPr>
        <w:t xml:space="preserve"> בנוסף, מועסקים ביחידה 6 עובדים נוספים, וכן במסגרת מיקור חוץ 4 עובד</w:t>
      </w:r>
      <w:r w:rsidR="005D1059">
        <w:rPr>
          <w:rFonts w:hint="cs"/>
          <w:rtl/>
        </w:rPr>
        <w:t xml:space="preserve">י </w:t>
      </w:r>
      <w:r>
        <w:rPr>
          <w:rFonts w:hint="cs"/>
          <w:rtl/>
        </w:rPr>
        <w:t xml:space="preserve"> מוקד טלפוני ייעודי לתחום הקנביס.</w:t>
      </w:r>
      <w:r w:rsidRPr="00574C9D">
        <w:rPr>
          <w:rStyle w:val="ab"/>
          <w:rtl/>
        </w:rPr>
        <w:t xml:space="preserve"> </w:t>
      </w:r>
      <w:r>
        <w:rPr>
          <w:rStyle w:val="ab"/>
          <w:rtl/>
        </w:rPr>
        <w:footnoteReference w:id="364"/>
      </w:r>
    </w:p>
    <w:p w:rsidR="000837EB" w:rsidRDefault="000837EB" w:rsidP="000837EB">
      <w:pPr>
        <w:pStyle w:val="a2"/>
        <w:rPr>
          <w:rtl/>
        </w:rPr>
      </w:pPr>
      <w:r>
        <w:rPr>
          <w:rFonts w:hint="cs"/>
          <w:rtl/>
        </w:rPr>
        <w:t xml:space="preserve">במרץ 2013 פרסם משרד הבריאות את </w:t>
      </w:r>
      <w:r w:rsidRPr="00841005">
        <w:rPr>
          <w:rFonts w:hint="cs"/>
          <w:b/>
          <w:bCs/>
          <w:rtl/>
        </w:rPr>
        <w:t>נוהל "רישיונות לשימוש בקנביס" (נוהל 106)</w:t>
      </w:r>
      <w:r>
        <w:rPr>
          <w:rFonts w:hint="cs"/>
          <w:b/>
          <w:bCs/>
          <w:rtl/>
        </w:rPr>
        <w:t>.</w:t>
      </w:r>
      <w:r>
        <w:rPr>
          <w:rStyle w:val="ab"/>
          <w:rtl/>
        </w:rPr>
        <w:footnoteReference w:id="365"/>
      </w:r>
      <w:r>
        <w:rPr>
          <w:rFonts w:hint="cs"/>
          <w:rtl/>
        </w:rPr>
        <w:t xml:space="preserve"> הנוהל, שעודכן עד כה פעמיים בכדי לכלול סיבות מחלה נוספות בגינן ניתן לבקש היתר שימוש, מפרט את התנאים הנדרשים לקבלת רישיון לשימוש בקנביס למטרות רפואיות; את נוהל המעקב והדיווח על הרישיון שניתן; את נוהל הפעולה במקרים חריגים; כיצד לנהוג במקרים של בקשת היתר לשימוש בקנביס במינונים של 100 גרם ויותר לחודש; דרכי פניה לבקשה לקבלת רישיון לשימוש או לשינוי המינון; נהלי חידוש רישיון קיים או עדכון פרטיו; והליך הערעורים על החלטות </w:t>
      </w:r>
      <w:r w:rsidRPr="00EE1ECE">
        <w:rPr>
          <w:rFonts w:hint="eastAsia"/>
          <w:rtl/>
        </w:rPr>
        <w:t>ה</w:t>
      </w:r>
      <w:r w:rsidRPr="00EE1ECE">
        <w:rPr>
          <w:rtl/>
        </w:rPr>
        <w:t>"מנהל</w:t>
      </w:r>
      <w:r>
        <w:rPr>
          <w:rFonts w:hint="cs"/>
          <w:rtl/>
        </w:rPr>
        <w:t>" (הרופא שהוסמך על-ידי מנכ"ל משרד הבריאות לבחון את הבקשה ולאשר או לדחות אותה). סעיף 3.1.2 לנוהל קובע כי, "</w:t>
      </w:r>
      <w:r w:rsidRPr="00761E1E">
        <w:rPr>
          <w:rFonts w:hint="cs"/>
          <w:b/>
          <w:bCs/>
          <w:u w:val="single"/>
          <w:rtl/>
        </w:rPr>
        <w:t>ככלל</w:t>
      </w:r>
      <w:r w:rsidRPr="00761E1E">
        <w:rPr>
          <w:rFonts w:hint="cs"/>
          <w:b/>
          <w:bCs/>
          <w:rtl/>
        </w:rPr>
        <w:t>,</w:t>
      </w:r>
      <w:r>
        <w:rPr>
          <w:rFonts w:hint="cs"/>
          <w:rtl/>
        </w:rPr>
        <w:t xml:space="preserve"> </w:t>
      </w:r>
      <w:r w:rsidRPr="00B03FBE">
        <w:rPr>
          <w:rFonts w:hint="cs"/>
          <w:b/>
          <w:bCs/>
          <w:rtl/>
        </w:rPr>
        <w:t>רישיון לשימוש בקנביס לא יינתן אלא לאחר מיצוי הטיפולים המוכרים ובהתוויה</w:t>
      </w:r>
      <w:r>
        <w:rPr>
          <w:rStyle w:val="ab"/>
          <w:b/>
          <w:bCs/>
          <w:rtl/>
        </w:rPr>
        <w:footnoteReference w:id="366"/>
      </w:r>
      <w:r w:rsidRPr="00B03FBE">
        <w:rPr>
          <w:rFonts w:hint="cs"/>
          <w:b/>
          <w:bCs/>
          <w:rtl/>
        </w:rPr>
        <w:t xml:space="preserve"> מוכרת בלבד</w:t>
      </w:r>
      <w:r>
        <w:rPr>
          <w:rFonts w:hint="cs"/>
          <w:rtl/>
        </w:rPr>
        <w:t>." (ההדגשה כך במקור)</w:t>
      </w:r>
      <w:r w:rsidR="00790398">
        <w:rPr>
          <w:rFonts w:hint="cs"/>
          <w:rtl/>
        </w:rPr>
        <w:t>.</w:t>
      </w:r>
      <w:r w:rsidRPr="00545443">
        <w:rPr>
          <w:rStyle w:val="ab"/>
          <w:rtl/>
        </w:rPr>
        <w:t xml:space="preserve"> </w:t>
      </w:r>
      <w:r>
        <w:rPr>
          <w:rStyle w:val="ab"/>
          <w:rtl/>
        </w:rPr>
        <w:footnoteReference w:id="367"/>
      </w:r>
    </w:p>
    <w:p w:rsidR="000837EB" w:rsidRDefault="000837EB" w:rsidP="00AE5AD1">
      <w:pPr>
        <w:pStyle w:val="a2"/>
        <w:rPr>
          <w:rtl/>
        </w:rPr>
      </w:pPr>
      <w:r>
        <w:rPr>
          <w:rFonts w:hint="cs"/>
          <w:rtl/>
        </w:rPr>
        <w:t>כיום, כל רופא מומחה בארץ בתחום מומחיותו רשאי להמליץ למטופל על שימוש בקנביס, בהתאם למפורט בנוהל 106,</w:t>
      </w:r>
      <w:r>
        <w:rPr>
          <w:rStyle w:val="ab"/>
          <w:rtl/>
        </w:rPr>
        <w:footnoteReference w:id="368"/>
      </w:r>
      <w:r>
        <w:rPr>
          <w:rFonts w:hint="cs"/>
          <w:rtl/>
        </w:rPr>
        <w:t xml:space="preserve"> וזאת באמצעות טופס מקוון.</w:t>
      </w:r>
      <w:r>
        <w:rPr>
          <w:rStyle w:val="ab"/>
          <w:rtl/>
        </w:rPr>
        <w:footnoteReference w:id="369"/>
      </w:r>
      <w:r>
        <w:rPr>
          <w:rFonts w:hint="cs"/>
          <w:rtl/>
        </w:rPr>
        <w:t xml:space="preserve"> המלצות הרופאים נבחנות על-ידי רופאים </w:t>
      </w:r>
      <w:r w:rsidRPr="00545443">
        <w:rPr>
          <w:rtl/>
        </w:rPr>
        <w:t>"מנהלים"</w:t>
      </w:r>
      <w:r>
        <w:rPr>
          <w:rFonts w:hint="cs"/>
          <w:rtl/>
        </w:rPr>
        <w:t xml:space="preserve"> מורשים מטעם משרד הבריאות, המאשרים או דוחים את הבקשות.</w:t>
      </w:r>
      <w:r>
        <w:rPr>
          <w:rStyle w:val="ab"/>
          <w:rtl/>
        </w:rPr>
        <w:footnoteReference w:id="370"/>
      </w:r>
      <w:r>
        <w:rPr>
          <w:rFonts w:hint="cs"/>
          <w:rtl/>
        </w:rPr>
        <w:t xml:space="preserve"> נכון ל- 19 במרץ 2015 ישנם </w:t>
      </w:r>
      <w:r>
        <w:rPr>
          <w:rFonts w:hint="cs"/>
          <w:b/>
          <w:bCs/>
          <w:rtl/>
        </w:rPr>
        <w:t xml:space="preserve">36 "מנהלים", </w:t>
      </w:r>
      <w:r w:rsidRPr="00260D82">
        <w:rPr>
          <w:rFonts w:hint="cs"/>
          <w:rtl/>
        </w:rPr>
        <w:t xml:space="preserve">18 מתוכם רופאים אונקולוגיים בבתי-חולים ו- 18 הנוספים פועלים </w:t>
      </w:r>
      <w:r>
        <w:rPr>
          <w:rFonts w:hint="cs"/>
          <w:rtl/>
        </w:rPr>
        <w:t>ב</w:t>
      </w:r>
      <w:r w:rsidRPr="00260D82">
        <w:rPr>
          <w:rFonts w:hint="cs"/>
          <w:rtl/>
        </w:rPr>
        <w:t>יק"ר</w:t>
      </w:r>
      <w:r>
        <w:rPr>
          <w:rFonts w:hint="cs"/>
          <w:rtl/>
        </w:rPr>
        <w:t xml:space="preserve"> עצמה</w:t>
      </w:r>
      <w:r w:rsidRPr="00260D82">
        <w:rPr>
          <w:rFonts w:hint="cs"/>
          <w:rtl/>
        </w:rPr>
        <w:t>.</w:t>
      </w:r>
      <w:r w:rsidR="00144EA6">
        <w:rPr>
          <w:rStyle w:val="ab"/>
          <w:rtl/>
        </w:rPr>
        <w:footnoteReference w:id="371"/>
      </w:r>
    </w:p>
    <w:p w:rsidR="000837EB" w:rsidRDefault="000837EB" w:rsidP="00144EA6">
      <w:pPr>
        <w:rPr>
          <w:rtl/>
        </w:rPr>
      </w:pPr>
      <w:r>
        <w:rPr>
          <w:rFonts w:hint="cs"/>
          <w:rtl/>
        </w:rPr>
        <w:t xml:space="preserve">משרד הבריאות מסר בתשובתו למרכז המחקר והמידע </w:t>
      </w:r>
      <w:r w:rsidR="005D1059">
        <w:rPr>
          <w:rFonts w:hint="cs"/>
          <w:rtl/>
        </w:rPr>
        <w:t xml:space="preserve">של הכנסת </w:t>
      </w:r>
      <w:r>
        <w:rPr>
          <w:rFonts w:hint="cs"/>
          <w:rtl/>
        </w:rPr>
        <w:t xml:space="preserve">כי </w:t>
      </w:r>
      <w:r w:rsidRPr="007F338B">
        <w:rPr>
          <w:rFonts w:hint="cs"/>
          <w:b/>
          <w:bCs/>
          <w:rtl/>
        </w:rPr>
        <w:t xml:space="preserve">נכון ל- 19 במרץ 2015 </w:t>
      </w:r>
      <w:r>
        <w:rPr>
          <w:rFonts w:hint="cs"/>
          <w:b/>
          <w:bCs/>
          <w:rtl/>
        </w:rPr>
        <w:t>ישנם</w:t>
      </w:r>
      <w:r w:rsidRPr="007F338B">
        <w:rPr>
          <w:rFonts w:hint="cs"/>
          <w:b/>
          <w:bCs/>
          <w:rtl/>
        </w:rPr>
        <w:t xml:space="preserve"> בישראל</w:t>
      </w:r>
      <w:r>
        <w:rPr>
          <w:rFonts w:hint="cs"/>
          <w:rtl/>
        </w:rPr>
        <w:t xml:space="preserve"> </w:t>
      </w:r>
      <w:r w:rsidRPr="00BD3F9F">
        <w:rPr>
          <w:rFonts w:hint="cs"/>
          <w:b/>
          <w:bCs/>
          <w:rtl/>
        </w:rPr>
        <w:t xml:space="preserve">21,393 </w:t>
      </w:r>
      <w:r>
        <w:rPr>
          <w:rFonts w:hint="cs"/>
          <w:b/>
          <w:bCs/>
          <w:rtl/>
        </w:rPr>
        <w:t>רישיונות בתוקף לשימוש בקנביס למטרות רפואיות</w:t>
      </w:r>
      <w:r>
        <w:rPr>
          <w:rFonts w:hint="cs"/>
          <w:rtl/>
        </w:rPr>
        <w:t>.</w:t>
      </w:r>
      <w:r>
        <w:rPr>
          <w:rStyle w:val="ab"/>
          <w:noProof/>
          <w:rtl/>
        </w:rPr>
        <w:footnoteReference w:id="372"/>
      </w:r>
      <w:r>
        <w:rPr>
          <w:rFonts w:hint="cs"/>
          <w:b/>
          <w:bCs/>
          <w:rtl/>
        </w:rPr>
        <w:t xml:space="preserve"> </w:t>
      </w:r>
      <w:r>
        <w:rPr>
          <w:rFonts w:hint="cs"/>
          <w:rtl/>
        </w:rPr>
        <w:t>מספר זה</w:t>
      </w:r>
      <w:r w:rsidR="00144EA6">
        <w:rPr>
          <w:rFonts w:hint="cs"/>
          <w:rtl/>
        </w:rPr>
        <w:t xml:space="preserve"> אינו מדוייק מאחר ו</w:t>
      </w:r>
      <w:r w:rsidRPr="00BD3F9F">
        <w:rPr>
          <w:rFonts w:hint="cs"/>
          <w:b/>
          <w:bCs/>
          <w:rtl/>
        </w:rPr>
        <w:t xml:space="preserve">הוא סכימה של מספר הרשיונות שהוענקו ישירות על-ידי יק"ר (14,160) </w:t>
      </w:r>
      <w:r w:rsidRPr="00BD3F9F">
        <w:rPr>
          <w:rFonts w:hint="cs"/>
          <w:b/>
          <w:bCs/>
          <w:u w:val="single"/>
          <w:rtl/>
        </w:rPr>
        <w:t>והערכה בלבד</w:t>
      </w:r>
      <w:r>
        <w:rPr>
          <w:rFonts w:hint="cs"/>
          <w:b/>
          <w:bCs/>
          <w:rtl/>
        </w:rPr>
        <w:t xml:space="preserve"> של משרד הבריאות בדבר מספר </w:t>
      </w:r>
      <w:r w:rsidRPr="00BD3F9F">
        <w:rPr>
          <w:rFonts w:hint="cs"/>
          <w:b/>
          <w:bCs/>
          <w:rtl/>
        </w:rPr>
        <w:t xml:space="preserve">הרשיונות שהוענקו </w:t>
      </w:r>
      <w:r>
        <w:rPr>
          <w:rFonts w:hint="cs"/>
          <w:b/>
          <w:bCs/>
          <w:rtl/>
        </w:rPr>
        <w:t xml:space="preserve">באותה התקופה </w:t>
      </w:r>
      <w:r w:rsidRPr="00BD3F9F">
        <w:rPr>
          <w:rFonts w:hint="cs"/>
          <w:b/>
          <w:bCs/>
          <w:rtl/>
        </w:rPr>
        <w:t>על-ידי המערכת האונקולוגית בבתי-החולים (7,333).</w:t>
      </w:r>
      <w:r>
        <w:rPr>
          <w:rStyle w:val="ab"/>
          <w:rtl/>
        </w:rPr>
        <w:footnoteReference w:id="373"/>
      </w:r>
      <w:r>
        <w:rPr>
          <w:rFonts w:hint="cs"/>
          <w:rtl/>
        </w:rPr>
        <w:t xml:space="preserve">  המשרד קובע כי מספר זה מהווה עליה לעומת שנים קודמות, </w:t>
      </w:r>
      <w:r w:rsidR="00AE5AD1">
        <w:rPr>
          <w:rFonts w:hint="cs"/>
          <w:rtl/>
        </w:rPr>
        <w:t>ו</w:t>
      </w:r>
      <w:r>
        <w:rPr>
          <w:rFonts w:hint="cs"/>
          <w:rtl/>
        </w:rPr>
        <w:t>מסביר את העליה במספר ההיתרים כתולדה של הליך האסדרה המדגיש הנחיות ברורו</w:t>
      </w:r>
      <w:r w:rsidR="00AE5AD1">
        <w:rPr>
          <w:rFonts w:hint="cs"/>
          <w:rtl/>
        </w:rPr>
        <w:t>ת, שקיפות ונגישות למידע, שהובילו בתורן</w:t>
      </w:r>
      <w:r>
        <w:rPr>
          <w:rFonts w:hint="cs"/>
          <w:rtl/>
        </w:rPr>
        <w:t xml:space="preserve"> לעליה במספר החולים הפונים, מספר הרופאים הממליצים ומכאן </w:t>
      </w:r>
      <w:r>
        <w:rPr>
          <w:rtl/>
        </w:rPr>
        <w:t>–</w:t>
      </w:r>
      <w:r>
        <w:rPr>
          <w:rFonts w:hint="cs"/>
          <w:rtl/>
        </w:rPr>
        <w:t xml:space="preserve"> מספר המטופלים.</w:t>
      </w:r>
      <w:r>
        <w:rPr>
          <w:rStyle w:val="ab"/>
          <w:rtl/>
        </w:rPr>
        <w:footnoteReference w:id="374"/>
      </w:r>
      <w:r>
        <w:rPr>
          <w:rFonts w:hint="cs"/>
          <w:rtl/>
        </w:rPr>
        <w:t xml:space="preserve">  </w:t>
      </w:r>
    </w:p>
    <w:p w:rsidR="000837EB" w:rsidRDefault="000837EB" w:rsidP="00C435CF">
      <w:pPr>
        <w:rPr>
          <w:rtl/>
        </w:rPr>
      </w:pPr>
      <w:r w:rsidRPr="001471E7">
        <w:rPr>
          <w:rFonts w:hint="cs"/>
          <w:rtl/>
        </w:rPr>
        <w:t xml:space="preserve">טבלה מס' </w:t>
      </w:r>
      <w:r w:rsidR="00C435CF">
        <w:rPr>
          <w:rFonts w:hint="cs"/>
          <w:rtl/>
        </w:rPr>
        <w:t>20</w:t>
      </w:r>
      <w:r w:rsidRPr="001471E7">
        <w:rPr>
          <w:rFonts w:hint="cs"/>
          <w:rtl/>
        </w:rPr>
        <w:t xml:space="preserve"> מציגה את פעילות </w:t>
      </w:r>
      <w:r w:rsidR="001471E7">
        <w:rPr>
          <w:rFonts w:hint="cs"/>
          <w:rtl/>
        </w:rPr>
        <w:t xml:space="preserve">יק"ר בלבד בתחום בקשות המטופלים, כלומר </w:t>
      </w:r>
      <w:r w:rsidR="001471E7">
        <w:rPr>
          <w:rtl/>
        </w:rPr>
        <w:t>–</w:t>
      </w:r>
      <w:r w:rsidR="001471E7">
        <w:rPr>
          <w:rFonts w:hint="cs"/>
          <w:rtl/>
        </w:rPr>
        <w:t xml:space="preserve"> ללא פעילות ה"מנהלים" המורשים במחלקות האונקולוגיות בבתי-החולים, </w:t>
      </w:r>
      <w:r w:rsidRPr="001471E7">
        <w:rPr>
          <w:rFonts w:hint="cs"/>
          <w:rtl/>
        </w:rPr>
        <w:t>וזאת בהשוואה בין הפעילות</w:t>
      </w:r>
      <w:r>
        <w:rPr>
          <w:rFonts w:hint="cs"/>
          <w:rtl/>
        </w:rPr>
        <w:t xml:space="preserve"> במהלך חודש ינואר 2014 לינואר 2015.</w:t>
      </w:r>
      <w:r w:rsidR="001471E7">
        <w:rPr>
          <w:rFonts w:hint="cs"/>
          <w:rtl/>
        </w:rPr>
        <w:t xml:space="preserve"> </w:t>
      </w:r>
      <w:r w:rsidR="001471E7" w:rsidRPr="00ED101C">
        <w:rPr>
          <w:rFonts w:hint="cs"/>
          <w:b/>
          <w:bCs/>
          <w:rtl/>
        </w:rPr>
        <w:t>אין להסיק ממספרים אלו בנוגע למגמות כלליות, וזאת מאחר והם מתייחסים לנתוני חודש אחד בלבד (ינואר) בשנים 2014 ו- 2015</w:t>
      </w:r>
      <w:r w:rsidR="001471E7">
        <w:rPr>
          <w:rFonts w:hint="cs"/>
          <w:rtl/>
        </w:rPr>
        <w:t>.</w:t>
      </w:r>
    </w:p>
    <w:p w:rsidR="000837EB" w:rsidRDefault="000837EB" w:rsidP="000837EB">
      <w:pPr>
        <w:pStyle w:val="af2"/>
        <w:jc w:val="center"/>
        <w:rPr>
          <w:sz w:val="24"/>
          <w:szCs w:val="24"/>
          <w:rtl/>
        </w:rPr>
      </w:pPr>
      <w:r w:rsidRPr="00ED59C4">
        <w:rPr>
          <w:sz w:val="24"/>
          <w:szCs w:val="24"/>
          <w:rtl/>
        </w:rPr>
        <w:t xml:space="preserve">טבלה </w:t>
      </w:r>
      <w:r w:rsidR="00F3448E" w:rsidRPr="00ED59C4">
        <w:rPr>
          <w:sz w:val="24"/>
          <w:szCs w:val="24"/>
          <w:rtl/>
        </w:rPr>
        <w:fldChar w:fldCharType="begin"/>
      </w:r>
      <w:r w:rsidRPr="00ED59C4">
        <w:rPr>
          <w:sz w:val="24"/>
          <w:szCs w:val="24"/>
          <w:rtl/>
        </w:rPr>
        <w:instrText xml:space="preserve"> </w:instrText>
      </w:r>
      <w:r w:rsidRPr="00ED59C4">
        <w:rPr>
          <w:sz w:val="24"/>
          <w:szCs w:val="24"/>
        </w:rPr>
        <w:instrText>SEQ</w:instrText>
      </w:r>
      <w:r w:rsidRPr="00ED59C4">
        <w:rPr>
          <w:sz w:val="24"/>
          <w:szCs w:val="24"/>
          <w:rtl/>
        </w:rPr>
        <w:instrText xml:space="preserve"> טבלה \* </w:instrText>
      </w:r>
      <w:r w:rsidRPr="00ED59C4">
        <w:rPr>
          <w:sz w:val="24"/>
          <w:szCs w:val="24"/>
        </w:rPr>
        <w:instrText>ARABIC</w:instrText>
      </w:r>
      <w:r w:rsidRPr="00ED59C4">
        <w:rPr>
          <w:sz w:val="24"/>
          <w:szCs w:val="24"/>
          <w:rtl/>
        </w:rPr>
        <w:instrText xml:space="preserve"> </w:instrText>
      </w:r>
      <w:r w:rsidR="00F3448E" w:rsidRPr="00ED59C4">
        <w:rPr>
          <w:sz w:val="24"/>
          <w:szCs w:val="24"/>
          <w:rtl/>
        </w:rPr>
        <w:fldChar w:fldCharType="separate"/>
      </w:r>
      <w:r w:rsidR="007347AB">
        <w:rPr>
          <w:noProof/>
          <w:sz w:val="24"/>
          <w:szCs w:val="24"/>
          <w:rtl/>
        </w:rPr>
        <w:t>20</w:t>
      </w:r>
      <w:r w:rsidR="00F3448E" w:rsidRPr="00ED59C4">
        <w:rPr>
          <w:sz w:val="24"/>
          <w:szCs w:val="24"/>
          <w:rtl/>
        </w:rPr>
        <w:fldChar w:fldCharType="end"/>
      </w:r>
      <w:r w:rsidRPr="00ED59C4">
        <w:rPr>
          <w:rFonts w:hint="cs"/>
          <w:sz w:val="24"/>
          <w:szCs w:val="24"/>
          <w:rtl/>
        </w:rPr>
        <w:t xml:space="preserve">: פעילות יק"ר בתחום בקשות </w:t>
      </w:r>
      <w:r>
        <w:rPr>
          <w:rFonts w:hint="cs"/>
          <w:sz w:val="24"/>
          <w:szCs w:val="24"/>
          <w:rtl/>
        </w:rPr>
        <w:t>להיתרי שימוש</w:t>
      </w:r>
      <w:r w:rsidRPr="00ED59C4">
        <w:rPr>
          <w:rFonts w:hint="cs"/>
          <w:sz w:val="24"/>
          <w:szCs w:val="24"/>
          <w:rtl/>
        </w:rPr>
        <w:t>, ינואר 2014 לעומת ינואר 2015</w:t>
      </w:r>
      <w:r>
        <w:rPr>
          <w:rStyle w:val="ab"/>
          <w:sz w:val="24"/>
          <w:szCs w:val="24"/>
          <w:rtl/>
        </w:rPr>
        <w:footnoteReference w:id="375"/>
      </w:r>
    </w:p>
    <w:tbl>
      <w:tblPr>
        <w:tblStyle w:val="afff5"/>
        <w:bidiVisual/>
        <w:tblW w:w="0" w:type="auto"/>
        <w:tblCellSpacing w:w="20" w:type="dxa"/>
        <w:tblInd w:w="1387"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1726"/>
        <w:gridCol w:w="1396"/>
        <w:gridCol w:w="1396"/>
        <w:gridCol w:w="991"/>
        <w:gridCol w:w="1291"/>
      </w:tblGrid>
      <w:tr w:rsidR="002B4D1C" w:rsidRPr="002B4D1C" w:rsidTr="002B4D1C">
        <w:trPr>
          <w:tblCellSpacing w:w="20" w:type="dxa"/>
        </w:trPr>
        <w:tc>
          <w:tcPr>
            <w:tcW w:w="1666" w:type="dxa"/>
            <w:vMerge w:val="restart"/>
            <w:shd w:val="clear" w:color="auto" w:fill="auto"/>
            <w:vAlign w:val="center"/>
          </w:tcPr>
          <w:p w:rsidR="002B4D1C" w:rsidRPr="002B4D1C" w:rsidRDefault="002B4D1C" w:rsidP="002B4D1C">
            <w:pPr>
              <w:spacing w:before="60" w:after="0" w:line="240" w:lineRule="auto"/>
              <w:jc w:val="center"/>
              <w:rPr>
                <w:b/>
                <w:bCs/>
                <w:sz w:val="22"/>
                <w:szCs w:val="22"/>
                <w:rtl/>
              </w:rPr>
            </w:pPr>
            <w:r w:rsidRPr="002B4D1C">
              <w:rPr>
                <w:rFonts w:hint="cs"/>
                <w:b/>
                <w:bCs/>
                <w:sz w:val="22"/>
                <w:szCs w:val="22"/>
                <w:rtl/>
              </w:rPr>
              <w:t>סוג הבקשה</w:t>
            </w:r>
          </w:p>
        </w:tc>
        <w:tc>
          <w:tcPr>
            <w:tcW w:w="2752" w:type="dxa"/>
            <w:gridSpan w:val="2"/>
            <w:shd w:val="clear" w:color="auto" w:fill="auto"/>
            <w:vAlign w:val="center"/>
          </w:tcPr>
          <w:p w:rsidR="002B4D1C" w:rsidRPr="002B4D1C" w:rsidRDefault="002B4D1C" w:rsidP="002B4D1C">
            <w:pPr>
              <w:spacing w:before="60" w:after="0" w:line="240" w:lineRule="auto"/>
              <w:jc w:val="center"/>
              <w:rPr>
                <w:b/>
                <w:bCs/>
                <w:sz w:val="22"/>
                <w:szCs w:val="22"/>
                <w:rtl/>
              </w:rPr>
            </w:pPr>
            <w:r w:rsidRPr="002B4D1C">
              <w:rPr>
                <w:rFonts w:hint="cs"/>
                <w:b/>
                <w:bCs/>
                <w:sz w:val="22"/>
                <w:szCs w:val="22"/>
                <w:rtl/>
              </w:rPr>
              <w:t>ינואר 2014</w:t>
            </w:r>
          </w:p>
        </w:tc>
        <w:tc>
          <w:tcPr>
            <w:tcW w:w="2222" w:type="dxa"/>
            <w:gridSpan w:val="2"/>
            <w:shd w:val="clear" w:color="auto" w:fill="auto"/>
            <w:vAlign w:val="center"/>
          </w:tcPr>
          <w:p w:rsidR="002B4D1C" w:rsidRPr="002B4D1C" w:rsidRDefault="002B4D1C" w:rsidP="002B4D1C">
            <w:pPr>
              <w:spacing w:before="60" w:after="0" w:line="240" w:lineRule="auto"/>
              <w:jc w:val="center"/>
              <w:rPr>
                <w:b/>
                <w:bCs/>
                <w:sz w:val="22"/>
                <w:szCs w:val="22"/>
                <w:rtl/>
              </w:rPr>
            </w:pPr>
            <w:r w:rsidRPr="002B4D1C">
              <w:rPr>
                <w:rFonts w:hint="cs"/>
                <w:b/>
                <w:bCs/>
                <w:sz w:val="22"/>
                <w:szCs w:val="22"/>
                <w:rtl/>
              </w:rPr>
              <w:t>ינואר 2015</w:t>
            </w:r>
          </w:p>
        </w:tc>
      </w:tr>
      <w:tr w:rsidR="002B4D1C" w:rsidRPr="002B4D1C" w:rsidTr="002B4D1C">
        <w:trPr>
          <w:trHeight w:val="683"/>
          <w:tblCellSpacing w:w="20" w:type="dxa"/>
        </w:trPr>
        <w:tc>
          <w:tcPr>
            <w:tcW w:w="1666" w:type="dxa"/>
            <w:vMerge/>
            <w:shd w:val="clear" w:color="auto" w:fill="auto"/>
            <w:vAlign w:val="center"/>
          </w:tcPr>
          <w:p w:rsidR="002B4D1C" w:rsidRPr="002B4D1C" w:rsidRDefault="002B4D1C" w:rsidP="002B4D1C">
            <w:pPr>
              <w:spacing w:before="60" w:after="0" w:line="240" w:lineRule="auto"/>
              <w:jc w:val="center"/>
              <w:rPr>
                <w:b/>
                <w:bCs/>
                <w:sz w:val="22"/>
                <w:szCs w:val="22"/>
                <w:rtl/>
              </w:rPr>
            </w:pPr>
          </w:p>
        </w:tc>
        <w:tc>
          <w:tcPr>
            <w:tcW w:w="1356" w:type="dxa"/>
            <w:shd w:val="clear" w:color="auto" w:fill="auto"/>
            <w:vAlign w:val="center"/>
          </w:tcPr>
          <w:p w:rsidR="002B4D1C" w:rsidRPr="002B4D1C" w:rsidRDefault="002B4D1C" w:rsidP="002B4D1C">
            <w:pPr>
              <w:spacing w:before="60" w:after="0" w:line="240" w:lineRule="auto"/>
              <w:jc w:val="center"/>
              <w:rPr>
                <w:b/>
                <w:bCs/>
                <w:sz w:val="22"/>
                <w:szCs w:val="22"/>
                <w:rtl/>
              </w:rPr>
            </w:pPr>
            <w:r w:rsidRPr="002B4D1C">
              <w:rPr>
                <w:rFonts w:hint="cs"/>
                <w:b/>
                <w:bCs/>
                <w:sz w:val="22"/>
                <w:szCs w:val="22"/>
                <w:rtl/>
              </w:rPr>
              <w:t>אושרו</w:t>
            </w:r>
          </w:p>
        </w:tc>
        <w:tc>
          <w:tcPr>
            <w:tcW w:w="1356" w:type="dxa"/>
            <w:shd w:val="clear" w:color="auto" w:fill="auto"/>
            <w:vAlign w:val="center"/>
          </w:tcPr>
          <w:p w:rsidR="002B4D1C" w:rsidRPr="002B4D1C" w:rsidRDefault="002B4D1C" w:rsidP="002B4D1C">
            <w:pPr>
              <w:spacing w:before="60" w:after="0" w:line="240" w:lineRule="auto"/>
              <w:jc w:val="center"/>
              <w:rPr>
                <w:b/>
                <w:bCs/>
                <w:sz w:val="22"/>
                <w:szCs w:val="22"/>
                <w:rtl/>
              </w:rPr>
            </w:pPr>
            <w:r w:rsidRPr="002B4D1C">
              <w:rPr>
                <w:rFonts w:hint="cs"/>
                <w:b/>
                <w:bCs/>
                <w:sz w:val="22"/>
                <w:szCs w:val="22"/>
                <w:rtl/>
              </w:rPr>
              <w:t>לא אושרו</w:t>
            </w:r>
          </w:p>
        </w:tc>
        <w:tc>
          <w:tcPr>
            <w:tcW w:w="951" w:type="dxa"/>
            <w:shd w:val="clear" w:color="auto" w:fill="auto"/>
            <w:vAlign w:val="center"/>
          </w:tcPr>
          <w:p w:rsidR="002B4D1C" w:rsidRPr="002B4D1C" w:rsidRDefault="002B4D1C" w:rsidP="002B4D1C">
            <w:pPr>
              <w:spacing w:before="60" w:after="0" w:line="240" w:lineRule="auto"/>
              <w:jc w:val="center"/>
              <w:rPr>
                <w:b/>
                <w:bCs/>
                <w:sz w:val="22"/>
                <w:szCs w:val="22"/>
                <w:rtl/>
              </w:rPr>
            </w:pPr>
            <w:r w:rsidRPr="002B4D1C">
              <w:rPr>
                <w:rFonts w:hint="cs"/>
                <w:b/>
                <w:bCs/>
                <w:sz w:val="22"/>
                <w:szCs w:val="22"/>
                <w:rtl/>
              </w:rPr>
              <w:t>אושרו</w:t>
            </w:r>
          </w:p>
        </w:tc>
        <w:tc>
          <w:tcPr>
            <w:tcW w:w="1231" w:type="dxa"/>
            <w:shd w:val="clear" w:color="auto" w:fill="auto"/>
            <w:vAlign w:val="center"/>
          </w:tcPr>
          <w:p w:rsidR="002B4D1C" w:rsidRPr="002B4D1C" w:rsidRDefault="002B4D1C" w:rsidP="002B4D1C">
            <w:pPr>
              <w:spacing w:before="60" w:after="0" w:line="240" w:lineRule="auto"/>
              <w:jc w:val="center"/>
              <w:rPr>
                <w:b/>
                <w:bCs/>
                <w:sz w:val="22"/>
                <w:szCs w:val="22"/>
                <w:rtl/>
              </w:rPr>
            </w:pPr>
            <w:r w:rsidRPr="002B4D1C">
              <w:rPr>
                <w:rFonts w:hint="cs"/>
                <w:b/>
                <w:bCs/>
                <w:sz w:val="22"/>
                <w:szCs w:val="22"/>
                <w:rtl/>
              </w:rPr>
              <w:t>לא אושרו</w:t>
            </w:r>
          </w:p>
        </w:tc>
      </w:tr>
      <w:tr w:rsidR="000837EB" w:rsidRPr="002B4D1C" w:rsidTr="002B4D1C">
        <w:trPr>
          <w:trHeight w:val="683"/>
          <w:tblCellSpacing w:w="20" w:type="dxa"/>
        </w:trPr>
        <w:tc>
          <w:tcPr>
            <w:tcW w:w="1666" w:type="dxa"/>
            <w:shd w:val="clear" w:color="auto" w:fill="auto"/>
            <w:vAlign w:val="center"/>
          </w:tcPr>
          <w:p w:rsidR="000837EB" w:rsidRPr="002B4D1C" w:rsidRDefault="000837EB" w:rsidP="002B4D1C">
            <w:pPr>
              <w:spacing w:before="60" w:after="0" w:line="240" w:lineRule="auto"/>
              <w:jc w:val="center"/>
              <w:rPr>
                <w:b/>
                <w:bCs/>
                <w:sz w:val="22"/>
                <w:szCs w:val="22"/>
                <w:rtl/>
              </w:rPr>
            </w:pPr>
            <w:r w:rsidRPr="002B4D1C">
              <w:rPr>
                <w:rFonts w:hint="cs"/>
                <w:b/>
                <w:bCs/>
                <w:sz w:val="22"/>
                <w:szCs w:val="22"/>
                <w:rtl/>
              </w:rPr>
              <w:t>בקשות חדשות</w:t>
            </w:r>
          </w:p>
        </w:tc>
        <w:tc>
          <w:tcPr>
            <w:tcW w:w="1356" w:type="dxa"/>
            <w:shd w:val="clear" w:color="auto" w:fill="auto"/>
            <w:vAlign w:val="center"/>
          </w:tcPr>
          <w:p w:rsidR="000837EB" w:rsidRPr="002B4D1C" w:rsidRDefault="000837EB" w:rsidP="002B4D1C">
            <w:pPr>
              <w:spacing w:before="60" w:after="0" w:line="240" w:lineRule="auto"/>
              <w:jc w:val="center"/>
              <w:rPr>
                <w:sz w:val="22"/>
                <w:szCs w:val="22"/>
                <w:rtl/>
              </w:rPr>
            </w:pPr>
            <w:r w:rsidRPr="002B4D1C">
              <w:rPr>
                <w:rFonts w:hint="cs"/>
                <w:sz w:val="22"/>
                <w:szCs w:val="22"/>
                <w:rtl/>
              </w:rPr>
              <w:t>266</w:t>
            </w:r>
          </w:p>
          <w:p w:rsidR="000837EB" w:rsidRPr="002B4D1C" w:rsidRDefault="000837EB" w:rsidP="002B4D1C">
            <w:pPr>
              <w:spacing w:before="60" w:after="0" w:line="240" w:lineRule="auto"/>
              <w:jc w:val="center"/>
              <w:rPr>
                <w:sz w:val="22"/>
                <w:szCs w:val="22"/>
                <w:rtl/>
              </w:rPr>
            </w:pPr>
            <w:r w:rsidRPr="002B4D1C">
              <w:rPr>
                <w:rFonts w:hint="cs"/>
                <w:sz w:val="22"/>
                <w:szCs w:val="22"/>
                <w:rtl/>
              </w:rPr>
              <w:t>(70%)</w:t>
            </w:r>
          </w:p>
        </w:tc>
        <w:tc>
          <w:tcPr>
            <w:tcW w:w="1356" w:type="dxa"/>
            <w:shd w:val="clear" w:color="auto" w:fill="auto"/>
            <w:vAlign w:val="center"/>
          </w:tcPr>
          <w:p w:rsidR="000837EB" w:rsidRPr="002B4D1C" w:rsidRDefault="000837EB" w:rsidP="002B4D1C">
            <w:pPr>
              <w:spacing w:before="60" w:after="0" w:line="240" w:lineRule="auto"/>
              <w:jc w:val="center"/>
              <w:rPr>
                <w:sz w:val="22"/>
                <w:szCs w:val="22"/>
                <w:rtl/>
              </w:rPr>
            </w:pPr>
            <w:r w:rsidRPr="002B4D1C">
              <w:rPr>
                <w:rFonts w:hint="cs"/>
                <w:sz w:val="22"/>
                <w:szCs w:val="22"/>
                <w:rtl/>
              </w:rPr>
              <w:t>114</w:t>
            </w:r>
          </w:p>
          <w:p w:rsidR="000837EB" w:rsidRPr="002B4D1C" w:rsidRDefault="000837EB" w:rsidP="002B4D1C">
            <w:pPr>
              <w:spacing w:before="60" w:after="0" w:line="240" w:lineRule="auto"/>
              <w:jc w:val="center"/>
              <w:rPr>
                <w:sz w:val="22"/>
                <w:szCs w:val="22"/>
                <w:rtl/>
              </w:rPr>
            </w:pPr>
            <w:r w:rsidRPr="002B4D1C">
              <w:rPr>
                <w:rFonts w:hint="cs"/>
                <w:sz w:val="22"/>
                <w:szCs w:val="22"/>
                <w:rtl/>
              </w:rPr>
              <w:t>(30%)</w:t>
            </w:r>
          </w:p>
        </w:tc>
        <w:tc>
          <w:tcPr>
            <w:tcW w:w="951" w:type="dxa"/>
            <w:shd w:val="clear" w:color="auto" w:fill="auto"/>
            <w:vAlign w:val="center"/>
          </w:tcPr>
          <w:p w:rsidR="000837EB" w:rsidRPr="002B4D1C" w:rsidRDefault="000837EB" w:rsidP="002B4D1C">
            <w:pPr>
              <w:spacing w:before="60" w:after="0" w:line="240" w:lineRule="auto"/>
              <w:jc w:val="center"/>
              <w:rPr>
                <w:sz w:val="22"/>
                <w:szCs w:val="22"/>
                <w:rtl/>
              </w:rPr>
            </w:pPr>
            <w:r w:rsidRPr="002B4D1C">
              <w:rPr>
                <w:rFonts w:hint="cs"/>
                <w:sz w:val="22"/>
                <w:szCs w:val="22"/>
                <w:rtl/>
              </w:rPr>
              <w:t>273</w:t>
            </w:r>
          </w:p>
          <w:p w:rsidR="000837EB" w:rsidRPr="002B4D1C" w:rsidRDefault="000837EB" w:rsidP="002B4D1C">
            <w:pPr>
              <w:spacing w:before="60" w:after="0" w:line="240" w:lineRule="auto"/>
              <w:jc w:val="center"/>
              <w:rPr>
                <w:sz w:val="22"/>
                <w:szCs w:val="22"/>
                <w:rtl/>
              </w:rPr>
            </w:pPr>
            <w:r w:rsidRPr="002B4D1C">
              <w:rPr>
                <w:rFonts w:hint="cs"/>
                <w:sz w:val="22"/>
                <w:szCs w:val="22"/>
                <w:rtl/>
              </w:rPr>
              <w:t>(55%)</w:t>
            </w:r>
          </w:p>
        </w:tc>
        <w:tc>
          <w:tcPr>
            <w:tcW w:w="1231" w:type="dxa"/>
            <w:shd w:val="clear" w:color="auto" w:fill="auto"/>
            <w:vAlign w:val="center"/>
          </w:tcPr>
          <w:p w:rsidR="000837EB" w:rsidRPr="002B4D1C" w:rsidRDefault="000837EB" w:rsidP="002B4D1C">
            <w:pPr>
              <w:spacing w:before="60" w:after="0" w:line="240" w:lineRule="auto"/>
              <w:jc w:val="center"/>
              <w:rPr>
                <w:sz w:val="22"/>
                <w:szCs w:val="22"/>
                <w:rtl/>
              </w:rPr>
            </w:pPr>
            <w:r w:rsidRPr="002B4D1C">
              <w:rPr>
                <w:rFonts w:hint="cs"/>
                <w:sz w:val="22"/>
                <w:szCs w:val="22"/>
                <w:rtl/>
              </w:rPr>
              <w:t>220</w:t>
            </w:r>
          </w:p>
          <w:p w:rsidR="000837EB" w:rsidRPr="002B4D1C" w:rsidRDefault="000837EB" w:rsidP="002B4D1C">
            <w:pPr>
              <w:spacing w:before="60" w:after="0" w:line="240" w:lineRule="auto"/>
              <w:jc w:val="center"/>
              <w:rPr>
                <w:sz w:val="22"/>
                <w:szCs w:val="22"/>
                <w:rtl/>
              </w:rPr>
            </w:pPr>
            <w:r w:rsidRPr="002B4D1C">
              <w:rPr>
                <w:rFonts w:hint="cs"/>
                <w:sz w:val="22"/>
                <w:szCs w:val="22"/>
                <w:rtl/>
              </w:rPr>
              <w:t>(45%)</w:t>
            </w:r>
          </w:p>
        </w:tc>
      </w:tr>
      <w:tr w:rsidR="000837EB" w:rsidRPr="002B4D1C" w:rsidTr="002B4D1C">
        <w:trPr>
          <w:trHeight w:val="620"/>
          <w:tblCellSpacing w:w="20" w:type="dxa"/>
        </w:trPr>
        <w:tc>
          <w:tcPr>
            <w:tcW w:w="1666" w:type="dxa"/>
            <w:shd w:val="clear" w:color="auto" w:fill="auto"/>
            <w:vAlign w:val="center"/>
          </w:tcPr>
          <w:p w:rsidR="000837EB" w:rsidRPr="002B4D1C" w:rsidRDefault="000837EB" w:rsidP="002B4D1C">
            <w:pPr>
              <w:spacing w:before="60" w:after="0" w:line="240" w:lineRule="auto"/>
              <w:jc w:val="center"/>
              <w:rPr>
                <w:b/>
                <w:bCs/>
                <w:sz w:val="22"/>
                <w:szCs w:val="22"/>
                <w:rtl/>
              </w:rPr>
            </w:pPr>
            <w:r w:rsidRPr="002B4D1C">
              <w:rPr>
                <w:rFonts w:hint="cs"/>
                <w:b/>
                <w:bCs/>
                <w:sz w:val="22"/>
                <w:szCs w:val="22"/>
                <w:rtl/>
              </w:rPr>
              <w:t>חידושי רשיון</w:t>
            </w:r>
          </w:p>
        </w:tc>
        <w:tc>
          <w:tcPr>
            <w:tcW w:w="1356" w:type="dxa"/>
            <w:shd w:val="clear" w:color="auto" w:fill="auto"/>
            <w:vAlign w:val="center"/>
          </w:tcPr>
          <w:p w:rsidR="000837EB" w:rsidRPr="002B4D1C" w:rsidRDefault="000837EB" w:rsidP="002B4D1C">
            <w:pPr>
              <w:spacing w:before="60" w:after="0" w:line="240" w:lineRule="auto"/>
              <w:jc w:val="center"/>
              <w:rPr>
                <w:sz w:val="22"/>
                <w:szCs w:val="22"/>
                <w:rtl/>
              </w:rPr>
            </w:pPr>
            <w:r w:rsidRPr="002B4D1C">
              <w:rPr>
                <w:rFonts w:hint="cs"/>
                <w:sz w:val="22"/>
                <w:szCs w:val="22"/>
                <w:rtl/>
              </w:rPr>
              <w:t>784</w:t>
            </w:r>
          </w:p>
          <w:p w:rsidR="000837EB" w:rsidRPr="002B4D1C" w:rsidRDefault="000837EB" w:rsidP="002B4D1C">
            <w:pPr>
              <w:spacing w:before="60" w:after="0" w:line="240" w:lineRule="auto"/>
              <w:jc w:val="center"/>
              <w:rPr>
                <w:sz w:val="22"/>
                <w:szCs w:val="22"/>
                <w:rtl/>
              </w:rPr>
            </w:pPr>
            <w:r w:rsidRPr="002B4D1C">
              <w:rPr>
                <w:rFonts w:hint="cs"/>
                <w:sz w:val="22"/>
                <w:szCs w:val="22"/>
                <w:rtl/>
              </w:rPr>
              <w:t>(98%)</w:t>
            </w:r>
          </w:p>
        </w:tc>
        <w:tc>
          <w:tcPr>
            <w:tcW w:w="1356" w:type="dxa"/>
            <w:shd w:val="clear" w:color="auto" w:fill="auto"/>
            <w:vAlign w:val="center"/>
          </w:tcPr>
          <w:p w:rsidR="000837EB" w:rsidRPr="002B4D1C" w:rsidRDefault="000837EB" w:rsidP="002B4D1C">
            <w:pPr>
              <w:spacing w:before="60" w:after="0" w:line="240" w:lineRule="auto"/>
              <w:jc w:val="center"/>
              <w:rPr>
                <w:sz w:val="22"/>
                <w:szCs w:val="22"/>
                <w:rtl/>
              </w:rPr>
            </w:pPr>
            <w:r w:rsidRPr="002B4D1C">
              <w:rPr>
                <w:rFonts w:hint="cs"/>
                <w:sz w:val="22"/>
                <w:szCs w:val="22"/>
                <w:rtl/>
              </w:rPr>
              <w:t>17</w:t>
            </w:r>
          </w:p>
          <w:p w:rsidR="000837EB" w:rsidRPr="002B4D1C" w:rsidRDefault="000837EB" w:rsidP="002B4D1C">
            <w:pPr>
              <w:spacing w:before="60" w:after="0" w:line="240" w:lineRule="auto"/>
              <w:jc w:val="center"/>
              <w:rPr>
                <w:sz w:val="22"/>
                <w:szCs w:val="22"/>
                <w:rtl/>
              </w:rPr>
            </w:pPr>
            <w:r w:rsidRPr="002B4D1C">
              <w:rPr>
                <w:rFonts w:hint="cs"/>
                <w:sz w:val="22"/>
                <w:szCs w:val="22"/>
                <w:rtl/>
              </w:rPr>
              <w:t>(2%)</w:t>
            </w:r>
          </w:p>
        </w:tc>
        <w:tc>
          <w:tcPr>
            <w:tcW w:w="951" w:type="dxa"/>
            <w:shd w:val="clear" w:color="auto" w:fill="auto"/>
            <w:vAlign w:val="center"/>
          </w:tcPr>
          <w:p w:rsidR="000837EB" w:rsidRPr="002B4D1C" w:rsidRDefault="000837EB" w:rsidP="002B4D1C">
            <w:pPr>
              <w:spacing w:before="60" w:after="0" w:line="240" w:lineRule="auto"/>
              <w:jc w:val="center"/>
              <w:rPr>
                <w:sz w:val="22"/>
                <w:szCs w:val="22"/>
                <w:rtl/>
              </w:rPr>
            </w:pPr>
            <w:r w:rsidRPr="002B4D1C">
              <w:rPr>
                <w:rFonts w:hint="cs"/>
                <w:sz w:val="22"/>
                <w:szCs w:val="22"/>
                <w:rtl/>
              </w:rPr>
              <w:t>1,091</w:t>
            </w:r>
          </w:p>
          <w:p w:rsidR="000837EB" w:rsidRPr="002B4D1C" w:rsidRDefault="000837EB" w:rsidP="002B4D1C">
            <w:pPr>
              <w:spacing w:before="60" w:after="0" w:line="240" w:lineRule="auto"/>
              <w:jc w:val="center"/>
              <w:rPr>
                <w:sz w:val="22"/>
                <w:szCs w:val="22"/>
                <w:rtl/>
              </w:rPr>
            </w:pPr>
            <w:r w:rsidRPr="002B4D1C">
              <w:rPr>
                <w:rFonts w:hint="cs"/>
                <w:sz w:val="22"/>
                <w:szCs w:val="22"/>
                <w:rtl/>
              </w:rPr>
              <w:t>(97%)</w:t>
            </w:r>
          </w:p>
        </w:tc>
        <w:tc>
          <w:tcPr>
            <w:tcW w:w="1231" w:type="dxa"/>
            <w:shd w:val="clear" w:color="auto" w:fill="auto"/>
            <w:vAlign w:val="center"/>
          </w:tcPr>
          <w:p w:rsidR="000837EB" w:rsidRPr="002B4D1C" w:rsidRDefault="000837EB" w:rsidP="002B4D1C">
            <w:pPr>
              <w:spacing w:before="60" w:after="0" w:line="240" w:lineRule="auto"/>
              <w:jc w:val="center"/>
              <w:rPr>
                <w:sz w:val="22"/>
                <w:szCs w:val="22"/>
                <w:rtl/>
              </w:rPr>
            </w:pPr>
            <w:r w:rsidRPr="002B4D1C">
              <w:rPr>
                <w:rFonts w:hint="cs"/>
                <w:sz w:val="22"/>
                <w:szCs w:val="22"/>
                <w:rtl/>
              </w:rPr>
              <w:t>30</w:t>
            </w:r>
          </w:p>
          <w:p w:rsidR="000837EB" w:rsidRPr="002B4D1C" w:rsidRDefault="000837EB" w:rsidP="002B4D1C">
            <w:pPr>
              <w:spacing w:before="60" w:after="0" w:line="240" w:lineRule="auto"/>
              <w:jc w:val="center"/>
              <w:rPr>
                <w:sz w:val="22"/>
                <w:szCs w:val="22"/>
                <w:rtl/>
              </w:rPr>
            </w:pPr>
            <w:r w:rsidRPr="002B4D1C">
              <w:rPr>
                <w:rFonts w:hint="cs"/>
                <w:sz w:val="22"/>
                <w:szCs w:val="22"/>
                <w:rtl/>
              </w:rPr>
              <w:t>(3%)</w:t>
            </w:r>
          </w:p>
        </w:tc>
      </w:tr>
    </w:tbl>
    <w:p w:rsidR="000837EB" w:rsidRDefault="000837EB" w:rsidP="000837EB">
      <w:pPr>
        <w:pStyle w:val="a2"/>
        <w:rPr>
          <w:rtl/>
        </w:rPr>
      </w:pPr>
    </w:p>
    <w:p w:rsidR="000837EB" w:rsidRDefault="000837EB" w:rsidP="001471E7">
      <w:pPr>
        <w:pStyle w:val="a2"/>
        <w:rPr>
          <w:rtl/>
        </w:rPr>
      </w:pPr>
      <w:r>
        <w:rPr>
          <w:rFonts w:hint="cs"/>
          <w:rtl/>
        </w:rPr>
        <w:t xml:space="preserve">מנתוני הבקשות החדשות שהוגשו ליק"ר עולה כי בעוד שבינואר 2014 אושרו 70% (266) מסך הבקשות להיתר לשימוש בקנביס למטרות רפואיות, הרי שבתקופה המקבילה ב- 2015 אושרו 55% (273) בלבד. כך, </w:t>
      </w:r>
      <w:r w:rsidRPr="00E37490">
        <w:rPr>
          <w:rFonts w:hint="cs"/>
          <w:b/>
          <w:bCs/>
          <w:rtl/>
        </w:rPr>
        <w:t xml:space="preserve">בעוד שמספרית אכן גדל מספר ההיתרים החדשים שהוענקו בינואר 2015 בהשוואה לינואר 2014, הרי ששעורם מתוך כלל הבקשות שהוגשו </w:t>
      </w:r>
      <w:r w:rsidRPr="00E37490">
        <w:rPr>
          <w:b/>
          <w:bCs/>
          <w:rtl/>
        </w:rPr>
        <w:t>–</w:t>
      </w:r>
      <w:r w:rsidRPr="00E37490">
        <w:rPr>
          <w:rFonts w:hint="cs"/>
          <w:b/>
          <w:bCs/>
          <w:rtl/>
        </w:rPr>
        <w:t xml:space="preserve"> ירד</w:t>
      </w:r>
      <w:r>
        <w:rPr>
          <w:rFonts w:hint="cs"/>
          <w:rtl/>
        </w:rPr>
        <w:t xml:space="preserve">. בהתייחס לחידוש רישיונות קיימים, </w:t>
      </w:r>
      <w:r w:rsidRPr="009D2CA8">
        <w:rPr>
          <w:rFonts w:hint="cs"/>
          <w:b/>
          <w:bCs/>
          <w:rtl/>
        </w:rPr>
        <w:t>מספר הרשיונות שחודשו עלה גם הוא בהשוואה בין ינואר 2014 לינואר 2015 (784 בקשות לעומת 1,091 בקשות, בהתאמה), אך שעורם מתוך כלל הבקשות לחידוש רישיונות נותר דומה (98% מתוך כלל הבקשות לחידוש בינואר 2014 ו- 97% מתוך כלל הבקשות לחידוש בינואר 2015).</w:t>
      </w:r>
      <w:r>
        <w:rPr>
          <w:rFonts w:hint="cs"/>
          <w:rtl/>
        </w:rPr>
        <w:t xml:space="preserve"> </w:t>
      </w:r>
    </w:p>
    <w:p w:rsidR="00637BF5" w:rsidRDefault="00ED101C" w:rsidP="008D194D">
      <w:pPr>
        <w:pStyle w:val="a2"/>
        <w:rPr>
          <w:rtl/>
        </w:rPr>
      </w:pPr>
      <w:r>
        <w:rPr>
          <w:rFonts w:hint="cs"/>
          <w:rtl/>
        </w:rPr>
        <w:t>כמו-כן, מוסר</w:t>
      </w:r>
      <w:r w:rsidR="00637BF5">
        <w:rPr>
          <w:rFonts w:hint="cs"/>
          <w:rtl/>
        </w:rPr>
        <w:t xml:space="preserve"> משרד הבריאות</w:t>
      </w:r>
      <w:r>
        <w:rPr>
          <w:rFonts w:hint="cs"/>
          <w:rtl/>
        </w:rPr>
        <w:t xml:space="preserve"> כי</w:t>
      </w:r>
      <w:r w:rsidR="00637BF5">
        <w:rPr>
          <w:rFonts w:hint="cs"/>
          <w:b/>
          <w:bCs/>
          <w:rtl/>
        </w:rPr>
        <w:t xml:space="preserve"> </w:t>
      </w:r>
      <w:r w:rsidR="00637BF5" w:rsidRPr="006A7CE2">
        <w:rPr>
          <w:rFonts w:hint="cs"/>
          <w:b/>
          <w:bCs/>
          <w:rtl/>
        </w:rPr>
        <w:t xml:space="preserve">מחיר מוצר </w:t>
      </w:r>
      <w:r w:rsidR="00637BF5">
        <w:rPr>
          <w:rFonts w:hint="cs"/>
          <w:b/>
          <w:bCs/>
          <w:rtl/>
        </w:rPr>
        <w:t xml:space="preserve">קנביס למטרות רפואיות לחודש אחיד לכלל המטופלים, </w:t>
      </w:r>
      <w:r w:rsidR="00637BF5" w:rsidRPr="006A7CE2">
        <w:rPr>
          <w:rFonts w:hint="cs"/>
          <w:b/>
          <w:bCs/>
          <w:rtl/>
        </w:rPr>
        <w:t>ועומד</w:t>
      </w:r>
      <w:r w:rsidR="00637BF5">
        <w:rPr>
          <w:rFonts w:hint="cs"/>
          <w:b/>
          <w:bCs/>
          <w:rtl/>
        </w:rPr>
        <w:t xml:space="preserve"> כיום</w:t>
      </w:r>
      <w:r w:rsidR="00637BF5" w:rsidRPr="006A7CE2">
        <w:rPr>
          <w:rFonts w:hint="cs"/>
          <w:b/>
          <w:bCs/>
          <w:rtl/>
        </w:rPr>
        <w:t xml:space="preserve"> על 370 ₪</w:t>
      </w:r>
      <w:r w:rsidR="00637BF5">
        <w:rPr>
          <w:rFonts w:hint="cs"/>
          <w:b/>
          <w:bCs/>
          <w:rtl/>
        </w:rPr>
        <w:t xml:space="preserve">, </w:t>
      </w:r>
      <w:r w:rsidR="00637BF5" w:rsidRPr="006A7CE2">
        <w:rPr>
          <w:rFonts w:hint="cs"/>
          <w:b/>
          <w:bCs/>
          <w:rtl/>
        </w:rPr>
        <w:t>ללא קשר למשקל או סוג המוצר</w:t>
      </w:r>
      <w:r w:rsidR="00637BF5">
        <w:rPr>
          <w:rFonts w:hint="cs"/>
          <w:rtl/>
        </w:rPr>
        <w:t>.</w:t>
      </w:r>
      <w:r w:rsidR="00637BF5">
        <w:rPr>
          <w:rStyle w:val="ab"/>
          <w:rtl/>
        </w:rPr>
        <w:footnoteReference w:id="376"/>
      </w:r>
      <w:r w:rsidR="00637BF5">
        <w:rPr>
          <w:rFonts w:hint="cs"/>
          <w:rtl/>
        </w:rPr>
        <w:t xml:space="preserve"> בנוסף, </w:t>
      </w:r>
      <w:r w:rsidR="007912BD">
        <w:rPr>
          <w:rFonts w:hint="cs"/>
          <w:rtl/>
        </w:rPr>
        <w:t>קבע המשרד</w:t>
      </w:r>
      <w:r w:rsidR="00637BF5">
        <w:rPr>
          <w:rFonts w:hint="cs"/>
          <w:rtl/>
        </w:rPr>
        <w:t xml:space="preserve"> כי המחיר המירבי שישלם מטופל בעבור הדרכה חד-פעמית לשימוש במוצר לא </w:t>
      </w:r>
      <w:r w:rsidR="008D194D">
        <w:rPr>
          <w:rFonts w:hint="cs"/>
          <w:rtl/>
        </w:rPr>
        <w:t>י</w:t>
      </w:r>
      <w:r w:rsidR="00637BF5">
        <w:rPr>
          <w:rFonts w:hint="cs"/>
          <w:rtl/>
        </w:rPr>
        <w:t>עלה על 120 ₪, ומחיר משלוח לבית המטופל לא יעלה על 100 ₪.</w:t>
      </w:r>
      <w:r w:rsidR="00637BF5">
        <w:rPr>
          <w:rStyle w:val="ab"/>
          <w:rtl/>
        </w:rPr>
        <w:footnoteReference w:id="377"/>
      </w:r>
    </w:p>
    <w:p w:rsidR="000837EB" w:rsidRDefault="000837EB" w:rsidP="00203166">
      <w:pPr>
        <w:pStyle w:val="a2"/>
        <w:rPr>
          <w:rtl/>
        </w:rPr>
      </w:pPr>
      <w:r>
        <w:rPr>
          <w:rFonts w:hint="cs"/>
          <w:rtl/>
        </w:rPr>
        <w:t>במודל האסדרה שאומץ בהחלטת הממשלה 1050 ב- 2013 נקבע גם כי על משרד הבריאות, וזאת באמצעות חברת "שראל פתרונות לוגיסטיים ומוצרים לרפואה מתקדמת בע"מ", לערוך מכרז פומבי לקביעת המגדלים המורשים לתקופה של חמש שנים. עד להשלמת המכרז יחודשו רשיונות הגידול שהיו קיימים באותו השלב לתקופות של עד שנה, ובמהלך תקופה זו לא יאושרו מגדלים חדשים.</w:t>
      </w:r>
      <w:r>
        <w:rPr>
          <w:rStyle w:val="ab"/>
          <w:rtl/>
        </w:rPr>
        <w:footnoteReference w:id="378"/>
      </w:r>
      <w:r>
        <w:rPr>
          <w:rFonts w:hint="cs"/>
          <w:rtl/>
        </w:rPr>
        <w:t xml:space="preserve"> </w:t>
      </w:r>
      <w:r w:rsidRPr="00E70B5E">
        <w:rPr>
          <w:rFonts w:hint="cs"/>
          <w:b/>
          <w:bCs/>
          <w:rtl/>
        </w:rPr>
        <w:t>עד כה לא פורסם המכרז, ורשימת מגדלי הקנביס המורשים בישראל, המונה 8, נותרה על כנה.</w:t>
      </w:r>
      <w:r>
        <w:rPr>
          <w:rStyle w:val="ab"/>
          <w:rtl/>
        </w:rPr>
        <w:footnoteReference w:id="379"/>
      </w:r>
      <w:r>
        <w:rPr>
          <w:rFonts w:hint="cs"/>
          <w:b/>
          <w:bCs/>
          <w:rtl/>
        </w:rPr>
        <w:t xml:space="preserve"> </w:t>
      </w:r>
    </w:p>
    <w:p w:rsidR="00607CCE" w:rsidRDefault="00607CCE" w:rsidP="00412CF7">
      <w:pPr>
        <w:pStyle w:val="a2"/>
        <w:rPr>
          <w:rtl/>
        </w:rPr>
      </w:pPr>
      <w:r>
        <w:rPr>
          <w:rFonts w:hint="cs"/>
          <w:rtl/>
        </w:rPr>
        <w:t xml:space="preserve">מטרה נוספת של החלטת הממשלה 1050 היתה פרוק הקשר הישיר שבין המגדלים ובין המטופלים. משרד הבריאות מסר בתשובתו למרכז המחקר והמידע של הכנסת כי </w:t>
      </w:r>
      <w:r w:rsidRPr="00F6191F">
        <w:rPr>
          <w:rFonts w:hint="cs"/>
          <w:b/>
          <w:bCs/>
          <w:rtl/>
        </w:rPr>
        <w:t xml:space="preserve">גם כיום כל שרשרת </w:t>
      </w:r>
      <w:r>
        <w:rPr>
          <w:rFonts w:hint="cs"/>
          <w:b/>
          <w:bCs/>
          <w:rtl/>
        </w:rPr>
        <w:t>אספקת הקנביס</w:t>
      </w:r>
      <w:r w:rsidR="00F275EA">
        <w:rPr>
          <w:rFonts w:hint="cs"/>
          <w:b/>
          <w:bCs/>
          <w:rtl/>
        </w:rPr>
        <w:t xml:space="preserve"> למטופלים</w:t>
      </w:r>
      <w:r>
        <w:rPr>
          <w:rFonts w:hint="cs"/>
          <w:b/>
          <w:bCs/>
          <w:rtl/>
        </w:rPr>
        <w:t xml:space="preserve"> </w:t>
      </w:r>
      <w:r w:rsidRPr="00F6191F">
        <w:rPr>
          <w:rFonts w:hint="cs"/>
          <w:b/>
          <w:bCs/>
          <w:rtl/>
        </w:rPr>
        <w:t>נעשית על-ידי המג</w:t>
      </w:r>
      <w:r>
        <w:rPr>
          <w:rFonts w:hint="cs"/>
          <w:b/>
          <w:bCs/>
          <w:rtl/>
        </w:rPr>
        <w:t>ַ</w:t>
      </w:r>
      <w:r w:rsidRPr="00F6191F">
        <w:rPr>
          <w:rFonts w:hint="cs"/>
          <w:b/>
          <w:bCs/>
          <w:rtl/>
        </w:rPr>
        <w:t>דלים</w:t>
      </w:r>
      <w:r>
        <w:rPr>
          <w:rFonts w:hint="cs"/>
          <w:rtl/>
        </w:rPr>
        <w:t>, וכי יק"ר פועלת למימוש מתווה בו רֶכש הקנביס מהמגדלים ייעשה על-ידי גורם מרכזי והמטופלים יוכלו לרכוש מוצרי קנביס בדוקים ומפוקחים בבתי המרקחת.</w:t>
      </w:r>
      <w:r>
        <w:rPr>
          <w:rStyle w:val="ab"/>
          <w:rtl/>
        </w:rPr>
        <w:footnoteReference w:id="380"/>
      </w:r>
      <w:r>
        <w:rPr>
          <w:rFonts w:hint="cs"/>
          <w:rtl/>
        </w:rPr>
        <w:t xml:space="preserve"> </w:t>
      </w:r>
    </w:p>
    <w:p w:rsidR="000837EB" w:rsidRDefault="002844A2" w:rsidP="00C51836">
      <w:pPr>
        <w:pStyle w:val="a2"/>
        <w:rPr>
          <w:rtl/>
        </w:rPr>
      </w:pPr>
      <w:r>
        <w:rPr>
          <w:rFonts w:hint="cs"/>
          <w:rtl/>
        </w:rPr>
        <w:t>החלטת הממשלה 1050 קבעה גם התחייבות</w:t>
      </w:r>
      <w:r w:rsidR="000837EB">
        <w:rPr>
          <w:rFonts w:hint="cs"/>
          <w:rtl/>
        </w:rPr>
        <w:t xml:space="preserve"> בדבר איתור מקור לייבוא</w:t>
      </w:r>
      <w:r>
        <w:rPr>
          <w:rFonts w:hint="cs"/>
          <w:rtl/>
        </w:rPr>
        <w:t xml:space="preserve"> של קנביס רפואי.</w:t>
      </w:r>
      <w:r w:rsidR="000837EB">
        <w:rPr>
          <w:rFonts w:hint="cs"/>
          <w:rtl/>
        </w:rPr>
        <w:t xml:space="preserve"> </w:t>
      </w:r>
      <w:r w:rsidR="000837EB">
        <w:rPr>
          <w:rFonts w:hint="cs"/>
          <w:b/>
          <w:bCs/>
          <w:rtl/>
        </w:rPr>
        <w:t xml:space="preserve">משרד הבריאות </w:t>
      </w:r>
      <w:r>
        <w:rPr>
          <w:rFonts w:hint="cs"/>
          <w:b/>
          <w:bCs/>
          <w:rtl/>
        </w:rPr>
        <w:t xml:space="preserve">מוסר </w:t>
      </w:r>
      <w:r w:rsidR="000837EB">
        <w:rPr>
          <w:rFonts w:hint="cs"/>
          <w:b/>
          <w:bCs/>
          <w:rtl/>
        </w:rPr>
        <w:t>כי עד כה לא נעשה יבוא של קנביס למטרות רפואיות</w:t>
      </w:r>
      <w:r w:rsidR="000837EB">
        <w:rPr>
          <w:rFonts w:hint="cs"/>
          <w:rtl/>
        </w:rPr>
        <w:t>, וזאת מאחר ולא נמצא מקור מספק בחו"ל</w:t>
      </w:r>
      <w:r w:rsidR="00C51836">
        <w:rPr>
          <w:rFonts w:hint="cs"/>
          <w:rtl/>
        </w:rPr>
        <w:t>, וכי</w:t>
      </w:r>
      <w:r w:rsidR="000837EB">
        <w:rPr>
          <w:rFonts w:hint="cs"/>
          <w:rtl/>
        </w:rPr>
        <w:t xml:space="preserve"> רשיונות היבוא, אם וכאשר יינתנו, יהיו כנהוג ביחס לתרופות המכילות סמים מסוכנים.</w:t>
      </w:r>
      <w:r w:rsidR="000837EB">
        <w:rPr>
          <w:rStyle w:val="ab"/>
          <w:rtl/>
        </w:rPr>
        <w:footnoteReference w:id="381"/>
      </w:r>
    </w:p>
    <w:p w:rsidR="000837EB" w:rsidRDefault="00412CF7" w:rsidP="00637BF5">
      <w:pPr>
        <w:pStyle w:val="a2"/>
        <w:rPr>
          <w:rtl/>
        </w:rPr>
      </w:pPr>
      <w:r>
        <w:rPr>
          <w:rFonts w:hint="cs"/>
          <w:rtl/>
        </w:rPr>
        <w:t xml:space="preserve">בתגובה לשאלות מרכז המחקר והמידע של הכנסת בדבר יישום החלטות אלו מסר משרד הבריאות כי </w:t>
      </w:r>
      <w:r w:rsidRPr="0032198C">
        <w:rPr>
          <w:rFonts w:hint="cs"/>
          <w:b/>
          <w:bCs/>
          <w:rtl/>
        </w:rPr>
        <w:t>יק"ר הגדירה שבע תחנות בשרשרת המגדל-מטופל (גידול</w:t>
      </w:r>
      <w:r w:rsidRPr="00F6191F">
        <w:rPr>
          <w:rFonts w:hint="cs"/>
          <w:b/>
          <w:bCs/>
          <w:rtl/>
        </w:rPr>
        <w:t>, שינוע, בדיקות מעבדה, ייצור מוצרי קנביס, ניפוק, אריזה, וייבוא)</w:t>
      </w:r>
      <w:r>
        <w:rPr>
          <w:rFonts w:hint="cs"/>
          <w:b/>
          <w:bCs/>
          <w:rtl/>
        </w:rPr>
        <w:t xml:space="preserve"> ובהתאמה </w:t>
      </w:r>
      <w:r w:rsidRPr="00203166">
        <w:rPr>
          <w:rFonts w:hint="cs"/>
          <w:b/>
          <w:bCs/>
          <w:u w:val="single"/>
          <w:rtl/>
        </w:rPr>
        <w:t>עתידים להתפרסם בקרוב</w:t>
      </w:r>
      <w:r>
        <w:rPr>
          <w:rFonts w:hint="cs"/>
          <w:b/>
          <w:bCs/>
          <w:rtl/>
        </w:rPr>
        <w:t xml:space="preserve"> שבעה מכרזים</w:t>
      </w:r>
      <w:r w:rsidR="00637BF5">
        <w:rPr>
          <w:rFonts w:hint="cs"/>
          <w:b/>
          <w:bCs/>
          <w:rtl/>
        </w:rPr>
        <w:t>, שיובילו להמשך אסדרת התחום ולהרחבת התחרות בשוק המגדלים</w:t>
      </w:r>
      <w:r>
        <w:rPr>
          <w:rFonts w:hint="cs"/>
          <w:b/>
          <w:bCs/>
          <w:rtl/>
        </w:rPr>
        <w:t>.</w:t>
      </w:r>
      <w:r>
        <w:rPr>
          <w:rStyle w:val="ab"/>
          <w:rtl/>
        </w:rPr>
        <w:footnoteReference w:id="382"/>
      </w:r>
      <w:r w:rsidR="00637BF5">
        <w:rPr>
          <w:rFonts w:hint="cs"/>
          <w:b/>
          <w:bCs/>
          <w:rtl/>
        </w:rPr>
        <w:t xml:space="preserve"> </w:t>
      </w:r>
      <w:r w:rsidR="00637BF5" w:rsidRPr="00637BF5">
        <w:rPr>
          <w:rFonts w:hint="cs"/>
          <w:rtl/>
        </w:rPr>
        <w:t xml:space="preserve">משרד הבריאות הוסיף ומסר כי </w:t>
      </w:r>
      <w:r w:rsidR="000837EB" w:rsidRPr="00637BF5">
        <w:rPr>
          <w:rFonts w:hint="cs"/>
          <w:rtl/>
        </w:rPr>
        <w:t>מעורבותה</w:t>
      </w:r>
      <w:r w:rsidR="000837EB">
        <w:rPr>
          <w:rFonts w:hint="cs"/>
          <w:rtl/>
        </w:rPr>
        <w:t xml:space="preserve"> הפעילה של "שראל" עד כה בנושא היתה בהערכות ליישום החלטת הממשלה (1050) ובהכנת המכרזים הקשורים בנושא, והיא לא עסקה ביבוא, גידול או מכירה של קנביס לצרכים רפואיים.</w:t>
      </w:r>
      <w:r w:rsidR="000837EB">
        <w:rPr>
          <w:rStyle w:val="ab"/>
          <w:rtl/>
        </w:rPr>
        <w:footnoteReference w:id="383"/>
      </w:r>
    </w:p>
    <w:p w:rsidR="00BE033E" w:rsidRDefault="007E2E79" w:rsidP="00F747E1">
      <w:pPr>
        <w:pStyle w:val="a2"/>
        <w:rPr>
          <w:rtl/>
        </w:rPr>
      </w:pPr>
      <w:r>
        <w:rPr>
          <w:rFonts w:hint="cs"/>
          <w:rtl/>
        </w:rPr>
        <w:t xml:space="preserve">בעקבות עתירת מספר חברות המבקשות </w:t>
      </w:r>
      <w:r w:rsidR="00203166">
        <w:rPr>
          <w:rFonts w:hint="cs"/>
          <w:rtl/>
        </w:rPr>
        <w:t xml:space="preserve">ממשרד הבריאות </w:t>
      </w:r>
      <w:r>
        <w:rPr>
          <w:rFonts w:hint="cs"/>
          <w:rtl/>
        </w:rPr>
        <w:t>רישיון לגידול קנביס רפואי</w:t>
      </w:r>
      <w:r w:rsidR="00F747E1">
        <w:rPr>
          <w:rFonts w:hint="cs"/>
          <w:rtl/>
        </w:rPr>
        <w:t>,</w:t>
      </w:r>
      <w:r>
        <w:rPr>
          <w:rFonts w:hint="cs"/>
          <w:rtl/>
        </w:rPr>
        <w:t xml:space="preserve"> פסק בית המשפט העליון</w:t>
      </w:r>
      <w:r w:rsidR="000D472B">
        <w:rPr>
          <w:rFonts w:hint="cs"/>
          <w:rtl/>
        </w:rPr>
        <w:t>,</w:t>
      </w:r>
      <w:r>
        <w:rPr>
          <w:rFonts w:hint="cs"/>
          <w:rtl/>
        </w:rPr>
        <w:t xml:space="preserve"> בשבתו כבית הדין הגבוה לצדק</w:t>
      </w:r>
      <w:r w:rsidR="000D472B">
        <w:rPr>
          <w:rFonts w:hint="cs"/>
          <w:rtl/>
        </w:rPr>
        <w:t>,</w:t>
      </w:r>
      <w:r>
        <w:rPr>
          <w:rFonts w:hint="cs"/>
          <w:rtl/>
        </w:rPr>
        <w:t xml:space="preserve"> </w:t>
      </w:r>
      <w:r w:rsidR="00BE033E">
        <w:rPr>
          <w:rFonts w:hint="cs"/>
          <w:rtl/>
        </w:rPr>
        <w:t>ב- 27 במאי 2015</w:t>
      </w:r>
      <w:r w:rsidR="000D472B">
        <w:rPr>
          <w:rFonts w:hint="cs"/>
          <w:rtl/>
        </w:rPr>
        <w:t>,</w:t>
      </w:r>
      <w:r w:rsidR="001F76B3">
        <w:rPr>
          <w:rFonts w:hint="cs"/>
          <w:rtl/>
        </w:rPr>
        <w:t xml:space="preserve"> </w:t>
      </w:r>
      <w:r w:rsidR="00BE033E">
        <w:rPr>
          <w:rFonts w:hint="cs"/>
          <w:rtl/>
        </w:rPr>
        <w:t xml:space="preserve">כי על סגן שר הבריאות ושר האוצר </w:t>
      </w:r>
      <w:r w:rsidR="00D77286">
        <w:rPr>
          <w:rFonts w:hint="cs"/>
          <w:rtl/>
        </w:rPr>
        <w:t>להגיש את עמדתם בנושא הסדרת שוק הגידול</w:t>
      </w:r>
      <w:r w:rsidR="0075419B">
        <w:rPr>
          <w:rFonts w:hint="cs"/>
          <w:rtl/>
        </w:rPr>
        <w:t xml:space="preserve"> והייבוא של קנביס רפואי</w:t>
      </w:r>
      <w:r w:rsidR="00D77286">
        <w:rPr>
          <w:rFonts w:hint="cs"/>
          <w:rtl/>
        </w:rPr>
        <w:t xml:space="preserve"> בישראל, מעמדה של חברת "שראל" </w:t>
      </w:r>
      <w:r w:rsidR="0075419B">
        <w:rPr>
          <w:rFonts w:hint="cs"/>
          <w:rtl/>
        </w:rPr>
        <w:t>בנושא ואמצעי הפיקוח שיופעלו בשוק המוסדר המתוכנן, וזאת תוך 60 ימים מיום הפסיקה.</w:t>
      </w:r>
      <w:r w:rsidR="0075419B">
        <w:rPr>
          <w:rStyle w:val="ab"/>
          <w:rtl/>
        </w:rPr>
        <w:footnoteReference w:id="384"/>
      </w:r>
    </w:p>
    <w:p w:rsidR="00210359" w:rsidRPr="00BB6388" w:rsidRDefault="00C270DC" w:rsidP="00210359">
      <w:pPr>
        <w:pStyle w:val="2"/>
        <w:rPr>
          <w:rtl/>
        </w:rPr>
      </w:pPr>
      <w:bookmarkStart w:id="336" w:name="_Toc418585119"/>
      <w:bookmarkStart w:id="337" w:name="_Toc419054687"/>
      <w:bookmarkStart w:id="338" w:name="_Toc419959734"/>
      <w:bookmarkStart w:id="339" w:name="_Toc419963179"/>
      <w:bookmarkStart w:id="340" w:name="_Toc419963305"/>
      <w:bookmarkStart w:id="341" w:name="_Toc421697072"/>
      <w:r w:rsidRPr="00BB6388">
        <w:rPr>
          <w:rFonts w:hint="cs"/>
          <w:rtl/>
        </w:rPr>
        <w:t>משרד הרווחה והשירותים החברתיים</w:t>
      </w:r>
      <w:bookmarkEnd w:id="336"/>
      <w:bookmarkEnd w:id="337"/>
      <w:bookmarkEnd w:id="338"/>
      <w:bookmarkEnd w:id="339"/>
      <w:bookmarkEnd w:id="340"/>
      <w:bookmarkEnd w:id="341"/>
    </w:p>
    <w:p w:rsidR="00C270DC" w:rsidRPr="00BB6388" w:rsidRDefault="00C270DC" w:rsidP="00921568">
      <w:pPr>
        <w:pStyle w:val="a2"/>
      </w:pPr>
      <w:r w:rsidRPr="00BB6388">
        <w:rPr>
          <w:rFonts w:hint="cs"/>
          <w:rtl/>
        </w:rPr>
        <w:t xml:space="preserve">בעוד שמשרד הבריאות אמון על שירותי הגמילה הפיזיים, תחת אחריותו של משרד הרווחה והשירותים החברתיים נמצא </w:t>
      </w:r>
      <w:r w:rsidRPr="00905DAD">
        <w:rPr>
          <w:rFonts w:hint="cs"/>
          <w:b/>
          <w:bCs/>
          <w:rtl/>
        </w:rPr>
        <w:t>הטיפול הפסיכוסוציאלי במכורים ובהליך גמילתם</w:t>
      </w:r>
      <w:r w:rsidRPr="00BB6388">
        <w:rPr>
          <w:rFonts w:hint="cs"/>
          <w:rtl/>
        </w:rPr>
        <w:t xml:space="preserve">. הגוף המרכז תחום זה במשרד הרווחה הוא </w:t>
      </w:r>
      <w:r w:rsidRPr="00210359">
        <w:rPr>
          <w:rFonts w:hint="cs"/>
          <w:b/>
          <w:bCs/>
          <w:rtl/>
        </w:rPr>
        <w:t>השירות לטיפול בהתמכרויות</w:t>
      </w:r>
      <w:r w:rsidRPr="00BB6388">
        <w:rPr>
          <w:rFonts w:hint="cs"/>
          <w:rtl/>
        </w:rPr>
        <w:t>.</w:t>
      </w:r>
      <w:r w:rsidR="00AB6539" w:rsidRPr="00BB6388">
        <w:rPr>
          <w:rFonts w:hint="cs"/>
          <w:rtl/>
        </w:rPr>
        <w:t xml:space="preserve"> בנוסף, </w:t>
      </w:r>
      <w:r w:rsidR="00921568">
        <w:rPr>
          <w:rFonts w:hint="cs"/>
          <w:rtl/>
        </w:rPr>
        <w:t>סוקר</w:t>
      </w:r>
      <w:r w:rsidR="00AB6539" w:rsidRPr="00BB6388">
        <w:rPr>
          <w:rFonts w:hint="cs"/>
          <w:rtl/>
        </w:rPr>
        <w:t xml:space="preserve"> חלק זה</w:t>
      </w:r>
      <w:r w:rsidR="00921568">
        <w:rPr>
          <w:rFonts w:hint="cs"/>
          <w:rtl/>
        </w:rPr>
        <w:t xml:space="preserve"> את</w:t>
      </w:r>
      <w:r w:rsidR="00AB6539" w:rsidRPr="00BB6388">
        <w:rPr>
          <w:rFonts w:hint="cs"/>
          <w:rtl/>
        </w:rPr>
        <w:t xml:space="preserve"> </w:t>
      </w:r>
      <w:r w:rsidR="003F2D27" w:rsidRPr="00210359">
        <w:rPr>
          <w:rFonts w:hint="cs"/>
          <w:b/>
          <w:bCs/>
          <w:rtl/>
        </w:rPr>
        <w:t>התכנית הלאומית לילדים ובני-נוער בסיכון</w:t>
      </w:r>
      <w:r w:rsidR="003F2D27" w:rsidRPr="00BB6388">
        <w:rPr>
          <w:rFonts w:hint="cs"/>
          <w:rtl/>
        </w:rPr>
        <w:t>, שהחלה את פעילותה ב- 2009 תחת הובלת משרד הרווחה, ובמסגרתה מוצעות תכניות מניעה וטיפול בתחום ההתמכרויות למים ולאלכוהול בקרב אוכלוסיות אלו.</w:t>
      </w:r>
    </w:p>
    <w:p w:rsidR="006A45E4" w:rsidRPr="00BB6388" w:rsidRDefault="00C270DC" w:rsidP="006A45E4">
      <w:pPr>
        <w:pStyle w:val="3"/>
        <w:rPr>
          <w:rtl/>
        </w:rPr>
      </w:pPr>
      <w:bookmarkStart w:id="342" w:name="_Toc418585120"/>
      <w:bookmarkStart w:id="343" w:name="_Toc419054688"/>
      <w:bookmarkStart w:id="344" w:name="_Toc419959735"/>
      <w:bookmarkStart w:id="345" w:name="_Toc419963180"/>
      <w:bookmarkStart w:id="346" w:name="_Toc419963306"/>
      <w:bookmarkStart w:id="347" w:name="_Toc421697073"/>
      <w:r w:rsidRPr="00BB6388">
        <w:rPr>
          <w:rFonts w:hint="cs"/>
          <w:rtl/>
        </w:rPr>
        <w:t>השירות לטיפול בהתמכרויות</w:t>
      </w:r>
      <w:bookmarkEnd w:id="342"/>
      <w:bookmarkEnd w:id="343"/>
      <w:bookmarkEnd w:id="344"/>
      <w:bookmarkEnd w:id="345"/>
      <w:bookmarkEnd w:id="346"/>
      <w:bookmarkEnd w:id="347"/>
    </w:p>
    <w:p w:rsidR="00C270DC" w:rsidRPr="00BB6388" w:rsidRDefault="00C270DC" w:rsidP="006A45E4">
      <w:pPr>
        <w:pStyle w:val="a2"/>
        <w:rPr>
          <w:rtl/>
        </w:rPr>
      </w:pPr>
      <w:r w:rsidRPr="006A45E4">
        <w:rPr>
          <w:rFonts w:hint="cs"/>
          <w:b/>
          <w:bCs/>
          <w:rtl/>
        </w:rPr>
        <w:t>השירות לטיפול בהתמכרויות באגף לשירותי תקון ונוער מנותק</w:t>
      </w:r>
      <w:r w:rsidRPr="00BB6388">
        <w:rPr>
          <w:rFonts w:hint="cs"/>
          <w:rtl/>
        </w:rPr>
        <w:t xml:space="preserve"> במשרד הרווחה והשירותים החברתיים הוקם בשנת 1989 כיחידה לטיפול בנפגעי סמים. בשנת 2004 הרחיב השירות את פעילותו לטיפול גם בנפגעי אלכוהול והימורים, והוא מטפל כיום בנפגעים החל מגיל 12 ובמשפחותיהם.</w:t>
      </w:r>
      <w:r w:rsidRPr="00BB6388">
        <w:rPr>
          <w:rStyle w:val="ab"/>
          <w:rtl/>
        </w:rPr>
        <w:footnoteReference w:id="385"/>
      </w:r>
      <w:r w:rsidRPr="00BB6388">
        <w:rPr>
          <w:rFonts w:hint="cs"/>
          <w:rtl/>
        </w:rPr>
        <w:t xml:space="preserve"> מטרת השירות היא "</w:t>
      </w:r>
      <w:r w:rsidRPr="00BB6388">
        <w:rPr>
          <w:rtl/>
        </w:rPr>
        <w:t>טיפול במכורים לסמים, אלכוהול והימורים ובני משפחותיהם, לצורך גמילה, טיפול, שיקום וחזרה לתפקוד נורמטיבי במסגרת החברה, המשפחה והתעסוקה</w:t>
      </w:r>
      <w:r w:rsidRPr="00BB6388">
        <w:rPr>
          <w:rFonts w:hint="cs"/>
          <w:rtl/>
        </w:rPr>
        <w:t>".</w:t>
      </w:r>
      <w:r w:rsidRPr="00BB6388">
        <w:rPr>
          <w:rStyle w:val="ab"/>
          <w:rtl/>
        </w:rPr>
        <w:footnoteReference w:id="386"/>
      </w:r>
      <w:r w:rsidRPr="00BB6388">
        <w:rPr>
          <w:rFonts w:hint="cs"/>
          <w:rtl/>
        </w:rPr>
        <w:t xml:space="preserve"> בשנים האחרונות הרחיב השירות את פעילותו והוא עוסק גם בהתמכרות לנושאים נוספים כגון מזון.</w:t>
      </w:r>
      <w:r w:rsidRPr="00BB6388">
        <w:rPr>
          <w:rStyle w:val="ab"/>
          <w:rtl/>
        </w:rPr>
        <w:footnoteReference w:id="387"/>
      </w:r>
      <w:r w:rsidRPr="00BB6388">
        <w:rPr>
          <w:rFonts w:hint="cs"/>
          <w:rtl/>
        </w:rPr>
        <w:t xml:space="preserve"> בהתאם לתחומי העניין של מסמך זה, ידווח להלן רק על טיפול השירות בהתמכרויות לסמים ולאלכוהול. </w:t>
      </w:r>
    </w:p>
    <w:p w:rsidR="00C270DC" w:rsidRPr="00BB6388" w:rsidRDefault="00C270DC" w:rsidP="00BB6388">
      <w:pPr>
        <w:pStyle w:val="4"/>
        <w:rPr>
          <w:rtl/>
        </w:rPr>
      </w:pPr>
      <w:bookmarkStart w:id="348" w:name="_Toc418585121"/>
      <w:bookmarkStart w:id="349" w:name="_Toc419963181"/>
      <w:r w:rsidRPr="00BB6388">
        <w:rPr>
          <w:rFonts w:hint="cs"/>
          <w:rtl/>
        </w:rPr>
        <w:t>אוכלוסיית המטופלים</w:t>
      </w:r>
      <w:bookmarkEnd w:id="348"/>
      <w:bookmarkEnd w:id="349"/>
    </w:p>
    <w:p w:rsidR="00C270DC" w:rsidRPr="00BB6388" w:rsidRDefault="00C270DC" w:rsidP="00566CCE">
      <w:pPr>
        <w:spacing w:line="360" w:lineRule="auto"/>
        <w:rPr>
          <w:rtl/>
        </w:rPr>
      </w:pPr>
      <w:r w:rsidRPr="00BB6388">
        <w:rPr>
          <w:rFonts w:hint="cs"/>
          <w:b/>
          <w:bCs/>
          <w:rtl/>
        </w:rPr>
        <w:t xml:space="preserve">משרד </w:t>
      </w:r>
      <w:r w:rsidR="00F64609" w:rsidRPr="00BB6388">
        <w:rPr>
          <w:rFonts w:hint="cs"/>
          <w:b/>
          <w:bCs/>
          <w:rtl/>
        </w:rPr>
        <w:t xml:space="preserve">הרווחה והשירותים החברתיים </w:t>
      </w:r>
      <w:r w:rsidRPr="00BB6388">
        <w:rPr>
          <w:rFonts w:hint="cs"/>
          <w:b/>
          <w:bCs/>
          <w:rtl/>
        </w:rPr>
        <w:t>מבחין בין שלוש קבוצות עיקריות של מתמכרים לסמים, וזאת לפי קבוצות גיל</w:t>
      </w:r>
      <w:r w:rsidRPr="00BB6388">
        <w:rPr>
          <w:rFonts w:hint="cs"/>
          <w:rtl/>
        </w:rPr>
        <w:t xml:space="preserve">:  </w:t>
      </w:r>
      <w:r w:rsidRPr="00BB6388">
        <w:rPr>
          <w:rFonts w:hint="cs"/>
          <w:b/>
          <w:bCs/>
          <w:rtl/>
        </w:rPr>
        <w:t>קטינים</w:t>
      </w:r>
      <w:r w:rsidRPr="00BB6388">
        <w:rPr>
          <w:rFonts w:hint="cs"/>
          <w:rtl/>
        </w:rPr>
        <w:t xml:space="preserve"> (נוער עד 18), המאופיינים בעיקר על-ידי נשירה ממערכת החינוך או היפלטות משוק העבודה ובצריכת חומרים פסיכואקטיביים עם קבוצת השווים וזאת ללא מודעות לנזק הנגרם מהשימוש; </w:t>
      </w:r>
      <w:r w:rsidRPr="00BB6388">
        <w:rPr>
          <w:rFonts w:hint="cs"/>
          <w:b/>
          <w:bCs/>
          <w:rtl/>
        </w:rPr>
        <w:t>צעירים</w:t>
      </w:r>
      <w:r w:rsidRPr="00BB6388">
        <w:rPr>
          <w:rFonts w:hint="cs"/>
          <w:rtl/>
        </w:rPr>
        <w:t xml:space="preserve"> (18-25), המאופיינים בעיקר בשימוש בחומרים מעוררי הזיות (כגון קנביס) ובממריצים סינתטיים והנמצאים עדיין ברובם בקשר עם משפחתם או סביבתם; </w:t>
      </w:r>
      <w:r w:rsidRPr="00BB6388">
        <w:rPr>
          <w:rFonts w:hint="cs"/>
          <w:b/>
          <w:bCs/>
          <w:rtl/>
        </w:rPr>
        <w:t>ומבוגרים</w:t>
      </w:r>
      <w:r w:rsidRPr="00BB6388">
        <w:rPr>
          <w:rFonts w:hint="cs"/>
          <w:rtl/>
        </w:rPr>
        <w:t xml:space="preserve"> (25 ומעלה), המאופיינים בעיקר בשימוש בהרואין ובמעורבות בפעילות עבריינית, ובקשרים חברתיים עם מכורים אחרים.</w:t>
      </w:r>
      <w:r w:rsidRPr="00BB6388">
        <w:rPr>
          <w:rStyle w:val="ab"/>
          <w:rtl/>
        </w:rPr>
        <w:footnoteReference w:id="388"/>
      </w:r>
    </w:p>
    <w:p w:rsidR="00F64609" w:rsidRPr="00BB6388" w:rsidRDefault="00F64609" w:rsidP="00BB6388">
      <w:pPr>
        <w:spacing w:line="360" w:lineRule="auto"/>
        <w:rPr>
          <w:rtl/>
        </w:rPr>
      </w:pPr>
      <w:r w:rsidRPr="00BB6388">
        <w:rPr>
          <w:rFonts w:hint="cs"/>
          <w:rtl/>
        </w:rPr>
        <w:t>המשרד גם מציין כי "המתמכרים לסמים הם עבריינים מכוח היותם צרכני חומר אשר קנייתו וצריכתו בלבד הם עברה על החוק. בשל העלות הגבוהה של החומר וההוצאה הכספית היומית הכרוכה בשימוש בו, המכור הפעיל עלול למצוא עצמו מהר יותר במסלול של גנֵבות ושל אלימות כדי לממן את כמות הסם שהוא צורך."</w:t>
      </w:r>
      <w:r w:rsidRPr="00BB6388">
        <w:rPr>
          <w:rStyle w:val="ab"/>
          <w:rtl/>
        </w:rPr>
        <w:footnoteReference w:id="389"/>
      </w:r>
    </w:p>
    <w:p w:rsidR="00C270DC" w:rsidRPr="00BB6388" w:rsidRDefault="00C270DC" w:rsidP="00BB6388">
      <w:pPr>
        <w:spacing w:line="360" w:lineRule="auto"/>
        <w:rPr>
          <w:rtl/>
        </w:rPr>
      </w:pPr>
      <w:r w:rsidRPr="00BB6388">
        <w:rPr>
          <w:rFonts w:hint="cs"/>
          <w:b/>
          <w:bCs/>
          <w:rtl/>
        </w:rPr>
        <w:t xml:space="preserve">בנוגע להתמכרות לאלכוהול, מצביע </w:t>
      </w:r>
      <w:r w:rsidR="00F64609" w:rsidRPr="00BB6388">
        <w:rPr>
          <w:rFonts w:hint="cs"/>
          <w:b/>
          <w:bCs/>
          <w:rtl/>
        </w:rPr>
        <w:t>ה</w:t>
      </w:r>
      <w:r w:rsidRPr="00BB6388">
        <w:rPr>
          <w:rFonts w:hint="cs"/>
          <w:b/>
          <w:bCs/>
          <w:rtl/>
        </w:rPr>
        <w:t>משרד על העובדה כי ההתמכרות לו איטית יותר מאשר ההתמכרות לסמים</w:t>
      </w:r>
      <w:r w:rsidRPr="00BB6388">
        <w:rPr>
          <w:rFonts w:hint="cs"/>
          <w:rtl/>
        </w:rPr>
        <w:t>, והוא עושה שימוש במילה 'מכורים' רק בהתייחס למבוגרים, המאופיינים בהתמכרות רק בגיל מבוגר יותר, בניסיון בשוק העבודה ובמעורבות לפלילים בדרך כלל בהקשרה של אלימות במשפחה ושל נהיגה בשכרה.</w:t>
      </w:r>
      <w:r w:rsidRPr="00BB6388">
        <w:rPr>
          <w:rStyle w:val="ab"/>
          <w:rtl/>
        </w:rPr>
        <w:footnoteReference w:id="390"/>
      </w:r>
    </w:p>
    <w:p w:rsidR="00C270DC" w:rsidRPr="00BB6388" w:rsidRDefault="00CF552A" w:rsidP="00107166">
      <w:pPr>
        <w:spacing w:line="360" w:lineRule="auto"/>
        <w:rPr>
          <w:rtl/>
        </w:rPr>
      </w:pPr>
      <w:r>
        <w:rPr>
          <w:rFonts w:hint="cs"/>
          <w:rtl/>
        </w:rPr>
        <w:t xml:space="preserve">במשרד הרווחה והשירותים החברתיים מספר מסגרות העוסקות בהיבטים שונים של טיפול במכורים ובבני-משפחתם. </w:t>
      </w:r>
      <w:r w:rsidRPr="00CF552A">
        <w:rPr>
          <w:rFonts w:hint="cs"/>
          <w:b/>
          <w:bCs/>
          <w:rtl/>
        </w:rPr>
        <w:t xml:space="preserve">הפרק הנוכחי עוסק אך ורק בנתונים ובפעילות </w:t>
      </w:r>
      <w:r w:rsidRPr="00FB1D20">
        <w:rPr>
          <w:rFonts w:hint="cs"/>
          <w:b/>
          <w:bCs/>
          <w:u w:val="single"/>
          <w:rtl/>
        </w:rPr>
        <w:t>השירות ל</w:t>
      </w:r>
      <w:r w:rsidR="00D24F23">
        <w:rPr>
          <w:rFonts w:hint="cs"/>
          <w:b/>
          <w:bCs/>
          <w:u w:val="single"/>
          <w:rtl/>
        </w:rPr>
        <w:t>טיפול ב</w:t>
      </w:r>
      <w:r w:rsidRPr="00FB1D20">
        <w:rPr>
          <w:rFonts w:hint="cs"/>
          <w:b/>
          <w:bCs/>
          <w:u w:val="single"/>
          <w:rtl/>
        </w:rPr>
        <w:t>התמכרויות</w:t>
      </w:r>
      <w:r w:rsidRPr="00FB1D20">
        <w:rPr>
          <w:rFonts w:hint="cs"/>
          <w:u w:val="single"/>
          <w:rtl/>
        </w:rPr>
        <w:t xml:space="preserve"> </w:t>
      </w:r>
      <w:r>
        <w:rPr>
          <w:rFonts w:hint="cs"/>
          <w:rtl/>
        </w:rPr>
        <w:t xml:space="preserve">שבמשרד. </w:t>
      </w:r>
      <w:r w:rsidR="00C270DC" w:rsidRPr="00CF552A">
        <w:rPr>
          <w:rFonts w:hint="cs"/>
          <w:rtl/>
        </w:rPr>
        <w:t>נתוני</w:t>
      </w:r>
      <w:r w:rsidR="00C270DC" w:rsidRPr="00BB6388">
        <w:rPr>
          <w:rFonts w:hint="cs"/>
          <w:rtl/>
        </w:rPr>
        <w:t xml:space="preserve"> </w:t>
      </w:r>
      <w:r>
        <w:rPr>
          <w:rFonts w:hint="cs"/>
          <w:rtl/>
        </w:rPr>
        <w:t>ה</w:t>
      </w:r>
      <w:r w:rsidR="00C270DC" w:rsidRPr="00BB6388">
        <w:rPr>
          <w:rFonts w:hint="cs"/>
          <w:rtl/>
        </w:rPr>
        <w:t xml:space="preserve">משרד בנוגע להיקף </w:t>
      </w:r>
      <w:r w:rsidR="00C270DC" w:rsidRPr="00FB1D20">
        <w:rPr>
          <w:rFonts w:hint="cs"/>
          <w:rtl/>
        </w:rPr>
        <w:t xml:space="preserve">המטופלים </w:t>
      </w:r>
      <w:r w:rsidR="00C270DC" w:rsidRPr="005760CE">
        <w:rPr>
          <w:rFonts w:hint="cs"/>
          <w:u w:val="single"/>
          <w:rtl/>
        </w:rPr>
        <w:t>בשירות</w:t>
      </w:r>
      <w:r w:rsidR="00C270DC" w:rsidRPr="00CF552A">
        <w:rPr>
          <w:rFonts w:hint="cs"/>
          <w:b/>
          <w:bCs/>
          <w:rtl/>
        </w:rPr>
        <w:t xml:space="preserve"> </w:t>
      </w:r>
      <w:r w:rsidR="00C270DC" w:rsidRPr="00BB6388">
        <w:rPr>
          <w:rFonts w:hint="cs"/>
          <w:rtl/>
        </w:rPr>
        <w:t>הם 'נתונים חיים', המתעדכנים מדי יום על-ידי שלוחותיו ברחבי הארץ. הם מבוססים על שילוב בין מאגר נתוני היסוד של משרד הרווחה והשירותים החברתיים ובין נתוני מטופלים שטרם הוזנו למערכת הממוחשבת.</w:t>
      </w:r>
      <w:r w:rsidR="00C270DC" w:rsidRPr="00BB6388">
        <w:rPr>
          <w:rStyle w:val="ab"/>
          <w:rtl/>
        </w:rPr>
        <w:footnoteReference w:id="391"/>
      </w:r>
      <w:r w:rsidR="00C270DC" w:rsidRPr="00BB6388">
        <w:rPr>
          <w:rFonts w:hint="cs"/>
          <w:rtl/>
        </w:rPr>
        <w:t xml:space="preserve"> יתרה על-כך, במערכת נתוני היסוד של משרד הרווחה והשרותים החברתיים כיום קיימות מספר קטגוריות שונות לקטלוגו של מטופל כמכור, המקשות על איתור מספרם המדויק של המכורים המטופלים בכל קטגורית התמכרות.</w:t>
      </w:r>
      <w:r w:rsidR="00C270DC" w:rsidRPr="00BB6388">
        <w:rPr>
          <w:rStyle w:val="ab"/>
          <w:rtl/>
        </w:rPr>
        <w:t xml:space="preserve"> </w:t>
      </w:r>
      <w:r w:rsidR="00C270DC" w:rsidRPr="00BB6388">
        <w:rPr>
          <w:rStyle w:val="ab"/>
          <w:rtl/>
        </w:rPr>
        <w:footnoteReference w:id="392"/>
      </w:r>
      <w:r w:rsidR="00C270DC" w:rsidRPr="00BB6388">
        <w:rPr>
          <w:rFonts w:hint="cs"/>
          <w:rtl/>
        </w:rPr>
        <w:t xml:space="preserve">  לאור כל אלה </w:t>
      </w:r>
      <w:r w:rsidR="00C270DC" w:rsidRPr="00BB6388">
        <w:rPr>
          <w:rFonts w:hint="cs"/>
          <w:b/>
          <w:bCs/>
          <w:rtl/>
        </w:rPr>
        <w:t>יש לראות במספרי המטופלים המוצגים הערכות מקורבות בלבד</w:t>
      </w:r>
      <w:r w:rsidR="00C270DC" w:rsidRPr="00BB6388">
        <w:rPr>
          <w:rFonts w:hint="cs"/>
          <w:rtl/>
        </w:rPr>
        <w:t>.</w:t>
      </w:r>
      <w:r w:rsidR="00C270DC" w:rsidRPr="00BB6388">
        <w:rPr>
          <w:rStyle w:val="ab"/>
          <w:rtl/>
        </w:rPr>
        <w:t xml:space="preserve"> </w:t>
      </w:r>
      <w:r w:rsidR="00C270DC" w:rsidRPr="00BB6388">
        <w:rPr>
          <w:rFonts w:hint="cs"/>
          <w:rtl/>
        </w:rPr>
        <w:t>יצויין כי קיים צפי לעדכון מערכת המחשוב ואיסוף הנתונים של משרד הרווחה והשירותים החברתיים</w:t>
      </w:r>
      <w:r w:rsidR="00032D97">
        <w:rPr>
          <w:rFonts w:hint="cs"/>
          <w:rtl/>
        </w:rPr>
        <w:t xml:space="preserve"> </w:t>
      </w:r>
      <w:r w:rsidR="00C270DC" w:rsidRPr="00BB6388">
        <w:rPr>
          <w:rFonts w:hint="cs"/>
          <w:rtl/>
        </w:rPr>
        <w:t>במהלך שנת 2015.</w:t>
      </w:r>
      <w:r w:rsidR="00C270DC" w:rsidRPr="00BB6388">
        <w:rPr>
          <w:rStyle w:val="ab"/>
          <w:rtl/>
        </w:rPr>
        <w:footnoteReference w:id="393"/>
      </w:r>
    </w:p>
    <w:p w:rsidR="00C270DC" w:rsidRPr="00BB6388" w:rsidRDefault="005760CE" w:rsidP="001E04F9">
      <w:pPr>
        <w:spacing w:line="360" w:lineRule="auto"/>
        <w:rPr>
          <w:rtl/>
        </w:rPr>
      </w:pPr>
      <w:r>
        <w:rPr>
          <w:rFonts w:hint="cs"/>
          <w:rtl/>
        </w:rPr>
        <w:t>נתונים שנמסרו על-ידי המשרד</w:t>
      </w:r>
      <w:r w:rsidR="00C270DC" w:rsidRPr="00BB6388">
        <w:rPr>
          <w:rFonts w:hint="cs"/>
          <w:rtl/>
        </w:rPr>
        <w:t xml:space="preserve"> ב- 19 באפריל 2015 על בסיס מערכת </w:t>
      </w:r>
      <w:r w:rsidR="00C270DC" w:rsidRPr="006F5B1E">
        <w:rPr>
          <w:rFonts w:hint="cs"/>
          <w:rtl/>
        </w:rPr>
        <w:t xml:space="preserve">נתוני היסוד בלבד, </w:t>
      </w:r>
      <w:r w:rsidR="001E04F9" w:rsidRPr="006F5B1E">
        <w:rPr>
          <w:rFonts w:hint="cs"/>
          <w:rtl/>
        </w:rPr>
        <w:t xml:space="preserve">מצביעים על </w:t>
      </w:r>
      <w:r w:rsidR="001E04F9" w:rsidRPr="006F5B1E">
        <w:rPr>
          <w:rFonts w:hint="cs"/>
          <w:b/>
          <w:bCs/>
          <w:rtl/>
        </w:rPr>
        <w:t>כ-</w:t>
      </w:r>
      <w:r w:rsidR="001E04F9" w:rsidRPr="006F5B1E">
        <w:rPr>
          <w:rFonts w:hint="cs"/>
          <w:rtl/>
        </w:rPr>
        <w:t xml:space="preserve"> </w:t>
      </w:r>
      <w:r w:rsidR="00C270DC" w:rsidRPr="006F5B1E">
        <w:rPr>
          <w:rFonts w:hint="cs"/>
          <w:b/>
          <w:bCs/>
          <w:rtl/>
        </w:rPr>
        <w:t>13,114 נפגעי סמים ו</w:t>
      </w:r>
      <w:r w:rsidRPr="006F5B1E">
        <w:rPr>
          <w:rFonts w:hint="cs"/>
          <w:b/>
          <w:bCs/>
          <w:rtl/>
        </w:rPr>
        <w:t>כ</w:t>
      </w:r>
      <w:r w:rsidR="00C270DC" w:rsidRPr="006F5B1E">
        <w:rPr>
          <w:rFonts w:hint="cs"/>
          <w:b/>
          <w:bCs/>
          <w:rtl/>
        </w:rPr>
        <w:t xml:space="preserve">- </w:t>
      </w:r>
      <w:r w:rsidR="00C270DC" w:rsidRPr="006F5B1E">
        <w:rPr>
          <w:b/>
          <w:bCs/>
          <w:rtl/>
        </w:rPr>
        <w:t>7,408</w:t>
      </w:r>
      <w:r w:rsidRPr="006F5B1E">
        <w:rPr>
          <w:b/>
          <w:bCs/>
          <w:rtl/>
        </w:rPr>
        <w:t xml:space="preserve"> </w:t>
      </w:r>
      <w:r w:rsidRPr="006F5B1E">
        <w:rPr>
          <w:rFonts w:hint="cs"/>
          <w:b/>
          <w:bCs/>
          <w:rtl/>
        </w:rPr>
        <w:t>נפגעי אלכוהול המטופלים בשירות</w:t>
      </w:r>
      <w:r w:rsidRPr="006F5B1E">
        <w:rPr>
          <w:rFonts w:hint="cs"/>
          <w:rtl/>
        </w:rPr>
        <w:t>.</w:t>
      </w:r>
      <w:r w:rsidR="00C270DC" w:rsidRPr="006F5B1E">
        <w:rPr>
          <w:rFonts w:hint="cs"/>
          <w:b/>
          <w:bCs/>
          <w:rtl/>
        </w:rPr>
        <w:t xml:space="preserve"> </w:t>
      </w:r>
      <w:r w:rsidR="004B3674" w:rsidRPr="006F5B1E">
        <w:rPr>
          <w:rFonts w:hint="cs"/>
          <w:b/>
          <w:bCs/>
          <w:rtl/>
        </w:rPr>
        <w:t>סך הכל</w:t>
      </w:r>
      <w:r w:rsidR="004B3674" w:rsidRPr="006F5B1E">
        <w:rPr>
          <w:rFonts w:hint="cs"/>
          <w:rtl/>
        </w:rPr>
        <w:t xml:space="preserve"> </w:t>
      </w:r>
      <w:r w:rsidR="00C270DC" w:rsidRPr="006F5B1E">
        <w:rPr>
          <w:rFonts w:hint="cs"/>
          <w:b/>
          <w:bCs/>
          <w:rtl/>
        </w:rPr>
        <w:t>רשומים ב</w:t>
      </w:r>
      <w:r w:rsidR="00032D97" w:rsidRPr="006F5B1E">
        <w:rPr>
          <w:rFonts w:hint="cs"/>
          <w:b/>
          <w:bCs/>
          <w:rtl/>
        </w:rPr>
        <w:t>מסגרת</w:t>
      </w:r>
      <w:r w:rsidR="00032D97" w:rsidRPr="005760CE">
        <w:rPr>
          <w:rFonts w:hint="cs"/>
          <w:b/>
          <w:bCs/>
          <w:rtl/>
        </w:rPr>
        <w:t xml:space="preserve"> השירות ל</w:t>
      </w:r>
      <w:r w:rsidR="00D24F23" w:rsidRPr="005760CE">
        <w:rPr>
          <w:rFonts w:hint="cs"/>
          <w:b/>
          <w:bCs/>
          <w:rtl/>
        </w:rPr>
        <w:t>טיפול ב</w:t>
      </w:r>
      <w:r w:rsidR="00032D97" w:rsidRPr="005760CE">
        <w:rPr>
          <w:rFonts w:hint="cs"/>
          <w:b/>
          <w:bCs/>
          <w:rtl/>
        </w:rPr>
        <w:t xml:space="preserve">התמכרויות </w:t>
      </w:r>
      <w:r w:rsidR="00D24F23" w:rsidRPr="005760CE">
        <w:rPr>
          <w:rFonts w:hint="cs"/>
          <w:b/>
          <w:bCs/>
          <w:rtl/>
        </w:rPr>
        <w:t>ב</w:t>
      </w:r>
      <w:r w:rsidR="00C270DC" w:rsidRPr="005760CE">
        <w:rPr>
          <w:rFonts w:hint="cs"/>
          <w:b/>
          <w:bCs/>
          <w:rtl/>
        </w:rPr>
        <w:t>מחלקות לשירותים חברתיים ברשויות המקומיות</w:t>
      </w:r>
      <w:r>
        <w:rPr>
          <w:rFonts w:hint="cs"/>
          <w:b/>
          <w:bCs/>
          <w:rtl/>
        </w:rPr>
        <w:t xml:space="preserve"> </w:t>
      </w:r>
      <w:r w:rsidRPr="005760CE">
        <w:rPr>
          <w:rFonts w:hint="cs"/>
          <w:b/>
          <w:bCs/>
          <w:rtl/>
        </w:rPr>
        <w:t>כ- 20,526 נפגעי סמים ואלכוהול</w:t>
      </w:r>
      <w:r w:rsidR="00C270DC" w:rsidRPr="00BB6388">
        <w:rPr>
          <w:rFonts w:hint="cs"/>
          <w:rtl/>
        </w:rPr>
        <w:t>.</w:t>
      </w:r>
      <w:r w:rsidR="00C270DC" w:rsidRPr="00BB6388">
        <w:rPr>
          <w:rStyle w:val="ab"/>
          <w:rtl/>
        </w:rPr>
        <w:footnoteReference w:id="394"/>
      </w:r>
      <w:r w:rsidR="00C270DC" w:rsidRPr="00BB6388">
        <w:rPr>
          <w:rFonts w:hint="cs"/>
          <w:rtl/>
        </w:rPr>
        <w:t xml:space="preserve">  </w:t>
      </w:r>
      <w:r w:rsidR="0085204D" w:rsidRPr="00163965">
        <w:rPr>
          <w:rFonts w:hint="cs"/>
          <w:rtl/>
          <w:lang w:eastAsia="en-US"/>
        </w:rPr>
        <w:t>זוהי</w:t>
      </w:r>
      <w:r w:rsidR="00F747E1">
        <w:rPr>
          <w:rFonts w:hint="cs"/>
          <w:rtl/>
          <w:lang w:eastAsia="en-US"/>
        </w:rPr>
        <w:t>,</w:t>
      </w:r>
      <w:r w:rsidR="0085204D">
        <w:rPr>
          <w:rFonts w:hint="cs"/>
          <w:rtl/>
          <w:lang w:eastAsia="en-US"/>
        </w:rPr>
        <w:t xml:space="preserve"> כאמור,</w:t>
      </w:r>
      <w:r w:rsidR="0085204D" w:rsidRPr="00163965">
        <w:rPr>
          <w:rFonts w:hint="cs"/>
          <w:rtl/>
          <w:lang w:eastAsia="en-US"/>
        </w:rPr>
        <w:t xml:space="preserve"> הערכת חסר מאחר והיא אינה כוללת עוד כ- 2,000 מטופלים שטרם הוזנו למערכת נתוני היסוד של המשרד.</w:t>
      </w:r>
      <w:r w:rsidR="0085204D">
        <w:rPr>
          <w:rStyle w:val="ab"/>
          <w:rtl/>
          <w:lang w:eastAsia="en-US"/>
        </w:rPr>
        <w:footnoteReference w:id="395"/>
      </w:r>
    </w:p>
    <w:p w:rsidR="006F5B1E" w:rsidRDefault="00107166" w:rsidP="006F5B1E">
      <w:pPr>
        <w:spacing w:line="360" w:lineRule="auto"/>
        <w:rPr>
          <w:rtl/>
        </w:rPr>
      </w:pPr>
      <w:r>
        <w:rPr>
          <w:rFonts w:hint="cs"/>
          <w:rtl/>
        </w:rPr>
        <w:t>טבלה מס'</w:t>
      </w:r>
      <w:r w:rsidR="00C270DC" w:rsidRPr="00BB6388">
        <w:rPr>
          <w:rFonts w:hint="cs"/>
          <w:rtl/>
        </w:rPr>
        <w:t xml:space="preserve"> </w:t>
      </w:r>
      <w:r w:rsidR="00AC6C4C">
        <w:rPr>
          <w:rFonts w:hint="cs"/>
          <w:rtl/>
        </w:rPr>
        <w:t>21</w:t>
      </w:r>
      <w:r w:rsidR="00C270DC" w:rsidRPr="00BB6388">
        <w:rPr>
          <w:rFonts w:hint="cs"/>
          <w:rtl/>
        </w:rPr>
        <w:t xml:space="preserve"> מציגה את מספר נפגעי ההתמכרות </w:t>
      </w:r>
      <w:r w:rsidR="00954D60" w:rsidRPr="00BB6388">
        <w:rPr>
          <w:rFonts w:hint="cs"/>
          <w:rtl/>
        </w:rPr>
        <w:t xml:space="preserve">המטופלים על-ידי </w:t>
      </w:r>
      <w:r w:rsidR="00032D97">
        <w:rPr>
          <w:rFonts w:hint="cs"/>
          <w:rtl/>
        </w:rPr>
        <w:t>השירות ל</w:t>
      </w:r>
      <w:r w:rsidR="00D24F23">
        <w:rPr>
          <w:rFonts w:hint="cs"/>
          <w:rtl/>
        </w:rPr>
        <w:t>טיפול ב</w:t>
      </w:r>
      <w:r w:rsidR="00032D97">
        <w:rPr>
          <w:rFonts w:hint="cs"/>
          <w:rtl/>
        </w:rPr>
        <w:t>התמכרויות</w:t>
      </w:r>
      <w:r w:rsidR="00954D60" w:rsidRPr="00BB6388">
        <w:rPr>
          <w:rFonts w:hint="cs"/>
          <w:rtl/>
        </w:rPr>
        <w:t xml:space="preserve"> </w:t>
      </w:r>
      <w:r w:rsidR="00C270DC" w:rsidRPr="00BB6388">
        <w:rPr>
          <w:rFonts w:hint="cs"/>
          <w:rtl/>
        </w:rPr>
        <w:t xml:space="preserve">לפי </w:t>
      </w:r>
      <w:r w:rsidR="00BB6388">
        <w:rPr>
          <w:rFonts w:hint="cs"/>
          <w:rtl/>
        </w:rPr>
        <w:t>גיל ולפי מגדר, נכון לאפריל 2015.</w:t>
      </w:r>
      <w:r w:rsidR="00225575">
        <w:rPr>
          <w:rFonts w:hint="cs"/>
          <w:rtl/>
        </w:rPr>
        <w:t xml:space="preserve"> </w:t>
      </w:r>
      <w:bookmarkStart w:id="350" w:name="_Toc419963182"/>
    </w:p>
    <w:p w:rsidR="00C270DC" w:rsidRPr="00BB6388" w:rsidRDefault="0052540F" w:rsidP="0052540F">
      <w:pPr>
        <w:pStyle w:val="af2"/>
        <w:jc w:val="center"/>
        <w:rPr>
          <w:rtl/>
        </w:rPr>
      </w:pPr>
      <w:r w:rsidRPr="0052540F">
        <w:rPr>
          <w:sz w:val="24"/>
          <w:szCs w:val="24"/>
          <w:rtl/>
        </w:rPr>
        <w:t xml:space="preserve">טבלה </w:t>
      </w:r>
      <w:r w:rsidR="00F3448E" w:rsidRPr="0052540F">
        <w:rPr>
          <w:sz w:val="24"/>
          <w:szCs w:val="24"/>
          <w:rtl/>
        </w:rPr>
        <w:fldChar w:fldCharType="begin"/>
      </w:r>
      <w:r w:rsidRPr="0052540F">
        <w:rPr>
          <w:sz w:val="24"/>
          <w:szCs w:val="24"/>
          <w:rtl/>
        </w:rPr>
        <w:instrText xml:space="preserve"> </w:instrText>
      </w:r>
      <w:r w:rsidRPr="0052540F">
        <w:rPr>
          <w:sz w:val="24"/>
          <w:szCs w:val="24"/>
        </w:rPr>
        <w:instrText>SEQ</w:instrText>
      </w:r>
      <w:r w:rsidRPr="0052540F">
        <w:rPr>
          <w:sz w:val="24"/>
          <w:szCs w:val="24"/>
          <w:rtl/>
        </w:rPr>
        <w:instrText xml:space="preserve"> טבלה \* </w:instrText>
      </w:r>
      <w:r w:rsidRPr="0052540F">
        <w:rPr>
          <w:sz w:val="24"/>
          <w:szCs w:val="24"/>
        </w:rPr>
        <w:instrText>ARABIC</w:instrText>
      </w:r>
      <w:r w:rsidRPr="0052540F">
        <w:rPr>
          <w:sz w:val="24"/>
          <w:szCs w:val="24"/>
          <w:rtl/>
        </w:rPr>
        <w:instrText xml:space="preserve"> </w:instrText>
      </w:r>
      <w:r w:rsidR="00F3448E" w:rsidRPr="0052540F">
        <w:rPr>
          <w:sz w:val="24"/>
          <w:szCs w:val="24"/>
          <w:rtl/>
        </w:rPr>
        <w:fldChar w:fldCharType="separate"/>
      </w:r>
      <w:r w:rsidR="007347AB">
        <w:rPr>
          <w:noProof/>
          <w:sz w:val="24"/>
          <w:szCs w:val="24"/>
          <w:rtl/>
        </w:rPr>
        <w:t>21</w:t>
      </w:r>
      <w:r w:rsidR="00F3448E" w:rsidRPr="0052540F">
        <w:rPr>
          <w:sz w:val="24"/>
          <w:szCs w:val="24"/>
          <w:rtl/>
        </w:rPr>
        <w:fldChar w:fldCharType="end"/>
      </w:r>
      <w:r w:rsidRPr="0052540F">
        <w:rPr>
          <w:rFonts w:hint="cs"/>
          <w:sz w:val="24"/>
          <w:szCs w:val="24"/>
          <w:rtl/>
        </w:rPr>
        <w:t xml:space="preserve">: </w:t>
      </w:r>
      <w:r w:rsidR="00C270DC" w:rsidRPr="0052540F">
        <w:rPr>
          <w:rFonts w:hint="cs"/>
          <w:sz w:val="24"/>
          <w:szCs w:val="24"/>
          <w:rtl/>
        </w:rPr>
        <w:t>נפגעי התמכרות ב</w:t>
      </w:r>
      <w:r w:rsidR="001F3528" w:rsidRPr="0052540F">
        <w:rPr>
          <w:rFonts w:hint="cs"/>
          <w:sz w:val="24"/>
          <w:szCs w:val="24"/>
          <w:rtl/>
        </w:rPr>
        <w:t>שירות ל</w:t>
      </w:r>
      <w:r w:rsidR="00D24F23" w:rsidRPr="0052540F">
        <w:rPr>
          <w:rFonts w:hint="cs"/>
          <w:sz w:val="24"/>
          <w:szCs w:val="24"/>
          <w:rtl/>
        </w:rPr>
        <w:t>טיפול ב</w:t>
      </w:r>
      <w:r w:rsidR="001F3528" w:rsidRPr="0052540F">
        <w:rPr>
          <w:rFonts w:hint="cs"/>
          <w:sz w:val="24"/>
          <w:szCs w:val="24"/>
          <w:rtl/>
        </w:rPr>
        <w:t>התמכרויות שב</w:t>
      </w:r>
      <w:r w:rsidR="00C270DC" w:rsidRPr="0052540F">
        <w:rPr>
          <w:rFonts w:hint="cs"/>
          <w:sz w:val="24"/>
          <w:szCs w:val="24"/>
          <w:rtl/>
        </w:rPr>
        <w:t>משרד הרווחה</w:t>
      </w:r>
      <w:r w:rsidR="001F3528" w:rsidRPr="0052540F">
        <w:rPr>
          <w:rFonts w:hint="cs"/>
          <w:sz w:val="24"/>
          <w:szCs w:val="24"/>
          <w:rtl/>
        </w:rPr>
        <w:t xml:space="preserve"> והשירותים החברתיים</w:t>
      </w:r>
      <w:r w:rsidR="00C270DC" w:rsidRPr="0052540F">
        <w:rPr>
          <w:rFonts w:hint="cs"/>
          <w:sz w:val="24"/>
          <w:szCs w:val="24"/>
          <w:rtl/>
        </w:rPr>
        <w:t xml:space="preserve"> לפי מגדר וגיל, אפריל 2015 (במספרים מוחלטים)</w:t>
      </w:r>
      <w:r w:rsidR="00C270DC" w:rsidRPr="00BB6388">
        <w:rPr>
          <w:rStyle w:val="ab"/>
          <w:b w:val="0"/>
          <w:bCs w:val="0"/>
          <w:rtl/>
        </w:rPr>
        <w:footnoteReference w:id="396"/>
      </w:r>
      <w:bookmarkEnd w:id="350"/>
    </w:p>
    <w:tbl>
      <w:tblPr>
        <w:tblStyle w:val="afff5"/>
        <w:bidiVisual/>
        <w:tblW w:w="4861" w:type="pct"/>
        <w:tblCellSpacing w:w="20" w:type="dxa"/>
        <w:tblInd w:w="13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1630"/>
        <w:gridCol w:w="767"/>
        <w:gridCol w:w="800"/>
        <w:gridCol w:w="800"/>
        <w:gridCol w:w="800"/>
        <w:gridCol w:w="800"/>
        <w:gridCol w:w="800"/>
        <w:gridCol w:w="800"/>
        <w:gridCol w:w="697"/>
        <w:gridCol w:w="1026"/>
      </w:tblGrid>
      <w:tr w:rsidR="00A85D20" w:rsidRPr="000E643F" w:rsidTr="006F5B1E">
        <w:trPr>
          <w:trHeight w:val="300"/>
          <w:tblCellSpacing w:w="20" w:type="dxa"/>
        </w:trPr>
        <w:tc>
          <w:tcPr>
            <w:tcW w:w="868" w:type="pct"/>
            <w:shd w:val="clear" w:color="auto" w:fill="auto"/>
            <w:noWrap/>
            <w:hideMark/>
          </w:tcPr>
          <w:p w:rsidR="001F3528" w:rsidRPr="00FA1CCD" w:rsidRDefault="001F3528" w:rsidP="000E643F">
            <w:pPr>
              <w:spacing w:before="60" w:after="0" w:line="240" w:lineRule="auto"/>
              <w:rPr>
                <w:b/>
                <w:bCs/>
                <w:sz w:val="22"/>
                <w:szCs w:val="22"/>
                <w:lang w:eastAsia="en-US"/>
              </w:rPr>
            </w:pPr>
            <w:r w:rsidRPr="00FA1CCD">
              <w:rPr>
                <w:rFonts w:hint="cs"/>
                <w:b/>
                <w:bCs/>
                <w:sz w:val="22"/>
                <w:szCs w:val="22"/>
                <w:rtl/>
                <w:lang w:eastAsia="en-US"/>
              </w:rPr>
              <w:t>סוג התמכרות</w:t>
            </w:r>
          </w:p>
        </w:tc>
        <w:tc>
          <w:tcPr>
            <w:tcW w:w="402" w:type="pct"/>
            <w:shd w:val="clear" w:color="auto" w:fill="auto"/>
            <w:noWrap/>
            <w:hideMark/>
          </w:tcPr>
          <w:p w:rsidR="001F3528" w:rsidRPr="00FA1CCD" w:rsidRDefault="001F3528" w:rsidP="000E643F">
            <w:pPr>
              <w:spacing w:before="60" w:after="0" w:line="240" w:lineRule="auto"/>
              <w:rPr>
                <w:b/>
                <w:bCs/>
                <w:sz w:val="22"/>
                <w:szCs w:val="22"/>
                <w:lang w:eastAsia="en-US"/>
              </w:rPr>
            </w:pPr>
            <w:r w:rsidRPr="00FA1CCD">
              <w:rPr>
                <w:rFonts w:hint="cs"/>
                <w:b/>
                <w:bCs/>
                <w:sz w:val="22"/>
                <w:szCs w:val="22"/>
                <w:rtl/>
                <w:lang w:eastAsia="en-US"/>
              </w:rPr>
              <w:t>מגדר</w:t>
            </w:r>
          </w:p>
        </w:tc>
        <w:tc>
          <w:tcPr>
            <w:tcW w:w="420" w:type="pct"/>
            <w:shd w:val="clear" w:color="auto" w:fill="auto"/>
            <w:noWrap/>
            <w:hideMark/>
          </w:tcPr>
          <w:p w:rsidR="001F3528" w:rsidRPr="00FA1CCD" w:rsidRDefault="001F3528" w:rsidP="000E643F">
            <w:pPr>
              <w:spacing w:before="60" w:after="0" w:line="240" w:lineRule="auto"/>
              <w:rPr>
                <w:b/>
                <w:bCs/>
                <w:sz w:val="22"/>
                <w:szCs w:val="22"/>
                <w:lang w:eastAsia="en-US"/>
              </w:rPr>
            </w:pPr>
            <w:r w:rsidRPr="00FA1CCD">
              <w:rPr>
                <w:b/>
                <w:bCs/>
                <w:sz w:val="22"/>
                <w:szCs w:val="22"/>
                <w:lang w:eastAsia="en-US"/>
              </w:rPr>
              <w:t>18-12</w:t>
            </w:r>
          </w:p>
        </w:tc>
        <w:tc>
          <w:tcPr>
            <w:tcW w:w="420" w:type="pct"/>
            <w:shd w:val="clear" w:color="auto" w:fill="auto"/>
            <w:noWrap/>
            <w:hideMark/>
          </w:tcPr>
          <w:p w:rsidR="001F3528" w:rsidRPr="00FA1CCD" w:rsidRDefault="001F3528" w:rsidP="000E643F">
            <w:pPr>
              <w:spacing w:before="60" w:after="0" w:line="240" w:lineRule="auto"/>
              <w:rPr>
                <w:b/>
                <w:bCs/>
                <w:sz w:val="22"/>
                <w:szCs w:val="22"/>
                <w:lang w:eastAsia="en-US"/>
              </w:rPr>
            </w:pPr>
            <w:r w:rsidRPr="00FA1CCD">
              <w:rPr>
                <w:b/>
                <w:bCs/>
                <w:sz w:val="22"/>
                <w:szCs w:val="22"/>
                <w:lang w:eastAsia="en-US"/>
              </w:rPr>
              <w:t>19-25</w:t>
            </w:r>
          </w:p>
        </w:tc>
        <w:tc>
          <w:tcPr>
            <w:tcW w:w="420" w:type="pct"/>
            <w:shd w:val="clear" w:color="auto" w:fill="auto"/>
            <w:noWrap/>
            <w:hideMark/>
          </w:tcPr>
          <w:p w:rsidR="001F3528" w:rsidRPr="00FA1CCD" w:rsidRDefault="001F3528" w:rsidP="000E643F">
            <w:pPr>
              <w:spacing w:before="60" w:after="0" w:line="240" w:lineRule="auto"/>
              <w:rPr>
                <w:b/>
                <w:bCs/>
                <w:sz w:val="22"/>
                <w:szCs w:val="22"/>
                <w:lang w:eastAsia="en-US"/>
              </w:rPr>
            </w:pPr>
            <w:r w:rsidRPr="00FA1CCD">
              <w:rPr>
                <w:b/>
                <w:bCs/>
                <w:sz w:val="22"/>
                <w:szCs w:val="22"/>
                <w:lang w:eastAsia="en-US"/>
              </w:rPr>
              <w:t>26-35</w:t>
            </w:r>
          </w:p>
        </w:tc>
        <w:tc>
          <w:tcPr>
            <w:tcW w:w="420" w:type="pct"/>
            <w:shd w:val="clear" w:color="auto" w:fill="auto"/>
            <w:noWrap/>
            <w:hideMark/>
          </w:tcPr>
          <w:p w:rsidR="001F3528" w:rsidRPr="00FA1CCD" w:rsidRDefault="001F3528" w:rsidP="000E643F">
            <w:pPr>
              <w:spacing w:before="60" w:after="0" w:line="240" w:lineRule="auto"/>
              <w:rPr>
                <w:b/>
                <w:bCs/>
                <w:sz w:val="22"/>
                <w:szCs w:val="22"/>
                <w:lang w:eastAsia="en-US"/>
              </w:rPr>
            </w:pPr>
            <w:r w:rsidRPr="00FA1CCD">
              <w:rPr>
                <w:b/>
                <w:bCs/>
                <w:sz w:val="22"/>
                <w:szCs w:val="22"/>
                <w:lang w:eastAsia="en-US"/>
              </w:rPr>
              <w:t>36-45</w:t>
            </w:r>
          </w:p>
        </w:tc>
        <w:tc>
          <w:tcPr>
            <w:tcW w:w="420" w:type="pct"/>
            <w:shd w:val="clear" w:color="auto" w:fill="auto"/>
            <w:noWrap/>
            <w:hideMark/>
          </w:tcPr>
          <w:p w:rsidR="001F3528" w:rsidRPr="00FA1CCD" w:rsidRDefault="001F3528" w:rsidP="000E643F">
            <w:pPr>
              <w:spacing w:before="60" w:after="0" w:line="240" w:lineRule="auto"/>
              <w:rPr>
                <w:b/>
                <w:bCs/>
                <w:sz w:val="22"/>
                <w:szCs w:val="22"/>
                <w:lang w:eastAsia="en-US"/>
              </w:rPr>
            </w:pPr>
            <w:r w:rsidRPr="00FA1CCD">
              <w:rPr>
                <w:b/>
                <w:bCs/>
                <w:sz w:val="22"/>
                <w:szCs w:val="22"/>
                <w:lang w:eastAsia="en-US"/>
              </w:rPr>
              <w:t>46-55</w:t>
            </w:r>
          </w:p>
        </w:tc>
        <w:tc>
          <w:tcPr>
            <w:tcW w:w="420" w:type="pct"/>
            <w:shd w:val="clear" w:color="auto" w:fill="auto"/>
            <w:noWrap/>
            <w:hideMark/>
          </w:tcPr>
          <w:p w:rsidR="001F3528" w:rsidRPr="00FA1CCD" w:rsidRDefault="001F3528" w:rsidP="000E643F">
            <w:pPr>
              <w:spacing w:before="60" w:after="0" w:line="240" w:lineRule="auto"/>
              <w:rPr>
                <w:b/>
                <w:bCs/>
                <w:sz w:val="22"/>
                <w:szCs w:val="22"/>
                <w:lang w:eastAsia="en-US"/>
              </w:rPr>
            </w:pPr>
            <w:r w:rsidRPr="00FA1CCD">
              <w:rPr>
                <w:b/>
                <w:bCs/>
                <w:sz w:val="22"/>
                <w:szCs w:val="22"/>
                <w:lang w:eastAsia="en-US"/>
              </w:rPr>
              <w:t>56-64</w:t>
            </w:r>
          </w:p>
        </w:tc>
        <w:tc>
          <w:tcPr>
            <w:tcW w:w="397" w:type="pct"/>
            <w:shd w:val="clear" w:color="auto" w:fill="auto"/>
            <w:noWrap/>
            <w:hideMark/>
          </w:tcPr>
          <w:p w:rsidR="001F3528" w:rsidRPr="00FA1CCD" w:rsidRDefault="001F3528" w:rsidP="000E643F">
            <w:pPr>
              <w:spacing w:before="60" w:after="0" w:line="240" w:lineRule="auto"/>
              <w:rPr>
                <w:b/>
                <w:bCs/>
                <w:sz w:val="22"/>
                <w:szCs w:val="22"/>
                <w:lang w:eastAsia="en-US"/>
              </w:rPr>
            </w:pPr>
            <w:r w:rsidRPr="00FA1CCD">
              <w:rPr>
                <w:b/>
                <w:bCs/>
                <w:sz w:val="22"/>
                <w:szCs w:val="22"/>
                <w:lang w:eastAsia="en-US"/>
              </w:rPr>
              <w:t>65+</w:t>
            </w:r>
          </w:p>
        </w:tc>
        <w:tc>
          <w:tcPr>
            <w:tcW w:w="570" w:type="pct"/>
            <w:shd w:val="clear" w:color="auto" w:fill="auto"/>
            <w:noWrap/>
            <w:hideMark/>
          </w:tcPr>
          <w:p w:rsidR="001F3528" w:rsidRPr="00FA1CCD" w:rsidRDefault="001F3528" w:rsidP="000E643F">
            <w:pPr>
              <w:spacing w:before="60" w:after="0" w:line="240" w:lineRule="auto"/>
              <w:rPr>
                <w:b/>
                <w:bCs/>
                <w:sz w:val="22"/>
                <w:szCs w:val="22"/>
                <w:lang w:eastAsia="en-US"/>
              </w:rPr>
            </w:pPr>
            <w:r w:rsidRPr="00FA1CCD">
              <w:rPr>
                <w:b/>
                <w:bCs/>
                <w:sz w:val="22"/>
                <w:szCs w:val="22"/>
                <w:rtl/>
                <w:lang w:eastAsia="en-US"/>
              </w:rPr>
              <w:t>סה"כ</w:t>
            </w:r>
          </w:p>
        </w:tc>
      </w:tr>
      <w:tr w:rsidR="00A85D20" w:rsidRPr="000E643F" w:rsidTr="006F5B1E">
        <w:trPr>
          <w:trHeight w:val="300"/>
          <w:tblCellSpacing w:w="20" w:type="dxa"/>
        </w:trPr>
        <w:tc>
          <w:tcPr>
            <w:tcW w:w="868" w:type="pct"/>
            <w:vMerge w:val="restart"/>
            <w:shd w:val="clear" w:color="auto" w:fill="auto"/>
            <w:noWrap/>
            <w:hideMark/>
          </w:tcPr>
          <w:p w:rsidR="001F3528" w:rsidRPr="000E643F" w:rsidRDefault="001F3528" w:rsidP="000E643F">
            <w:pPr>
              <w:spacing w:before="60" w:after="0" w:line="240" w:lineRule="auto"/>
              <w:rPr>
                <w:sz w:val="22"/>
                <w:szCs w:val="22"/>
                <w:lang w:eastAsia="en-US"/>
              </w:rPr>
            </w:pPr>
            <w:r w:rsidRPr="000E643F">
              <w:rPr>
                <w:sz w:val="22"/>
                <w:szCs w:val="22"/>
                <w:rtl/>
                <w:lang w:eastAsia="en-US"/>
              </w:rPr>
              <w:t>סמים</w:t>
            </w:r>
          </w:p>
        </w:tc>
        <w:tc>
          <w:tcPr>
            <w:tcW w:w="402" w:type="pct"/>
            <w:shd w:val="clear" w:color="auto" w:fill="auto"/>
            <w:noWrap/>
            <w:hideMark/>
          </w:tcPr>
          <w:p w:rsidR="001F3528" w:rsidRPr="000E643F" w:rsidRDefault="001F3528" w:rsidP="000E643F">
            <w:pPr>
              <w:spacing w:before="60" w:after="0" w:line="240" w:lineRule="auto"/>
              <w:rPr>
                <w:sz w:val="22"/>
                <w:szCs w:val="22"/>
                <w:lang w:eastAsia="en-US"/>
              </w:rPr>
            </w:pPr>
            <w:r w:rsidRPr="000E643F">
              <w:rPr>
                <w:sz w:val="22"/>
                <w:szCs w:val="22"/>
                <w:rtl/>
                <w:lang w:eastAsia="en-US"/>
              </w:rPr>
              <w:t>נשים</w:t>
            </w:r>
          </w:p>
        </w:tc>
        <w:tc>
          <w:tcPr>
            <w:tcW w:w="420" w:type="pct"/>
            <w:shd w:val="clear" w:color="auto" w:fill="auto"/>
            <w:noWrap/>
            <w:hideMark/>
          </w:tcPr>
          <w:p w:rsidR="001F3528" w:rsidRPr="000E643F" w:rsidRDefault="001F3528" w:rsidP="000E643F">
            <w:pPr>
              <w:spacing w:before="60" w:after="0" w:line="240" w:lineRule="auto"/>
              <w:rPr>
                <w:sz w:val="22"/>
                <w:szCs w:val="22"/>
                <w:lang w:eastAsia="en-US"/>
              </w:rPr>
            </w:pPr>
            <w:r w:rsidRPr="000E643F">
              <w:rPr>
                <w:sz w:val="22"/>
                <w:szCs w:val="22"/>
                <w:lang w:eastAsia="en-US"/>
              </w:rPr>
              <w:t>190</w:t>
            </w:r>
          </w:p>
        </w:tc>
        <w:tc>
          <w:tcPr>
            <w:tcW w:w="420" w:type="pct"/>
            <w:shd w:val="clear" w:color="auto" w:fill="auto"/>
            <w:noWrap/>
            <w:hideMark/>
          </w:tcPr>
          <w:p w:rsidR="001F3528" w:rsidRPr="000E643F" w:rsidRDefault="001F3528" w:rsidP="000E643F">
            <w:pPr>
              <w:spacing w:before="60" w:after="0" w:line="240" w:lineRule="auto"/>
              <w:rPr>
                <w:sz w:val="22"/>
                <w:szCs w:val="22"/>
                <w:lang w:eastAsia="en-US"/>
              </w:rPr>
            </w:pPr>
            <w:r w:rsidRPr="000E643F">
              <w:rPr>
                <w:sz w:val="22"/>
                <w:szCs w:val="22"/>
                <w:lang w:eastAsia="en-US"/>
              </w:rPr>
              <w:t>273</w:t>
            </w:r>
          </w:p>
        </w:tc>
        <w:tc>
          <w:tcPr>
            <w:tcW w:w="420" w:type="pct"/>
            <w:shd w:val="clear" w:color="auto" w:fill="auto"/>
            <w:noWrap/>
            <w:hideMark/>
          </w:tcPr>
          <w:p w:rsidR="001F3528" w:rsidRPr="000E643F" w:rsidRDefault="001F3528" w:rsidP="000E643F">
            <w:pPr>
              <w:spacing w:before="60" w:after="0" w:line="240" w:lineRule="auto"/>
              <w:rPr>
                <w:sz w:val="22"/>
                <w:szCs w:val="22"/>
                <w:lang w:eastAsia="en-US"/>
              </w:rPr>
            </w:pPr>
            <w:r w:rsidRPr="000E643F">
              <w:rPr>
                <w:sz w:val="22"/>
                <w:szCs w:val="22"/>
                <w:lang w:eastAsia="en-US"/>
              </w:rPr>
              <w:t>557</w:t>
            </w:r>
          </w:p>
        </w:tc>
        <w:tc>
          <w:tcPr>
            <w:tcW w:w="420" w:type="pct"/>
            <w:shd w:val="clear" w:color="auto" w:fill="auto"/>
            <w:noWrap/>
            <w:hideMark/>
          </w:tcPr>
          <w:p w:rsidR="001F3528" w:rsidRPr="000E643F" w:rsidRDefault="001F3528" w:rsidP="000E643F">
            <w:pPr>
              <w:spacing w:before="60" w:after="0" w:line="240" w:lineRule="auto"/>
              <w:rPr>
                <w:sz w:val="22"/>
                <w:szCs w:val="22"/>
                <w:lang w:eastAsia="en-US"/>
              </w:rPr>
            </w:pPr>
            <w:r w:rsidRPr="000E643F">
              <w:rPr>
                <w:sz w:val="22"/>
                <w:szCs w:val="22"/>
                <w:lang w:eastAsia="en-US"/>
              </w:rPr>
              <w:t>639</w:t>
            </w:r>
          </w:p>
        </w:tc>
        <w:tc>
          <w:tcPr>
            <w:tcW w:w="420" w:type="pct"/>
            <w:shd w:val="clear" w:color="auto" w:fill="auto"/>
            <w:noWrap/>
            <w:hideMark/>
          </w:tcPr>
          <w:p w:rsidR="001F3528" w:rsidRPr="000E643F" w:rsidRDefault="001F3528" w:rsidP="000E643F">
            <w:pPr>
              <w:spacing w:before="60" w:after="0" w:line="240" w:lineRule="auto"/>
              <w:rPr>
                <w:sz w:val="22"/>
                <w:szCs w:val="22"/>
                <w:lang w:eastAsia="en-US"/>
              </w:rPr>
            </w:pPr>
            <w:r w:rsidRPr="000E643F">
              <w:rPr>
                <w:sz w:val="22"/>
                <w:szCs w:val="22"/>
                <w:lang w:eastAsia="en-US"/>
              </w:rPr>
              <w:t>546</w:t>
            </w:r>
          </w:p>
        </w:tc>
        <w:tc>
          <w:tcPr>
            <w:tcW w:w="420" w:type="pct"/>
            <w:shd w:val="clear" w:color="auto" w:fill="auto"/>
            <w:noWrap/>
            <w:hideMark/>
          </w:tcPr>
          <w:p w:rsidR="001F3528" w:rsidRPr="000E643F" w:rsidRDefault="001F3528" w:rsidP="000E643F">
            <w:pPr>
              <w:spacing w:before="60" w:after="0" w:line="240" w:lineRule="auto"/>
              <w:rPr>
                <w:sz w:val="22"/>
                <w:szCs w:val="22"/>
                <w:lang w:eastAsia="en-US"/>
              </w:rPr>
            </w:pPr>
            <w:r w:rsidRPr="000E643F">
              <w:rPr>
                <w:sz w:val="22"/>
                <w:szCs w:val="22"/>
                <w:lang w:eastAsia="en-US"/>
              </w:rPr>
              <w:t>176</w:t>
            </w:r>
          </w:p>
        </w:tc>
        <w:tc>
          <w:tcPr>
            <w:tcW w:w="397" w:type="pct"/>
            <w:shd w:val="clear" w:color="auto" w:fill="auto"/>
            <w:noWrap/>
            <w:hideMark/>
          </w:tcPr>
          <w:p w:rsidR="001F3528" w:rsidRPr="000E643F" w:rsidRDefault="001F3528" w:rsidP="000E643F">
            <w:pPr>
              <w:spacing w:before="60" w:after="0" w:line="240" w:lineRule="auto"/>
              <w:rPr>
                <w:sz w:val="22"/>
                <w:szCs w:val="22"/>
                <w:lang w:eastAsia="en-US"/>
              </w:rPr>
            </w:pPr>
            <w:r w:rsidRPr="000E643F">
              <w:rPr>
                <w:sz w:val="22"/>
                <w:szCs w:val="22"/>
                <w:lang w:eastAsia="en-US"/>
              </w:rPr>
              <w:t>74</w:t>
            </w:r>
          </w:p>
        </w:tc>
        <w:tc>
          <w:tcPr>
            <w:tcW w:w="570" w:type="pct"/>
            <w:shd w:val="clear" w:color="auto" w:fill="auto"/>
            <w:noWrap/>
            <w:hideMark/>
          </w:tcPr>
          <w:p w:rsidR="001F3528" w:rsidRPr="000E643F" w:rsidRDefault="00D622B7" w:rsidP="00D622B7">
            <w:pPr>
              <w:spacing w:before="60" w:after="0" w:line="240" w:lineRule="auto"/>
              <w:rPr>
                <w:sz w:val="22"/>
                <w:szCs w:val="22"/>
                <w:lang w:eastAsia="en-US"/>
              </w:rPr>
            </w:pPr>
            <w:r>
              <w:rPr>
                <w:rFonts w:hint="cs"/>
                <w:sz w:val="22"/>
                <w:szCs w:val="22"/>
                <w:rtl/>
                <w:lang w:eastAsia="en-US"/>
              </w:rPr>
              <w:t>2,764</w:t>
            </w:r>
          </w:p>
        </w:tc>
      </w:tr>
      <w:tr w:rsidR="00A85D20" w:rsidRPr="000E643F" w:rsidTr="006F5B1E">
        <w:trPr>
          <w:trHeight w:val="300"/>
          <w:tblCellSpacing w:w="20" w:type="dxa"/>
        </w:trPr>
        <w:tc>
          <w:tcPr>
            <w:tcW w:w="868" w:type="pct"/>
            <w:vMerge/>
            <w:shd w:val="clear" w:color="auto" w:fill="auto"/>
            <w:noWrap/>
            <w:hideMark/>
          </w:tcPr>
          <w:p w:rsidR="001F3528" w:rsidRPr="000E643F" w:rsidRDefault="001F3528" w:rsidP="000E643F">
            <w:pPr>
              <w:spacing w:before="60" w:after="0" w:line="240" w:lineRule="auto"/>
              <w:rPr>
                <w:sz w:val="22"/>
                <w:szCs w:val="22"/>
                <w:lang w:eastAsia="en-US"/>
              </w:rPr>
            </w:pPr>
          </w:p>
        </w:tc>
        <w:tc>
          <w:tcPr>
            <w:tcW w:w="402" w:type="pct"/>
            <w:shd w:val="clear" w:color="auto" w:fill="auto"/>
            <w:noWrap/>
            <w:hideMark/>
          </w:tcPr>
          <w:p w:rsidR="001F3528" w:rsidRPr="000E643F" w:rsidRDefault="001F3528" w:rsidP="000E643F">
            <w:pPr>
              <w:spacing w:before="60" w:after="0" w:line="240" w:lineRule="auto"/>
              <w:rPr>
                <w:sz w:val="22"/>
                <w:szCs w:val="22"/>
                <w:lang w:eastAsia="en-US"/>
              </w:rPr>
            </w:pPr>
            <w:r w:rsidRPr="000E643F">
              <w:rPr>
                <w:sz w:val="22"/>
                <w:szCs w:val="22"/>
                <w:rtl/>
                <w:lang w:eastAsia="en-US"/>
              </w:rPr>
              <w:t>גברים</w:t>
            </w:r>
          </w:p>
        </w:tc>
        <w:tc>
          <w:tcPr>
            <w:tcW w:w="420" w:type="pct"/>
            <w:shd w:val="clear" w:color="auto" w:fill="auto"/>
            <w:noWrap/>
            <w:hideMark/>
          </w:tcPr>
          <w:p w:rsidR="001F3528" w:rsidRPr="000E643F" w:rsidRDefault="001F3528" w:rsidP="000E643F">
            <w:pPr>
              <w:spacing w:before="60" w:after="0" w:line="240" w:lineRule="auto"/>
              <w:rPr>
                <w:sz w:val="22"/>
                <w:szCs w:val="22"/>
                <w:lang w:eastAsia="en-US"/>
              </w:rPr>
            </w:pPr>
            <w:r w:rsidRPr="000E643F">
              <w:rPr>
                <w:sz w:val="22"/>
                <w:szCs w:val="22"/>
                <w:lang w:eastAsia="en-US"/>
              </w:rPr>
              <w:t>669</w:t>
            </w:r>
          </w:p>
        </w:tc>
        <w:tc>
          <w:tcPr>
            <w:tcW w:w="420" w:type="pct"/>
            <w:shd w:val="clear" w:color="auto" w:fill="auto"/>
            <w:noWrap/>
            <w:hideMark/>
          </w:tcPr>
          <w:p w:rsidR="001F3528" w:rsidRPr="000E643F" w:rsidRDefault="00D622B7" w:rsidP="00D622B7">
            <w:pPr>
              <w:spacing w:before="60" w:after="0" w:line="240" w:lineRule="auto"/>
              <w:rPr>
                <w:sz w:val="22"/>
                <w:szCs w:val="22"/>
                <w:lang w:eastAsia="en-US"/>
              </w:rPr>
            </w:pPr>
            <w:r>
              <w:rPr>
                <w:rFonts w:hint="cs"/>
                <w:sz w:val="22"/>
                <w:szCs w:val="22"/>
                <w:rtl/>
                <w:lang w:eastAsia="en-US"/>
              </w:rPr>
              <w:t>1,541</w:t>
            </w:r>
          </w:p>
        </w:tc>
        <w:tc>
          <w:tcPr>
            <w:tcW w:w="420" w:type="pct"/>
            <w:shd w:val="clear" w:color="auto" w:fill="auto"/>
            <w:noWrap/>
            <w:hideMark/>
          </w:tcPr>
          <w:p w:rsidR="001F3528" w:rsidRPr="000E643F" w:rsidRDefault="00D622B7" w:rsidP="00D622B7">
            <w:pPr>
              <w:spacing w:before="60" w:after="0" w:line="240" w:lineRule="auto"/>
              <w:rPr>
                <w:sz w:val="22"/>
                <w:szCs w:val="22"/>
                <w:lang w:eastAsia="en-US"/>
              </w:rPr>
            </w:pPr>
            <w:r>
              <w:rPr>
                <w:rFonts w:hint="cs"/>
                <w:sz w:val="22"/>
                <w:szCs w:val="22"/>
                <w:rtl/>
                <w:lang w:eastAsia="en-US"/>
              </w:rPr>
              <w:t>2,961</w:t>
            </w:r>
          </w:p>
        </w:tc>
        <w:tc>
          <w:tcPr>
            <w:tcW w:w="420" w:type="pct"/>
            <w:shd w:val="clear" w:color="auto" w:fill="auto"/>
            <w:noWrap/>
            <w:hideMark/>
          </w:tcPr>
          <w:p w:rsidR="001F3528" w:rsidRPr="000E643F" w:rsidRDefault="00D622B7" w:rsidP="00D622B7">
            <w:pPr>
              <w:spacing w:before="60" w:after="0" w:line="240" w:lineRule="auto"/>
              <w:rPr>
                <w:sz w:val="22"/>
                <w:szCs w:val="22"/>
                <w:lang w:eastAsia="en-US"/>
              </w:rPr>
            </w:pPr>
            <w:r>
              <w:rPr>
                <w:rFonts w:hint="cs"/>
                <w:sz w:val="22"/>
                <w:szCs w:val="22"/>
                <w:rtl/>
                <w:lang w:eastAsia="en-US"/>
              </w:rPr>
              <w:t>2,634</w:t>
            </w:r>
          </w:p>
        </w:tc>
        <w:tc>
          <w:tcPr>
            <w:tcW w:w="420" w:type="pct"/>
            <w:shd w:val="clear" w:color="auto" w:fill="auto"/>
            <w:noWrap/>
            <w:hideMark/>
          </w:tcPr>
          <w:p w:rsidR="001F3528" w:rsidRPr="000E643F" w:rsidRDefault="00D622B7" w:rsidP="00D622B7">
            <w:pPr>
              <w:spacing w:before="60" w:after="0" w:line="240" w:lineRule="auto"/>
              <w:rPr>
                <w:sz w:val="22"/>
                <w:szCs w:val="22"/>
                <w:lang w:eastAsia="en-US"/>
              </w:rPr>
            </w:pPr>
            <w:r>
              <w:rPr>
                <w:rFonts w:hint="cs"/>
                <w:sz w:val="22"/>
                <w:szCs w:val="22"/>
                <w:rtl/>
                <w:lang w:eastAsia="en-US"/>
              </w:rPr>
              <w:t>2,698</w:t>
            </w:r>
          </w:p>
        </w:tc>
        <w:tc>
          <w:tcPr>
            <w:tcW w:w="420" w:type="pct"/>
            <w:shd w:val="clear" w:color="auto" w:fill="auto"/>
            <w:noWrap/>
            <w:hideMark/>
          </w:tcPr>
          <w:p w:rsidR="001F3528" w:rsidRPr="000E643F" w:rsidRDefault="00D622B7" w:rsidP="00D622B7">
            <w:pPr>
              <w:spacing w:before="60" w:after="0" w:line="240" w:lineRule="auto"/>
              <w:rPr>
                <w:sz w:val="22"/>
                <w:szCs w:val="22"/>
                <w:lang w:eastAsia="en-US"/>
              </w:rPr>
            </w:pPr>
            <w:r>
              <w:rPr>
                <w:rFonts w:hint="cs"/>
                <w:sz w:val="22"/>
                <w:szCs w:val="22"/>
                <w:rtl/>
                <w:lang w:eastAsia="en-US"/>
              </w:rPr>
              <w:t>1,590</w:t>
            </w:r>
          </w:p>
        </w:tc>
        <w:tc>
          <w:tcPr>
            <w:tcW w:w="397" w:type="pct"/>
            <w:shd w:val="clear" w:color="auto" w:fill="auto"/>
            <w:noWrap/>
            <w:hideMark/>
          </w:tcPr>
          <w:p w:rsidR="001F3528" w:rsidRPr="000E643F" w:rsidRDefault="001F3528" w:rsidP="000E643F">
            <w:pPr>
              <w:spacing w:before="60" w:after="0" w:line="240" w:lineRule="auto"/>
              <w:rPr>
                <w:sz w:val="22"/>
                <w:szCs w:val="22"/>
                <w:lang w:eastAsia="en-US"/>
              </w:rPr>
            </w:pPr>
            <w:r w:rsidRPr="000E643F">
              <w:rPr>
                <w:sz w:val="22"/>
                <w:szCs w:val="22"/>
                <w:lang w:eastAsia="en-US"/>
              </w:rPr>
              <w:t>196</w:t>
            </w:r>
          </w:p>
        </w:tc>
        <w:tc>
          <w:tcPr>
            <w:tcW w:w="570" w:type="pct"/>
            <w:shd w:val="clear" w:color="auto" w:fill="auto"/>
            <w:noWrap/>
            <w:hideMark/>
          </w:tcPr>
          <w:p w:rsidR="001F3528" w:rsidRPr="000E643F" w:rsidRDefault="00D622B7" w:rsidP="00D622B7">
            <w:pPr>
              <w:spacing w:before="60" w:after="0" w:line="240" w:lineRule="auto"/>
              <w:rPr>
                <w:sz w:val="22"/>
                <w:szCs w:val="22"/>
                <w:lang w:eastAsia="en-US"/>
              </w:rPr>
            </w:pPr>
            <w:r>
              <w:rPr>
                <w:rFonts w:hint="cs"/>
                <w:sz w:val="22"/>
                <w:szCs w:val="22"/>
                <w:rtl/>
                <w:lang w:eastAsia="en-US"/>
              </w:rPr>
              <w:t>10,746</w:t>
            </w:r>
          </w:p>
        </w:tc>
      </w:tr>
      <w:tr w:rsidR="00A85D20" w:rsidRPr="000E643F" w:rsidTr="006F5B1E">
        <w:trPr>
          <w:trHeight w:val="300"/>
          <w:tblCellSpacing w:w="20" w:type="dxa"/>
        </w:trPr>
        <w:tc>
          <w:tcPr>
            <w:tcW w:w="868" w:type="pct"/>
            <w:shd w:val="clear" w:color="auto" w:fill="auto"/>
            <w:noWrap/>
          </w:tcPr>
          <w:p w:rsidR="00035622" w:rsidRPr="00FA1CCD" w:rsidRDefault="00A524BB" w:rsidP="0028067D">
            <w:pPr>
              <w:spacing w:before="60" w:after="0" w:line="240" w:lineRule="auto"/>
              <w:rPr>
                <w:b/>
                <w:bCs/>
                <w:sz w:val="22"/>
                <w:szCs w:val="22"/>
                <w:lang w:eastAsia="en-US"/>
              </w:rPr>
            </w:pPr>
            <w:r w:rsidRPr="00FA1CCD">
              <w:rPr>
                <w:b/>
                <w:bCs/>
                <w:sz w:val="22"/>
                <w:szCs w:val="22"/>
                <w:rtl/>
                <w:lang w:eastAsia="en-US"/>
              </w:rPr>
              <w:t>סה"כ</w:t>
            </w:r>
            <w:r w:rsidRPr="00FA1CCD">
              <w:rPr>
                <w:rFonts w:hint="cs"/>
                <w:b/>
                <w:bCs/>
                <w:sz w:val="22"/>
                <w:szCs w:val="22"/>
                <w:rtl/>
                <w:lang w:eastAsia="en-US"/>
              </w:rPr>
              <w:t>: סמים</w:t>
            </w:r>
          </w:p>
        </w:tc>
        <w:tc>
          <w:tcPr>
            <w:tcW w:w="402" w:type="pct"/>
            <w:shd w:val="clear" w:color="auto" w:fill="auto"/>
            <w:noWrap/>
          </w:tcPr>
          <w:p w:rsidR="00035622" w:rsidRPr="00FA1CCD" w:rsidRDefault="00035622" w:rsidP="0028067D">
            <w:pPr>
              <w:spacing w:before="60" w:after="0" w:line="240" w:lineRule="auto"/>
              <w:rPr>
                <w:b/>
                <w:bCs/>
                <w:sz w:val="22"/>
                <w:szCs w:val="22"/>
                <w:lang w:eastAsia="en-US"/>
              </w:rPr>
            </w:pPr>
          </w:p>
        </w:tc>
        <w:tc>
          <w:tcPr>
            <w:tcW w:w="420" w:type="pct"/>
            <w:shd w:val="clear" w:color="auto" w:fill="auto"/>
            <w:noWrap/>
            <w:hideMark/>
          </w:tcPr>
          <w:p w:rsidR="00035622" w:rsidRPr="00FA1CCD" w:rsidRDefault="00035622" w:rsidP="0028067D">
            <w:pPr>
              <w:spacing w:before="60" w:after="0" w:line="240" w:lineRule="auto"/>
              <w:rPr>
                <w:b/>
                <w:bCs/>
                <w:sz w:val="22"/>
                <w:szCs w:val="22"/>
                <w:lang w:eastAsia="en-US"/>
              </w:rPr>
            </w:pPr>
            <w:r w:rsidRPr="00FA1CCD">
              <w:rPr>
                <w:b/>
                <w:bCs/>
                <w:sz w:val="22"/>
                <w:szCs w:val="22"/>
                <w:lang w:eastAsia="en-US"/>
              </w:rPr>
              <w:t>859</w:t>
            </w:r>
          </w:p>
        </w:tc>
        <w:tc>
          <w:tcPr>
            <w:tcW w:w="420" w:type="pct"/>
            <w:shd w:val="clear" w:color="auto" w:fill="auto"/>
            <w:noWrap/>
            <w:hideMark/>
          </w:tcPr>
          <w:p w:rsidR="00035622" w:rsidRPr="00FA1CCD" w:rsidRDefault="00035622" w:rsidP="0028067D">
            <w:pPr>
              <w:spacing w:before="60" w:after="0" w:line="240" w:lineRule="auto"/>
              <w:rPr>
                <w:b/>
                <w:bCs/>
                <w:sz w:val="22"/>
                <w:szCs w:val="22"/>
                <w:lang w:eastAsia="en-US"/>
              </w:rPr>
            </w:pPr>
            <w:r w:rsidRPr="00FA1CCD">
              <w:rPr>
                <w:rFonts w:hint="cs"/>
                <w:b/>
                <w:bCs/>
                <w:sz w:val="22"/>
                <w:szCs w:val="22"/>
                <w:rtl/>
                <w:lang w:eastAsia="en-US"/>
              </w:rPr>
              <w:t>1,814</w:t>
            </w:r>
          </w:p>
        </w:tc>
        <w:tc>
          <w:tcPr>
            <w:tcW w:w="420" w:type="pct"/>
            <w:shd w:val="clear" w:color="auto" w:fill="auto"/>
            <w:noWrap/>
            <w:hideMark/>
          </w:tcPr>
          <w:p w:rsidR="00035622" w:rsidRPr="00FA1CCD" w:rsidRDefault="00035622" w:rsidP="0028067D">
            <w:pPr>
              <w:spacing w:before="60" w:after="0" w:line="240" w:lineRule="auto"/>
              <w:rPr>
                <w:b/>
                <w:bCs/>
                <w:sz w:val="22"/>
                <w:szCs w:val="22"/>
                <w:lang w:eastAsia="en-US"/>
              </w:rPr>
            </w:pPr>
            <w:r w:rsidRPr="00FA1CCD">
              <w:rPr>
                <w:rFonts w:hint="cs"/>
                <w:b/>
                <w:bCs/>
                <w:sz w:val="22"/>
                <w:szCs w:val="22"/>
                <w:rtl/>
                <w:lang w:eastAsia="en-US"/>
              </w:rPr>
              <w:t>2,357</w:t>
            </w:r>
          </w:p>
        </w:tc>
        <w:tc>
          <w:tcPr>
            <w:tcW w:w="420" w:type="pct"/>
            <w:shd w:val="clear" w:color="auto" w:fill="auto"/>
            <w:noWrap/>
            <w:hideMark/>
          </w:tcPr>
          <w:p w:rsidR="00035622" w:rsidRPr="00FA1CCD" w:rsidRDefault="00035622" w:rsidP="0028067D">
            <w:pPr>
              <w:spacing w:before="60" w:after="0" w:line="240" w:lineRule="auto"/>
              <w:rPr>
                <w:b/>
                <w:bCs/>
                <w:sz w:val="22"/>
                <w:szCs w:val="22"/>
                <w:lang w:eastAsia="en-US"/>
              </w:rPr>
            </w:pPr>
            <w:r w:rsidRPr="00FA1CCD">
              <w:rPr>
                <w:rFonts w:hint="cs"/>
                <w:b/>
                <w:bCs/>
                <w:sz w:val="22"/>
                <w:szCs w:val="22"/>
                <w:rtl/>
                <w:lang w:eastAsia="en-US"/>
              </w:rPr>
              <w:t>3,570</w:t>
            </w:r>
          </w:p>
        </w:tc>
        <w:tc>
          <w:tcPr>
            <w:tcW w:w="420" w:type="pct"/>
            <w:shd w:val="clear" w:color="auto" w:fill="auto"/>
            <w:noWrap/>
            <w:hideMark/>
          </w:tcPr>
          <w:p w:rsidR="00035622" w:rsidRPr="00FA1CCD" w:rsidRDefault="00035622" w:rsidP="0028067D">
            <w:pPr>
              <w:spacing w:before="60" w:after="0" w:line="240" w:lineRule="auto"/>
              <w:rPr>
                <w:b/>
                <w:bCs/>
                <w:sz w:val="22"/>
                <w:szCs w:val="22"/>
                <w:lang w:eastAsia="en-US"/>
              </w:rPr>
            </w:pPr>
            <w:r w:rsidRPr="00FA1CCD">
              <w:rPr>
                <w:rFonts w:hint="cs"/>
                <w:b/>
                <w:bCs/>
                <w:sz w:val="22"/>
                <w:szCs w:val="22"/>
                <w:rtl/>
                <w:lang w:eastAsia="en-US"/>
              </w:rPr>
              <w:t>3,244</w:t>
            </w:r>
          </w:p>
        </w:tc>
        <w:tc>
          <w:tcPr>
            <w:tcW w:w="420" w:type="pct"/>
            <w:shd w:val="clear" w:color="auto" w:fill="auto"/>
            <w:noWrap/>
            <w:hideMark/>
          </w:tcPr>
          <w:p w:rsidR="00035622" w:rsidRPr="00FA1CCD" w:rsidRDefault="00035622" w:rsidP="0028067D">
            <w:pPr>
              <w:spacing w:before="60" w:after="0" w:line="240" w:lineRule="auto"/>
              <w:rPr>
                <w:b/>
                <w:bCs/>
                <w:sz w:val="22"/>
                <w:szCs w:val="22"/>
                <w:lang w:eastAsia="en-US"/>
              </w:rPr>
            </w:pPr>
            <w:r w:rsidRPr="00FA1CCD">
              <w:rPr>
                <w:rFonts w:hint="cs"/>
                <w:b/>
                <w:bCs/>
                <w:sz w:val="22"/>
                <w:szCs w:val="22"/>
                <w:rtl/>
                <w:lang w:eastAsia="en-US"/>
              </w:rPr>
              <w:t>1,172</w:t>
            </w:r>
          </w:p>
        </w:tc>
        <w:tc>
          <w:tcPr>
            <w:tcW w:w="397" w:type="pct"/>
            <w:shd w:val="clear" w:color="auto" w:fill="auto"/>
            <w:noWrap/>
            <w:hideMark/>
          </w:tcPr>
          <w:p w:rsidR="00035622" w:rsidRPr="00FA1CCD" w:rsidRDefault="00035622" w:rsidP="0028067D">
            <w:pPr>
              <w:spacing w:before="60" w:after="0" w:line="240" w:lineRule="auto"/>
              <w:rPr>
                <w:b/>
                <w:bCs/>
                <w:sz w:val="22"/>
                <w:szCs w:val="22"/>
                <w:lang w:eastAsia="en-US"/>
              </w:rPr>
            </w:pPr>
            <w:r w:rsidRPr="00FA1CCD">
              <w:rPr>
                <w:b/>
                <w:bCs/>
                <w:sz w:val="22"/>
                <w:szCs w:val="22"/>
                <w:lang w:eastAsia="en-US"/>
              </w:rPr>
              <w:t>270</w:t>
            </w:r>
          </w:p>
        </w:tc>
        <w:tc>
          <w:tcPr>
            <w:tcW w:w="570" w:type="pct"/>
            <w:shd w:val="clear" w:color="auto" w:fill="auto"/>
            <w:noWrap/>
            <w:hideMark/>
          </w:tcPr>
          <w:p w:rsidR="00035622" w:rsidRPr="00FA1CCD" w:rsidRDefault="00035622" w:rsidP="0028067D">
            <w:pPr>
              <w:spacing w:before="60" w:after="0" w:line="240" w:lineRule="auto"/>
              <w:rPr>
                <w:b/>
                <w:bCs/>
                <w:sz w:val="22"/>
                <w:szCs w:val="22"/>
                <w:lang w:eastAsia="en-US"/>
              </w:rPr>
            </w:pPr>
            <w:r w:rsidRPr="00FA1CCD">
              <w:rPr>
                <w:rFonts w:hint="cs"/>
                <w:b/>
                <w:bCs/>
                <w:sz w:val="22"/>
                <w:szCs w:val="22"/>
                <w:rtl/>
                <w:lang w:eastAsia="en-US"/>
              </w:rPr>
              <w:t>13,114</w:t>
            </w:r>
          </w:p>
        </w:tc>
      </w:tr>
      <w:tr w:rsidR="00A85D20" w:rsidRPr="000E643F" w:rsidTr="006F5B1E">
        <w:trPr>
          <w:trHeight w:val="300"/>
          <w:tblCellSpacing w:w="20" w:type="dxa"/>
        </w:trPr>
        <w:tc>
          <w:tcPr>
            <w:tcW w:w="868" w:type="pct"/>
            <w:shd w:val="clear" w:color="auto" w:fill="auto"/>
            <w:noWrap/>
            <w:hideMark/>
          </w:tcPr>
          <w:p w:rsidR="00A524BB" w:rsidRPr="000E643F" w:rsidRDefault="00A524BB" w:rsidP="0028067D">
            <w:pPr>
              <w:spacing w:before="60" w:after="0" w:line="240" w:lineRule="auto"/>
              <w:rPr>
                <w:sz w:val="22"/>
                <w:szCs w:val="22"/>
                <w:lang w:eastAsia="en-US"/>
              </w:rPr>
            </w:pPr>
            <w:r w:rsidRPr="000E643F">
              <w:rPr>
                <w:sz w:val="22"/>
                <w:szCs w:val="22"/>
                <w:rtl/>
                <w:lang w:eastAsia="en-US"/>
              </w:rPr>
              <w:t>אלכוהול</w:t>
            </w:r>
          </w:p>
        </w:tc>
        <w:tc>
          <w:tcPr>
            <w:tcW w:w="402" w:type="pct"/>
            <w:shd w:val="clear" w:color="auto" w:fill="auto"/>
            <w:noWrap/>
            <w:hideMark/>
          </w:tcPr>
          <w:p w:rsidR="00A524BB" w:rsidRPr="000E643F" w:rsidRDefault="00A524BB" w:rsidP="0028067D">
            <w:pPr>
              <w:spacing w:before="60" w:after="0" w:line="240" w:lineRule="auto"/>
              <w:rPr>
                <w:sz w:val="22"/>
                <w:szCs w:val="22"/>
                <w:lang w:eastAsia="en-US"/>
              </w:rPr>
            </w:pPr>
            <w:r w:rsidRPr="000E643F">
              <w:rPr>
                <w:sz w:val="22"/>
                <w:szCs w:val="22"/>
                <w:rtl/>
                <w:lang w:eastAsia="en-US"/>
              </w:rPr>
              <w:t>נשים</w:t>
            </w:r>
          </w:p>
        </w:tc>
        <w:tc>
          <w:tcPr>
            <w:tcW w:w="420" w:type="pct"/>
            <w:shd w:val="clear" w:color="auto" w:fill="auto"/>
            <w:noWrap/>
            <w:hideMark/>
          </w:tcPr>
          <w:p w:rsidR="00A524BB" w:rsidRPr="000E643F" w:rsidRDefault="00A524BB" w:rsidP="0028067D">
            <w:pPr>
              <w:spacing w:before="60" w:after="0" w:line="240" w:lineRule="auto"/>
              <w:rPr>
                <w:sz w:val="22"/>
                <w:szCs w:val="22"/>
                <w:lang w:eastAsia="en-US"/>
              </w:rPr>
            </w:pPr>
            <w:r w:rsidRPr="000E643F">
              <w:rPr>
                <w:sz w:val="22"/>
                <w:szCs w:val="22"/>
                <w:lang w:eastAsia="en-US"/>
              </w:rPr>
              <w:t>60</w:t>
            </w:r>
          </w:p>
        </w:tc>
        <w:tc>
          <w:tcPr>
            <w:tcW w:w="420" w:type="pct"/>
            <w:shd w:val="clear" w:color="auto" w:fill="auto"/>
            <w:noWrap/>
            <w:hideMark/>
          </w:tcPr>
          <w:p w:rsidR="00A524BB" w:rsidRPr="000E643F" w:rsidRDefault="00A524BB" w:rsidP="0028067D">
            <w:pPr>
              <w:spacing w:before="60" w:after="0" w:line="240" w:lineRule="auto"/>
              <w:rPr>
                <w:sz w:val="22"/>
                <w:szCs w:val="22"/>
                <w:lang w:eastAsia="en-US"/>
              </w:rPr>
            </w:pPr>
            <w:r w:rsidRPr="000E643F">
              <w:rPr>
                <w:sz w:val="22"/>
                <w:szCs w:val="22"/>
                <w:lang w:eastAsia="en-US"/>
              </w:rPr>
              <w:t>88</w:t>
            </w:r>
          </w:p>
        </w:tc>
        <w:tc>
          <w:tcPr>
            <w:tcW w:w="420" w:type="pct"/>
            <w:shd w:val="clear" w:color="auto" w:fill="auto"/>
            <w:noWrap/>
            <w:hideMark/>
          </w:tcPr>
          <w:p w:rsidR="00A524BB" w:rsidRPr="000E643F" w:rsidRDefault="00A524BB" w:rsidP="0028067D">
            <w:pPr>
              <w:spacing w:before="60" w:after="0" w:line="240" w:lineRule="auto"/>
              <w:rPr>
                <w:sz w:val="22"/>
                <w:szCs w:val="22"/>
                <w:lang w:eastAsia="en-US"/>
              </w:rPr>
            </w:pPr>
            <w:r w:rsidRPr="000E643F">
              <w:rPr>
                <w:sz w:val="22"/>
                <w:szCs w:val="22"/>
                <w:lang w:eastAsia="en-US"/>
              </w:rPr>
              <w:t>237</w:t>
            </w:r>
          </w:p>
        </w:tc>
        <w:tc>
          <w:tcPr>
            <w:tcW w:w="420" w:type="pct"/>
            <w:shd w:val="clear" w:color="auto" w:fill="auto"/>
            <w:noWrap/>
            <w:hideMark/>
          </w:tcPr>
          <w:p w:rsidR="00A524BB" w:rsidRPr="000E643F" w:rsidRDefault="00A524BB" w:rsidP="0028067D">
            <w:pPr>
              <w:spacing w:before="60" w:after="0" w:line="240" w:lineRule="auto"/>
              <w:rPr>
                <w:sz w:val="22"/>
                <w:szCs w:val="22"/>
                <w:lang w:eastAsia="en-US"/>
              </w:rPr>
            </w:pPr>
            <w:r w:rsidRPr="000E643F">
              <w:rPr>
                <w:sz w:val="22"/>
                <w:szCs w:val="22"/>
                <w:lang w:eastAsia="en-US"/>
              </w:rPr>
              <w:t>365</w:t>
            </w:r>
          </w:p>
        </w:tc>
        <w:tc>
          <w:tcPr>
            <w:tcW w:w="420" w:type="pct"/>
            <w:shd w:val="clear" w:color="auto" w:fill="auto"/>
            <w:noWrap/>
            <w:hideMark/>
          </w:tcPr>
          <w:p w:rsidR="00A524BB" w:rsidRPr="000E643F" w:rsidRDefault="00A524BB" w:rsidP="0028067D">
            <w:pPr>
              <w:spacing w:before="60" w:after="0" w:line="240" w:lineRule="auto"/>
              <w:rPr>
                <w:sz w:val="22"/>
                <w:szCs w:val="22"/>
                <w:lang w:eastAsia="en-US"/>
              </w:rPr>
            </w:pPr>
            <w:r w:rsidRPr="000E643F">
              <w:rPr>
                <w:sz w:val="22"/>
                <w:szCs w:val="22"/>
                <w:lang w:eastAsia="en-US"/>
              </w:rPr>
              <w:t>338</w:t>
            </w:r>
          </w:p>
        </w:tc>
        <w:tc>
          <w:tcPr>
            <w:tcW w:w="420" w:type="pct"/>
            <w:shd w:val="clear" w:color="auto" w:fill="auto"/>
            <w:noWrap/>
            <w:hideMark/>
          </w:tcPr>
          <w:p w:rsidR="00A524BB" w:rsidRPr="000E643F" w:rsidRDefault="00A524BB" w:rsidP="0028067D">
            <w:pPr>
              <w:spacing w:before="60" w:after="0" w:line="240" w:lineRule="auto"/>
              <w:rPr>
                <w:sz w:val="22"/>
                <w:szCs w:val="22"/>
                <w:lang w:eastAsia="en-US"/>
              </w:rPr>
            </w:pPr>
            <w:r w:rsidRPr="000E643F">
              <w:rPr>
                <w:sz w:val="22"/>
                <w:szCs w:val="22"/>
                <w:lang w:eastAsia="en-US"/>
              </w:rPr>
              <w:t>196</w:t>
            </w:r>
          </w:p>
        </w:tc>
        <w:tc>
          <w:tcPr>
            <w:tcW w:w="397" w:type="pct"/>
            <w:shd w:val="clear" w:color="auto" w:fill="auto"/>
            <w:noWrap/>
            <w:hideMark/>
          </w:tcPr>
          <w:p w:rsidR="00A524BB" w:rsidRPr="000E643F" w:rsidRDefault="00A524BB" w:rsidP="0028067D">
            <w:pPr>
              <w:spacing w:before="60" w:after="0" w:line="240" w:lineRule="auto"/>
              <w:rPr>
                <w:sz w:val="22"/>
                <w:szCs w:val="22"/>
                <w:lang w:eastAsia="en-US"/>
              </w:rPr>
            </w:pPr>
            <w:r w:rsidRPr="000E643F">
              <w:rPr>
                <w:sz w:val="22"/>
                <w:szCs w:val="22"/>
                <w:lang w:eastAsia="en-US"/>
              </w:rPr>
              <w:t>96</w:t>
            </w:r>
          </w:p>
        </w:tc>
        <w:tc>
          <w:tcPr>
            <w:tcW w:w="570" w:type="pct"/>
            <w:shd w:val="clear" w:color="auto" w:fill="auto"/>
            <w:noWrap/>
            <w:hideMark/>
          </w:tcPr>
          <w:p w:rsidR="00A524BB" w:rsidRPr="000E643F" w:rsidRDefault="00D622B7" w:rsidP="00D622B7">
            <w:pPr>
              <w:spacing w:before="60" w:after="0" w:line="240" w:lineRule="auto"/>
              <w:rPr>
                <w:sz w:val="22"/>
                <w:szCs w:val="22"/>
                <w:lang w:eastAsia="en-US"/>
              </w:rPr>
            </w:pPr>
            <w:r>
              <w:rPr>
                <w:rFonts w:hint="cs"/>
                <w:sz w:val="22"/>
                <w:szCs w:val="22"/>
                <w:rtl/>
                <w:lang w:eastAsia="en-US"/>
              </w:rPr>
              <w:t>1,904</w:t>
            </w:r>
          </w:p>
        </w:tc>
      </w:tr>
      <w:tr w:rsidR="00A85D20" w:rsidRPr="000E643F" w:rsidTr="006F5B1E">
        <w:trPr>
          <w:trHeight w:val="300"/>
          <w:tblCellSpacing w:w="20" w:type="dxa"/>
        </w:trPr>
        <w:tc>
          <w:tcPr>
            <w:tcW w:w="868" w:type="pct"/>
            <w:tcBorders>
              <w:top w:val="outset" w:sz="6" w:space="0" w:color="auto"/>
              <w:bottom w:val="outset" w:sz="6" w:space="0" w:color="auto"/>
            </w:tcBorders>
            <w:shd w:val="clear" w:color="auto" w:fill="auto"/>
            <w:noWrap/>
            <w:hideMark/>
          </w:tcPr>
          <w:p w:rsidR="00A524BB" w:rsidRPr="000E643F" w:rsidRDefault="00A524BB" w:rsidP="000E643F">
            <w:pPr>
              <w:spacing w:before="60" w:after="0" w:line="240" w:lineRule="auto"/>
              <w:rPr>
                <w:sz w:val="22"/>
                <w:szCs w:val="22"/>
                <w:lang w:eastAsia="en-US"/>
              </w:rPr>
            </w:pPr>
            <w:r w:rsidRPr="000E643F">
              <w:rPr>
                <w:sz w:val="22"/>
                <w:szCs w:val="22"/>
                <w:rtl/>
                <w:lang w:eastAsia="en-US"/>
              </w:rPr>
              <w:t>אלכוהול</w:t>
            </w:r>
          </w:p>
        </w:tc>
        <w:tc>
          <w:tcPr>
            <w:tcW w:w="402" w:type="pct"/>
            <w:shd w:val="clear" w:color="auto" w:fill="auto"/>
            <w:noWrap/>
            <w:hideMark/>
          </w:tcPr>
          <w:p w:rsidR="00A524BB" w:rsidRPr="000E643F" w:rsidRDefault="00A524BB" w:rsidP="0028067D">
            <w:pPr>
              <w:spacing w:before="60" w:after="0" w:line="240" w:lineRule="auto"/>
              <w:rPr>
                <w:sz w:val="22"/>
                <w:szCs w:val="22"/>
                <w:lang w:eastAsia="en-US"/>
              </w:rPr>
            </w:pPr>
            <w:r w:rsidRPr="000E643F">
              <w:rPr>
                <w:sz w:val="22"/>
                <w:szCs w:val="22"/>
                <w:rtl/>
                <w:lang w:eastAsia="en-US"/>
              </w:rPr>
              <w:t>גברים</w:t>
            </w:r>
          </w:p>
        </w:tc>
        <w:tc>
          <w:tcPr>
            <w:tcW w:w="420" w:type="pct"/>
            <w:shd w:val="clear" w:color="auto" w:fill="auto"/>
            <w:noWrap/>
            <w:hideMark/>
          </w:tcPr>
          <w:p w:rsidR="00A524BB" w:rsidRPr="000E643F" w:rsidRDefault="00A524BB" w:rsidP="0028067D">
            <w:pPr>
              <w:spacing w:before="60" w:after="0" w:line="240" w:lineRule="auto"/>
              <w:rPr>
                <w:sz w:val="22"/>
                <w:szCs w:val="22"/>
                <w:lang w:eastAsia="en-US"/>
              </w:rPr>
            </w:pPr>
            <w:r w:rsidRPr="000E643F">
              <w:rPr>
                <w:sz w:val="22"/>
                <w:szCs w:val="22"/>
                <w:lang w:eastAsia="en-US"/>
              </w:rPr>
              <w:t>78</w:t>
            </w:r>
          </w:p>
        </w:tc>
        <w:tc>
          <w:tcPr>
            <w:tcW w:w="420" w:type="pct"/>
            <w:shd w:val="clear" w:color="auto" w:fill="auto"/>
            <w:noWrap/>
            <w:hideMark/>
          </w:tcPr>
          <w:p w:rsidR="00A524BB" w:rsidRPr="000E643F" w:rsidRDefault="00A524BB" w:rsidP="0028067D">
            <w:pPr>
              <w:spacing w:before="60" w:after="0" w:line="240" w:lineRule="auto"/>
              <w:rPr>
                <w:sz w:val="22"/>
                <w:szCs w:val="22"/>
                <w:lang w:eastAsia="en-US"/>
              </w:rPr>
            </w:pPr>
            <w:r w:rsidRPr="000E643F">
              <w:rPr>
                <w:sz w:val="22"/>
                <w:szCs w:val="22"/>
                <w:lang w:eastAsia="en-US"/>
              </w:rPr>
              <w:t>299</w:t>
            </w:r>
          </w:p>
        </w:tc>
        <w:tc>
          <w:tcPr>
            <w:tcW w:w="420" w:type="pct"/>
            <w:shd w:val="clear" w:color="auto" w:fill="auto"/>
            <w:noWrap/>
            <w:hideMark/>
          </w:tcPr>
          <w:p w:rsidR="00A524BB" w:rsidRPr="000E643F" w:rsidRDefault="00D622B7" w:rsidP="00D622B7">
            <w:pPr>
              <w:spacing w:before="60" w:after="0" w:line="240" w:lineRule="auto"/>
              <w:rPr>
                <w:sz w:val="22"/>
                <w:szCs w:val="22"/>
                <w:lang w:eastAsia="en-US"/>
              </w:rPr>
            </w:pPr>
            <w:r>
              <w:rPr>
                <w:rFonts w:hint="cs"/>
                <w:sz w:val="22"/>
                <w:szCs w:val="22"/>
                <w:rtl/>
                <w:lang w:eastAsia="en-US"/>
              </w:rPr>
              <w:t>1,850</w:t>
            </w:r>
          </w:p>
        </w:tc>
        <w:tc>
          <w:tcPr>
            <w:tcW w:w="420" w:type="pct"/>
            <w:shd w:val="clear" w:color="auto" w:fill="auto"/>
            <w:noWrap/>
            <w:hideMark/>
          </w:tcPr>
          <w:p w:rsidR="00A524BB" w:rsidRPr="000E643F" w:rsidRDefault="00D622B7" w:rsidP="00D622B7">
            <w:pPr>
              <w:spacing w:before="60" w:after="0" w:line="240" w:lineRule="auto"/>
              <w:rPr>
                <w:sz w:val="22"/>
                <w:szCs w:val="22"/>
                <w:lang w:eastAsia="en-US"/>
              </w:rPr>
            </w:pPr>
            <w:r>
              <w:rPr>
                <w:rFonts w:hint="cs"/>
                <w:sz w:val="22"/>
                <w:szCs w:val="22"/>
                <w:rtl/>
                <w:lang w:eastAsia="en-US"/>
              </w:rPr>
              <w:t>1,344</w:t>
            </w:r>
          </w:p>
        </w:tc>
        <w:tc>
          <w:tcPr>
            <w:tcW w:w="420" w:type="pct"/>
            <w:shd w:val="clear" w:color="auto" w:fill="auto"/>
            <w:noWrap/>
            <w:hideMark/>
          </w:tcPr>
          <w:p w:rsidR="00A524BB" w:rsidRPr="000E643F" w:rsidRDefault="00D622B7" w:rsidP="00D622B7">
            <w:pPr>
              <w:spacing w:before="60" w:after="0" w:line="240" w:lineRule="auto"/>
              <w:rPr>
                <w:sz w:val="22"/>
                <w:szCs w:val="22"/>
                <w:lang w:eastAsia="en-US"/>
              </w:rPr>
            </w:pPr>
            <w:r>
              <w:rPr>
                <w:rFonts w:hint="cs"/>
                <w:sz w:val="22"/>
                <w:szCs w:val="22"/>
                <w:rtl/>
                <w:lang w:eastAsia="en-US"/>
              </w:rPr>
              <w:t>1,267</w:t>
            </w:r>
          </w:p>
        </w:tc>
        <w:tc>
          <w:tcPr>
            <w:tcW w:w="420" w:type="pct"/>
            <w:shd w:val="clear" w:color="auto" w:fill="auto"/>
            <w:noWrap/>
            <w:hideMark/>
          </w:tcPr>
          <w:p w:rsidR="00A524BB" w:rsidRPr="000E643F" w:rsidRDefault="00D622B7" w:rsidP="00D622B7">
            <w:pPr>
              <w:spacing w:before="60" w:after="0" w:line="240" w:lineRule="auto"/>
              <w:rPr>
                <w:sz w:val="22"/>
                <w:szCs w:val="22"/>
                <w:lang w:eastAsia="en-US"/>
              </w:rPr>
            </w:pPr>
            <w:r>
              <w:rPr>
                <w:rFonts w:hint="cs"/>
                <w:sz w:val="22"/>
                <w:szCs w:val="22"/>
                <w:rtl/>
                <w:lang w:eastAsia="en-US"/>
              </w:rPr>
              <w:t>1,630</w:t>
            </w:r>
          </w:p>
        </w:tc>
        <w:tc>
          <w:tcPr>
            <w:tcW w:w="397" w:type="pct"/>
            <w:shd w:val="clear" w:color="auto" w:fill="auto"/>
            <w:noWrap/>
            <w:hideMark/>
          </w:tcPr>
          <w:p w:rsidR="00A524BB" w:rsidRPr="000E643F" w:rsidRDefault="00A524BB" w:rsidP="0028067D">
            <w:pPr>
              <w:spacing w:before="60" w:after="0" w:line="240" w:lineRule="auto"/>
              <w:rPr>
                <w:sz w:val="22"/>
                <w:szCs w:val="22"/>
                <w:lang w:eastAsia="en-US"/>
              </w:rPr>
            </w:pPr>
            <w:r w:rsidRPr="000E643F">
              <w:rPr>
                <w:sz w:val="22"/>
                <w:szCs w:val="22"/>
                <w:lang w:eastAsia="en-US"/>
              </w:rPr>
              <w:t>434</w:t>
            </w:r>
          </w:p>
        </w:tc>
        <w:tc>
          <w:tcPr>
            <w:tcW w:w="570" w:type="pct"/>
            <w:shd w:val="clear" w:color="auto" w:fill="auto"/>
            <w:noWrap/>
            <w:hideMark/>
          </w:tcPr>
          <w:p w:rsidR="00A524BB" w:rsidRPr="000E643F" w:rsidRDefault="00D622B7" w:rsidP="00D622B7">
            <w:pPr>
              <w:spacing w:before="60" w:after="0" w:line="240" w:lineRule="auto"/>
              <w:rPr>
                <w:sz w:val="22"/>
                <w:szCs w:val="22"/>
                <w:lang w:eastAsia="en-US"/>
              </w:rPr>
            </w:pPr>
            <w:r>
              <w:rPr>
                <w:rFonts w:hint="cs"/>
                <w:sz w:val="22"/>
                <w:szCs w:val="22"/>
                <w:rtl/>
                <w:lang w:eastAsia="en-US"/>
              </w:rPr>
              <w:t>5,899</w:t>
            </w:r>
          </w:p>
        </w:tc>
      </w:tr>
      <w:tr w:rsidR="00A85D20" w:rsidRPr="000E643F" w:rsidTr="006F5B1E">
        <w:trPr>
          <w:trHeight w:val="300"/>
          <w:tblCellSpacing w:w="20" w:type="dxa"/>
        </w:trPr>
        <w:tc>
          <w:tcPr>
            <w:tcW w:w="868" w:type="pct"/>
            <w:tcBorders>
              <w:top w:val="outset" w:sz="6" w:space="0" w:color="auto"/>
            </w:tcBorders>
            <w:shd w:val="clear" w:color="auto" w:fill="auto"/>
            <w:noWrap/>
            <w:hideMark/>
          </w:tcPr>
          <w:p w:rsidR="00A85D20" w:rsidRPr="00FA1CCD" w:rsidRDefault="00A85D20" w:rsidP="000E643F">
            <w:pPr>
              <w:spacing w:before="60" w:after="0" w:line="240" w:lineRule="auto"/>
              <w:rPr>
                <w:b/>
                <w:bCs/>
                <w:sz w:val="22"/>
                <w:szCs w:val="22"/>
                <w:lang w:eastAsia="en-US"/>
              </w:rPr>
            </w:pPr>
            <w:r w:rsidRPr="00FA1CCD">
              <w:rPr>
                <w:b/>
                <w:bCs/>
                <w:sz w:val="22"/>
                <w:szCs w:val="22"/>
                <w:rtl/>
                <w:lang w:eastAsia="en-US"/>
              </w:rPr>
              <w:t>סה"כ</w:t>
            </w:r>
            <w:r w:rsidRPr="00FA1CCD">
              <w:rPr>
                <w:rFonts w:hint="cs"/>
                <w:b/>
                <w:bCs/>
                <w:sz w:val="22"/>
                <w:szCs w:val="22"/>
                <w:rtl/>
                <w:lang w:eastAsia="en-US"/>
              </w:rPr>
              <w:t>: אלכוהול</w:t>
            </w:r>
          </w:p>
        </w:tc>
        <w:tc>
          <w:tcPr>
            <w:tcW w:w="402" w:type="pct"/>
            <w:shd w:val="clear" w:color="auto" w:fill="auto"/>
            <w:noWrap/>
            <w:hideMark/>
          </w:tcPr>
          <w:p w:rsidR="00A85D20" w:rsidRPr="00FA1CCD" w:rsidRDefault="00A85D20" w:rsidP="000E643F">
            <w:pPr>
              <w:spacing w:before="60" w:after="0" w:line="240" w:lineRule="auto"/>
              <w:rPr>
                <w:b/>
                <w:bCs/>
                <w:sz w:val="22"/>
                <w:szCs w:val="22"/>
                <w:lang w:eastAsia="en-US"/>
              </w:rPr>
            </w:pPr>
          </w:p>
        </w:tc>
        <w:tc>
          <w:tcPr>
            <w:tcW w:w="420" w:type="pct"/>
            <w:shd w:val="clear" w:color="auto" w:fill="auto"/>
            <w:noWrap/>
            <w:hideMark/>
          </w:tcPr>
          <w:p w:rsidR="00A85D20" w:rsidRPr="00FA1CCD" w:rsidRDefault="00A85D20" w:rsidP="0028067D">
            <w:pPr>
              <w:spacing w:before="60" w:after="0" w:line="240" w:lineRule="auto"/>
              <w:rPr>
                <w:b/>
                <w:bCs/>
                <w:sz w:val="22"/>
                <w:szCs w:val="22"/>
                <w:lang w:eastAsia="en-US"/>
              </w:rPr>
            </w:pPr>
            <w:r w:rsidRPr="00FA1CCD">
              <w:rPr>
                <w:b/>
                <w:bCs/>
                <w:sz w:val="22"/>
                <w:szCs w:val="22"/>
                <w:lang w:eastAsia="en-US"/>
              </w:rPr>
              <w:t>138</w:t>
            </w:r>
          </w:p>
        </w:tc>
        <w:tc>
          <w:tcPr>
            <w:tcW w:w="420" w:type="pct"/>
            <w:shd w:val="clear" w:color="auto" w:fill="auto"/>
            <w:noWrap/>
            <w:hideMark/>
          </w:tcPr>
          <w:p w:rsidR="00A85D20" w:rsidRPr="00FA1CCD" w:rsidRDefault="00A85D20" w:rsidP="0028067D">
            <w:pPr>
              <w:spacing w:before="60" w:after="0" w:line="240" w:lineRule="auto"/>
              <w:rPr>
                <w:b/>
                <w:bCs/>
                <w:sz w:val="22"/>
                <w:szCs w:val="22"/>
                <w:lang w:eastAsia="en-US"/>
              </w:rPr>
            </w:pPr>
            <w:r w:rsidRPr="00FA1CCD">
              <w:rPr>
                <w:b/>
                <w:bCs/>
                <w:sz w:val="22"/>
                <w:szCs w:val="22"/>
                <w:lang w:eastAsia="en-US"/>
              </w:rPr>
              <w:t>387</w:t>
            </w:r>
          </w:p>
        </w:tc>
        <w:tc>
          <w:tcPr>
            <w:tcW w:w="420" w:type="pct"/>
            <w:shd w:val="clear" w:color="auto" w:fill="auto"/>
            <w:noWrap/>
            <w:hideMark/>
          </w:tcPr>
          <w:p w:rsidR="00A85D20" w:rsidRPr="00FA1CCD" w:rsidRDefault="00A85D20" w:rsidP="00A85D20">
            <w:pPr>
              <w:spacing w:before="60" w:after="0" w:line="240" w:lineRule="auto"/>
              <w:rPr>
                <w:b/>
                <w:bCs/>
                <w:sz w:val="22"/>
                <w:szCs w:val="22"/>
                <w:lang w:eastAsia="en-US"/>
              </w:rPr>
            </w:pPr>
            <w:r w:rsidRPr="00FA1CCD">
              <w:rPr>
                <w:rFonts w:hint="cs"/>
                <w:b/>
                <w:bCs/>
                <w:sz w:val="22"/>
                <w:szCs w:val="22"/>
                <w:rtl/>
                <w:lang w:eastAsia="en-US"/>
              </w:rPr>
              <w:t>1,592</w:t>
            </w:r>
          </w:p>
        </w:tc>
        <w:tc>
          <w:tcPr>
            <w:tcW w:w="420" w:type="pct"/>
            <w:shd w:val="clear" w:color="auto" w:fill="auto"/>
            <w:noWrap/>
            <w:hideMark/>
          </w:tcPr>
          <w:p w:rsidR="00A85D20" w:rsidRPr="00FA1CCD" w:rsidRDefault="00A85D20" w:rsidP="00A85D20">
            <w:pPr>
              <w:spacing w:before="60" w:after="0" w:line="240" w:lineRule="auto"/>
              <w:rPr>
                <w:b/>
                <w:bCs/>
                <w:sz w:val="22"/>
                <w:szCs w:val="22"/>
                <w:lang w:eastAsia="en-US"/>
              </w:rPr>
            </w:pPr>
            <w:r w:rsidRPr="00FA1CCD">
              <w:rPr>
                <w:rFonts w:hint="cs"/>
                <w:b/>
                <w:bCs/>
                <w:sz w:val="22"/>
                <w:szCs w:val="22"/>
                <w:rtl/>
                <w:lang w:eastAsia="en-US"/>
              </w:rPr>
              <w:t>1,808</w:t>
            </w:r>
          </w:p>
        </w:tc>
        <w:tc>
          <w:tcPr>
            <w:tcW w:w="420" w:type="pct"/>
            <w:shd w:val="clear" w:color="auto" w:fill="auto"/>
            <w:noWrap/>
            <w:hideMark/>
          </w:tcPr>
          <w:p w:rsidR="00A85D20" w:rsidRPr="00FA1CCD" w:rsidRDefault="00D622B7" w:rsidP="0028067D">
            <w:pPr>
              <w:spacing w:before="60" w:after="0" w:line="240" w:lineRule="auto"/>
              <w:rPr>
                <w:b/>
                <w:bCs/>
                <w:sz w:val="22"/>
                <w:szCs w:val="22"/>
                <w:lang w:eastAsia="en-US"/>
              </w:rPr>
            </w:pPr>
            <w:r w:rsidRPr="00FA1CCD">
              <w:rPr>
                <w:rFonts w:hint="cs"/>
                <w:b/>
                <w:bCs/>
                <w:sz w:val="22"/>
                <w:szCs w:val="22"/>
                <w:rtl/>
                <w:lang w:eastAsia="en-US"/>
              </w:rPr>
              <w:t>1,569</w:t>
            </w:r>
          </w:p>
        </w:tc>
        <w:tc>
          <w:tcPr>
            <w:tcW w:w="420" w:type="pct"/>
            <w:shd w:val="clear" w:color="auto" w:fill="auto"/>
            <w:noWrap/>
            <w:hideMark/>
          </w:tcPr>
          <w:p w:rsidR="00A85D20" w:rsidRPr="00FA1CCD" w:rsidRDefault="00D622B7" w:rsidP="00D622B7">
            <w:pPr>
              <w:spacing w:before="60" w:after="0" w:line="240" w:lineRule="auto"/>
              <w:rPr>
                <w:b/>
                <w:bCs/>
                <w:sz w:val="22"/>
                <w:szCs w:val="22"/>
                <w:lang w:eastAsia="en-US"/>
              </w:rPr>
            </w:pPr>
            <w:r w:rsidRPr="00FA1CCD">
              <w:rPr>
                <w:rFonts w:hint="cs"/>
                <w:b/>
                <w:bCs/>
                <w:sz w:val="22"/>
                <w:szCs w:val="22"/>
                <w:rtl/>
                <w:lang w:eastAsia="en-US"/>
              </w:rPr>
              <w:t>1,232</w:t>
            </w:r>
          </w:p>
        </w:tc>
        <w:tc>
          <w:tcPr>
            <w:tcW w:w="397" w:type="pct"/>
            <w:shd w:val="clear" w:color="auto" w:fill="auto"/>
            <w:noWrap/>
            <w:hideMark/>
          </w:tcPr>
          <w:p w:rsidR="00A85D20" w:rsidRPr="00FA1CCD" w:rsidRDefault="00A85D20" w:rsidP="0028067D">
            <w:pPr>
              <w:spacing w:before="60" w:after="0" w:line="240" w:lineRule="auto"/>
              <w:rPr>
                <w:b/>
                <w:bCs/>
                <w:sz w:val="22"/>
                <w:szCs w:val="22"/>
                <w:lang w:eastAsia="en-US"/>
              </w:rPr>
            </w:pPr>
            <w:r w:rsidRPr="00FA1CCD">
              <w:rPr>
                <w:b/>
                <w:bCs/>
                <w:sz w:val="22"/>
                <w:szCs w:val="22"/>
                <w:lang w:eastAsia="en-US"/>
              </w:rPr>
              <w:t>530</w:t>
            </w:r>
          </w:p>
        </w:tc>
        <w:tc>
          <w:tcPr>
            <w:tcW w:w="570" w:type="pct"/>
            <w:shd w:val="clear" w:color="auto" w:fill="auto"/>
            <w:noWrap/>
            <w:hideMark/>
          </w:tcPr>
          <w:p w:rsidR="00A85D20" w:rsidRPr="00FA1CCD" w:rsidRDefault="00A85D20" w:rsidP="000E643F">
            <w:pPr>
              <w:spacing w:before="60" w:after="0" w:line="240" w:lineRule="auto"/>
              <w:rPr>
                <w:b/>
                <w:bCs/>
                <w:sz w:val="22"/>
                <w:szCs w:val="22"/>
                <w:lang w:eastAsia="en-US"/>
              </w:rPr>
            </w:pPr>
            <w:r w:rsidRPr="00FA1CCD">
              <w:rPr>
                <w:rFonts w:hint="cs"/>
                <w:b/>
                <w:bCs/>
                <w:sz w:val="22"/>
                <w:szCs w:val="22"/>
                <w:rtl/>
                <w:lang w:eastAsia="en-US"/>
              </w:rPr>
              <w:t>7,704</w:t>
            </w:r>
          </w:p>
        </w:tc>
      </w:tr>
    </w:tbl>
    <w:p w:rsidR="006F5B1E" w:rsidRDefault="006F5B1E" w:rsidP="006F5B1E">
      <w:pPr>
        <w:spacing w:line="360" w:lineRule="auto"/>
        <w:rPr>
          <w:rtl/>
        </w:rPr>
      </w:pPr>
      <w:r w:rsidRPr="00BB6388">
        <w:rPr>
          <w:rFonts w:hint="cs"/>
          <w:rtl/>
        </w:rPr>
        <w:t>ניתוח נתונים אלו מעלה כי</w:t>
      </w:r>
      <w:r w:rsidRPr="00BB6388">
        <w:rPr>
          <w:rFonts w:hint="cs"/>
          <w:b/>
          <w:bCs/>
          <w:rtl/>
        </w:rPr>
        <w:t xml:space="preserve"> גברים מהווים את הרוב המכריע של המכורים בשתי קטגוריות ההתמכרות</w:t>
      </w:r>
      <w:r w:rsidRPr="00BB6388">
        <w:rPr>
          <w:rFonts w:hint="cs"/>
          <w:rtl/>
        </w:rPr>
        <w:t xml:space="preserve">, הן התמכרות לסמים והן לאלכוהול, בשעור של כ- 81%. </w:t>
      </w:r>
      <w:r w:rsidRPr="00EA2C29">
        <w:rPr>
          <w:rFonts w:hint="cs"/>
          <w:rtl/>
        </w:rPr>
        <w:t>בו-בזמן מציין המשרד כי</w:t>
      </w:r>
      <w:r w:rsidRPr="00BB6388">
        <w:rPr>
          <w:rFonts w:hint="cs"/>
          <w:b/>
          <w:bCs/>
          <w:rtl/>
        </w:rPr>
        <w:t xml:space="preserve"> מצבן של רוב הנשים המכורות המגיעות לטיפול קשה מזה של הגברים</w:t>
      </w:r>
      <w:r w:rsidRPr="00BB6388">
        <w:rPr>
          <w:rFonts w:hint="cs"/>
          <w:rtl/>
        </w:rPr>
        <w:t xml:space="preserve"> מאחר והן לעיתים תכופות ללא קשרי משפחה, בעלות רקע של טראומה מינית, מועסקות בזנות, וסובלות מתחלואה גופנית ונפשית נוספת לזו של ההתמכרות.</w:t>
      </w:r>
      <w:r w:rsidRPr="00BB6388">
        <w:rPr>
          <w:rStyle w:val="ab"/>
          <w:rtl/>
        </w:rPr>
        <w:footnoteReference w:id="397"/>
      </w:r>
      <w:r>
        <w:rPr>
          <w:rFonts w:hint="cs"/>
          <w:rtl/>
        </w:rPr>
        <w:t xml:space="preserve"> </w:t>
      </w:r>
    </w:p>
    <w:p w:rsidR="000822D6" w:rsidRDefault="006F5B1E" w:rsidP="006F5B1E">
      <w:pPr>
        <w:spacing w:line="360" w:lineRule="auto"/>
        <w:rPr>
          <w:rtl/>
        </w:rPr>
      </w:pPr>
      <w:r w:rsidRPr="00BB6388">
        <w:rPr>
          <w:rFonts w:hint="cs"/>
          <w:rtl/>
        </w:rPr>
        <w:t xml:space="preserve">בנוסף, כפי שניתן לראות, </w:t>
      </w:r>
      <w:r w:rsidRPr="00D175BD">
        <w:rPr>
          <w:rFonts w:hint="cs"/>
          <w:rtl/>
        </w:rPr>
        <w:t xml:space="preserve">קבוצת הגיל השכיחה ביותר באפריל 2015 הן בקרב נפגעי הסמים והן בקרב נפגעי האלכוהול שהיו רשומים במסגרת השירות לטיפול בהתמכרויות במחלקות לשירותים חברתיים ברשויות המקומיות ב- 2015 היא גילאי 46-55, </w:t>
      </w:r>
      <w:r w:rsidRPr="00BB6388">
        <w:rPr>
          <w:rFonts w:hint="cs"/>
          <w:rtl/>
        </w:rPr>
        <w:t>עם 3,442 מכורים לסמים ו- 1,965 מכורים לאלכוהול.</w:t>
      </w:r>
      <w:r w:rsidRPr="00BB6388">
        <w:rPr>
          <w:rStyle w:val="ab"/>
          <w:rtl/>
        </w:rPr>
        <w:footnoteReference w:id="398"/>
      </w:r>
      <w:r>
        <w:rPr>
          <w:rFonts w:hint="cs"/>
          <w:rtl/>
        </w:rPr>
        <w:t xml:space="preserve"> </w:t>
      </w:r>
      <w:r w:rsidRPr="00BB6388">
        <w:rPr>
          <w:rFonts w:hint="cs"/>
          <w:rtl/>
        </w:rPr>
        <w:t xml:space="preserve">בדיקה לפי מגדר מעלה פילוח שונה: </w:t>
      </w:r>
      <w:r w:rsidRPr="00BB6388">
        <w:rPr>
          <w:rFonts w:hint="cs"/>
          <w:b/>
          <w:bCs/>
          <w:rtl/>
        </w:rPr>
        <w:t>בשתי קטגוריות ההתמכרות, סמים ואלכוהול, קבוצת הגיל השכיחה ביותר עבור נשים היא 36-45, ו</w:t>
      </w:r>
      <w:r>
        <w:rPr>
          <w:rFonts w:hint="cs"/>
          <w:b/>
          <w:bCs/>
          <w:rtl/>
        </w:rPr>
        <w:t>אילו עבור גברים היא</w:t>
      </w:r>
      <w:r w:rsidRPr="00BB6388">
        <w:rPr>
          <w:rFonts w:hint="cs"/>
          <w:b/>
          <w:bCs/>
          <w:rtl/>
        </w:rPr>
        <w:t xml:space="preserve"> 46-55</w:t>
      </w:r>
      <w:r w:rsidRPr="00BB6388">
        <w:rPr>
          <w:rFonts w:hint="cs"/>
          <w:rtl/>
        </w:rPr>
        <w:t>.</w:t>
      </w:r>
    </w:p>
    <w:p w:rsidR="00C270DC" w:rsidRPr="00BB6388" w:rsidRDefault="00C270DC" w:rsidP="000822D6">
      <w:pPr>
        <w:spacing w:line="360" w:lineRule="auto"/>
        <w:rPr>
          <w:b/>
          <w:bCs/>
          <w:highlight w:val="yellow"/>
          <w:rtl/>
        </w:rPr>
      </w:pPr>
      <w:r w:rsidRPr="00BB6388">
        <w:rPr>
          <w:rFonts w:hint="cs"/>
          <w:rtl/>
        </w:rPr>
        <w:t>בחינת ההתפ</w:t>
      </w:r>
      <w:r w:rsidRPr="00107166">
        <w:rPr>
          <w:rFonts w:hint="cs"/>
          <w:rtl/>
        </w:rPr>
        <w:t xml:space="preserve">לגות הגיאוגרפית של אוכלוסיית המטופלים </w:t>
      </w:r>
      <w:r w:rsidR="00021FE3" w:rsidRPr="00107166">
        <w:rPr>
          <w:rFonts w:hint="cs"/>
          <w:rtl/>
        </w:rPr>
        <w:t>בשירות ל</w:t>
      </w:r>
      <w:r w:rsidR="00D24F23" w:rsidRPr="00107166">
        <w:rPr>
          <w:rFonts w:hint="cs"/>
          <w:rtl/>
        </w:rPr>
        <w:t>טיפול ב</w:t>
      </w:r>
      <w:r w:rsidR="00021FE3" w:rsidRPr="00107166">
        <w:rPr>
          <w:rFonts w:hint="cs"/>
          <w:rtl/>
        </w:rPr>
        <w:t>התמכרויות</w:t>
      </w:r>
      <w:r w:rsidR="008B0569" w:rsidRPr="00107166">
        <w:rPr>
          <w:rFonts w:hint="cs"/>
          <w:rtl/>
        </w:rPr>
        <w:t xml:space="preserve"> באפריל 2015 מוצגת בטבלה </w:t>
      </w:r>
      <w:r w:rsidR="00107166" w:rsidRPr="00107166">
        <w:rPr>
          <w:rFonts w:hint="cs"/>
          <w:rtl/>
        </w:rPr>
        <w:t xml:space="preserve">מס' </w:t>
      </w:r>
      <w:r w:rsidR="000822D6">
        <w:rPr>
          <w:rFonts w:hint="cs"/>
          <w:rtl/>
        </w:rPr>
        <w:t>22</w:t>
      </w:r>
      <w:r w:rsidR="00107166" w:rsidRPr="00107166">
        <w:rPr>
          <w:rFonts w:hint="cs"/>
          <w:rtl/>
        </w:rPr>
        <w:t>.</w:t>
      </w:r>
    </w:p>
    <w:p w:rsidR="00C270DC" w:rsidRPr="00BB6388" w:rsidRDefault="008B0569" w:rsidP="00107166">
      <w:pPr>
        <w:pStyle w:val="af2"/>
        <w:jc w:val="center"/>
        <w:rPr>
          <w:b w:val="0"/>
          <w:bCs w:val="0"/>
          <w:rtl/>
        </w:rPr>
      </w:pPr>
      <w:bookmarkStart w:id="351" w:name="_Toc418585122"/>
      <w:bookmarkStart w:id="352" w:name="_Toc419963183"/>
      <w:r w:rsidRPr="008B0569">
        <w:rPr>
          <w:sz w:val="24"/>
          <w:szCs w:val="24"/>
          <w:rtl/>
        </w:rPr>
        <w:t xml:space="preserve">טבלה </w:t>
      </w:r>
      <w:r w:rsidR="00F3448E" w:rsidRPr="008B0569">
        <w:rPr>
          <w:sz w:val="24"/>
          <w:szCs w:val="24"/>
          <w:rtl/>
        </w:rPr>
        <w:fldChar w:fldCharType="begin"/>
      </w:r>
      <w:r w:rsidRPr="008B0569">
        <w:rPr>
          <w:sz w:val="24"/>
          <w:szCs w:val="24"/>
          <w:rtl/>
        </w:rPr>
        <w:instrText xml:space="preserve"> </w:instrText>
      </w:r>
      <w:r w:rsidRPr="008B0569">
        <w:rPr>
          <w:sz w:val="24"/>
          <w:szCs w:val="24"/>
        </w:rPr>
        <w:instrText>SEQ</w:instrText>
      </w:r>
      <w:r w:rsidRPr="008B0569">
        <w:rPr>
          <w:sz w:val="24"/>
          <w:szCs w:val="24"/>
          <w:rtl/>
        </w:rPr>
        <w:instrText xml:space="preserve"> טבלה \* </w:instrText>
      </w:r>
      <w:r w:rsidRPr="008B0569">
        <w:rPr>
          <w:sz w:val="24"/>
          <w:szCs w:val="24"/>
        </w:rPr>
        <w:instrText>ARABIC</w:instrText>
      </w:r>
      <w:r w:rsidRPr="008B0569">
        <w:rPr>
          <w:sz w:val="24"/>
          <w:szCs w:val="24"/>
          <w:rtl/>
        </w:rPr>
        <w:instrText xml:space="preserve"> </w:instrText>
      </w:r>
      <w:r w:rsidR="00F3448E" w:rsidRPr="008B0569">
        <w:rPr>
          <w:sz w:val="24"/>
          <w:szCs w:val="24"/>
          <w:rtl/>
        </w:rPr>
        <w:fldChar w:fldCharType="separate"/>
      </w:r>
      <w:r w:rsidR="007347AB">
        <w:rPr>
          <w:noProof/>
          <w:sz w:val="24"/>
          <w:szCs w:val="24"/>
          <w:rtl/>
        </w:rPr>
        <w:t>22</w:t>
      </w:r>
      <w:r w:rsidR="00F3448E" w:rsidRPr="008B0569">
        <w:rPr>
          <w:sz w:val="24"/>
          <w:szCs w:val="24"/>
          <w:rtl/>
        </w:rPr>
        <w:fldChar w:fldCharType="end"/>
      </w:r>
      <w:r w:rsidRPr="008B0569">
        <w:rPr>
          <w:rFonts w:hint="cs"/>
          <w:sz w:val="24"/>
          <w:szCs w:val="24"/>
          <w:rtl/>
        </w:rPr>
        <w:t>:</w:t>
      </w:r>
      <w:r w:rsidR="00107166">
        <w:rPr>
          <w:rFonts w:hint="cs"/>
          <w:sz w:val="24"/>
          <w:szCs w:val="24"/>
          <w:rtl/>
        </w:rPr>
        <w:t xml:space="preserve"> </w:t>
      </w:r>
      <w:r w:rsidR="00C270DC" w:rsidRPr="008B0569">
        <w:rPr>
          <w:rFonts w:hint="cs"/>
          <w:sz w:val="24"/>
          <w:szCs w:val="24"/>
          <w:rtl/>
        </w:rPr>
        <w:t xml:space="preserve">נפגעי </w:t>
      </w:r>
      <w:r w:rsidR="001F3528" w:rsidRPr="008B0569">
        <w:rPr>
          <w:rFonts w:hint="cs"/>
          <w:sz w:val="24"/>
          <w:szCs w:val="24"/>
          <w:rtl/>
        </w:rPr>
        <w:t>התמכרות בשירות ל</w:t>
      </w:r>
      <w:r w:rsidR="00D24F23" w:rsidRPr="008B0569">
        <w:rPr>
          <w:rFonts w:hint="cs"/>
          <w:sz w:val="24"/>
          <w:szCs w:val="24"/>
          <w:rtl/>
        </w:rPr>
        <w:t>טיפול ב</w:t>
      </w:r>
      <w:r w:rsidR="001F3528" w:rsidRPr="008B0569">
        <w:rPr>
          <w:rFonts w:hint="cs"/>
          <w:sz w:val="24"/>
          <w:szCs w:val="24"/>
          <w:rtl/>
        </w:rPr>
        <w:t xml:space="preserve">התמכרויות שבמשרד הרווחה והשירותים החברתיים לפי </w:t>
      </w:r>
      <w:r w:rsidR="00C270DC" w:rsidRPr="008B0569">
        <w:rPr>
          <w:rFonts w:hint="cs"/>
          <w:sz w:val="24"/>
          <w:szCs w:val="24"/>
          <w:rtl/>
        </w:rPr>
        <w:t>מחוז, אפריל 2015</w:t>
      </w:r>
      <w:bookmarkEnd w:id="351"/>
      <w:bookmarkEnd w:id="352"/>
      <w:r w:rsidRPr="008B0569">
        <w:rPr>
          <w:rFonts w:hint="cs"/>
          <w:sz w:val="24"/>
          <w:szCs w:val="24"/>
          <w:rtl/>
        </w:rPr>
        <w:t xml:space="preserve"> </w:t>
      </w:r>
      <w:r w:rsidR="00C270DC" w:rsidRPr="008B0569">
        <w:rPr>
          <w:rFonts w:hint="cs"/>
          <w:sz w:val="24"/>
          <w:szCs w:val="24"/>
          <w:rtl/>
        </w:rPr>
        <w:t>(במספרים מוחלטים ובשיעור ל-1,000 נפש מכלל האוכלוסייה המתגוררת במחוז)</w:t>
      </w:r>
      <w:r w:rsidR="00C270DC" w:rsidRPr="008B0569">
        <w:rPr>
          <w:rStyle w:val="ab"/>
          <w:b w:val="0"/>
          <w:sz w:val="24"/>
          <w:szCs w:val="24"/>
          <w:rtl/>
        </w:rPr>
        <w:t xml:space="preserve"> </w:t>
      </w:r>
      <w:r w:rsidR="00C270DC" w:rsidRPr="00BB6388">
        <w:rPr>
          <w:rStyle w:val="ab"/>
          <w:b w:val="0"/>
          <w:rtl/>
        </w:rPr>
        <w:footnoteReference w:id="399"/>
      </w:r>
    </w:p>
    <w:tbl>
      <w:tblPr>
        <w:bidiVisual/>
        <w:tblW w:w="9327" w:type="dxa"/>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Look w:val="00A0" w:firstRow="1" w:lastRow="0" w:firstColumn="1" w:lastColumn="0" w:noHBand="0" w:noVBand="0"/>
      </w:tblPr>
      <w:tblGrid>
        <w:gridCol w:w="1728"/>
        <w:gridCol w:w="949"/>
        <w:gridCol w:w="950"/>
        <w:gridCol w:w="950"/>
        <w:gridCol w:w="950"/>
        <w:gridCol w:w="950"/>
        <w:gridCol w:w="950"/>
        <w:gridCol w:w="950"/>
        <w:gridCol w:w="950"/>
      </w:tblGrid>
      <w:tr w:rsidR="00342BCC" w:rsidRPr="00FA1CCD" w:rsidTr="00EB1406">
        <w:trPr>
          <w:trHeight w:val="20"/>
          <w:tblCellSpacing w:w="20" w:type="dxa"/>
          <w:jc w:val="center"/>
        </w:trPr>
        <w:tc>
          <w:tcPr>
            <w:tcW w:w="1668" w:type="dxa"/>
            <w:shd w:val="clear" w:color="auto" w:fill="auto"/>
            <w:vAlign w:val="center"/>
            <w:hideMark/>
          </w:tcPr>
          <w:p w:rsidR="00342BCC" w:rsidRPr="00FA1CCD" w:rsidRDefault="00342BCC" w:rsidP="00EB1406">
            <w:pPr>
              <w:spacing w:before="60" w:after="0" w:line="240" w:lineRule="auto"/>
              <w:jc w:val="left"/>
              <w:rPr>
                <w:sz w:val="22"/>
                <w:szCs w:val="22"/>
                <w:lang w:eastAsia="en-US"/>
              </w:rPr>
            </w:pPr>
          </w:p>
        </w:tc>
        <w:tc>
          <w:tcPr>
            <w:tcW w:w="1859" w:type="dxa"/>
            <w:gridSpan w:val="2"/>
            <w:shd w:val="clear" w:color="auto" w:fill="auto"/>
            <w:noWrap/>
            <w:vAlign w:val="center"/>
            <w:hideMark/>
          </w:tcPr>
          <w:p w:rsidR="00342BCC" w:rsidRPr="00342BCC" w:rsidRDefault="00342BCC" w:rsidP="00EB1406">
            <w:pPr>
              <w:spacing w:before="60" w:after="0" w:line="240" w:lineRule="auto"/>
              <w:jc w:val="center"/>
              <w:rPr>
                <w:b/>
                <w:bCs/>
                <w:sz w:val="22"/>
                <w:szCs w:val="22"/>
                <w:lang w:eastAsia="en-US"/>
              </w:rPr>
            </w:pPr>
            <w:r w:rsidRPr="00342BCC">
              <w:rPr>
                <w:rFonts w:hint="cs"/>
                <w:b/>
                <w:bCs/>
                <w:sz w:val="22"/>
                <w:szCs w:val="22"/>
                <w:rtl/>
                <w:lang w:eastAsia="en-US"/>
              </w:rPr>
              <w:t>באר שבע והדרום</w:t>
            </w:r>
          </w:p>
        </w:tc>
        <w:tc>
          <w:tcPr>
            <w:tcW w:w="1860" w:type="dxa"/>
            <w:gridSpan w:val="2"/>
            <w:shd w:val="clear" w:color="auto" w:fill="auto"/>
            <w:noWrap/>
            <w:vAlign w:val="center"/>
            <w:hideMark/>
          </w:tcPr>
          <w:p w:rsidR="00342BCC" w:rsidRPr="00342BCC" w:rsidRDefault="00342BCC" w:rsidP="00EB1406">
            <w:pPr>
              <w:spacing w:before="60" w:after="0" w:line="240" w:lineRule="auto"/>
              <w:jc w:val="center"/>
              <w:rPr>
                <w:b/>
                <w:bCs/>
                <w:sz w:val="22"/>
                <w:szCs w:val="22"/>
                <w:lang w:eastAsia="en-US"/>
              </w:rPr>
            </w:pPr>
            <w:r w:rsidRPr="00342BCC">
              <w:rPr>
                <w:rFonts w:hint="cs"/>
                <w:b/>
                <w:bCs/>
                <w:sz w:val="22"/>
                <w:szCs w:val="22"/>
                <w:rtl/>
                <w:lang w:eastAsia="en-US"/>
              </w:rPr>
              <w:t>חיפה והצפון</w:t>
            </w:r>
          </w:p>
        </w:tc>
        <w:tc>
          <w:tcPr>
            <w:tcW w:w="1860" w:type="dxa"/>
            <w:gridSpan w:val="2"/>
            <w:shd w:val="clear" w:color="auto" w:fill="auto"/>
            <w:noWrap/>
            <w:vAlign w:val="center"/>
            <w:hideMark/>
          </w:tcPr>
          <w:p w:rsidR="00342BCC" w:rsidRPr="00342BCC" w:rsidRDefault="00342BCC" w:rsidP="00EB1406">
            <w:pPr>
              <w:spacing w:before="60" w:after="0" w:line="240" w:lineRule="auto"/>
              <w:jc w:val="center"/>
              <w:rPr>
                <w:b/>
                <w:bCs/>
                <w:sz w:val="22"/>
                <w:szCs w:val="22"/>
                <w:lang w:eastAsia="en-US"/>
              </w:rPr>
            </w:pPr>
            <w:r w:rsidRPr="00342BCC">
              <w:rPr>
                <w:rFonts w:hint="cs"/>
                <w:b/>
                <w:bCs/>
                <w:sz w:val="22"/>
                <w:szCs w:val="22"/>
                <w:rtl/>
                <w:lang w:eastAsia="en-US"/>
              </w:rPr>
              <w:t>ירושלים</w:t>
            </w:r>
          </w:p>
        </w:tc>
        <w:tc>
          <w:tcPr>
            <w:tcW w:w="1840" w:type="dxa"/>
            <w:gridSpan w:val="2"/>
            <w:shd w:val="clear" w:color="auto" w:fill="auto"/>
            <w:noWrap/>
            <w:vAlign w:val="center"/>
            <w:hideMark/>
          </w:tcPr>
          <w:p w:rsidR="00342BCC" w:rsidRPr="00342BCC" w:rsidRDefault="00342BCC" w:rsidP="00EB1406">
            <w:pPr>
              <w:spacing w:before="60" w:after="0" w:line="240" w:lineRule="auto"/>
              <w:jc w:val="center"/>
              <w:rPr>
                <w:b/>
                <w:bCs/>
                <w:sz w:val="22"/>
                <w:szCs w:val="22"/>
              </w:rPr>
            </w:pPr>
            <w:r w:rsidRPr="00342BCC">
              <w:rPr>
                <w:rFonts w:hint="cs"/>
                <w:b/>
                <w:bCs/>
                <w:sz w:val="22"/>
                <w:szCs w:val="22"/>
                <w:rtl/>
                <w:lang w:eastAsia="en-US"/>
              </w:rPr>
              <w:t>תל אביב והמרכז</w:t>
            </w:r>
          </w:p>
        </w:tc>
      </w:tr>
      <w:tr w:rsidR="00342BCC" w:rsidRPr="00FA1CCD" w:rsidTr="00EB1406">
        <w:trPr>
          <w:trHeight w:val="20"/>
          <w:tblCellSpacing w:w="20" w:type="dxa"/>
          <w:jc w:val="center"/>
        </w:trPr>
        <w:tc>
          <w:tcPr>
            <w:tcW w:w="1668" w:type="dxa"/>
            <w:tcBorders>
              <w:top w:val="nil"/>
            </w:tcBorders>
            <w:shd w:val="clear" w:color="auto" w:fill="auto"/>
            <w:noWrap/>
            <w:vAlign w:val="center"/>
            <w:hideMark/>
          </w:tcPr>
          <w:p w:rsidR="00FA1CCD" w:rsidRPr="00342BCC" w:rsidRDefault="00342BCC" w:rsidP="00EB1406">
            <w:pPr>
              <w:spacing w:before="60" w:after="0" w:line="240" w:lineRule="auto"/>
              <w:jc w:val="center"/>
              <w:rPr>
                <w:b/>
                <w:bCs/>
                <w:sz w:val="22"/>
                <w:szCs w:val="22"/>
                <w:lang w:eastAsia="en-US"/>
              </w:rPr>
            </w:pPr>
            <w:r w:rsidRPr="00342BCC">
              <w:rPr>
                <w:rFonts w:hint="cs"/>
                <w:b/>
                <w:bCs/>
                <w:sz w:val="22"/>
                <w:szCs w:val="22"/>
                <w:rtl/>
                <w:lang w:eastAsia="en-US"/>
              </w:rPr>
              <w:t>סוג התמכרות</w:t>
            </w:r>
          </w:p>
        </w:tc>
        <w:tc>
          <w:tcPr>
            <w:tcW w:w="909" w:type="dxa"/>
            <w:shd w:val="clear" w:color="auto" w:fill="auto"/>
            <w:noWrap/>
            <w:vAlign w:val="center"/>
            <w:hideMark/>
          </w:tcPr>
          <w:p w:rsidR="00FA1CCD" w:rsidRPr="00342BCC" w:rsidRDefault="00FA1CCD" w:rsidP="00EB1406">
            <w:pPr>
              <w:spacing w:before="60" w:after="0" w:line="240" w:lineRule="auto"/>
              <w:jc w:val="center"/>
              <w:rPr>
                <w:b/>
                <w:bCs/>
                <w:sz w:val="22"/>
                <w:szCs w:val="22"/>
                <w:lang w:eastAsia="en-US"/>
              </w:rPr>
            </w:pPr>
            <w:r w:rsidRPr="00342BCC">
              <w:rPr>
                <w:rFonts w:hint="cs"/>
                <w:b/>
                <w:bCs/>
                <w:sz w:val="22"/>
                <w:szCs w:val="22"/>
                <w:rtl/>
                <w:lang w:eastAsia="en-US"/>
              </w:rPr>
              <w:t>מספר</w:t>
            </w:r>
          </w:p>
        </w:tc>
        <w:tc>
          <w:tcPr>
            <w:tcW w:w="910" w:type="dxa"/>
            <w:shd w:val="clear" w:color="auto" w:fill="auto"/>
            <w:noWrap/>
            <w:vAlign w:val="center"/>
            <w:hideMark/>
          </w:tcPr>
          <w:p w:rsidR="00FA1CCD" w:rsidRPr="00342BCC" w:rsidRDefault="00FA1CCD" w:rsidP="00EB1406">
            <w:pPr>
              <w:spacing w:before="60" w:after="0" w:line="240" w:lineRule="auto"/>
              <w:jc w:val="center"/>
              <w:rPr>
                <w:b/>
                <w:bCs/>
                <w:sz w:val="22"/>
                <w:szCs w:val="22"/>
                <w:lang w:eastAsia="en-US"/>
              </w:rPr>
            </w:pPr>
            <w:r w:rsidRPr="00342BCC">
              <w:rPr>
                <w:rFonts w:hint="cs"/>
                <w:b/>
                <w:bCs/>
                <w:sz w:val="22"/>
                <w:szCs w:val="22"/>
                <w:rtl/>
                <w:lang w:eastAsia="en-US"/>
              </w:rPr>
              <w:t>שיעור</w:t>
            </w:r>
          </w:p>
        </w:tc>
        <w:tc>
          <w:tcPr>
            <w:tcW w:w="910" w:type="dxa"/>
            <w:shd w:val="clear" w:color="auto" w:fill="auto"/>
            <w:noWrap/>
            <w:vAlign w:val="center"/>
            <w:hideMark/>
          </w:tcPr>
          <w:p w:rsidR="00FA1CCD" w:rsidRPr="00342BCC" w:rsidRDefault="00FA1CCD" w:rsidP="00EB1406">
            <w:pPr>
              <w:spacing w:before="60" w:after="0" w:line="240" w:lineRule="auto"/>
              <w:jc w:val="center"/>
              <w:rPr>
                <w:b/>
                <w:bCs/>
                <w:sz w:val="22"/>
                <w:szCs w:val="22"/>
                <w:lang w:eastAsia="en-US"/>
              </w:rPr>
            </w:pPr>
            <w:r w:rsidRPr="00342BCC">
              <w:rPr>
                <w:rFonts w:hint="cs"/>
                <w:b/>
                <w:bCs/>
                <w:sz w:val="22"/>
                <w:szCs w:val="22"/>
                <w:rtl/>
                <w:lang w:eastAsia="en-US"/>
              </w:rPr>
              <w:t>מספר</w:t>
            </w:r>
          </w:p>
        </w:tc>
        <w:tc>
          <w:tcPr>
            <w:tcW w:w="910" w:type="dxa"/>
            <w:shd w:val="clear" w:color="auto" w:fill="auto"/>
            <w:noWrap/>
            <w:vAlign w:val="center"/>
            <w:hideMark/>
          </w:tcPr>
          <w:p w:rsidR="00FA1CCD" w:rsidRPr="00342BCC" w:rsidRDefault="00FA1CCD" w:rsidP="00EB1406">
            <w:pPr>
              <w:spacing w:before="60" w:after="0" w:line="240" w:lineRule="auto"/>
              <w:jc w:val="center"/>
              <w:rPr>
                <w:b/>
                <w:bCs/>
                <w:sz w:val="22"/>
                <w:szCs w:val="22"/>
                <w:lang w:eastAsia="en-US"/>
              </w:rPr>
            </w:pPr>
            <w:r w:rsidRPr="00342BCC">
              <w:rPr>
                <w:rFonts w:hint="cs"/>
                <w:b/>
                <w:bCs/>
                <w:sz w:val="22"/>
                <w:szCs w:val="22"/>
                <w:rtl/>
                <w:lang w:eastAsia="en-US"/>
              </w:rPr>
              <w:t>שיעור</w:t>
            </w:r>
          </w:p>
        </w:tc>
        <w:tc>
          <w:tcPr>
            <w:tcW w:w="910" w:type="dxa"/>
            <w:shd w:val="clear" w:color="auto" w:fill="auto"/>
            <w:noWrap/>
            <w:vAlign w:val="center"/>
            <w:hideMark/>
          </w:tcPr>
          <w:p w:rsidR="00FA1CCD" w:rsidRPr="00342BCC" w:rsidRDefault="00FA1CCD" w:rsidP="00EB1406">
            <w:pPr>
              <w:spacing w:before="60" w:after="0" w:line="240" w:lineRule="auto"/>
              <w:jc w:val="center"/>
              <w:rPr>
                <w:b/>
                <w:bCs/>
                <w:sz w:val="22"/>
                <w:szCs w:val="22"/>
                <w:lang w:eastAsia="en-US"/>
              </w:rPr>
            </w:pPr>
            <w:r w:rsidRPr="00342BCC">
              <w:rPr>
                <w:rFonts w:hint="cs"/>
                <w:b/>
                <w:bCs/>
                <w:sz w:val="22"/>
                <w:szCs w:val="22"/>
                <w:rtl/>
                <w:lang w:eastAsia="en-US"/>
              </w:rPr>
              <w:t>מספר</w:t>
            </w:r>
          </w:p>
        </w:tc>
        <w:tc>
          <w:tcPr>
            <w:tcW w:w="910" w:type="dxa"/>
            <w:shd w:val="clear" w:color="auto" w:fill="auto"/>
            <w:noWrap/>
            <w:vAlign w:val="center"/>
            <w:hideMark/>
          </w:tcPr>
          <w:p w:rsidR="00FA1CCD" w:rsidRPr="00342BCC" w:rsidRDefault="00FA1CCD" w:rsidP="00EB1406">
            <w:pPr>
              <w:spacing w:before="60" w:after="0" w:line="240" w:lineRule="auto"/>
              <w:jc w:val="center"/>
              <w:rPr>
                <w:b/>
                <w:bCs/>
                <w:sz w:val="22"/>
                <w:szCs w:val="22"/>
                <w:lang w:eastAsia="en-US"/>
              </w:rPr>
            </w:pPr>
            <w:r w:rsidRPr="00342BCC">
              <w:rPr>
                <w:rFonts w:hint="cs"/>
                <w:b/>
                <w:bCs/>
                <w:sz w:val="22"/>
                <w:szCs w:val="22"/>
                <w:rtl/>
                <w:lang w:eastAsia="en-US"/>
              </w:rPr>
              <w:t>שיעור</w:t>
            </w:r>
          </w:p>
        </w:tc>
        <w:tc>
          <w:tcPr>
            <w:tcW w:w="910" w:type="dxa"/>
            <w:shd w:val="clear" w:color="auto" w:fill="auto"/>
            <w:noWrap/>
            <w:vAlign w:val="center"/>
            <w:hideMark/>
          </w:tcPr>
          <w:p w:rsidR="00FA1CCD" w:rsidRPr="00342BCC" w:rsidRDefault="00FA1CCD" w:rsidP="00EB1406">
            <w:pPr>
              <w:spacing w:before="60" w:after="0" w:line="240" w:lineRule="auto"/>
              <w:jc w:val="center"/>
              <w:rPr>
                <w:b/>
                <w:bCs/>
                <w:sz w:val="22"/>
                <w:szCs w:val="22"/>
                <w:lang w:eastAsia="en-US"/>
              </w:rPr>
            </w:pPr>
            <w:r w:rsidRPr="00342BCC">
              <w:rPr>
                <w:rFonts w:hint="cs"/>
                <w:b/>
                <w:bCs/>
                <w:sz w:val="22"/>
                <w:szCs w:val="22"/>
                <w:rtl/>
                <w:lang w:eastAsia="en-US"/>
              </w:rPr>
              <w:t>מספר</w:t>
            </w:r>
          </w:p>
        </w:tc>
        <w:tc>
          <w:tcPr>
            <w:tcW w:w="890" w:type="dxa"/>
            <w:shd w:val="clear" w:color="auto" w:fill="auto"/>
            <w:vAlign w:val="center"/>
          </w:tcPr>
          <w:p w:rsidR="00FA1CCD" w:rsidRPr="00342BCC" w:rsidRDefault="00FA1CCD" w:rsidP="00EB1406">
            <w:pPr>
              <w:spacing w:before="60" w:after="0" w:line="240" w:lineRule="auto"/>
              <w:jc w:val="center"/>
              <w:rPr>
                <w:b/>
                <w:bCs/>
                <w:sz w:val="22"/>
                <w:szCs w:val="22"/>
              </w:rPr>
            </w:pPr>
            <w:r w:rsidRPr="00342BCC">
              <w:rPr>
                <w:b/>
                <w:bCs/>
                <w:sz w:val="22"/>
                <w:szCs w:val="22"/>
                <w:rtl/>
              </w:rPr>
              <w:t>שיעור</w:t>
            </w:r>
          </w:p>
        </w:tc>
      </w:tr>
      <w:tr w:rsidR="00FA1CCD" w:rsidRPr="00FA1CCD" w:rsidTr="00EB1406">
        <w:trPr>
          <w:trHeight w:val="20"/>
          <w:tblCellSpacing w:w="20" w:type="dxa"/>
          <w:jc w:val="center"/>
        </w:trPr>
        <w:tc>
          <w:tcPr>
            <w:tcW w:w="1668" w:type="dxa"/>
            <w:shd w:val="clear" w:color="auto" w:fill="auto"/>
            <w:noWrap/>
            <w:vAlign w:val="center"/>
            <w:hideMark/>
          </w:tcPr>
          <w:p w:rsidR="00C270DC" w:rsidRPr="00342BCC" w:rsidRDefault="00C270DC" w:rsidP="00EB1406">
            <w:pPr>
              <w:spacing w:before="60" w:after="0" w:line="240" w:lineRule="auto"/>
              <w:jc w:val="left"/>
              <w:rPr>
                <w:b/>
                <w:bCs/>
                <w:sz w:val="22"/>
                <w:szCs w:val="22"/>
                <w:lang w:eastAsia="en-US"/>
              </w:rPr>
            </w:pPr>
            <w:r w:rsidRPr="00342BCC">
              <w:rPr>
                <w:rFonts w:hint="cs"/>
                <w:b/>
                <w:bCs/>
                <w:sz w:val="22"/>
                <w:szCs w:val="22"/>
                <w:rtl/>
                <w:lang w:eastAsia="en-US"/>
              </w:rPr>
              <w:t>נפגעי סמים</w:t>
            </w:r>
          </w:p>
        </w:tc>
        <w:tc>
          <w:tcPr>
            <w:tcW w:w="909" w:type="dxa"/>
            <w:shd w:val="clear" w:color="auto" w:fill="auto"/>
            <w:noWrap/>
            <w:vAlign w:val="center"/>
            <w:hideMark/>
          </w:tcPr>
          <w:p w:rsidR="00C270DC" w:rsidRPr="00FA1CCD" w:rsidRDefault="00C270DC" w:rsidP="00EB1406">
            <w:pPr>
              <w:spacing w:before="60" w:after="0" w:line="240" w:lineRule="auto"/>
              <w:jc w:val="center"/>
              <w:rPr>
                <w:sz w:val="22"/>
                <w:szCs w:val="22"/>
                <w:lang w:eastAsia="en-US"/>
              </w:rPr>
            </w:pPr>
            <w:r w:rsidRPr="00FA1CCD">
              <w:rPr>
                <w:sz w:val="22"/>
                <w:szCs w:val="22"/>
                <w:rtl/>
                <w:lang w:eastAsia="en-US"/>
              </w:rPr>
              <w:t>1,568</w:t>
            </w:r>
          </w:p>
        </w:tc>
        <w:tc>
          <w:tcPr>
            <w:tcW w:w="910" w:type="dxa"/>
            <w:shd w:val="clear" w:color="auto" w:fill="auto"/>
            <w:noWrap/>
            <w:vAlign w:val="center"/>
            <w:hideMark/>
          </w:tcPr>
          <w:p w:rsidR="00C270DC" w:rsidRPr="00FA1CCD" w:rsidRDefault="00C270DC" w:rsidP="00EB1406">
            <w:pPr>
              <w:spacing w:before="60" w:after="0" w:line="240" w:lineRule="auto"/>
              <w:jc w:val="center"/>
              <w:rPr>
                <w:sz w:val="22"/>
                <w:szCs w:val="22"/>
                <w:lang w:eastAsia="en-US"/>
              </w:rPr>
            </w:pPr>
            <w:r w:rsidRPr="00FA1CCD">
              <w:rPr>
                <w:sz w:val="22"/>
                <w:szCs w:val="22"/>
                <w:rtl/>
                <w:lang w:eastAsia="en-US"/>
              </w:rPr>
              <w:t>2.1</w:t>
            </w:r>
          </w:p>
        </w:tc>
        <w:tc>
          <w:tcPr>
            <w:tcW w:w="910" w:type="dxa"/>
            <w:shd w:val="clear" w:color="auto" w:fill="auto"/>
            <w:noWrap/>
            <w:vAlign w:val="center"/>
            <w:hideMark/>
          </w:tcPr>
          <w:p w:rsidR="00C270DC" w:rsidRPr="00FA1CCD" w:rsidRDefault="00C270DC" w:rsidP="00EB1406">
            <w:pPr>
              <w:spacing w:before="60" w:after="0" w:line="240" w:lineRule="auto"/>
              <w:jc w:val="center"/>
              <w:rPr>
                <w:sz w:val="22"/>
                <w:szCs w:val="22"/>
                <w:lang w:eastAsia="en-US"/>
              </w:rPr>
            </w:pPr>
            <w:r w:rsidRPr="00FA1CCD">
              <w:rPr>
                <w:sz w:val="22"/>
                <w:szCs w:val="22"/>
                <w:rtl/>
                <w:lang w:eastAsia="en-US"/>
              </w:rPr>
              <w:t>4,499</w:t>
            </w:r>
          </w:p>
        </w:tc>
        <w:tc>
          <w:tcPr>
            <w:tcW w:w="910" w:type="dxa"/>
            <w:shd w:val="clear" w:color="auto" w:fill="auto"/>
            <w:noWrap/>
            <w:vAlign w:val="center"/>
            <w:hideMark/>
          </w:tcPr>
          <w:p w:rsidR="00C270DC" w:rsidRPr="00FA1CCD" w:rsidRDefault="00C270DC" w:rsidP="00EB1406">
            <w:pPr>
              <w:spacing w:before="60" w:after="0" w:line="240" w:lineRule="auto"/>
              <w:jc w:val="center"/>
              <w:rPr>
                <w:sz w:val="22"/>
                <w:szCs w:val="22"/>
                <w:lang w:eastAsia="en-US"/>
              </w:rPr>
            </w:pPr>
            <w:r w:rsidRPr="00FA1CCD">
              <w:rPr>
                <w:sz w:val="22"/>
                <w:szCs w:val="22"/>
                <w:rtl/>
                <w:lang w:eastAsia="en-US"/>
              </w:rPr>
              <w:t>2</w:t>
            </w:r>
          </w:p>
        </w:tc>
        <w:tc>
          <w:tcPr>
            <w:tcW w:w="910" w:type="dxa"/>
            <w:shd w:val="clear" w:color="auto" w:fill="auto"/>
            <w:noWrap/>
            <w:vAlign w:val="center"/>
            <w:hideMark/>
          </w:tcPr>
          <w:p w:rsidR="00C270DC" w:rsidRPr="00FA1CCD" w:rsidRDefault="00C270DC" w:rsidP="00EB1406">
            <w:pPr>
              <w:spacing w:before="60" w:after="0" w:line="240" w:lineRule="auto"/>
              <w:jc w:val="center"/>
              <w:rPr>
                <w:sz w:val="22"/>
                <w:szCs w:val="22"/>
                <w:lang w:eastAsia="en-US"/>
              </w:rPr>
            </w:pPr>
            <w:r w:rsidRPr="00FA1CCD">
              <w:rPr>
                <w:sz w:val="22"/>
                <w:szCs w:val="22"/>
                <w:rtl/>
                <w:lang w:eastAsia="en-US"/>
              </w:rPr>
              <w:t>1,980</w:t>
            </w:r>
          </w:p>
        </w:tc>
        <w:tc>
          <w:tcPr>
            <w:tcW w:w="910" w:type="dxa"/>
            <w:shd w:val="clear" w:color="auto" w:fill="auto"/>
            <w:noWrap/>
            <w:vAlign w:val="center"/>
            <w:hideMark/>
          </w:tcPr>
          <w:p w:rsidR="00C270DC" w:rsidRPr="00FA1CCD" w:rsidRDefault="00C270DC" w:rsidP="00EB1406">
            <w:pPr>
              <w:spacing w:before="60" w:after="0" w:line="240" w:lineRule="auto"/>
              <w:jc w:val="center"/>
              <w:rPr>
                <w:sz w:val="22"/>
                <w:szCs w:val="22"/>
                <w:lang w:eastAsia="en-US"/>
              </w:rPr>
            </w:pPr>
            <w:r w:rsidRPr="00FA1CCD">
              <w:rPr>
                <w:sz w:val="22"/>
                <w:szCs w:val="22"/>
                <w:rtl/>
                <w:lang w:eastAsia="en-US"/>
              </w:rPr>
              <w:t>1.2</w:t>
            </w:r>
          </w:p>
        </w:tc>
        <w:tc>
          <w:tcPr>
            <w:tcW w:w="910" w:type="dxa"/>
            <w:shd w:val="clear" w:color="auto" w:fill="auto"/>
            <w:noWrap/>
            <w:vAlign w:val="center"/>
            <w:hideMark/>
          </w:tcPr>
          <w:p w:rsidR="00C270DC" w:rsidRPr="00FA1CCD" w:rsidRDefault="00C270DC" w:rsidP="00EB1406">
            <w:pPr>
              <w:spacing w:before="60" w:after="0" w:line="240" w:lineRule="auto"/>
              <w:jc w:val="center"/>
              <w:rPr>
                <w:sz w:val="22"/>
                <w:szCs w:val="22"/>
                <w:lang w:eastAsia="en-US"/>
              </w:rPr>
            </w:pPr>
            <w:r w:rsidRPr="00FA1CCD">
              <w:rPr>
                <w:sz w:val="22"/>
                <w:szCs w:val="22"/>
                <w:rtl/>
                <w:lang w:eastAsia="en-US"/>
              </w:rPr>
              <w:t>5,074</w:t>
            </w:r>
          </w:p>
        </w:tc>
        <w:tc>
          <w:tcPr>
            <w:tcW w:w="890" w:type="dxa"/>
            <w:shd w:val="clear" w:color="auto" w:fill="auto"/>
            <w:vAlign w:val="center"/>
          </w:tcPr>
          <w:p w:rsidR="00C270DC" w:rsidRPr="00FA1CCD" w:rsidRDefault="00C270DC" w:rsidP="00EB1406">
            <w:pPr>
              <w:spacing w:before="60" w:after="0" w:line="240" w:lineRule="auto"/>
              <w:jc w:val="center"/>
              <w:rPr>
                <w:sz w:val="22"/>
                <w:szCs w:val="22"/>
                <w:lang w:eastAsia="en-US"/>
              </w:rPr>
            </w:pPr>
            <w:r w:rsidRPr="00FA1CCD">
              <w:rPr>
                <w:sz w:val="22"/>
                <w:szCs w:val="22"/>
                <w:lang w:eastAsia="en-US"/>
              </w:rPr>
              <w:t>1.5</w:t>
            </w:r>
          </w:p>
        </w:tc>
      </w:tr>
      <w:tr w:rsidR="00FA1CCD" w:rsidRPr="00FA1CCD" w:rsidTr="00EB1406">
        <w:trPr>
          <w:trHeight w:val="20"/>
          <w:tblCellSpacing w:w="20" w:type="dxa"/>
          <w:jc w:val="center"/>
        </w:trPr>
        <w:tc>
          <w:tcPr>
            <w:tcW w:w="1668" w:type="dxa"/>
            <w:shd w:val="clear" w:color="auto" w:fill="auto"/>
            <w:noWrap/>
            <w:vAlign w:val="center"/>
            <w:hideMark/>
          </w:tcPr>
          <w:p w:rsidR="00C270DC" w:rsidRPr="00342BCC" w:rsidRDefault="00C270DC" w:rsidP="00EB1406">
            <w:pPr>
              <w:spacing w:before="60" w:after="0" w:line="240" w:lineRule="auto"/>
              <w:jc w:val="left"/>
              <w:rPr>
                <w:b/>
                <w:bCs/>
                <w:sz w:val="22"/>
                <w:szCs w:val="22"/>
                <w:lang w:eastAsia="en-US"/>
              </w:rPr>
            </w:pPr>
            <w:r w:rsidRPr="00342BCC">
              <w:rPr>
                <w:rFonts w:hint="cs"/>
                <w:b/>
                <w:bCs/>
                <w:sz w:val="22"/>
                <w:szCs w:val="22"/>
                <w:rtl/>
                <w:lang w:eastAsia="en-US"/>
              </w:rPr>
              <w:t>נפגעי אלכוהול</w:t>
            </w:r>
          </w:p>
        </w:tc>
        <w:tc>
          <w:tcPr>
            <w:tcW w:w="909" w:type="dxa"/>
            <w:shd w:val="clear" w:color="auto" w:fill="auto"/>
            <w:noWrap/>
            <w:vAlign w:val="center"/>
            <w:hideMark/>
          </w:tcPr>
          <w:p w:rsidR="00C270DC" w:rsidRPr="00FA1CCD" w:rsidRDefault="00C270DC" w:rsidP="00EB1406">
            <w:pPr>
              <w:spacing w:before="60" w:after="0" w:line="240" w:lineRule="auto"/>
              <w:jc w:val="center"/>
              <w:rPr>
                <w:sz w:val="22"/>
                <w:szCs w:val="22"/>
                <w:lang w:eastAsia="en-US"/>
              </w:rPr>
            </w:pPr>
            <w:r w:rsidRPr="00FA1CCD">
              <w:rPr>
                <w:sz w:val="22"/>
                <w:szCs w:val="22"/>
                <w:rtl/>
                <w:lang w:eastAsia="en-US"/>
              </w:rPr>
              <w:t>905</w:t>
            </w:r>
          </w:p>
        </w:tc>
        <w:tc>
          <w:tcPr>
            <w:tcW w:w="910" w:type="dxa"/>
            <w:shd w:val="clear" w:color="auto" w:fill="auto"/>
            <w:noWrap/>
            <w:vAlign w:val="center"/>
            <w:hideMark/>
          </w:tcPr>
          <w:p w:rsidR="00C270DC" w:rsidRPr="00FA1CCD" w:rsidRDefault="00C270DC" w:rsidP="00EB1406">
            <w:pPr>
              <w:spacing w:before="60" w:after="0" w:line="240" w:lineRule="auto"/>
              <w:jc w:val="center"/>
              <w:rPr>
                <w:sz w:val="22"/>
                <w:szCs w:val="22"/>
                <w:lang w:eastAsia="en-US"/>
              </w:rPr>
            </w:pPr>
            <w:r w:rsidRPr="00FA1CCD">
              <w:rPr>
                <w:sz w:val="22"/>
                <w:szCs w:val="22"/>
                <w:rtl/>
                <w:lang w:eastAsia="en-US"/>
              </w:rPr>
              <w:t>1.2</w:t>
            </w:r>
          </w:p>
        </w:tc>
        <w:tc>
          <w:tcPr>
            <w:tcW w:w="910" w:type="dxa"/>
            <w:shd w:val="clear" w:color="auto" w:fill="auto"/>
            <w:noWrap/>
            <w:vAlign w:val="center"/>
            <w:hideMark/>
          </w:tcPr>
          <w:p w:rsidR="00C270DC" w:rsidRPr="00FA1CCD" w:rsidRDefault="00C270DC" w:rsidP="00EB1406">
            <w:pPr>
              <w:spacing w:before="60" w:after="0" w:line="240" w:lineRule="auto"/>
              <w:jc w:val="center"/>
              <w:rPr>
                <w:sz w:val="22"/>
                <w:szCs w:val="22"/>
                <w:lang w:eastAsia="en-US"/>
              </w:rPr>
            </w:pPr>
            <w:r w:rsidRPr="00FA1CCD">
              <w:rPr>
                <w:sz w:val="22"/>
                <w:szCs w:val="22"/>
                <w:rtl/>
                <w:lang w:eastAsia="en-US"/>
              </w:rPr>
              <w:t>3,276</w:t>
            </w:r>
          </w:p>
        </w:tc>
        <w:tc>
          <w:tcPr>
            <w:tcW w:w="910" w:type="dxa"/>
            <w:shd w:val="clear" w:color="auto" w:fill="auto"/>
            <w:noWrap/>
            <w:vAlign w:val="center"/>
            <w:hideMark/>
          </w:tcPr>
          <w:p w:rsidR="00C270DC" w:rsidRPr="00FA1CCD" w:rsidRDefault="00C270DC" w:rsidP="00EB1406">
            <w:pPr>
              <w:spacing w:before="60" w:after="0" w:line="240" w:lineRule="auto"/>
              <w:jc w:val="center"/>
              <w:rPr>
                <w:sz w:val="22"/>
                <w:szCs w:val="22"/>
                <w:lang w:eastAsia="en-US"/>
              </w:rPr>
            </w:pPr>
            <w:r w:rsidRPr="00FA1CCD">
              <w:rPr>
                <w:sz w:val="22"/>
                <w:szCs w:val="22"/>
                <w:rtl/>
                <w:lang w:eastAsia="en-US"/>
              </w:rPr>
              <w:t>1.4</w:t>
            </w:r>
          </w:p>
        </w:tc>
        <w:tc>
          <w:tcPr>
            <w:tcW w:w="910" w:type="dxa"/>
            <w:shd w:val="clear" w:color="auto" w:fill="auto"/>
            <w:noWrap/>
            <w:vAlign w:val="center"/>
            <w:hideMark/>
          </w:tcPr>
          <w:p w:rsidR="00C270DC" w:rsidRPr="00FA1CCD" w:rsidRDefault="00C270DC" w:rsidP="00EB1406">
            <w:pPr>
              <w:spacing w:before="60" w:after="0" w:line="240" w:lineRule="auto"/>
              <w:jc w:val="center"/>
              <w:rPr>
                <w:sz w:val="22"/>
                <w:szCs w:val="22"/>
                <w:lang w:eastAsia="en-US"/>
              </w:rPr>
            </w:pPr>
            <w:r w:rsidRPr="00FA1CCD">
              <w:rPr>
                <w:sz w:val="22"/>
                <w:szCs w:val="22"/>
                <w:rtl/>
                <w:lang w:eastAsia="en-US"/>
              </w:rPr>
              <w:t>1,034</w:t>
            </w:r>
          </w:p>
        </w:tc>
        <w:tc>
          <w:tcPr>
            <w:tcW w:w="910" w:type="dxa"/>
            <w:shd w:val="clear" w:color="auto" w:fill="auto"/>
            <w:noWrap/>
            <w:vAlign w:val="center"/>
            <w:hideMark/>
          </w:tcPr>
          <w:p w:rsidR="00C270DC" w:rsidRPr="00FA1CCD" w:rsidRDefault="00C270DC" w:rsidP="00EB1406">
            <w:pPr>
              <w:spacing w:before="60" w:after="0" w:line="240" w:lineRule="auto"/>
              <w:jc w:val="center"/>
              <w:rPr>
                <w:sz w:val="22"/>
                <w:szCs w:val="22"/>
                <w:lang w:eastAsia="en-US"/>
              </w:rPr>
            </w:pPr>
            <w:r w:rsidRPr="00FA1CCD">
              <w:rPr>
                <w:sz w:val="22"/>
                <w:szCs w:val="22"/>
                <w:rtl/>
                <w:lang w:eastAsia="en-US"/>
              </w:rPr>
              <w:t>0.6</w:t>
            </w:r>
          </w:p>
        </w:tc>
        <w:tc>
          <w:tcPr>
            <w:tcW w:w="910" w:type="dxa"/>
            <w:shd w:val="clear" w:color="auto" w:fill="auto"/>
            <w:noWrap/>
            <w:vAlign w:val="center"/>
            <w:hideMark/>
          </w:tcPr>
          <w:p w:rsidR="00C270DC" w:rsidRPr="00FA1CCD" w:rsidRDefault="00C270DC" w:rsidP="00EB1406">
            <w:pPr>
              <w:spacing w:before="60" w:after="0" w:line="240" w:lineRule="auto"/>
              <w:jc w:val="center"/>
              <w:rPr>
                <w:sz w:val="22"/>
                <w:szCs w:val="22"/>
                <w:lang w:eastAsia="en-US"/>
              </w:rPr>
            </w:pPr>
            <w:r w:rsidRPr="00FA1CCD">
              <w:rPr>
                <w:sz w:val="22"/>
                <w:szCs w:val="22"/>
                <w:rtl/>
                <w:lang w:eastAsia="en-US"/>
              </w:rPr>
              <w:t>2,193</w:t>
            </w:r>
          </w:p>
        </w:tc>
        <w:tc>
          <w:tcPr>
            <w:tcW w:w="890" w:type="dxa"/>
            <w:shd w:val="clear" w:color="auto" w:fill="auto"/>
            <w:vAlign w:val="center"/>
          </w:tcPr>
          <w:p w:rsidR="00C270DC" w:rsidRPr="00FA1CCD" w:rsidRDefault="00C270DC" w:rsidP="00EB1406">
            <w:pPr>
              <w:spacing w:before="60" w:after="0" w:line="240" w:lineRule="auto"/>
              <w:jc w:val="center"/>
              <w:rPr>
                <w:sz w:val="22"/>
                <w:szCs w:val="22"/>
                <w:lang w:eastAsia="en-US"/>
              </w:rPr>
            </w:pPr>
            <w:r w:rsidRPr="00FA1CCD">
              <w:rPr>
                <w:sz w:val="22"/>
                <w:szCs w:val="22"/>
                <w:lang w:eastAsia="en-US"/>
              </w:rPr>
              <w:t>0.6</w:t>
            </w:r>
          </w:p>
        </w:tc>
      </w:tr>
    </w:tbl>
    <w:p w:rsidR="00C270DC" w:rsidRPr="00BB6388" w:rsidRDefault="00C270DC" w:rsidP="00021FE3">
      <w:pPr>
        <w:spacing w:line="360" w:lineRule="auto"/>
        <w:rPr>
          <w:rtl/>
        </w:rPr>
      </w:pPr>
      <w:r w:rsidRPr="00BB6388">
        <w:rPr>
          <w:rFonts w:hint="cs"/>
          <w:b/>
          <w:rtl/>
        </w:rPr>
        <w:t xml:space="preserve">ניתוח הנתונים מראה כי </w:t>
      </w:r>
      <w:r w:rsidRPr="00BB6388">
        <w:rPr>
          <w:rFonts w:hint="cs"/>
          <w:bCs/>
          <w:rtl/>
        </w:rPr>
        <w:t xml:space="preserve">באזורי פריפריה (באר שבע והדרום, חיפה והצפון) </w:t>
      </w:r>
      <w:r w:rsidRPr="00BB6388">
        <w:rPr>
          <w:rFonts w:hint="cs"/>
          <w:bCs/>
          <w:u w:val="single"/>
          <w:rtl/>
        </w:rPr>
        <w:t>שעורי</w:t>
      </w:r>
      <w:r w:rsidR="00021FE3">
        <w:rPr>
          <w:rFonts w:hint="cs"/>
          <w:bCs/>
          <w:rtl/>
        </w:rPr>
        <w:t xml:space="preserve"> נפגעי הה</w:t>
      </w:r>
      <w:r w:rsidRPr="00BB6388">
        <w:rPr>
          <w:rFonts w:hint="cs"/>
          <w:bCs/>
          <w:rtl/>
        </w:rPr>
        <w:t xml:space="preserve">תמכרות </w:t>
      </w:r>
      <w:r w:rsidR="00021FE3">
        <w:rPr>
          <w:rFonts w:hint="cs"/>
          <w:bCs/>
          <w:rtl/>
        </w:rPr>
        <w:t>מ</w:t>
      </w:r>
      <w:r w:rsidRPr="00BB6388">
        <w:rPr>
          <w:rFonts w:hint="cs"/>
          <w:bCs/>
          <w:rtl/>
        </w:rPr>
        <w:t>סמים ו</w:t>
      </w:r>
      <w:r w:rsidR="00021FE3">
        <w:rPr>
          <w:rFonts w:hint="cs"/>
          <w:bCs/>
          <w:rtl/>
        </w:rPr>
        <w:t>מ</w:t>
      </w:r>
      <w:r w:rsidRPr="00BB6388">
        <w:rPr>
          <w:rFonts w:hint="cs"/>
          <w:bCs/>
          <w:rtl/>
        </w:rPr>
        <w:t>אלכוהול ל-1,000 נפש</w:t>
      </w:r>
      <w:r w:rsidR="00021FE3">
        <w:rPr>
          <w:rFonts w:hint="cs"/>
          <w:bCs/>
          <w:rtl/>
        </w:rPr>
        <w:t>, הרשומים בשירות ל</w:t>
      </w:r>
      <w:r w:rsidR="00D24F23">
        <w:rPr>
          <w:rFonts w:hint="cs"/>
          <w:bCs/>
          <w:rtl/>
        </w:rPr>
        <w:t>טיפול ב</w:t>
      </w:r>
      <w:r w:rsidR="00021FE3">
        <w:rPr>
          <w:rFonts w:hint="cs"/>
          <w:bCs/>
          <w:rtl/>
        </w:rPr>
        <w:t>התמכרויות,</w:t>
      </w:r>
      <w:r w:rsidRPr="00BB6388">
        <w:rPr>
          <w:rFonts w:hint="cs"/>
          <w:bCs/>
          <w:rtl/>
        </w:rPr>
        <w:t xml:space="preserve"> גבוהים מהשיעורים הרשומים בירושלים ובתל-אביב</w:t>
      </w:r>
      <w:r w:rsidRPr="00BB6388">
        <w:rPr>
          <w:rFonts w:hint="cs"/>
          <w:b/>
          <w:rtl/>
        </w:rPr>
        <w:t xml:space="preserve"> (עבור סמים: 2.1 ו- 2.0 בהתאמה לעומת 1.2 ו- 1.5 בהתאמה; עבור אלכוהול: 1.2 ו- 1.4 בהתאמה לעומת 0.6 ו- 0.6 בהתאמה). </w:t>
      </w:r>
      <w:r w:rsidRPr="00BB6388">
        <w:rPr>
          <w:rFonts w:hint="cs"/>
          <w:bCs/>
          <w:rtl/>
        </w:rPr>
        <w:t xml:space="preserve">בחיפה והצפון ישנו גם </w:t>
      </w:r>
      <w:r w:rsidRPr="00BB6388">
        <w:rPr>
          <w:rFonts w:hint="cs"/>
          <w:bCs/>
          <w:u w:val="single"/>
          <w:rtl/>
        </w:rPr>
        <w:t>מספר</w:t>
      </w:r>
      <w:r w:rsidRPr="00BB6388">
        <w:rPr>
          <w:rFonts w:hint="cs"/>
          <w:bCs/>
          <w:rtl/>
        </w:rPr>
        <w:t xml:space="preserve"> נפגעי </w:t>
      </w:r>
      <w:r w:rsidRPr="00BB6388">
        <w:rPr>
          <w:rFonts w:hint="cs"/>
          <w:bCs/>
          <w:u w:val="single"/>
          <w:rtl/>
        </w:rPr>
        <w:t>האלכוהול</w:t>
      </w:r>
      <w:r w:rsidR="00021FE3">
        <w:rPr>
          <w:rFonts w:hint="cs"/>
          <w:bCs/>
          <w:rtl/>
        </w:rPr>
        <w:t xml:space="preserve"> הרשומים בשירות להתמכרויות</w:t>
      </w:r>
      <w:r w:rsidRPr="00BB6388">
        <w:rPr>
          <w:rFonts w:hint="cs"/>
          <w:bCs/>
          <w:rtl/>
        </w:rPr>
        <w:t xml:space="preserve"> הגבוה ביותר בארץ </w:t>
      </w:r>
      <w:r w:rsidRPr="00BB6388">
        <w:rPr>
          <w:bCs/>
          <w:rtl/>
        </w:rPr>
        <w:t>–</w:t>
      </w:r>
      <w:r w:rsidRPr="00BB6388">
        <w:rPr>
          <w:rFonts w:hint="cs"/>
          <w:bCs/>
          <w:rtl/>
        </w:rPr>
        <w:t xml:space="preserve"> 3,276 </w:t>
      </w:r>
      <w:r w:rsidRPr="00BB6388">
        <w:rPr>
          <w:bCs/>
          <w:rtl/>
        </w:rPr>
        <w:t>–</w:t>
      </w:r>
      <w:r w:rsidRPr="00BB6388">
        <w:rPr>
          <w:rFonts w:hint="cs"/>
          <w:bCs/>
          <w:rtl/>
        </w:rPr>
        <w:t xml:space="preserve"> אך </w:t>
      </w:r>
      <w:r w:rsidRPr="00BB6388">
        <w:rPr>
          <w:rFonts w:hint="cs"/>
          <w:bCs/>
          <w:u w:val="single"/>
          <w:rtl/>
        </w:rPr>
        <w:t>מספר</w:t>
      </w:r>
      <w:r w:rsidRPr="00BB6388">
        <w:rPr>
          <w:rFonts w:hint="cs"/>
          <w:bCs/>
          <w:rtl/>
        </w:rPr>
        <w:t xml:space="preserve"> נפגעי </w:t>
      </w:r>
      <w:r w:rsidRPr="00BB6388">
        <w:rPr>
          <w:rFonts w:hint="cs"/>
          <w:bCs/>
          <w:u w:val="single"/>
          <w:rtl/>
        </w:rPr>
        <w:t>הסמים</w:t>
      </w:r>
      <w:r w:rsidRPr="00BB6388">
        <w:rPr>
          <w:rFonts w:hint="cs"/>
          <w:bCs/>
          <w:rtl/>
        </w:rPr>
        <w:t xml:space="preserve"> הרשומים </w:t>
      </w:r>
      <w:r w:rsidR="00021FE3">
        <w:rPr>
          <w:rFonts w:hint="cs"/>
          <w:bCs/>
          <w:rtl/>
        </w:rPr>
        <w:t>בשירות לטיפול בהתמכרויות</w:t>
      </w:r>
      <w:r w:rsidRPr="00BB6388">
        <w:rPr>
          <w:rFonts w:hint="cs"/>
          <w:bCs/>
          <w:rtl/>
        </w:rPr>
        <w:t xml:space="preserve"> הגבוה ביותר הוא באזור תל-אביב והמרכז, והוא עומד על 5,074</w:t>
      </w:r>
      <w:r w:rsidRPr="00BB6388">
        <w:rPr>
          <w:rFonts w:hint="cs"/>
          <w:b/>
          <w:rtl/>
        </w:rPr>
        <w:t>. אין לדעת אם נתונים אלו מבטאים את המספר הרב יחסית של שירותי הטיפול באיזורים אלו, או שהם ביטוי לצרכים הקיימים בפועל בפריפריה.</w:t>
      </w:r>
    </w:p>
    <w:p w:rsidR="00C270DC" w:rsidRPr="00BB6388" w:rsidRDefault="00C270DC" w:rsidP="00BB6388">
      <w:pPr>
        <w:pStyle w:val="4"/>
        <w:rPr>
          <w:rtl/>
        </w:rPr>
      </w:pPr>
      <w:bookmarkStart w:id="353" w:name="_Toc418585123"/>
      <w:bookmarkStart w:id="354" w:name="_Toc419963184"/>
      <w:r w:rsidRPr="00BB6388">
        <w:rPr>
          <w:rFonts w:hint="cs"/>
          <w:rtl/>
        </w:rPr>
        <w:t>תכניות השירות</w:t>
      </w:r>
      <w:bookmarkEnd w:id="353"/>
      <w:bookmarkEnd w:id="354"/>
    </w:p>
    <w:p w:rsidR="00CB0BF7" w:rsidRDefault="00C270DC" w:rsidP="00CB0BF7">
      <w:pPr>
        <w:spacing w:line="360" w:lineRule="auto"/>
        <w:rPr>
          <w:rtl/>
        </w:rPr>
      </w:pPr>
      <w:r w:rsidRPr="00BB6388">
        <w:rPr>
          <w:rFonts w:hint="cs"/>
          <w:rtl/>
        </w:rPr>
        <w:t>השירות לטיפול בהתמכרויות מפעיל, ישירות או באמצעות רשויות מקומיות ועמותות, מגוון מסגרות איתור ומסגרות טיפוליות</w:t>
      </w:r>
      <w:r w:rsidR="00CB0BF7">
        <w:rPr>
          <w:rFonts w:hint="cs"/>
          <w:rtl/>
        </w:rPr>
        <w:t>, לנוער ולמבוגרים. הנתונים הבאים בדבר סוגי המסגרות, מספרן ומספר המטופלים בהן נכונים לאפריל 2015 (אלא אם צויין אחרת):</w:t>
      </w:r>
      <w:r w:rsidR="00CB0BF7" w:rsidRPr="00BB6388">
        <w:rPr>
          <w:rStyle w:val="ab"/>
          <w:b/>
          <w:rtl/>
        </w:rPr>
        <w:footnoteReference w:id="400"/>
      </w:r>
    </w:p>
    <w:p w:rsidR="00922C5D" w:rsidRDefault="00922C5D" w:rsidP="00C2251B">
      <w:pPr>
        <w:spacing w:line="360" w:lineRule="auto"/>
        <w:rPr>
          <w:b/>
          <w:rtl/>
        </w:rPr>
      </w:pPr>
      <w:r w:rsidRPr="009275D1">
        <w:rPr>
          <w:rFonts w:hint="cs"/>
          <w:b/>
          <w:u w:val="single"/>
          <w:rtl/>
        </w:rPr>
        <w:t>תכניות יעודיות בתחום הסמים</w:t>
      </w:r>
      <w:r>
        <w:rPr>
          <w:rFonts w:hint="cs"/>
          <w:b/>
          <w:rtl/>
        </w:rPr>
        <w:t>:</w:t>
      </w:r>
    </w:p>
    <w:p w:rsidR="00B70D1A" w:rsidRPr="00F60C96" w:rsidRDefault="00CD641E" w:rsidP="00CD641E">
      <w:pPr>
        <w:spacing w:line="360" w:lineRule="auto"/>
        <w:rPr>
          <w:b/>
          <w:rtl/>
        </w:rPr>
      </w:pPr>
      <w:r w:rsidRPr="00F60C96">
        <w:rPr>
          <w:rFonts w:hint="cs"/>
          <w:b/>
          <w:rtl/>
        </w:rPr>
        <w:t>במסגרת השירות לטיפול בהתמכרויות</w:t>
      </w:r>
      <w:r>
        <w:rPr>
          <w:rFonts w:hint="cs"/>
          <w:b/>
          <w:rtl/>
        </w:rPr>
        <w:t xml:space="preserve"> ישנן</w:t>
      </w:r>
      <w:r w:rsidRPr="00F60C96">
        <w:rPr>
          <w:rFonts w:hint="cs"/>
          <w:bCs/>
          <w:rtl/>
        </w:rPr>
        <w:t xml:space="preserve"> 86 מסגרות </w:t>
      </w:r>
      <w:r>
        <w:rPr>
          <w:rFonts w:hint="cs"/>
          <w:bCs/>
          <w:rtl/>
        </w:rPr>
        <w:t xml:space="preserve">יעודיות </w:t>
      </w:r>
      <w:r w:rsidRPr="00CD641E">
        <w:rPr>
          <w:rFonts w:hint="cs"/>
          <w:bCs/>
          <w:u w:val="single"/>
          <w:rtl/>
        </w:rPr>
        <w:t>לצעירים ומבוגרים</w:t>
      </w:r>
      <w:r w:rsidRPr="00F60C96">
        <w:rPr>
          <w:rFonts w:hint="cs"/>
          <w:bCs/>
          <w:rtl/>
        </w:rPr>
        <w:t xml:space="preserve"> נפגעי סמים, בהן 12,636 מטופלים</w:t>
      </w:r>
      <w:r w:rsidRPr="00F60C96">
        <w:rPr>
          <w:rFonts w:hint="cs"/>
          <w:b/>
          <w:rtl/>
        </w:rPr>
        <w:t>.</w:t>
      </w:r>
      <w:r>
        <w:rPr>
          <w:rFonts w:hint="cs"/>
          <w:b/>
          <w:rtl/>
        </w:rPr>
        <w:t xml:space="preserve"> אלו כוללות </w:t>
      </w:r>
      <w:r w:rsidR="00C2251B" w:rsidRPr="00F60C96">
        <w:rPr>
          <w:rFonts w:hint="cs"/>
          <w:b/>
          <w:rtl/>
        </w:rPr>
        <w:t xml:space="preserve">85 </w:t>
      </w:r>
      <w:r w:rsidR="00C2251B" w:rsidRPr="009275D1">
        <w:rPr>
          <w:rFonts w:hint="cs"/>
          <w:b/>
          <w:rtl/>
        </w:rPr>
        <w:t>יחידות לטיפול ואיתור</w:t>
      </w:r>
      <w:r w:rsidR="0077379D" w:rsidRPr="009275D1">
        <w:rPr>
          <w:rStyle w:val="ab"/>
          <w:b/>
          <w:rtl/>
        </w:rPr>
        <w:footnoteReference w:id="401"/>
      </w:r>
      <w:r w:rsidR="00C2251B" w:rsidRPr="009275D1">
        <w:rPr>
          <w:rFonts w:hint="cs"/>
          <w:b/>
          <w:rtl/>
        </w:rPr>
        <w:t xml:space="preserve"> בצעירים ומבוגרים נפגעי סמים ברשויות המקומיות, בהן רשומים 12,606 מטופלים</w:t>
      </w:r>
      <w:r w:rsidRPr="009275D1">
        <w:rPr>
          <w:rFonts w:hint="cs"/>
          <w:b/>
          <w:rtl/>
        </w:rPr>
        <w:t xml:space="preserve">, וכן </w:t>
      </w:r>
      <w:r w:rsidR="00C2251B" w:rsidRPr="009275D1">
        <w:rPr>
          <w:rFonts w:hint="cs"/>
          <w:b/>
          <w:rtl/>
        </w:rPr>
        <w:t>מרכז ערב</w:t>
      </w:r>
      <w:r w:rsidR="00C2251B" w:rsidRPr="00F60C96">
        <w:rPr>
          <w:rFonts w:hint="cs"/>
          <w:b/>
          <w:rtl/>
        </w:rPr>
        <w:t xml:space="preserve"> המיועד לטיפול בצעירים נפגעי סמים, ובו 30 מטופלים. </w:t>
      </w:r>
    </w:p>
    <w:p w:rsidR="00B70D1A" w:rsidRPr="009275D1" w:rsidRDefault="00CD641E" w:rsidP="00CD641E">
      <w:pPr>
        <w:spacing w:line="360" w:lineRule="auto"/>
        <w:rPr>
          <w:sz w:val="32"/>
          <w:szCs w:val="32"/>
          <w:rtl/>
        </w:rPr>
      </w:pPr>
      <w:r w:rsidRPr="00F60C96">
        <w:rPr>
          <w:rFonts w:hint="cs"/>
          <w:b/>
          <w:rtl/>
        </w:rPr>
        <w:t xml:space="preserve">ישנן </w:t>
      </w:r>
      <w:r>
        <w:rPr>
          <w:rFonts w:hint="cs"/>
          <w:b/>
          <w:rtl/>
        </w:rPr>
        <w:t xml:space="preserve">גם </w:t>
      </w:r>
      <w:r w:rsidRPr="00F60C96">
        <w:rPr>
          <w:rFonts w:hint="cs"/>
          <w:b/>
          <w:rtl/>
        </w:rPr>
        <w:t>במסגרת השירות לטיפול בהתמכרויות</w:t>
      </w:r>
      <w:r w:rsidRPr="00F60C96">
        <w:rPr>
          <w:rFonts w:hint="cs"/>
          <w:bCs/>
          <w:rtl/>
        </w:rPr>
        <w:t xml:space="preserve"> </w:t>
      </w:r>
      <w:r>
        <w:rPr>
          <w:rFonts w:hint="cs"/>
          <w:bCs/>
          <w:rtl/>
        </w:rPr>
        <w:t>83</w:t>
      </w:r>
      <w:r w:rsidRPr="00F60C96">
        <w:rPr>
          <w:rFonts w:hint="cs"/>
          <w:bCs/>
          <w:rtl/>
        </w:rPr>
        <w:t xml:space="preserve"> מסגרות </w:t>
      </w:r>
      <w:r>
        <w:rPr>
          <w:rFonts w:hint="cs"/>
          <w:bCs/>
          <w:rtl/>
        </w:rPr>
        <w:t xml:space="preserve">יעודיות </w:t>
      </w:r>
      <w:r w:rsidRPr="00CD641E">
        <w:rPr>
          <w:rFonts w:hint="cs"/>
          <w:bCs/>
          <w:u w:val="single"/>
          <w:rtl/>
        </w:rPr>
        <w:t>לבני-נוער</w:t>
      </w:r>
      <w:r w:rsidRPr="00F60C96">
        <w:rPr>
          <w:rFonts w:hint="cs"/>
          <w:bCs/>
          <w:rtl/>
        </w:rPr>
        <w:t xml:space="preserve"> נפגעי סמים, בהן </w:t>
      </w:r>
      <w:r>
        <w:rPr>
          <w:rFonts w:hint="cs"/>
          <w:bCs/>
          <w:rtl/>
        </w:rPr>
        <w:t>3,670</w:t>
      </w:r>
      <w:r w:rsidRPr="00F60C96">
        <w:rPr>
          <w:rFonts w:hint="cs"/>
          <w:bCs/>
          <w:rtl/>
        </w:rPr>
        <w:t xml:space="preserve"> מטופלים</w:t>
      </w:r>
      <w:r w:rsidRPr="00F60C96">
        <w:rPr>
          <w:rFonts w:hint="cs"/>
          <w:b/>
          <w:rtl/>
        </w:rPr>
        <w:t>.</w:t>
      </w:r>
      <w:r>
        <w:rPr>
          <w:rFonts w:hint="cs"/>
          <w:b/>
          <w:rtl/>
        </w:rPr>
        <w:t xml:space="preserve"> </w:t>
      </w:r>
      <w:r w:rsidRPr="009275D1">
        <w:rPr>
          <w:rFonts w:hint="cs"/>
          <w:rtl/>
        </w:rPr>
        <w:t>אלו כוללות</w:t>
      </w:r>
      <w:r w:rsidR="0077379D" w:rsidRPr="009275D1">
        <w:rPr>
          <w:rFonts w:hint="cs"/>
          <w:rtl/>
        </w:rPr>
        <w:t xml:space="preserve"> </w:t>
      </w:r>
      <w:r w:rsidR="005D36E7" w:rsidRPr="009275D1">
        <w:rPr>
          <w:rFonts w:hint="cs"/>
          <w:rtl/>
        </w:rPr>
        <w:t xml:space="preserve">60 </w:t>
      </w:r>
      <w:r w:rsidR="0077379D" w:rsidRPr="009275D1">
        <w:rPr>
          <w:rFonts w:hint="cs"/>
          <w:rtl/>
        </w:rPr>
        <w:t>יחידות לטיפול ואיתור בנוער ברשויות המקומיות</w:t>
      </w:r>
      <w:r w:rsidR="005D36E7" w:rsidRPr="009275D1">
        <w:rPr>
          <w:rFonts w:hint="cs"/>
          <w:rtl/>
        </w:rPr>
        <w:t>, בהן מטופלים 3,310 בני-נוער; 20 יחידות נוספות בהפעלת עמותת 'אל-סם' בהן מטופלים 300 בני-נוער; וכן 3 מרכזי יום</w:t>
      </w:r>
      <w:r w:rsidR="00922C5D" w:rsidRPr="009275D1">
        <w:rPr>
          <w:rStyle w:val="ab"/>
          <w:sz w:val="20"/>
          <w:szCs w:val="20"/>
          <w:rtl/>
        </w:rPr>
        <w:footnoteReference w:id="402"/>
      </w:r>
      <w:r w:rsidR="005D36E7" w:rsidRPr="009275D1">
        <w:rPr>
          <w:rFonts w:hint="cs"/>
          <w:sz w:val="20"/>
          <w:szCs w:val="20"/>
          <w:rtl/>
        </w:rPr>
        <w:t xml:space="preserve"> </w:t>
      </w:r>
      <w:r w:rsidR="005D36E7" w:rsidRPr="009275D1">
        <w:rPr>
          <w:rFonts w:hint="cs"/>
          <w:rtl/>
        </w:rPr>
        <w:t xml:space="preserve">בהם מטופלים 60 בני-נוער. </w:t>
      </w:r>
    </w:p>
    <w:p w:rsidR="00F60C96" w:rsidRDefault="00922C5D" w:rsidP="00BB6388">
      <w:pPr>
        <w:spacing w:line="360" w:lineRule="auto"/>
        <w:rPr>
          <w:rtl/>
        </w:rPr>
      </w:pPr>
      <w:r w:rsidRPr="009275D1">
        <w:rPr>
          <w:rFonts w:hint="cs"/>
          <w:u w:val="single"/>
          <w:rtl/>
        </w:rPr>
        <w:t>תכניות יעודיות בתחום האלכוהול</w:t>
      </w:r>
      <w:r>
        <w:rPr>
          <w:rFonts w:hint="cs"/>
          <w:rtl/>
        </w:rPr>
        <w:t>:</w:t>
      </w:r>
    </w:p>
    <w:p w:rsidR="00922C5D" w:rsidRPr="00695223" w:rsidRDefault="00503C19" w:rsidP="00BB6388">
      <w:pPr>
        <w:spacing w:line="360" w:lineRule="auto"/>
        <w:rPr>
          <w:rtl/>
        </w:rPr>
      </w:pPr>
      <w:r>
        <w:rPr>
          <w:rFonts w:hint="cs"/>
          <w:rtl/>
        </w:rPr>
        <w:t>סך הכל ישנן</w:t>
      </w:r>
      <w:r w:rsidRPr="00503C19">
        <w:rPr>
          <w:rFonts w:hint="cs"/>
          <w:b/>
          <w:bCs/>
          <w:rtl/>
        </w:rPr>
        <w:t xml:space="preserve"> 57 מסגרות יעודיות לצעירים ולמבוגרים נפגעי אלכוהול, בהן 7,364 מטופלים</w:t>
      </w:r>
      <w:r>
        <w:rPr>
          <w:rFonts w:hint="cs"/>
          <w:rtl/>
        </w:rPr>
        <w:t xml:space="preserve">. מסגרות </w:t>
      </w:r>
      <w:r w:rsidRPr="009275D1">
        <w:rPr>
          <w:rFonts w:hint="cs"/>
          <w:rtl/>
        </w:rPr>
        <w:t>אלו כוללות 52 מרכזים אמבולטוריים</w:t>
      </w:r>
      <w:r w:rsidRPr="009275D1">
        <w:rPr>
          <w:rStyle w:val="ab"/>
          <w:sz w:val="20"/>
          <w:szCs w:val="20"/>
          <w:rtl/>
        </w:rPr>
        <w:footnoteReference w:id="403"/>
      </w:r>
      <w:r w:rsidRPr="009275D1">
        <w:rPr>
          <w:rFonts w:hint="cs"/>
          <w:rtl/>
        </w:rPr>
        <w:t xml:space="preserve"> בהם 7,289 מטופלים, ו- 5 תכניות טיפוליות שיקומיות למניעת נהיגה תחת השפעת אלכוהול עם</w:t>
      </w:r>
      <w:r w:rsidRPr="00695223">
        <w:rPr>
          <w:rFonts w:hint="cs"/>
          <w:rtl/>
        </w:rPr>
        <w:t xml:space="preserve"> 75 מטופלים.</w:t>
      </w:r>
    </w:p>
    <w:p w:rsidR="00216C7A" w:rsidRPr="00695223" w:rsidRDefault="00216C7A" w:rsidP="00BB6388">
      <w:pPr>
        <w:spacing w:line="360" w:lineRule="auto"/>
        <w:rPr>
          <w:rtl/>
        </w:rPr>
      </w:pPr>
      <w:r w:rsidRPr="009275D1">
        <w:rPr>
          <w:rFonts w:hint="cs"/>
          <w:b/>
          <w:bCs/>
          <w:rtl/>
        </w:rPr>
        <w:t>עבור נוער נפגע אלכוהול מופעלות סך הכל 10 יחידות איתור, בהן מטופלים 2,000 בני-נוער</w:t>
      </w:r>
      <w:r w:rsidRPr="00695223">
        <w:rPr>
          <w:rFonts w:hint="cs"/>
          <w:rtl/>
        </w:rPr>
        <w:t>.</w:t>
      </w:r>
    </w:p>
    <w:p w:rsidR="00216C7A" w:rsidRDefault="005C67F0" w:rsidP="005C67F0">
      <w:pPr>
        <w:spacing w:line="360" w:lineRule="auto"/>
        <w:rPr>
          <w:rtl/>
        </w:rPr>
      </w:pPr>
      <w:r>
        <w:rPr>
          <w:rFonts w:hint="cs"/>
          <w:rtl/>
        </w:rPr>
        <w:t xml:space="preserve">בנוסף, מפעיל השירות </w:t>
      </w:r>
      <w:r w:rsidR="00216C7A" w:rsidRPr="009275D1">
        <w:rPr>
          <w:rFonts w:hint="cs"/>
          <w:u w:val="single"/>
          <w:rtl/>
        </w:rPr>
        <w:t>תכניות משותפות לנפגעי סמים ואלכוהול</w:t>
      </w:r>
      <w:r w:rsidR="00216C7A">
        <w:rPr>
          <w:rFonts w:hint="cs"/>
          <w:rtl/>
        </w:rPr>
        <w:t>:</w:t>
      </w:r>
    </w:p>
    <w:p w:rsidR="00C270DC" w:rsidRDefault="00F87F40" w:rsidP="009275D1">
      <w:pPr>
        <w:spacing w:line="360" w:lineRule="auto"/>
        <w:rPr>
          <w:sz w:val="20"/>
          <w:szCs w:val="20"/>
          <w:rtl/>
        </w:rPr>
      </w:pPr>
      <w:r w:rsidRPr="00695223">
        <w:rPr>
          <w:rFonts w:hint="cs"/>
          <w:b/>
          <w:bCs/>
          <w:rtl/>
        </w:rPr>
        <w:t xml:space="preserve">ישנן סך הכל 307 מסגרות </w:t>
      </w:r>
      <w:r w:rsidRPr="00BE29D3">
        <w:rPr>
          <w:rFonts w:hint="cs"/>
          <w:b/>
          <w:bCs/>
          <w:u w:val="single"/>
          <w:rtl/>
        </w:rPr>
        <w:t>לצעירים ולמבוגרים</w:t>
      </w:r>
      <w:r w:rsidRPr="00695223">
        <w:rPr>
          <w:rFonts w:hint="cs"/>
          <w:b/>
          <w:bCs/>
          <w:rtl/>
        </w:rPr>
        <w:t xml:space="preserve"> למניעת שימוש וטיפול בהתמכרות לסמים ולאלכוהול, במסגרתן 4,791 מטופלים.</w:t>
      </w:r>
      <w:r w:rsidRPr="00695223">
        <w:rPr>
          <w:rFonts w:hint="cs"/>
          <w:rtl/>
        </w:rPr>
        <w:t xml:space="preserve"> מסגרות אלו כוללות 15 תכניות רגישות תרבות לעולים עם 726 מטופלים; 20 תכניות יעודיות לנשים עם 675 מטופלות; 6 מרכזי תעסוקה למתמכרים עם 400 מטופלים; </w:t>
      </w:r>
      <w:r w:rsidR="00F64D9F" w:rsidRPr="00695223">
        <w:rPr>
          <w:rFonts w:hint="cs"/>
          <w:rtl/>
        </w:rPr>
        <w:t>16</w:t>
      </w:r>
      <w:r w:rsidR="00F64D9F" w:rsidRPr="0097020E">
        <w:rPr>
          <w:rStyle w:val="ab"/>
          <w:sz w:val="20"/>
          <w:szCs w:val="20"/>
          <w:rtl/>
        </w:rPr>
        <w:footnoteReference w:id="404"/>
      </w:r>
      <w:r w:rsidR="00F64D9F">
        <w:rPr>
          <w:rFonts w:hint="cs"/>
          <w:sz w:val="20"/>
          <w:szCs w:val="20"/>
          <w:rtl/>
        </w:rPr>
        <w:t xml:space="preserve"> </w:t>
      </w:r>
      <w:r w:rsidR="00F64D9F" w:rsidRPr="00695223">
        <w:rPr>
          <w:rFonts w:hint="cs"/>
          <w:rtl/>
        </w:rPr>
        <w:t xml:space="preserve">מרכזי יום אזוריים עם 424 מטופלים; ו- 250 קבוצות טיפוליות בהן 2,566 מטופלים. בנוסף, </w:t>
      </w:r>
      <w:r w:rsidR="009275D1">
        <w:rPr>
          <w:rFonts w:hint="cs"/>
          <w:b/>
          <w:bCs/>
          <w:rtl/>
        </w:rPr>
        <w:t>ישנן</w:t>
      </w:r>
      <w:r w:rsidR="00F64D9F" w:rsidRPr="00695223">
        <w:rPr>
          <w:rFonts w:hint="cs"/>
          <w:b/>
          <w:bCs/>
          <w:rtl/>
        </w:rPr>
        <w:t xml:space="preserve"> 23 קהילות טיפוליות והוסטלים</w:t>
      </w:r>
      <w:r w:rsidR="00F64D9F" w:rsidRPr="00D12633">
        <w:rPr>
          <w:rStyle w:val="ab"/>
          <w:b/>
          <w:bCs/>
          <w:sz w:val="20"/>
          <w:szCs w:val="20"/>
          <w:rtl/>
        </w:rPr>
        <w:footnoteReference w:id="405"/>
      </w:r>
      <w:r w:rsidR="00F64D9F" w:rsidRPr="00D12633">
        <w:rPr>
          <w:rFonts w:hint="cs"/>
          <w:b/>
          <w:bCs/>
          <w:sz w:val="20"/>
          <w:szCs w:val="20"/>
          <w:rtl/>
        </w:rPr>
        <w:t xml:space="preserve"> </w:t>
      </w:r>
      <w:r w:rsidR="00F64D9F" w:rsidRPr="00695223">
        <w:rPr>
          <w:rFonts w:hint="cs"/>
          <w:b/>
          <w:bCs/>
          <w:rtl/>
        </w:rPr>
        <w:t xml:space="preserve">בהן טופלו במהלך </w:t>
      </w:r>
      <w:r w:rsidR="009275D1">
        <w:rPr>
          <w:rFonts w:hint="cs"/>
          <w:b/>
          <w:bCs/>
          <w:rtl/>
        </w:rPr>
        <w:t>שנת 2014</w:t>
      </w:r>
      <w:r w:rsidR="00F64D9F" w:rsidRPr="00695223">
        <w:rPr>
          <w:rFonts w:hint="cs"/>
          <w:b/>
          <w:bCs/>
          <w:rtl/>
        </w:rPr>
        <w:t xml:space="preserve"> 2,076 איש</w:t>
      </w:r>
      <w:r w:rsidR="00F64D9F" w:rsidRPr="00695223">
        <w:rPr>
          <w:rFonts w:hint="cs"/>
          <w:rtl/>
        </w:rPr>
        <w:t>.</w:t>
      </w:r>
      <w:r w:rsidR="00B06BDE">
        <w:rPr>
          <w:rStyle w:val="ab"/>
          <w:rtl/>
        </w:rPr>
        <w:footnoteReference w:id="406"/>
      </w:r>
    </w:p>
    <w:p w:rsidR="00D12633" w:rsidRPr="00BE29D3" w:rsidRDefault="007D7F0C" w:rsidP="00B06BDE">
      <w:pPr>
        <w:spacing w:line="360" w:lineRule="auto"/>
        <w:rPr>
          <w:b/>
          <w:bCs/>
        </w:rPr>
      </w:pPr>
      <w:r w:rsidRPr="00695223">
        <w:rPr>
          <w:rFonts w:hint="cs"/>
          <w:rtl/>
        </w:rPr>
        <w:t xml:space="preserve">משרד הרווחה והשירותים החברתיים דיווח על </w:t>
      </w:r>
      <w:r w:rsidR="006C6B62">
        <w:rPr>
          <w:rFonts w:hint="cs"/>
          <w:b/>
          <w:bCs/>
          <w:rtl/>
        </w:rPr>
        <w:t>15 מסגרות הנותנות שרות הן</w:t>
      </w:r>
      <w:r w:rsidR="00D12633" w:rsidRPr="00BE29D3">
        <w:rPr>
          <w:rFonts w:hint="cs"/>
          <w:b/>
          <w:bCs/>
          <w:rtl/>
        </w:rPr>
        <w:t xml:space="preserve"> </w:t>
      </w:r>
      <w:r w:rsidR="00D12633" w:rsidRPr="00BE29D3">
        <w:rPr>
          <w:rFonts w:hint="cs"/>
          <w:b/>
          <w:bCs/>
          <w:u w:val="single"/>
          <w:rtl/>
        </w:rPr>
        <w:t>לנוער</w:t>
      </w:r>
      <w:r w:rsidR="00D12633" w:rsidRPr="00BE29D3">
        <w:rPr>
          <w:rFonts w:hint="cs"/>
          <w:b/>
          <w:bCs/>
          <w:rtl/>
        </w:rPr>
        <w:t xml:space="preserve"> נפגע סמים ו</w:t>
      </w:r>
      <w:r w:rsidR="006C6B62">
        <w:rPr>
          <w:rFonts w:hint="cs"/>
          <w:b/>
          <w:bCs/>
          <w:rtl/>
        </w:rPr>
        <w:t xml:space="preserve">הן לנוער </w:t>
      </w:r>
      <w:r w:rsidR="00D12633" w:rsidRPr="00BE29D3">
        <w:rPr>
          <w:rFonts w:hint="cs"/>
          <w:b/>
          <w:bCs/>
          <w:rtl/>
        </w:rPr>
        <w:t>נפגע אלכוהול, בהן 1,206 מטופלים</w:t>
      </w:r>
      <w:r w:rsidR="00D12633" w:rsidRPr="00695223">
        <w:rPr>
          <w:rFonts w:hint="cs"/>
          <w:rtl/>
        </w:rPr>
        <w:t xml:space="preserve">. </w:t>
      </w:r>
      <w:r w:rsidRPr="00695223">
        <w:rPr>
          <w:rFonts w:hint="cs"/>
          <w:rtl/>
        </w:rPr>
        <w:t>מתוכן 10 הן תכניות רגישות תרבות לעולים יוצאי חבר העמים ואתיופיה</w:t>
      </w:r>
      <w:r w:rsidRPr="0097020E">
        <w:rPr>
          <w:rStyle w:val="ab"/>
          <w:sz w:val="20"/>
          <w:szCs w:val="20"/>
          <w:rtl/>
        </w:rPr>
        <w:footnoteReference w:id="407"/>
      </w:r>
      <w:r>
        <w:rPr>
          <w:rFonts w:hint="cs"/>
          <w:sz w:val="20"/>
          <w:szCs w:val="20"/>
          <w:rtl/>
        </w:rPr>
        <w:t xml:space="preserve"> </w:t>
      </w:r>
      <w:r w:rsidRPr="00695223">
        <w:rPr>
          <w:rFonts w:hint="cs"/>
          <w:rtl/>
        </w:rPr>
        <w:t>ובהן 150 מטופלים, ו- 5 הן תכניות לאיתור נוער העושה שימוש בחומרים פסיכואקטיביים בחופי הים במסגרתן</w:t>
      </w:r>
      <w:r w:rsidR="00BE29D3">
        <w:rPr>
          <w:rFonts w:hint="cs"/>
          <w:rtl/>
        </w:rPr>
        <w:t xml:space="preserve"> אותרו בשנת 2014</w:t>
      </w:r>
      <w:r w:rsidRPr="00695223">
        <w:rPr>
          <w:rFonts w:hint="cs"/>
          <w:rtl/>
        </w:rPr>
        <w:t xml:space="preserve"> 1,056 בני-נוער. בנוסף, תחת פיקוחה של רשות חסות הנוער במשרד נמצאים </w:t>
      </w:r>
      <w:r w:rsidRPr="00BE29D3">
        <w:rPr>
          <w:rFonts w:hint="cs"/>
          <w:b/>
          <w:bCs/>
          <w:rtl/>
        </w:rPr>
        <w:t>3 קהילות טיפוליות והוסטלים</w:t>
      </w:r>
      <w:r w:rsidR="00695223" w:rsidRPr="00BE29D3">
        <w:rPr>
          <w:rFonts w:hint="cs"/>
          <w:b/>
          <w:bCs/>
          <w:rtl/>
        </w:rPr>
        <w:t>, בהם 140 מקומות</w:t>
      </w:r>
      <w:r w:rsidR="00695223" w:rsidRPr="00695223">
        <w:rPr>
          <w:rFonts w:hint="cs"/>
          <w:rtl/>
        </w:rPr>
        <w:t>.</w:t>
      </w:r>
    </w:p>
    <w:p w:rsidR="00C270DC" w:rsidRPr="00BB6388" w:rsidRDefault="00CB0BF7" w:rsidP="00BB6388">
      <w:pPr>
        <w:spacing w:line="360" w:lineRule="auto"/>
        <w:rPr>
          <w:rtl/>
        </w:rPr>
      </w:pPr>
      <w:r>
        <w:rPr>
          <w:rFonts w:hint="cs"/>
          <w:b/>
          <w:rtl/>
        </w:rPr>
        <w:t xml:space="preserve">יצויין כי </w:t>
      </w:r>
      <w:r w:rsidRPr="00695223">
        <w:rPr>
          <w:rFonts w:hint="cs"/>
          <w:bCs/>
          <w:rtl/>
        </w:rPr>
        <w:t>רבים ממטופלי ההתמכרויות בשירותי הרווחה מטופלים ביותר ממסגרת אחת או נעים בין המסגרות השונות בהתאם לשלבי גמילתם</w:t>
      </w:r>
      <w:r>
        <w:rPr>
          <w:rFonts w:hint="cs"/>
          <w:b/>
          <w:rtl/>
        </w:rPr>
        <w:t>.</w:t>
      </w:r>
    </w:p>
    <w:p w:rsidR="00C270DC" w:rsidRPr="00BB6388" w:rsidRDefault="00C270DC" w:rsidP="00BB6388">
      <w:pPr>
        <w:pStyle w:val="4"/>
        <w:rPr>
          <w:rtl/>
        </w:rPr>
      </w:pPr>
      <w:bookmarkStart w:id="355" w:name="_Toc418585124"/>
      <w:bookmarkStart w:id="356" w:name="_Toc419963186"/>
      <w:r w:rsidRPr="00BB6388">
        <w:rPr>
          <w:rFonts w:hint="cs"/>
          <w:rtl/>
        </w:rPr>
        <w:t>תקציב</w:t>
      </w:r>
      <w:bookmarkEnd w:id="355"/>
      <w:bookmarkEnd w:id="356"/>
    </w:p>
    <w:p w:rsidR="00C270DC" w:rsidRPr="00BB6388" w:rsidRDefault="00C270DC" w:rsidP="00BB6388">
      <w:pPr>
        <w:pStyle w:val="a2"/>
        <w:spacing w:line="360" w:lineRule="auto"/>
        <w:rPr>
          <w:b/>
          <w:bCs/>
          <w:rtl/>
        </w:rPr>
      </w:pPr>
      <w:r w:rsidRPr="00BB6388">
        <w:rPr>
          <w:rFonts w:hint="cs"/>
          <w:b/>
          <w:bCs/>
          <w:rtl/>
        </w:rPr>
        <w:t xml:space="preserve">תקציב השירות לטיפול בהתמכרויות על שינוייו נטו לשנת 2014 עמד על כ- 61.5 מיליון ש"ח </w:t>
      </w:r>
      <w:r w:rsidRPr="00EA3552">
        <w:rPr>
          <w:rFonts w:hint="cs"/>
          <w:rtl/>
        </w:rPr>
        <w:t>והיה כ-12.6% מתקציב האגף לשירותי תקון ונוער מנותק (כ- 486.5 מיליון ש"ח).</w:t>
      </w:r>
      <w:r w:rsidRPr="00EA3552">
        <w:rPr>
          <w:rStyle w:val="ab"/>
          <w:rtl/>
        </w:rPr>
        <w:footnoteReference w:id="408"/>
      </w:r>
      <w:r w:rsidRPr="00EA3552">
        <w:rPr>
          <w:rFonts w:hint="cs"/>
          <w:rtl/>
        </w:rPr>
        <w:t xml:space="preserve"> </w:t>
      </w:r>
    </w:p>
    <w:p w:rsidR="00C270DC" w:rsidRPr="00BB6388" w:rsidRDefault="00E62D3B" w:rsidP="00107166">
      <w:pPr>
        <w:pStyle w:val="af2"/>
        <w:jc w:val="center"/>
        <w:rPr>
          <w:bCs w:val="0"/>
          <w:rtl/>
        </w:rPr>
      </w:pPr>
      <w:bookmarkStart w:id="357" w:name="_Toc419963187"/>
      <w:bookmarkStart w:id="358" w:name="_Toc418585125"/>
      <w:r w:rsidRPr="00E62D3B">
        <w:rPr>
          <w:sz w:val="24"/>
          <w:szCs w:val="24"/>
          <w:rtl/>
        </w:rPr>
        <w:t xml:space="preserve">טבלה </w:t>
      </w:r>
      <w:r w:rsidR="00F3448E" w:rsidRPr="00E62D3B">
        <w:rPr>
          <w:sz w:val="24"/>
          <w:szCs w:val="24"/>
          <w:rtl/>
        </w:rPr>
        <w:fldChar w:fldCharType="begin"/>
      </w:r>
      <w:r w:rsidRPr="00E62D3B">
        <w:rPr>
          <w:sz w:val="24"/>
          <w:szCs w:val="24"/>
          <w:rtl/>
        </w:rPr>
        <w:instrText xml:space="preserve"> </w:instrText>
      </w:r>
      <w:r w:rsidRPr="00E62D3B">
        <w:rPr>
          <w:sz w:val="24"/>
          <w:szCs w:val="24"/>
        </w:rPr>
        <w:instrText>SEQ</w:instrText>
      </w:r>
      <w:r w:rsidRPr="00E62D3B">
        <w:rPr>
          <w:sz w:val="24"/>
          <w:szCs w:val="24"/>
          <w:rtl/>
        </w:rPr>
        <w:instrText xml:space="preserve"> טבלה \* </w:instrText>
      </w:r>
      <w:r w:rsidRPr="00E62D3B">
        <w:rPr>
          <w:sz w:val="24"/>
          <w:szCs w:val="24"/>
        </w:rPr>
        <w:instrText>ARABIC</w:instrText>
      </w:r>
      <w:r w:rsidRPr="00E62D3B">
        <w:rPr>
          <w:sz w:val="24"/>
          <w:szCs w:val="24"/>
          <w:rtl/>
        </w:rPr>
        <w:instrText xml:space="preserve"> </w:instrText>
      </w:r>
      <w:r w:rsidR="00F3448E" w:rsidRPr="00E62D3B">
        <w:rPr>
          <w:sz w:val="24"/>
          <w:szCs w:val="24"/>
          <w:rtl/>
        </w:rPr>
        <w:fldChar w:fldCharType="separate"/>
      </w:r>
      <w:r w:rsidR="007347AB">
        <w:rPr>
          <w:noProof/>
          <w:sz w:val="24"/>
          <w:szCs w:val="24"/>
          <w:rtl/>
        </w:rPr>
        <w:t>23</w:t>
      </w:r>
      <w:r w:rsidR="00F3448E" w:rsidRPr="00E62D3B">
        <w:rPr>
          <w:sz w:val="24"/>
          <w:szCs w:val="24"/>
          <w:rtl/>
        </w:rPr>
        <w:fldChar w:fldCharType="end"/>
      </w:r>
      <w:r w:rsidR="00C270DC" w:rsidRPr="00E62D3B">
        <w:rPr>
          <w:rFonts w:hint="cs"/>
          <w:sz w:val="24"/>
          <w:szCs w:val="24"/>
          <w:rtl/>
        </w:rPr>
        <w:t>:</w:t>
      </w:r>
      <w:bookmarkStart w:id="359" w:name="_Toc419963188"/>
      <w:bookmarkEnd w:id="357"/>
      <w:r w:rsidR="00107166">
        <w:rPr>
          <w:rFonts w:hint="cs"/>
          <w:sz w:val="24"/>
          <w:szCs w:val="24"/>
          <w:rtl/>
        </w:rPr>
        <w:t xml:space="preserve"> </w:t>
      </w:r>
      <w:r w:rsidR="00C270DC" w:rsidRPr="00E62D3B">
        <w:rPr>
          <w:rFonts w:hint="cs"/>
          <w:b w:val="0"/>
          <w:sz w:val="24"/>
          <w:szCs w:val="24"/>
          <w:rtl/>
        </w:rPr>
        <w:t>תקציב השירות לטיפול בהתמכרויות במשרד הרווחה והשירותים החברתיים בשנים 2014-2008</w:t>
      </w:r>
      <w:r w:rsidR="00C270DC" w:rsidRPr="00BB6388">
        <w:rPr>
          <w:rStyle w:val="ab"/>
          <w:bCs w:val="0"/>
          <w:rtl/>
        </w:rPr>
        <w:footnoteReference w:id="409"/>
      </w:r>
      <w:bookmarkEnd w:id="358"/>
      <w:bookmarkEnd w:id="359"/>
    </w:p>
    <w:tbl>
      <w:tblPr>
        <w:tblStyle w:val="afff5"/>
        <w:bidiVisual/>
        <w:tblW w:w="5838" w:type="dxa"/>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1381"/>
        <w:gridCol w:w="2131"/>
        <w:gridCol w:w="2326"/>
      </w:tblGrid>
      <w:tr w:rsidR="00C270DC" w:rsidRPr="00342BCC" w:rsidTr="00342BCC">
        <w:trPr>
          <w:tblCellSpacing w:w="20" w:type="dxa"/>
          <w:jc w:val="center"/>
        </w:trPr>
        <w:tc>
          <w:tcPr>
            <w:tcW w:w="1321" w:type="dxa"/>
            <w:shd w:val="clear" w:color="auto" w:fill="auto"/>
          </w:tcPr>
          <w:p w:rsidR="00C270DC" w:rsidRPr="00A61CC2" w:rsidRDefault="00C270DC" w:rsidP="00342BCC">
            <w:pPr>
              <w:spacing w:before="60" w:after="0" w:line="240" w:lineRule="auto"/>
              <w:rPr>
                <w:b/>
                <w:bCs/>
                <w:sz w:val="22"/>
                <w:szCs w:val="22"/>
                <w:rtl/>
              </w:rPr>
            </w:pPr>
            <w:r w:rsidRPr="00A61CC2">
              <w:rPr>
                <w:rFonts w:hint="cs"/>
                <w:b/>
                <w:bCs/>
                <w:sz w:val="22"/>
                <w:szCs w:val="22"/>
                <w:rtl/>
              </w:rPr>
              <w:t>שנת תקציב</w:t>
            </w:r>
          </w:p>
        </w:tc>
        <w:tc>
          <w:tcPr>
            <w:tcW w:w="2091" w:type="dxa"/>
            <w:shd w:val="clear" w:color="auto" w:fill="auto"/>
          </w:tcPr>
          <w:p w:rsidR="00C270DC" w:rsidRPr="00A61CC2" w:rsidRDefault="00C270DC" w:rsidP="00A61CC2">
            <w:pPr>
              <w:spacing w:before="60" w:after="0" w:line="240" w:lineRule="auto"/>
              <w:jc w:val="center"/>
              <w:rPr>
                <w:b/>
                <w:bCs/>
                <w:sz w:val="22"/>
                <w:szCs w:val="22"/>
                <w:rtl/>
              </w:rPr>
            </w:pPr>
            <w:r w:rsidRPr="00A61CC2">
              <w:rPr>
                <w:rFonts w:hint="cs"/>
                <w:b/>
                <w:bCs/>
                <w:sz w:val="22"/>
                <w:szCs w:val="22"/>
                <w:rtl/>
              </w:rPr>
              <w:t>התקציב המקורי נטו</w:t>
            </w:r>
          </w:p>
        </w:tc>
        <w:tc>
          <w:tcPr>
            <w:tcW w:w="2266" w:type="dxa"/>
            <w:shd w:val="clear" w:color="auto" w:fill="auto"/>
          </w:tcPr>
          <w:p w:rsidR="00C270DC" w:rsidRPr="00A61CC2" w:rsidRDefault="00C270DC" w:rsidP="00A61CC2">
            <w:pPr>
              <w:spacing w:before="60" w:after="0" w:line="240" w:lineRule="auto"/>
              <w:jc w:val="center"/>
              <w:rPr>
                <w:b/>
                <w:bCs/>
                <w:sz w:val="22"/>
                <w:szCs w:val="22"/>
                <w:rtl/>
              </w:rPr>
            </w:pPr>
            <w:r w:rsidRPr="00A61CC2">
              <w:rPr>
                <w:rFonts w:hint="cs"/>
                <w:b/>
                <w:bCs/>
                <w:sz w:val="22"/>
                <w:szCs w:val="22"/>
                <w:rtl/>
              </w:rPr>
              <w:t>התקציב על שינוייו נטו</w:t>
            </w:r>
          </w:p>
        </w:tc>
      </w:tr>
      <w:tr w:rsidR="00C270DC" w:rsidRPr="00342BCC" w:rsidTr="00342BCC">
        <w:trPr>
          <w:tblCellSpacing w:w="20" w:type="dxa"/>
          <w:jc w:val="center"/>
        </w:trPr>
        <w:tc>
          <w:tcPr>
            <w:tcW w:w="1321" w:type="dxa"/>
            <w:shd w:val="clear" w:color="auto" w:fill="auto"/>
          </w:tcPr>
          <w:p w:rsidR="00C270DC" w:rsidRPr="00342BCC" w:rsidRDefault="00C270DC" w:rsidP="00342BCC">
            <w:pPr>
              <w:spacing w:before="60" w:after="0" w:line="240" w:lineRule="auto"/>
              <w:rPr>
                <w:sz w:val="22"/>
                <w:szCs w:val="22"/>
                <w:rtl/>
              </w:rPr>
            </w:pPr>
            <w:r w:rsidRPr="00342BCC">
              <w:rPr>
                <w:rFonts w:hint="cs"/>
                <w:sz w:val="22"/>
                <w:szCs w:val="22"/>
                <w:rtl/>
              </w:rPr>
              <w:t>2008</w:t>
            </w:r>
          </w:p>
        </w:tc>
        <w:tc>
          <w:tcPr>
            <w:tcW w:w="2091" w:type="dxa"/>
            <w:shd w:val="clear" w:color="auto" w:fill="auto"/>
          </w:tcPr>
          <w:p w:rsidR="00C270DC" w:rsidRPr="00342BCC" w:rsidRDefault="00C270DC" w:rsidP="00A61CC2">
            <w:pPr>
              <w:spacing w:before="60" w:after="0" w:line="240" w:lineRule="auto"/>
              <w:jc w:val="center"/>
              <w:rPr>
                <w:sz w:val="22"/>
                <w:szCs w:val="22"/>
                <w:rtl/>
              </w:rPr>
            </w:pPr>
            <w:r w:rsidRPr="00342BCC">
              <w:rPr>
                <w:rFonts w:hint="cs"/>
                <w:sz w:val="22"/>
                <w:szCs w:val="22"/>
                <w:rtl/>
              </w:rPr>
              <w:t>44,100,000</w:t>
            </w:r>
          </w:p>
        </w:tc>
        <w:tc>
          <w:tcPr>
            <w:tcW w:w="2266" w:type="dxa"/>
            <w:shd w:val="clear" w:color="auto" w:fill="auto"/>
          </w:tcPr>
          <w:p w:rsidR="00C270DC" w:rsidRPr="00342BCC" w:rsidRDefault="00C270DC" w:rsidP="00A61CC2">
            <w:pPr>
              <w:spacing w:before="60" w:after="0" w:line="240" w:lineRule="auto"/>
              <w:jc w:val="center"/>
              <w:rPr>
                <w:sz w:val="22"/>
                <w:szCs w:val="22"/>
                <w:rtl/>
              </w:rPr>
            </w:pPr>
            <w:r w:rsidRPr="00342BCC">
              <w:rPr>
                <w:rFonts w:hint="cs"/>
                <w:sz w:val="22"/>
                <w:szCs w:val="22"/>
                <w:rtl/>
              </w:rPr>
              <w:t>44,350,000</w:t>
            </w:r>
          </w:p>
        </w:tc>
      </w:tr>
      <w:tr w:rsidR="00C270DC" w:rsidRPr="00342BCC" w:rsidTr="00342BCC">
        <w:trPr>
          <w:tblCellSpacing w:w="20" w:type="dxa"/>
          <w:jc w:val="center"/>
        </w:trPr>
        <w:tc>
          <w:tcPr>
            <w:tcW w:w="1321" w:type="dxa"/>
            <w:shd w:val="clear" w:color="auto" w:fill="auto"/>
          </w:tcPr>
          <w:p w:rsidR="00C270DC" w:rsidRPr="00342BCC" w:rsidRDefault="00C270DC" w:rsidP="00342BCC">
            <w:pPr>
              <w:spacing w:before="60" w:after="0" w:line="240" w:lineRule="auto"/>
              <w:rPr>
                <w:sz w:val="22"/>
                <w:szCs w:val="22"/>
                <w:rtl/>
              </w:rPr>
            </w:pPr>
            <w:r w:rsidRPr="00342BCC">
              <w:rPr>
                <w:rFonts w:hint="cs"/>
                <w:sz w:val="22"/>
                <w:szCs w:val="22"/>
                <w:rtl/>
              </w:rPr>
              <w:t>2009</w:t>
            </w:r>
          </w:p>
        </w:tc>
        <w:tc>
          <w:tcPr>
            <w:tcW w:w="2091" w:type="dxa"/>
            <w:shd w:val="clear" w:color="auto" w:fill="auto"/>
          </w:tcPr>
          <w:p w:rsidR="00C270DC" w:rsidRPr="00342BCC" w:rsidRDefault="00C270DC" w:rsidP="00A61CC2">
            <w:pPr>
              <w:spacing w:before="60" w:after="0" w:line="240" w:lineRule="auto"/>
              <w:jc w:val="center"/>
              <w:rPr>
                <w:sz w:val="22"/>
                <w:szCs w:val="22"/>
                <w:rtl/>
              </w:rPr>
            </w:pPr>
            <w:r w:rsidRPr="00342BCC">
              <w:rPr>
                <w:rFonts w:hint="cs"/>
                <w:sz w:val="22"/>
                <w:szCs w:val="22"/>
                <w:rtl/>
              </w:rPr>
              <w:t>45,788,000</w:t>
            </w:r>
          </w:p>
        </w:tc>
        <w:tc>
          <w:tcPr>
            <w:tcW w:w="2266" w:type="dxa"/>
            <w:shd w:val="clear" w:color="auto" w:fill="auto"/>
          </w:tcPr>
          <w:p w:rsidR="00C270DC" w:rsidRPr="00342BCC" w:rsidRDefault="00C270DC" w:rsidP="00A61CC2">
            <w:pPr>
              <w:spacing w:before="60" w:after="0" w:line="240" w:lineRule="auto"/>
              <w:jc w:val="center"/>
              <w:rPr>
                <w:sz w:val="22"/>
                <w:szCs w:val="22"/>
                <w:rtl/>
              </w:rPr>
            </w:pPr>
            <w:r w:rsidRPr="00342BCC">
              <w:rPr>
                <w:rFonts w:hint="cs"/>
                <w:sz w:val="22"/>
                <w:szCs w:val="22"/>
                <w:rtl/>
              </w:rPr>
              <w:t>48,634,000</w:t>
            </w:r>
          </w:p>
        </w:tc>
      </w:tr>
      <w:tr w:rsidR="00C270DC" w:rsidRPr="00342BCC" w:rsidTr="00342BCC">
        <w:trPr>
          <w:tblCellSpacing w:w="20" w:type="dxa"/>
          <w:jc w:val="center"/>
        </w:trPr>
        <w:tc>
          <w:tcPr>
            <w:tcW w:w="1321" w:type="dxa"/>
            <w:shd w:val="clear" w:color="auto" w:fill="auto"/>
          </w:tcPr>
          <w:p w:rsidR="00C270DC" w:rsidRPr="00342BCC" w:rsidRDefault="00C270DC" w:rsidP="00342BCC">
            <w:pPr>
              <w:spacing w:before="60" w:after="0" w:line="240" w:lineRule="auto"/>
              <w:rPr>
                <w:sz w:val="22"/>
                <w:szCs w:val="22"/>
                <w:rtl/>
              </w:rPr>
            </w:pPr>
            <w:r w:rsidRPr="00342BCC">
              <w:rPr>
                <w:rFonts w:hint="cs"/>
                <w:sz w:val="22"/>
                <w:szCs w:val="22"/>
                <w:rtl/>
              </w:rPr>
              <w:t>2010</w:t>
            </w:r>
          </w:p>
        </w:tc>
        <w:tc>
          <w:tcPr>
            <w:tcW w:w="2091" w:type="dxa"/>
            <w:shd w:val="clear" w:color="auto" w:fill="auto"/>
          </w:tcPr>
          <w:p w:rsidR="00C270DC" w:rsidRPr="00342BCC" w:rsidRDefault="00C270DC" w:rsidP="00A61CC2">
            <w:pPr>
              <w:spacing w:before="60" w:after="0" w:line="240" w:lineRule="auto"/>
              <w:jc w:val="center"/>
              <w:rPr>
                <w:sz w:val="22"/>
                <w:szCs w:val="22"/>
                <w:rtl/>
              </w:rPr>
            </w:pPr>
            <w:r w:rsidRPr="00342BCC">
              <w:rPr>
                <w:rFonts w:hint="cs"/>
                <w:sz w:val="22"/>
                <w:szCs w:val="22"/>
                <w:rtl/>
              </w:rPr>
              <w:t>48,337,000</w:t>
            </w:r>
          </w:p>
        </w:tc>
        <w:tc>
          <w:tcPr>
            <w:tcW w:w="2266" w:type="dxa"/>
            <w:shd w:val="clear" w:color="auto" w:fill="auto"/>
          </w:tcPr>
          <w:p w:rsidR="00C270DC" w:rsidRPr="00342BCC" w:rsidRDefault="00C270DC" w:rsidP="00A61CC2">
            <w:pPr>
              <w:spacing w:before="60" w:after="0" w:line="240" w:lineRule="auto"/>
              <w:jc w:val="center"/>
              <w:rPr>
                <w:sz w:val="22"/>
                <w:szCs w:val="22"/>
                <w:rtl/>
              </w:rPr>
            </w:pPr>
            <w:r w:rsidRPr="00342BCC">
              <w:rPr>
                <w:rFonts w:hint="cs"/>
                <w:sz w:val="22"/>
                <w:szCs w:val="22"/>
                <w:rtl/>
              </w:rPr>
              <w:t>50,575,000</w:t>
            </w:r>
          </w:p>
        </w:tc>
      </w:tr>
      <w:tr w:rsidR="00C270DC" w:rsidRPr="00342BCC" w:rsidTr="00342BCC">
        <w:trPr>
          <w:tblCellSpacing w:w="20" w:type="dxa"/>
          <w:jc w:val="center"/>
        </w:trPr>
        <w:tc>
          <w:tcPr>
            <w:tcW w:w="1321" w:type="dxa"/>
            <w:shd w:val="clear" w:color="auto" w:fill="auto"/>
          </w:tcPr>
          <w:p w:rsidR="00C270DC" w:rsidRPr="00342BCC" w:rsidRDefault="00C270DC" w:rsidP="00342BCC">
            <w:pPr>
              <w:spacing w:before="60" w:after="0" w:line="240" w:lineRule="auto"/>
              <w:rPr>
                <w:sz w:val="22"/>
                <w:szCs w:val="22"/>
                <w:rtl/>
              </w:rPr>
            </w:pPr>
            <w:r w:rsidRPr="00342BCC">
              <w:rPr>
                <w:rFonts w:hint="cs"/>
                <w:sz w:val="22"/>
                <w:szCs w:val="22"/>
                <w:rtl/>
              </w:rPr>
              <w:t>2011</w:t>
            </w:r>
          </w:p>
        </w:tc>
        <w:tc>
          <w:tcPr>
            <w:tcW w:w="2091" w:type="dxa"/>
            <w:shd w:val="clear" w:color="auto" w:fill="auto"/>
          </w:tcPr>
          <w:p w:rsidR="00C270DC" w:rsidRPr="00342BCC" w:rsidRDefault="00C270DC" w:rsidP="00A61CC2">
            <w:pPr>
              <w:spacing w:before="60" w:after="0" w:line="240" w:lineRule="auto"/>
              <w:jc w:val="center"/>
              <w:rPr>
                <w:sz w:val="22"/>
                <w:szCs w:val="22"/>
                <w:rtl/>
              </w:rPr>
            </w:pPr>
            <w:r w:rsidRPr="00342BCC">
              <w:rPr>
                <w:rFonts w:hint="cs"/>
                <w:sz w:val="22"/>
                <w:szCs w:val="22"/>
                <w:rtl/>
              </w:rPr>
              <w:t>52,491,000</w:t>
            </w:r>
          </w:p>
        </w:tc>
        <w:tc>
          <w:tcPr>
            <w:tcW w:w="2266" w:type="dxa"/>
            <w:shd w:val="clear" w:color="auto" w:fill="auto"/>
          </w:tcPr>
          <w:p w:rsidR="00C270DC" w:rsidRPr="00342BCC" w:rsidRDefault="00C270DC" w:rsidP="00A61CC2">
            <w:pPr>
              <w:spacing w:before="60" w:after="0" w:line="240" w:lineRule="auto"/>
              <w:jc w:val="center"/>
              <w:rPr>
                <w:sz w:val="22"/>
                <w:szCs w:val="22"/>
                <w:rtl/>
              </w:rPr>
            </w:pPr>
            <w:r w:rsidRPr="00342BCC">
              <w:rPr>
                <w:rFonts w:hint="cs"/>
                <w:sz w:val="22"/>
                <w:szCs w:val="22"/>
                <w:rtl/>
              </w:rPr>
              <w:t>56,834,000</w:t>
            </w:r>
          </w:p>
        </w:tc>
      </w:tr>
      <w:tr w:rsidR="00C270DC" w:rsidRPr="00342BCC" w:rsidTr="00342BCC">
        <w:trPr>
          <w:tblCellSpacing w:w="20" w:type="dxa"/>
          <w:jc w:val="center"/>
        </w:trPr>
        <w:tc>
          <w:tcPr>
            <w:tcW w:w="1321" w:type="dxa"/>
            <w:shd w:val="clear" w:color="auto" w:fill="auto"/>
          </w:tcPr>
          <w:p w:rsidR="00C270DC" w:rsidRPr="00342BCC" w:rsidRDefault="00C270DC" w:rsidP="00342BCC">
            <w:pPr>
              <w:spacing w:before="60" w:after="0" w:line="240" w:lineRule="auto"/>
              <w:rPr>
                <w:sz w:val="22"/>
                <w:szCs w:val="22"/>
                <w:rtl/>
              </w:rPr>
            </w:pPr>
            <w:r w:rsidRPr="00342BCC">
              <w:rPr>
                <w:rFonts w:hint="cs"/>
                <w:sz w:val="22"/>
                <w:szCs w:val="22"/>
                <w:rtl/>
              </w:rPr>
              <w:t>2012</w:t>
            </w:r>
          </w:p>
        </w:tc>
        <w:tc>
          <w:tcPr>
            <w:tcW w:w="2091" w:type="dxa"/>
            <w:shd w:val="clear" w:color="auto" w:fill="auto"/>
          </w:tcPr>
          <w:p w:rsidR="00C270DC" w:rsidRPr="00342BCC" w:rsidRDefault="00C270DC" w:rsidP="00A61CC2">
            <w:pPr>
              <w:spacing w:before="60" w:after="0" w:line="240" w:lineRule="auto"/>
              <w:jc w:val="center"/>
              <w:rPr>
                <w:sz w:val="22"/>
                <w:szCs w:val="22"/>
                <w:rtl/>
              </w:rPr>
            </w:pPr>
            <w:r w:rsidRPr="00342BCC">
              <w:rPr>
                <w:rFonts w:hint="cs"/>
                <w:sz w:val="22"/>
                <w:szCs w:val="22"/>
                <w:rtl/>
              </w:rPr>
              <w:t>55,746,000</w:t>
            </w:r>
          </w:p>
        </w:tc>
        <w:tc>
          <w:tcPr>
            <w:tcW w:w="2266" w:type="dxa"/>
            <w:shd w:val="clear" w:color="auto" w:fill="auto"/>
          </w:tcPr>
          <w:p w:rsidR="00C270DC" w:rsidRPr="00342BCC" w:rsidRDefault="00C270DC" w:rsidP="00A61CC2">
            <w:pPr>
              <w:spacing w:before="60" w:after="0" w:line="240" w:lineRule="auto"/>
              <w:jc w:val="center"/>
              <w:rPr>
                <w:sz w:val="22"/>
                <w:szCs w:val="22"/>
                <w:rtl/>
              </w:rPr>
            </w:pPr>
            <w:r w:rsidRPr="00342BCC">
              <w:rPr>
                <w:rFonts w:hint="cs"/>
                <w:sz w:val="22"/>
                <w:szCs w:val="22"/>
                <w:rtl/>
              </w:rPr>
              <w:t>60,465,000</w:t>
            </w:r>
          </w:p>
        </w:tc>
      </w:tr>
      <w:tr w:rsidR="00C270DC" w:rsidRPr="00342BCC" w:rsidTr="00342BCC">
        <w:trPr>
          <w:tblCellSpacing w:w="20" w:type="dxa"/>
          <w:jc w:val="center"/>
        </w:trPr>
        <w:tc>
          <w:tcPr>
            <w:tcW w:w="1321" w:type="dxa"/>
            <w:shd w:val="clear" w:color="auto" w:fill="auto"/>
          </w:tcPr>
          <w:p w:rsidR="00C270DC" w:rsidRPr="00342BCC" w:rsidRDefault="00C270DC" w:rsidP="00342BCC">
            <w:pPr>
              <w:spacing w:before="60" w:after="0" w:line="240" w:lineRule="auto"/>
              <w:rPr>
                <w:sz w:val="22"/>
                <w:szCs w:val="22"/>
                <w:rtl/>
              </w:rPr>
            </w:pPr>
            <w:r w:rsidRPr="00342BCC">
              <w:rPr>
                <w:rFonts w:hint="cs"/>
                <w:sz w:val="22"/>
                <w:szCs w:val="22"/>
                <w:rtl/>
              </w:rPr>
              <w:t>2013</w:t>
            </w:r>
          </w:p>
        </w:tc>
        <w:tc>
          <w:tcPr>
            <w:tcW w:w="2091" w:type="dxa"/>
            <w:shd w:val="clear" w:color="auto" w:fill="auto"/>
          </w:tcPr>
          <w:p w:rsidR="00C270DC" w:rsidRPr="00342BCC" w:rsidRDefault="00C270DC" w:rsidP="00A61CC2">
            <w:pPr>
              <w:spacing w:before="60" w:after="0" w:line="240" w:lineRule="auto"/>
              <w:jc w:val="center"/>
              <w:rPr>
                <w:sz w:val="22"/>
                <w:szCs w:val="22"/>
                <w:rtl/>
              </w:rPr>
            </w:pPr>
            <w:r w:rsidRPr="00342BCC">
              <w:rPr>
                <w:rFonts w:hint="cs"/>
                <w:sz w:val="22"/>
                <w:szCs w:val="22"/>
                <w:rtl/>
              </w:rPr>
              <w:t>57,569,000</w:t>
            </w:r>
          </w:p>
        </w:tc>
        <w:tc>
          <w:tcPr>
            <w:tcW w:w="2266" w:type="dxa"/>
            <w:shd w:val="clear" w:color="auto" w:fill="auto"/>
          </w:tcPr>
          <w:p w:rsidR="00C270DC" w:rsidRPr="00342BCC" w:rsidRDefault="00C270DC" w:rsidP="00A61CC2">
            <w:pPr>
              <w:spacing w:before="60" w:after="0" w:line="240" w:lineRule="auto"/>
              <w:jc w:val="center"/>
              <w:rPr>
                <w:sz w:val="22"/>
                <w:szCs w:val="22"/>
                <w:rtl/>
              </w:rPr>
            </w:pPr>
            <w:r w:rsidRPr="00342BCC">
              <w:rPr>
                <w:rFonts w:hint="cs"/>
                <w:sz w:val="22"/>
                <w:szCs w:val="22"/>
                <w:rtl/>
              </w:rPr>
              <w:t>63,470,000</w:t>
            </w:r>
          </w:p>
        </w:tc>
      </w:tr>
      <w:tr w:rsidR="00C270DC" w:rsidRPr="00342BCC" w:rsidTr="00342BCC">
        <w:trPr>
          <w:tblCellSpacing w:w="20" w:type="dxa"/>
          <w:jc w:val="center"/>
        </w:trPr>
        <w:tc>
          <w:tcPr>
            <w:tcW w:w="1321" w:type="dxa"/>
            <w:shd w:val="clear" w:color="auto" w:fill="auto"/>
          </w:tcPr>
          <w:p w:rsidR="00C270DC" w:rsidRPr="00342BCC" w:rsidRDefault="00C270DC" w:rsidP="00342BCC">
            <w:pPr>
              <w:spacing w:before="60" w:after="0" w:line="240" w:lineRule="auto"/>
              <w:rPr>
                <w:sz w:val="22"/>
                <w:szCs w:val="22"/>
                <w:rtl/>
              </w:rPr>
            </w:pPr>
            <w:r w:rsidRPr="00342BCC">
              <w:rPr>
                <w:rFonts w:hint="cs"/>
                <w:sz w:val="22"/>
                <w:szCs w:val="22"/>
                <w:rtl/>
              </w:rPr>
              <w:t>2014</w:t>
            </w:r>
          </w:p>
        </w:tc>
        <w:tc>
          <w:tcPr>
            <w:tcW w:w="2091" w:type="dxa"/>
            <w:shd w:val="clear" w:color="auto" w:fill="auto"/>
          </w:tcPr>
          <w:p w:rsidR="00C270DC" w:rsidRPr="00342BCC" w:rsidRDefault="00C270DC" w:rsidP="00A61CC2">
            <w:pPr>
              <w:spacing w:before="60" w:after="0" w:line="240" w:lineRule="auto"/>
              <w:jc w:val="center"/>
              <w:rPr>
                <w:sz w:val="22"/>
                <w:szCs w:val="22"/>
                <w:rtl/>
              </w:rPr>
            </w:pPr>
            <w:r w:rsidRPr="00342BCC">
              <w:rPr>
                <w:rFonts w:hint="cs"/>
                <w:sz w:val="22"/>
                <w:szCs w:val="22"/>
                <w:rtl/>
              </w:rPr>
              <w:t>59,293,000</w:t>
            </w:r>
          </w:p>
        </w:tc>
        <w:tc>
          <w:tcPr>
            <w:tcW w:w="2266" w:type="dxa"/>
            <w:shd w:val="clear" w:color="auto" w:fill="auto"/>
          </w:tcPr>
          <w:p w:rsidR="00C270DC" w:rsidRPr="00342BCC" w:rsidRDefault="00C270DC" w:rsidP="00A61CC2">
            <w:pPr>
              <w:spacing w:before="60" w:after="0" w:line="240" w:lineRule="auto"/>
              <w:jc w:val="center"/>
              <w:rPr>
                <w:sz w:val="22"/>
                <w:szCs w:val="22"/>
                <w:rtl/>
              </w:rPr>
            </w:pPr>
            <w:r w:rsidRPr="00342BCC">
              <w:rPr>
                <w:rFonts w:hint="cs"/>
                <w:sz w:val="22"/>
                <w:szCs w:val="22"/>
                <w:rtl/>
              </w:rPr>
              <w:t>61,455,000</w:t>
            </w:r>
          </w:p>
        </w:tc>
      </w:tr>
    </w:tbl>
    <w:p w:rsidR="008E5E26" w:rsidRDefault="008E5E26" w:rsidP="00BB6388">
      <w:pPr>
        <w:pStyle w:val="a2"/>
        <w:spacing w:line="360" w:lineRule="auto"/>
        <w:rPr>
          <w:rtl/>
        </w:rPr>
      </w:pPr>
    </w:p>
    <w:p w:rsidR="00C270DC" w:rsidRPr="00BB6388" w:rsidRDefault="00C270DC" w:rsidP="00BB6388">
      <w:pPr>
        <w:pStyle w:val="a2"/>
        <w:spacing w:line="360" w:lineRule="auto"/>
        <w:rPr>
          <w:rtl/>
        </w:rPr>
      </w:pPr>
      <w:r w:rsidRPr="00BB6388">
        <w:rPr>
          <w:rFonts w:hint="cs"/>
          <w:rtl/>
        </w:rPr>
        <w:t xml:space="preserve">יצויין כי חלק מתוכניות השירות לטיפול בהתמכרות מופעלות על-ידי המשרד ובמימונו, חלקן מופעלות באמצעות הרשויות המקומיות בשיטת המימון התואם </w:t>
      </w:r>
      <w:r w:rsidRPr="00BB6388">
        <w:rPr>
          <w:rtl/>
        </w:rPr>
        <w:t>–</w:t>
      </w:r>
      <w:r w:rsidRPr="00BB6388">
        <w:rPr>
          <w:rFonts w:hint="cs"/>
          <w:rtl/>
        </w:rPr>
        <w:t xml:space="preserve"> 75% ממימון הפרויקט הוא מתקציב המשרד ו-25% הוא מתקציב הרשות המקומית </w:t>
      </w:r>
      <w:r w:rsidRPr="00BB6388">
        <w:rPr>
          <w:rtl/>
        </w:rPr>
        <w:t>–</w:t>
      </w:r>
      <w:r w:rsidRPr="00BB6388">
        <w:rPr>
          <w:rFonts w:hint="cs"/>
          <w:rtl/>
        </w:rPr>
        <w:t xml:space="preserve"> וחלקן באמצעות עמותות שתקציבן בא מהמשרד ומתרומות. בנוסף, מורכב תקציב השירות גם מהכנסות מהרשות למלחמה בסמים ובאלכוהול ומהשתתפות משרד הבריאות בטיפול באלכוהוליסטים.</w:t>
      </w:r>
    </w:p>
    <w:p w:rsidR="00BB0E46" w:rsidRPr="00BB6388" w:rsidRDefault="00C270DC" w:rsidP="00BB0E46">
      <w:pPr>
        <w:pStyle w:val="3"/>
        <w:rPr>
          <w:rtl/>
        </w:rPr>
      </w:pPr>
      <w:bookmarkStart w:id="360" w:name="_Toc418585126"/>
      <w:bookmarkStart w:id="361" w:name="_Toc419054689"/>
      <w:bookmarkStart w:id="362" w:name="_Toc419959736"/>
      <w:bookmarkStart w:id="363" w:name="_Toc419963189"/>
      <w:bookmarkStart w:id="364" w:name="_Toc419963307"/>
      <w:bookmarkStart w:id="365" w:name="_Toc421697074"/>
      <w:r w:rsidRPr="00BB6388">
        <w:rPr>
          <w:rFonts w:hint="cs"/>
          <w:rtl/>
        </w:rPr>
        <w:t>התוכנית הלאומית לילדים ובני-נוער בסיכון</w:t>
      </w:r>
      <w:r w:rsidRPr="00D6204E">
        <w:rPr>
          <w:rStyle w:val="ab"/>
          <w:b w:val="0"/>
          <w:bCs w:val="0"/>
          <w:rtl/>
        </w:rPr>
        <w:footnoteReference w:id="410"/>
      </w:r>
      <w:bookmarkStart w:id="366" w:name="_Toc418585127"/>
      <w:bookmarkStart w:id="367" w:name="_Toc419963190"/>
      <w:bookmarkStart w:id="368" w:name="_Toc353962013"/>
      <w:bookmarkEnd w:id="360"/>
      <w:bookmarkEnd w:id="361"/>
      <w:bookmarkEnd w:id="362"/>
      <w:bookmarkEnd w:id="363"/>
      <w:bookmarkEnd w:id="364"/>
      <w:bookmarkEnd w:id="365"/>
    </w:p>
    <w:p w:rsidR="00C270DC" w:rsidRPr="00BB0E46" w:rsidRDefault="00C270DC" w:rsidP="00F774BD">
      <w:pPr>
        <w:pStyle w:val="a2"/>
        <w:rPr>
          <w:rtl/>
        </w:rPr>
      </w:pPr>
      <w:r w:rsidRPr="00BB0E46">
        <w:rPr>
          <w:rFonts w:hint="cs"/>
          <w:rtl/>
        </w:rPr>
        <w:t xml:space="preserve">בנוסף לעבודת השירות לטיפול בהתמכרויות, מוביל משרד הרווחה והשירותים החברתיים גם את </w:t>
      </w:r>
      <w:r w:rsidRPr="00F774BD">
        <w:rPr>
          <w:rFonts w:hint="cs"/>
          <w:b/>
          <w:bCs/>
          <w:rtl/>
        </w:rPr>
        <w:t>התכנית הלאומית לילדים ובני-נוער בסיכון</w:t>
      </w:r>
      <w:r w:rsidRPr="00BB0E46">
        <w:rPr>
          <w:rFonts w:hint="cs"/>
          <w:rtl/>
        </w:rPr>
        <w:t xml:space="preserve"> (המכונה לעיתים גם 'התוכנית הלאומית לילדים ולנוער בסיכון', או '</w:t>
      </w:r>
      <w:r w:rsidRPr="00BB6388">
        <w:rPr>
          <w:rFonts w:hint="cs"/>
          <w:b/>
          <w:bCs/>
        </w:rPr>
        <w:sym w:font="Symbol" w:char="F0B0"/>
      </w:r>
      <w:r w:rsidRPr="00BB0E46">
        <w:rPr>
          <w:rFonts w:hint="cs"/>
          <w:rtl/>
        </w:rPr>
        <w:t xml:space="preserve">360'), </w:t>
      </w:r>
      <w:r w:rsidRPr="00F774BD">
        <w:rPr>
          <w:rFonts w:hint="cs"/>
          <w:b/>
          <w:bCs/>
          <w:rtl/>
        </w:rPr>
        <w:t>במסגרתה נכללות גם תכניות שונות המוקדשות למאבק בשימוש בחומרים פסיכואקטיביים</w:t>
      </w:r>
      <w:r w:rsidRPr="00BB0E46">
        <w:rPr>
          <w:rFonts w:hint="cs"/>
          <w:rtl/>
        </w:rPr>
        <w:t>. זוהי תוכנית בין-משרדית לצמצום שיעור הילדים ובני-הנוער החיים במצבים המסכנים אותם במשפחתם ובסביבתם ומשום כך נפגעת יכולתם לממש את זכויותיהם. התכנית החלה את פעולתה בשנת 2009,</w:t>
      </w:r>
      <w:r w:rsidRPr="00BB6388">
        <w:rPr>
          <w:rStyle w:val="ab"/>
          <w:b/>
          <w:bCs/>
          <w:rtl/>
        </w:rPr>
        <w:footnoteReference w:id="411"/>
      </w:r>
      <w:r w:rsidRPr="00BB0E46">
        <w:rPr>
          <w:rFonts w:hint="cs"/>
          <w:rtl/>
        </w:rPr>
        <w:t xml:space="preserve"> ומיישמת החלטת ממשלה</w:t>
      </w:r>
      <w:r w:rsidRPr="00BB6388">
        <w:rPr>
          <w:rStyle w:val="ab"/>
          <w:b/>
          <w:bCs/>
          <w:rtl/>
        </w:rPr>
        <w:footnoteReference w:id="412"/>
      </w:r>
      <w:r w:rsidRPr="00BB0E46">
        <w:rPr>
          <w:rFonts w:hint="cs"/>
          <w:rtl/>
        </w:rPr>
        <w:t xml:space="preserve"> למימוש המלצות הוועדה הציבורית לבדיקת מצבם של ילדים ונוער בסיכון ובמצוקה שבראשותה עמד פרופ' הלל שמיד.</w:t>
      </w:r>
      <w:r w:rsidRPr="00BB6388">
        <w:rPr>
          <w:rStyle w:val="ab"/>
          <w:b/>
          <w:bCs/>
          <w:rtl/>
        </w:rPr>
        <w:footnoteReference w:id="413"/>
      </w:r>
      <w:bookmarkEnd w:id="366"/>
      <w:bookmarkEnd w:id="367"/>
      <w:r w:rsidRPr="00BB0E46">
        <w:rPr>
          <w:rFonts w:hint="cs"/>
          <w:rtl/>
        </w:rPr>
        <w:t xml:space="preserve"> </w:t>
      </w:r>
    </w:p>
    <w:p w:rsidR="00C270DC" w:rsidRPr="00BB6388" w:rsidRDefault="00C270DC" w:rsidP="00EA3552">
      <w:pPr>
        <w:pStyle w:val="111"/>
        <w:numPr>
          <w:ilvl w:val="0"/>
          <w:numId w:val="0"/>
        </w:numPr>
        <w:spacing w:before="120"/>
        <w:ind w:left="-7"/>
        <w:rPr>
          <w:b w:val="0"/>
          <w:bCs w:val="0"/>
          <w:sz w:val="24"/>
          <w:szCs w:val="24"/>
          <w:rtl/>
        </w:rPr>
      </w:pPr>
      <w:bookmarkStart w:id="369" w:name="_Toc418585128"/>
      <w:bookmarkStart w:id="370" w:name="_Toc419963191"/>
      <w:r w:rsidRPr="00BB6388">
        <w:rPr>
          <w:rFonts w:hint="cs"/>
          <w:b w:val="0"/>
          <w:bCs w:val="0"/>
          <w:sz w:val="24"/>
          <w:szCs w:val="24"/>
          <w:rtl/>
        </w:rPr>
        <w:t>התכנית משותפת לחמישה משרדי ממשלה נוספים (משרד הבריאות, משרד החינוך, המשרד לביטחון פנים, משרד הכלכלה והמשרד לעלייה ולקליטה), וכן למרכז השלטון המקומי וארגון ג'וינט ישראל, המעורבים בהיבטים שונים של יישום התוכנית.</w:t>
      </w:r>
      <w:r w:rsidRPr="00BB6388">
        <w:rPr>
          <w:rStyle w:val="ab"/>
          <w:b w:val="0"/>
          <w:bCs w:val="0"/>
          <w:sz w:val="24"/>
          <w:szCs w:val="24"/>
          <w:rtl/>
        </w:rPr>
        <w:t xml:space="preserve"> </w:t>
      </w:r>
      <w:r w:rsidRPr="00BB6388">
        <w:rPr>
          <w:rStyle w:val="ab"/>
          <w:b w:val="0"/>
          <w:bCs w:val="0"/>
          <w:sz w:val="24"/>
          <w:szCs w:val="24"/>
          <w:rtl/>
        </w:rPr>
        <w:footnoteReference w:id="414"/>
      </w:r>
      <w:r w:rsidRPr="00BB6388">
        <w:rPr>
          <w:rStyle w:val="ab"/>
          <w:rFonts w:hint="cs"/>
          <w:b w:val="0"/>
          <w:bCs w:val="0"/>
          <w:sz w:val="24"/>
          <w:szCs w:val="24"/>
          <w:rtl/>
        </w:rPr>
        <w:t xml:space="preserve">  </w:t>
      </w:r>
      <w:r w:rsidRPr="00BB6388">
        <w:rPr>
          <w:rFonts w:hint="cs"/>
          <w:b w:val="0"/>
          <w:bCs w:val="0"/>
          <w:sz w:val="24"/>
          <w:szCs w:val="24"/>
          <w:rtl/>
        </w:rPr>
        <w:t>מנכ"ל משרד הרווחה והשירותים החברתיים עומד בראש הוועדה הבינמשרדית, והתוכנית מנוהלת במחוזות על-ידי משרד הרווחה ומשרד החינוך במשותף, שלושה מחוזות לכל משרד.</w:t>
      </w:r>
      <w:bookmarkEnd w:id="369"/>
      <w:bookmarkEnd w:id="370"/>
    </w:p>
    <w:p w:rsidR="00C270DC" w:rsidRPr="00BB6388" w:rsidRDefault="00C270DC" w:rsidP="00BB6388">
      <w:pPr>
        <w:pStyle w:val="111"/>
        <w:numPr>
          <w:ilvl w:val="0"/>
          <w:numId w:val="0"/>
        </w:numPr>
        <w:spacing w:before="120"/>
        <w:ind w:left="-7"/>
        <w:rPr>
          <w:b w:val="0"/>
          <w:bCs w:val="0"/>
          <w:sz w:val="24"/>
          <w:szCs w:val="24"/>
          <w:rtl/>
        </w:rPr>
      </w:pPr>
      <w:bookmarkStart w:id="371" w:name="_Toc418585129"/>
      <w:bookmarkStart w:id="372" w:name="_Toc419963192"/>
      <w:bookmarkEnd w:id="368"/>
      <w:r w:rsidRPr="00BB6388">
        <w:rPr>
          <w:rFonts w:hint="cs"/>
          <w:sz w:val="24"/>
          <w:szCs w:val="24"/>
          <w:rtl/>
        </w:rPr>
        <w:t>הוועדה הבינמשרדית החליטה שלא לעגן בחקיקה את זכותו של ילד בסיכון ובמצוקה לסל שירותים, אלא במסגרת הסדרים מחייבים בין המדינה ובין הרשויות המקומיות</w:t>
      </w:r>
      <w:r w:rsidRPr="00BB6388">
        <w:rPr>
          <w:rFonts w:hint="cs"/>
          <w:b w:val="0"/>
          <w:bCs w:val="0"/>
          <w:sz w:val="24"/>
          <w:szCs w:val="24"/>
          <w:rtl/>
        </w:rPr>
        <w:t>. כלומר, המדינה היא האחראית לקביעת המדיניות, להקצאת המשאבים ולבקרה, אך הרשויות המקומיות הן הגוף המבצע. טענת הוועדה הבינמשרדית היא כי הסדרים אלו מבטיחים "גמישות בקביעת יעדים וסדרי עדיפויות בהתאם למצבים חברתיים משתנים ומתן אפשרות למתן מענים במכלול תחומי החיים של ילדים; אפשרות לילדים ולהוריהם להיות שותפים בתכנון דרכי הפעולה שיסייעו להם לממש את זכויותיהם; עידוד מגמות של הקצאת משאבים ונקיטת פעולות מניעה; אחריות משותפת לשירותים של הרמה הלאומית והרמה המקומית; גמישות, סמכות ושיקול דעת לרמה המקומית."</w:t>
      </w:r>
      <w:r w:rsidRPr="00BB6388">
        <w:rPr>
          <w:rStyle w:val="ab"/>
          <w:b w:val="0"/>
          <w:bCs w:val="0"/>
          <w:sz w:val="24"/>
          <w:szCs w:val="24"/>
          <w:rtl/>
        </w:rPr>
        <w:footnoteReference w:id="415"/>
      </w:r>
      <w:bookmarkEnd w:id="371"/>
      <w:bookmarkEnd w:id="372"/>
    </w:p>
    <w:p w:rsidR="00C270DC" w:rsidRPr="00BB6388" w:rsidRDefault="00C270DC" w:rsidP="003D17C5">
      <w:pPr>
        <w:pStyle w:val="a2"/>
        <w:spacing w:line="360" w:lineRule="auto"/>
        <w:rPr>
          <w:rtl/>
        </w:rPr>
      </w:pPr>
      <w:r w:rsidRPr="00BB6388">
        <w:rPr>
          <w:rFonts w:hint="cs"/>
          <w:b/>
          <w:bCs/>
          <w:rtl/>
        </w:rPr>
        <w:t>התכנית פעילה בכלל הרשויות המקומיות המדורגות באשכולות 1 עד 5, בדירוג החברתי-כלכלי שמפרסמת הלשכה המרכזית לסטטיסטיקה, וכן בשכונות עם מאפיינים סוציואקונומיים הדומים לאשכולות אלו הנמצאות בערים הגדולות שאינן כלולות באשכולות הנמוכים</w:t>
      </w:r>
      <w:r w:rsidRPr="00BB6388">
        <w:rPr>
          <w:rFonts w:hint="cs"/>
          <w:rtl/>
        </w:rPr>
        <w:t>.</w:t>
      </w:r>
      <w:r w:rsidRPr="00BB6388">
        <w:rPr>
          <w:rStyle w:val="ab"/>
          <w:rtl/>
        </w:rPr>
        <w:footnoteReference w:id="416"/>
      </w:r>
      <w:r w:rsidRPr="00BB6388">
        <w:rPr>
          <w:rFonts w:hint="cs"/>
          <w:rtl/>
        </w:rPr>
        <w:t xml:space="preserve"> </w:t>
      </w:r>
      <w:r w:rsidRPr="00BB6388">
        <w:rPr>
          <w:rFonts w:ascii="Tahoma" w:hAnsi="Tahoma" w:hint="cs"/>
          <w:color w:val="000000"/>
          <w:rtl/>
        </w:rPr>
        <w:t xml:space="preserve">לפי נתונים שהתקבלו באפריל 2015 ממנהלת התוכנית טלל דולב, </w:t>
      </w:r>
      <w:r w:rsidRPr="00BB6388">
        <w:rPr>
          <w:rFonts w:ascii="Tahoma" w:hAnsi="Tahoma"/>
          <w:color w:val="000000"/>
          <w:rtl/>
        </w:rPr>
        <w:t>פועלות כיום במסגרת התוכנית 180 רשויות מקומיות</w:t>
      </w:r>
      <w:r w:rsidRPr="00BB6388">
        <w:rPr>
          <w:rFonts w:ascii="Tahoma" w:hAnsi="Tahoma" w:hint="cs"/>
          <w:color w:val="000000"/>
          <w:rtl/>
        </w:rPr>
        <w:t xml:space="preserve">, </w:t>
      </w:r>
      <w:r w:rsidRPr="00BB6388">
        <w:rPr>
          <w:rFonts w:ascii="Tahoma" w:hAnsi="Tahoma"/>
          <w:color w:val="000000"/>
          <w:rtl/>
        </w:rPr>
        <w:t>מהן</w:t>
      </w:r>
      <w:r w:rsidRPr="00BB6388">
        <w:rPr>
          <w:rFonts w:ascii="Tahoma" w:hAnsi="Tahoma" w:hint="cs"/>
          <w:color w:val="000000"/>
          <w:rtl/>
        </w:rPr>
        <w:t xml:space="preserve">: </w:t>
      </w:r>
      <w:r w:rsidRPr="00BB6388">
        <w:rPr>
          <w:rFonts w:ascii="Tahoma" w:hAnsi="Tahoma"/>
          <w:color w:val="000000"/>
          <w:rtl/>
        </w:rPr>
        <w:t xml:space="preserve">72 רשויות </w:t>
      </w:r>
      <w:r w:rsidRPr="00BB6388">
        <w:rPr>
          <w:rFonts w:ascii="Tahoma" w:hAnsi="Tahoma" w:hint="cs"/>
          <w:color w:val="000000"/>
          <w:rtl/>
        </w:rPr>
        <w:t>ש</w:t>
      </w:r>
      <w:r w:rsidRPr="00BB6388">
        <w:rPr>
          <w:rFonts w:ascii="Tahoma" w:hAnsi="Tahoma"/>
          <w:color w:val="000000"/>
          <w:rtl/>
        </w:rPr>
        <w:t xml:space="preserve">הצטרפו לתוכנית </w:t>
      </w:r>
      <w:r w:rsidRPr="00BB6388">
        <w:rPr>
          <w:rFonts w:ascii="Tahoma" w:hAnsi="Tahoma" w:hint="cs"/>
          <w:color w:val="000000"/>
          <w:rtl/>
        </w:rPr>
        <w:t xml:space="preserve">עוד </w:t>
      </w:r>
      <w:r w:rsidRPr="00BB6388">
        <w:rPr>
          <w:rFonts w:ascii="Tahoma" w:hAnsi="Tahoma"/>
          <w:color w:val="000000"/>
          <w:rtl/>
        </w:rPr>
        <w:t>בשנת 2008 ופועלות באופן מלא</w:t>
      </w:r>
      <w:r w:rsidRPr="00BB6388">
        <w:rPr>
          <w:rFonts w:ascii="Tahoma" w:hAnsi="Tahoma" w:hint="cs"/>
          <w:color w:val="000000"/>
          <w:rtl/>
        </w:rPr>
        <w:t xml:space="preserve">; </w:t>
      </w:r>
      <w:r w:rsidRPr="00BB6388">
        <w:rPr>
          <w:rFonts w:ascii="Tahoma" w:hAnsi="Tahoma"/>
          <w:color w:val="000000"/>
          <w:rtl/>
        </w:rPr>
        <w:t xml:space="preserve">97 רשויות </w:t>
      </w:r>
      <w:r w:rsidRPr="00BB6388">
        <w:rPr>
          <w:rFonts w:ascii="Tahoma" w:hAnsi="Tahoma" w:hint="cs"/>
          <w:color w:val="000000"/>
          <w:rtl/>
        </w:rPr>
        <w:t>ש</w:t>
      </w:r>
      <w:r w:rsidRPr="00BB6388">
        <w:rPr>
          <w:rFonts w:ascii="Tahoma" w:hAnsi="Tahoma"/>
          <w:color w:val="000000"/>
          <w:rtl/>
        </w:rPr>
        <w:t xml:space="preserve">הצטרפו בשלושה </w:t>
      </w:r>
      <w:r w:rsidRPr="00BB6388">
        <w:rPr>
          <w:rFonts w:ascii="Tahoma" w:hAnsi="Tahoma" w:hint="cs"/>
          <w:color w:val="000000"/>
          <w:rtl/>
        </w:rPr>
        <w:t>שלבים</w:t>
      </w:r>
      <w:r w:rsidRPr="00BB6388">
        <w:rPr>
          <w:rFonts w:ascii="Tahoma" w:hAnsi="Tahoma"/>
          <w:color w:val="000000"/>
          <w:rtl/>
        </w:rPr>
        <w:t xml:space="preserve"> במהלך 2012 ו- 2013 בעקבות החלטת הממשלה מפברואר 2012. רשויות אלה החלו להפעיל מענים במהלך שנת 2014</w:t>
      </w:r>
      <w:r w:rsidRPr="00BB6388">
        <w:rPr>
          <w:rFonts w:ascii="Tahoma" w:hAnsi="Tahoma" w:hint="cs"/>
          <w:color w:val="000000"/>
          <w:rtl/>
        </w:rPr>
        <w:t xml:space="preserve">; </w:t>
      </w:r>
      <w:r w:rsidRPr="00BB6388">
        <w:rPr>
          <w:rFonts w:ascii="Tahoma" w:hAnsi="Tahoma"/>
          <w:color w:val="000000"/>
          <w:rtl/>
        </w:rPr>
        <w:t>11</w:t>
      </w:r>
      <w:r w:rsidRPr="00BB6388">
        <w:rPr>
          <w:rFonts w:ascii="Tahoma" w:hAnsi="Tahoma" w:hint="cs"/>
          <w:color w:val="000000"/>
          <w:rtl/>
        </w:rPr>
        <w:t xml:space="preserve"> </w:t>
      </w:r>
      <w:r w:rsidRPr="00BB6388">
        <w:rPr>
          <w:rFonts w:ascii="Tahoma" w:hAnsi="Tahoma"/>
          <w:color w:val="000000"/>
          <w:rtl/>
        </w:rPr>
        <w:t xml:space="preserve">רשויות נוספות, שירדו מאשכול סוציו אקונומי 6 לאשכול סוציו-אקונומי 5 </w:t>
      </w:r>
      <w:r w:rsidRPr="00BB6388">
        <w:rPr>
          <w:rFonts w:ascii="Tahoma" w:hAnsi="Tahoma"/>
          <w:color w:val="000000"/>
          <w:u w:val="single"/>
          <w:rtl/>
        </w:rPr>
        <w:t>נמצאות בתהליכים של הצטרפות</w:t>
      </w:r>
      <w:r w:rsidRPr="00BB6388">
        <w:rPr>
          <w:rFonts w:ascii="Tahoma" w:hAnsi="Tahoma"/>
          <w:color w:val="000000"/>
          <w:rtl/>
        </w:rPr>
        <w:t xml:space="preserve"> לתוכנית לאחר שהצטרפותן אושרה בינואר 2015.</w:t>
      </w:r>
      <w:r w:rsidRPr="00BB6388">
        <w:rPr>
          <w:rStyle w:val="ab"/>
          <w:rFonts w:ascii="Tahoma" w:hAnsi="Tahoma"/>
          <w:color w:val="000000"/>
          <w:rtl/>
        </w:rPr>
        <w:footnoteReference w:id="417"/>
      </w:r>
    </w:p>
    <w:p w:rsidR="00C270DC" w:rsidRPr="00BB6388" w:rsidRDefault="00C270DC" w:rsidP="00BB6388">
      <w:pPr>
        <w:pStyle w:val="a2"/>
        <w:spacing w:line="360" w:lineRule="auto"/>
        <w:rPr>
          <w:rtl/>
        </w:rPr>
      </w:pPr>
      <w:r w:rsidRPr="00BB6388">
        <w:rPr>
          <w:rFonts w:hint="cs"/>
          <w:rtl/>
        </w:rPr>
        <w:t xml:space="preserve">הרשויות המשתתפות בתוכנית יכולות לבחור את הפתרונות הנחוצים להן ביותר לילדים ולבני-הנוער בסיכון שבתחומן, מתוך כלל התוכניות של המשרדים המשתתפים בתוכנית, ובהן </w:t>
      </w:r>
      <w:r w:rsidRPr="00BB6388">
        <w:rPr>
          <w:rFonts w:hint="cs"/>
          <w:b/>
          <w:bCs/>
          <w:rtl/>
        </w:rPr>
        <w:t>קבוצת תמיכה לנערות עולות חדשות למניעת שימוש בסמים, מרכז יום לנוער מתמכר, תוכניות לטיפול קבוצתי והעשרה עבור נערות במצוקה, תוכנית התערבות רגישה לתרבות למניעת שימוש לרעה באלכוהול ובסמים לבני-נוער עולים והוריהם ועוד</w:t>
      </w:r>
      <w:r w:rsidRPr="00BB6388">
        <w:rPr>
          <w:rFonts w:hint="cs"/>
          <w:rtl/>
        </w:rPr>
        <w:t xml:space="preserve">. </w:t>
      </w:r>
    </w:p>
    <w:p w:rsidR="00C270DC" w:rsidRPr="00BB6388" w:rsidRDefault="00C270DC" w:rsidP="003D17C5">
      <w:pPr>
        <w:pStyle w:val="a2"/>
        <w:spacing w:line="360" w:lineRule="auto"/>
        <w:rPr>
          <w:rtl/>
        </w:rPr>
      </w:pPr>
      <w:r w:rsidRPr="00BB6388">
        <w:rPr>
          <w:rFonts w:hint="cs"/>
          <w:rtl/>
        </w:rPr>
        <w:t>עד שנת 2014, הרשויות קיבלו מימון ממשלתי מלא להפעלת התוכנית בתחומן. החל מ-2014 הרשויות השותפות בתוכנית משתתפות ב-10% מעלות התוכניות שהן מפעילות בתחומן במסגרת התוכנית הלאומית לילדים ולבני נוער בסיכון.</w:t>
      </w:r>
      <w:r w:rsidRPr="00BB6388">
        <w:rPr>
          <w:rStyle w:val="ab"/>
          <w:rtl/>
        </w:rPr>
        <w:footnoteReference w:id="418"/>
      </w:r>
      <w:r w:rsidRPr="00BB6388">
        <w:rPr>
          <w:rFonts w:hint="cs"/>
          <w:rtl/>
        </w:rPr>
        <w:t xml:space="preserve"> בשלב זה לא דווח על רשויות שביקשו לפרוש מהתוכנית בשל החלת </w:t>
      </w:r>
      <w:r w:rsidR="003D17C5">
        <w:rPr>
          <w:rFonts w:hint="cs"/>
          <w:rtl/>
        </w:rPr>
        <w:t xml:space="preserve">חובת </w:t>
      </w:r>
      <w:r w:rsidRPr="00BB6388">
        <w:rPr>
          <w:rFonts w:hint="cs"/>
          <w:rtl/>
        </w:rPr>
        <w:t>ההשתתפות.</w:t>
      </w:r>
      <w:r w:rsidRPr="00BB6388">
        <w:rPr>
          <w:rStyle w:val="ab"/>
          <w:rtl/>
        </w:rPr>
        <w:footnoteReference w:id="419"/>
      </w:r>
    </w:p>
    <w:p w:rsidR="00210359" w:rsidRPr="00BB6388" w:rsidRDefault="00AA7ECC" w:rsidP="007C1162">
      <w:pPr>
        <w:pStyle w:val="2"/>
        <w:rPr>
          <w:rtl/>
        </w:rPr>
      </w:pPr>
      <w:bookmarkStart w:id="373" w:name="_Toc418585208"/>
      <w:bookmarkStart w:id="374" w:name="_Toc419054680"/>
      <w:bookmarkStart w:id="375" w:name="_Toc419959726"/>
      <w:bookmarkStart w:id="376" w:name="_Toc419963161"/>
      <w:bookmarkStart w:id="377" w:name="_Toc419963297"/>
      <w:bookmarkStart w:id="378" w:name="_Toc421697075"/>
      <w:bookmarkStart w:id="379" w:name="_Toc419054690"/>
      <w:bookmarkStart w:id="380" w:name="_Toc419959737"/>
      <w:bookmarkStart w:id="381" w:name="_Toc419963193"/>
      <w:bookmarkStart w:id="382" w:name="_Toc419963308"/>
      <w:bookmarkStart w:id="383" w:name="_Toc419054691"/>
      <w:bookmarkEnd w:id="27"/>
      <w:bookmarkEnd w:id="28"/>
      <w:bookmarkEnd w:id="29"/>
      <w:bookmarkEnd w:id="30"/>
      <w:r w:rsidRPr="00BB6388">
        <w:rPr>
          <w:rFonts w:hint="cs"/>
          <w:rtl/>
        </w:rPr>
        <w:t>משרד החינוך</w:t>
      </w:r>
      <w:bookmarkEnd w:id="373"/>
      <w:bookmarkEnd w:id="374"/>
      <w:bookmarkEnd w:id="375"/>
      <w:bookmarkEnd w:id="376"/>
      <w:bookmarkEnd w:id="377"/>
      <w:bookmarkEnd w:id="378"/>
    </w:p>
    <w:p w:rsidR="00AA7ECC" w:rsidRPr="00BB6388" w:rsidRDefault="007C1162" w:rsidP="00A34892">
      <w:pPr>
        <w:pStyle w:val="a2"/>
        <w:rPr>
          <w:rtl/>
        </w:rPr>
      </w:pPr>
      <w:r>
        <w:rPr>
          <w:rFonts w:hint="cs"/>
          <w:rtl/>
        </w:rPr>
        <w:t>כלל הנתונים בפרק זה נמסרו על-ידי משרד החינוך</w:t>
      </w:r>
      <w:r w:rsidR="004B796C">
        <w:rPr>
          <w:rFonts w:hint="cs"/>
          <w:rtl/>
        </w:rPr>
        <w:t xml:space="preserve"> לבקשת מרכז המחקר והמידע של הכנסת</w:t>
      </w:r>
      <w:r>
        <w:rPr>
          <w:rFonts w:hint="cs"/>
          <w:rtl/>
        </w:rPr>
        <w:t xml:space="preserve"> ב- 3 במרץ 2015, אלא אם צוין אחרת.</w:t>
      </w:r>
      <w:r>
        <w:rPr>
          <w:rStyle w:val="ab"/>
          <w:rtl/>
        </w:rPr>
        <w:footnoteReference w:id="420"/>
      </w:r>
      <w:r w:rsidRPr="00BB6388">
        <w:rPr>
          <w:rFonts w:hint="cs"/>
          <w:rtl/>
        </w:rPr>
        <w:t xml:space="preserve"> </w:t>
      </w:r>
      <w:r>
        <w:rPr>
          <w:rFonts w:hint="cs"/>
          <w:rtl/>
        </w:rPr>
        <w:t xml:space="preserve"> לפי משרד החינוך, </w:t>
      </w:r>
      <w:r w:rsidR="00AA7ECC" w:rsidRPr="00BB6388">
        <w:rPr>
          <w:rFonts w:hint="cs"/>
          <w:rtl/>
        </w:rPr>
        <w:t xml:space="preserve">עיקר עבודתו בתחום הסמים והאלכוהול </w:t>
      </w:r>
      <w:r w:rsidR="00AA7ECC" w:rsidRPr="00C51836">
        <w:rPr>
          <w:rFonts w:hint="cs"/>
          <w:b/>
          <w:bCs/>
          <w:rtl/>
        </w:rPr>
        <w:t xml:space="preserve">היא חינוך </w:t>
      </w:r>
      <w:r w:rsidR="00AA7ECC" w:rsidRPr="00A34892">
        <w:rPr>
          <w:rFonts w:hint="cs"/>
          <w:b/>
          <w:bCs/>
          <w:rtl/>
        </w:rPr>
        <w:t>והסברה</w:t>
      </w:r>
      <w:r w:rsidR="00A34892" w:rsidRPr="00A34892">
        <w:rPr>
          <w:rFonts w:hint="cs"/>
          <w:b/>
          <w:bCs/>
          <w:rtl/>
        </w:rPr>
        <w:t xml:space="preserve"> לפיתוח עמדות אישיות בנושא ומיומנויות התמודדות עם מצבי חיים וסיכון</w:t>
      </w:r>
      <w:r w:rsidR="00AA7ECC" w:rsidRPr="00C51836">
        <w:rPr>
          <w:rFonts w:hint="cs"/>
          <w:b/>
          <w:bCs/>
          <w:rtl/>
        </w:rPr>
        <w:t xml:space="preserve"> </w:t>
      </w:r>
      <w:r w:rsidR="00A34892">
        <w:rPr>
          <w:rFonts w:hint="cs"/>
          <w:b/>
          <w:bCs/>
          <w:rtl/>
        </w:rPr>
        <w:t xml:space="preserve">שמטרתם </w:t>
      </w:r>
      <w:r w:rsidR="00AA7ECC" w:rsidRPr="00C51836">
        <w:rPr>
          <w:rFonts w:hint="cs"/>
          <w:b/>
          <w:bCs/>
          <w:rtl/>
        </w:rPr>
        <w:t>מניעת השימוש בחומרים פסיכואקטיביים</w:t>
      </w:r>
      <w:r w:rsidR="00AA7ECC" w:rsidRPr="00BB6388">
        <w:rPr>
          <w:rFonts w:hint="cs"/>
          <w:rtl/>
        </w:rPr>
        <w:t xml:space="preserve">. </w:t>
      </w:r>
    </w:p>
    <w:p w:rsidR="00AA7ECC" w:rsidRPr="00BB6388" w:rsidRDefault="00AA7ECC" w:rsidP="000C75A5">
      <w:pPr>
        <w:pStyle w:val="a2"/>
        <w:spacing w:line="360" w:lineRule="auto"/>
        <w:rPr>
          <w:rtl/>
        </w:rPr>
      </w:pPr>
      <w:r w:rsidRPr="00BB6388">
        <w:rPr>
          <w:rFonts w:hint="cs"/>
          <w:rtl/>
        </w:rPr>
        <w:t>משרד החינוך פועל גם ל</w:t>
      </w:r>
      <w:r w:rsidRPr="00BB6388">
        <w:rPr>
          <w:rFonts w:hint="cs"/>
          <w:b/>
          <w:bCs/>
          <w:rtl/>
        </w:rPr>
        <w:t>איתור ראשוני של תלמידים במצבי סיכון להתמכרות</w:t>
      </w:r>
      <w:r w:rsidRPr="00BB6388">
        <w:rPr>
          <w:rFonts w:hint="cs"/>
          <w:rtl/>
        </w:rPr>
        <w:t>, וזאת באמצעות מעקב אחרי תפקוד התלמידים בתחומים שונים (כגון הישגים לימודיים והתנהגות) ובאמצעות מערך הביקור הסדיר. בני-נוער המוכרים כמכורים לסמים, אלכוהול או חומרים מסוכנים אחרים אינם מטופלים במסגרת התוכנית אלא מופנים לקבלת טיפול במסגרות הטיפול של משרד הבריאות ומשרד הרווחה והשירותים החברתיים.</w:t>
      </w:r>
    </w:p>
    <w:p w:rsidR="00AA7ECC" w:rsidRPr="00BB6388" w:rsidRDefault="00AA7ECC" w:rsidP="000C75A5">
      <w:pPr>
        <w:pStyle w:val="a2"/>
        <w:spacing w:line="360" w:lineRule="auto"/>
        <w:rPr>
          <w:rtl/>
        </w:rPr>
      </w:pPr>
      <w:r w:rsidRPr="00BB6388">
        <w:rPr>
          <w:rFonts w:hint="cs"/>
          <w:rtl/>
        </w:rPr>
        <w:t>במקביל לפעילות שתתואר להלן, מונה משרד החינוך גם מספר אתגרים מרכזיים לפעילותו בתחום:</w:t>
      </w:r>
      <w:r w:rsidR="000C75A5" w:rsidRPr="00BB6388">
        <w:rPr>
          <w:rFonts w:hint="cs"/>
          <w:rtl/>
        </w:rPr>
        <w:t xml:space="preserve"> </w:t>
      </w:r>
      <w:r w:rsidRPr="00BB6388">
        <w:rPr>
          <w:rFonts w:hint="cs"/>
          <w:rtl/>
        </w:rPr>
        <w:t>היותה של שתיית אלכוהול פעילות נורמטיבית בקרב מבוגרים מובילה לנרמול הפעולה גם בקרב מתבגרים; השיח הציבורי על לגליזציה של מריחואנה וכן הגברת השימוש במריחואנה לצרכים רפואיים מובילים לירידה בתפיסת המסוכנות של החומר וכן לבלבול בנוגע לשימוש בו; והגידול במספר הילדים החשופים לעוני והחשיפה המתמשכת לאיומים הביטחוניים מגדילים את תחושת הדחק ומצבי הסיכון ומגבירים את הסיכון לשימוש בחומרים פסיכואקטיביים בקרב מתבגרים.</w:t>
      </w:r>
    </w:p>
    <w:p w:rsidR="00AA7ECC" w:rsidRPr="00BB6388" w:rsidRDefault="00AA7ECC" w:rsidP="00BB6388">
      <w:pPr>
        <w:pStyle w:val="a2"/>
        <w:spacing w:line="360" w:lineRule="auto"/>
      </w:pPr>
      <w:r w:rsidRPr="00BB6388">
        <w:rPr>
          <w:rFonts w:hint="cs"/>
          <w:rtl/>
        </w:rPr>
        <w:t>עבודתו של המשרד נעשית בשלושה סוגי מסגרות: מסגרות החינוך הפורמלי תחת הנחיית היחידה למניעת סמים, אלכוהול וטבק; מסגרות החינוך הבלתי-פורמלי (כגון תנועות נוער) תחת הנחיית האגף הקהילתי חברתי; ועבודה עם נוער המוגדר כ'מנותק' (דהיינו, שאינו  נמצא במסגרת מוסדרת) תחת הנחיית האגף לקידום נוער. להלן פרוט קצר על העבודה הנעשית בכל אחד ממסלולים אלו:</w:t>
      </w:r>
    </w:p>
    <w:p w:rsidR="00BB0E46" w:rsidRPr="00BB6388" w:rsidRDefault="00AA7ECC" w:rsidP="00BB0E46">
      <w:pPr>
        <w:pStyle w:val="3"/>
        <w:rPr>
          <w:rtl/>
        </w:rPr>
      </w:pPr>
      <w:bookmarkStart w:id="384" w:name="_Toc353962021"/>
      <w:bookmarkStart w:id="385" w:name="_Toc418585209"/>
      <w:bookmarkStart w:id="386" w:name="_Toc419054681"/>
      <w:bookmarkStart w:id="387" w:name="_Toc419959727"/>
      <w:bookmarkStart w:id="388" w:name="_Toc419963162"/>
      <w:bookmarkStart w:id="389" w:name="_Toc419963298"/>
      <w:bookmarkStart w:id="390" w:name="_Toc421697076"/>
      <w:r w:rsidRPr="00BB6388">
        <w:rPr>
          <w:rFonts w:hint="cs"/>
          <w:rtl/>
        </w:rPr>
        <w:t xml:space="preserve">תוכניות במסגרות החינוך </w:t>
      </w:r>
      <w:bookmarkEnd w:id="384"/>
      <w:r w:rsidRPr="00BB6388">
        <w:rPr>
          <w:rFonts w:hint="cs"/>
          <w:rtl/>
        </w:rPr>
        <w:t>הפורמלי: היחידה למניעת סמים, אלכוהול וטבק</w:t>
      </w:r>
      <w:bookmarkEnd w:id="385"/>
      <w:bookmarkEnd w:id="386"/>
      <w:bookmarkEnd w:id="387"/>
      <w:bookmarkEnd w:id="388"/>
      <w:bookmarkEnd w:id="389"/>
      <w:bookmarkEnd w:id="390"/>
    </w:p>
    <w:p w:rsidR="00AA7ECC" w:rsidRPr="00BB6388" w:rsidRDefault="00AA7ECC" w:rsidP="00A34892">
      <w:pPr>
        <w:pStyle w:val="a2"/>
        <w:rPr>
          <w:rtl/>
        </w:rPr>
      </w:pPr>
      <w:r w:rsidRPr="00BB6388">
        <w:rPr>
          <w:rFonts w:hint="cs"/>
          <w:rtl/>
        </w:rPr>
        <w:t>התוכניות במסגרות החינוך הפורמליות מונחות באמצעות היחידה למניעת סמים, אלכוהול וטבק שהיא חלק מהשירות הפסיכולוגי הייעוצ</w:t>
      </w:r>
      <w:r w:rsidRPr="00BB6388">
        <w:rPr>
          <w:rFonts w:hint="eastAsia"/>
          <w:rtl/>
        </w:rPr>
        <w:t>י</w:t>
      </w:r>
      <w:r w:rsidRPr="00BB6388">
        <w:rPr>
          <w:rFonts w:hint="cs"/>
          <w:rtl/>
        </w:rPr>
        <w:t xml:space="preserve"> (שפ"י) שבמשרד החינוך. הן בנויות בהתאם לשכבות הגיל השונות (גיל רך ועד י"ב) והמגזרים השונים (ממלכתי, ממלכתי-דתי, ממלכתי-ערבי, חרדי) ומכוונות לכלל התלמידים.</w:t>
      </w:r>
      <w:r w:rsidR="00A34892">
        <w:rPr>
          <w:rFonts w:hint="cs"/>
          <w:rtl/>
        </w:rPr>
        <w:t xml:space="preserve"> </w:t>
      </w:r>
      <w:r w:rsidRPr="00BB6388">
        <w:rPr>
          <w:rFonts w:hint="cs"/>
          <w:rtl/>
        </w:rPr>
        <w:t xml:space="preserve">אלו הם תחומי הפעילות המרכזיים של היחידה לשנה"ל תשע"ה (2014-2015): </w:t>
      </w:r>
    </w:p>
    <w:p w:rsidR="00AA7ECC" w:rsidRPr="00BB6388" w:rsidRDefault="00AA7ECC" w:rsidP="00DC2DB0">
      <w:pPr>
        <w:pStyle w:val="a2"/>
        <w:numPr>
          <w:ilvl w:val="0"/>
          <w:numId w:val="8"/>
        </w:numPr>
        <w:spacing w:line="360" w:lineRule="auto"/>
      </w:pPr>
      <w:r w:rsidRPr="00BB6388">
        <w:rPr>
          <w:rFonts w:hint="cs"/>
          <w:rtl/>
        </w:rPr>
        <w:t xml:space="preserve">עיסוק בנושאי הסמים והאלכוהול (תוך דגש על מודעות לנושא וכישורי התמודדות עם מצבים חברתיים המעודדים צריכה) במסגרת תכנית 'כישורי חיים' המופעלת בכלל הכיתות. כרגע מפתח המשרד גם תכנית לגיל הרך. </w:t>
      </w:r>
    </w:p>
    <w:p w:rsidR="00AA7ECC" w:rsidRPr="00BB6388" w:rsidRDefault="00AA7ECC" w:rsidP="00DC2DB0">
      <w:pPr>
        <w:pStyle w:val="a2"/>
        <w:numPr>
          <w:ilvl w:val="0"/>
          <w:numId w:val="8"/>
        </w:numPr>
        <w:spacing w:line="360" w:lineRule="auto"/>
      </w:pPr>
      <w:r w:rsidRPr="00BB6388">
        <w:rPr>
          <w:rFonts w:hint="cs"/>
          <w:rtl/>
        </w:rPr>
        <w:t xml:space="preserve">תוכנית אופ"י (אימון ופיתוח יכולות התמודדות) המכוונת לתלמידים על סף סיכון המצויים בטווח שבין ההתנסות הראשונה לבין השימוש הקבוע בחומרים פסיכואקטיביים. </w:t>
      </w:r>
    </w:p>
    <w:p w:rsidR="00AA7ECC" w:rsidRPr="00BB6388" w:rsidRDefault="00AA7ECC" w:rsidP="00DC2DB0">
      <w:pPr>
        <w:pStyle w:val="a2"/>
        <w:numPr>
          <w:ilvl w:val="0"/>
          <w:numId w:val="8"/>
        </w:numPr>
        <w:spacing w:line="360" w:lineRule="auto"/>
      </w:pPr>
      <w:r w:rsidRPr="00BB6388">
        <w:rPr>
          <w:rFonts w:hint="cs"/>
          <w:rtl/>
        </w:rPr>
        <w:t>הכשרת מב"סים (מובילים למניעת סמים בבתי הספר העל-יסודיים) וצוותים חינוכיים.</w:t>
      </w:r>
    </w:p>
    <w:p w:rsidR="00AA7ECC" w:rsidRPr="00BB6388" w:rsidRDefault="00AA7ECC" w:rsidP="00DC2DB0">
      <w:pPr>
        <w:pStyle w:val="a2"/>
        <w:numPr>
          <w:ilvl w:val="0"/>
          <w:numId w:val="8"/>
        </w:numPr>
        <w:spacing w:line="360" w:lineRule="auto"/>
      </w:pPr>
      <w:r w:rsidRPr="00BB6388">
        <w:rPr>
          <w:rFonts w:hint="cs"/>
          <w:rtl/>
        </w:rPr>
        <w:t>הרחבת וחיזוק פעילות משותפת בין צוותי בתי-הספר ובין הורים, ובפרט במסגרת תוכניות התערבות עבור תלמידים שאותרו כמשתמשים בחומרים פסיכואקטיביים.</w:t>
      </w:r>
    </w:p>
    <w:p w:rsidR="00AA7ECC" w:rsidRPr="00BB6388" w:rsidRDefault="00AA7ECC" w:rsidP="00DC2DB0">
      <w:pPr>
        <w:pStyle w:val="a2"/>
        <w:numPr>
          <w:ilvl w:val="0"/>
          <w:numId w:val="8"/>
        </w:numPr>
        <w:spacing w:line="360" w:lineRule="auto"/>
      </w:pPr>
      <w:r w:rsidRPr="00BB6388">
        <w:rPr>
          <w:rFonts w:hint="cs"/>
          <w:rtl/>
        </w:rPr>
        <w:t>פיתוח תוכניות חדשות: כיצד ליצור שיח משמעותי סביב שימוש באלכוהול; אסטרטגיה להתמודדות עם שימוש במריחואנה בכיתות י'-י"ב; עידוד אקטיביזם של בני נוער בתחום המניעה.</w:t>
      </w:r>
    </w:p>
    <w:p w:rsidR="00AA7ECC" w:rsidRPr="00BB6388" w:rsidRDefault="00AA7ECC" w:rsidP="00BB6388">
      <w:pPr>
        <w:pStyle w:val="a2"/>
        <w:spacing w:line="360" w:lineRule="auto"/>
        <w:rPr>
          <w:rtl/>
        </w:rPr>
      </w:pPr>
      <w:r w:rsidRPr="00BB6388">
        <w:rPr>
          <w:rFonts w:hint="cs"/>
          <w:rtl/>
        </w:rPr>
        <w:t xml:space="preserve">המסרים המרכזיים שמעביר משרד החינוך בתוכניות אלו הם כי </w:t>
      </w:r>
      <w:r w:rsidRPr="00BB6388">
        <w:rPr>
          <w:rFonts w:hint="cs"/>
          <w:b/>
          <w:bCs/>
          <w:rtl/>
        </w:rPr>
        <w:t>שתיית אלכוהול מתחת לגיל 18 מסוכנת ומזיקה</w:t>
      </w:r>
      <w:r w:rsidRPr="00BB6388">
        <w:rPr>
          <w:rFonts w:hint="cs"/>
          <w:rtl/>
        </w:rPr>
        <w:t xml:space="preserve">, וכי </w:t>
      </w:r>
      <w:r w:rsidRPr="00BB6388">
        <w:rPr>
          <w:rFonts w:hint="cs"/>
          <w:b/>
          <w:bCs/>
          <w:rtl/>
        </w:rPr>
        <w:t>שימוש בסמים הוא מזיק ולא חוקי</w:t>
      </w:r>
      <w:r w:rsidRPr="00BB6388">
        <w:rPr>
          <w:rFonts w:hint="cs"/>
          <w:rtl/>
        </w:rPr>
        <w:t>. בשנים האחרונות חל שינוי משמעותי במסר החינוכי בתחום האלכוהול, וזאת בהתאם למסר הלאומי שהתגבש: מעבר ממֶסר של שתייה מבוקרת ואחראית למסר כי כל שתייה מתחת לגיל 18 היא מסוכנת ומזיקה. לדברי המשרד השינוי הוטמע בתוכניותיו.</w:t>
      </w:r>
    </w:p>
    <w:p w:rsidR="00AA7ECC" w:rsidRPr="00BB6388" w:rsidRDefault="00AA7ECC" w:rsidP="000C75A5">
      <w:pPr>
        <w:pStyle w:val="a2"/>
        <w:spacing w:line="360" w:lineRule="auto"/>
        <w:rPr>
          <w:rtl/>
        </w:rPr>
      </w:pPr>
      <w:r w:rsidRPr="000C75A5">
        <w:rPr>
          <w:rFonts w:hint="cs"/>
          <w:b/>
          <w:bCs/>
          <w:rtl/>
        </w:rPr>
        <w:t>נתוני משרד החינוך על השתתפות תלמידים ומוסדות חינוך בתוכניות המשרד בתחום מניעת השימוש בחומרים פסיכואקטיביים, כפי שנמסרו ל</w:t>
      </w:r>
      <w:r w:rsidR="000C75A5">
        <w:rPr>
          <w:rFonts w:hint="cs"/>
          <w:b/>
          <w:bCs/>
          <w:rtl/>
        </w:rPr>
        <w:t>בקשת מרכז המחקר והמידע של הכנסת</w:t>
      </w:r>
      <w:r w:rsidRPr="000C75A5">
        <w:rPr>
          <w:rFonts w:hint="cs"/>
          <w:b/>
          <w:bCs/>
          <w:rtl/>
        </w:rPr>
        <w:t>,</w:t>
      </w:r>
      <w:r w:rsidR="000C75A5">
        <w:rPr>
          <w:rFonts w:hint="cs"/>
          <w:b/>
          <w:bCs/>
          <w:rtl/>
        </w:rPr>
        <w:t xml:space="preserve"> </w:t>
      </w:r>
      <w:r w:rsidRPr="000C75A5">
        <w:rPr>
          <w:rFonts w:hint="cs"/>
          <w:b/>
          <w:bCs/>
          <w:rtl/>
        </w:rPr>
        <w:t>חלקיים</w:t>
      </w:r>
      <w:r w:rsidRPr="00BB6388">
        <w:rPr>
          <w:rFonts w:hint="cs"/>
          <w:rtl/>
        </w:rPr>
        <w:t>. לדברי משרד החינוך האחריות לדיווח היא בידי מוסדות החינוך.</w:t>
      </w:r>
      <w:r w:rsidRPr="00BB6388">
        <w:rPr>
          <w:rStyle w:val="ab"/>
          <w:rtl/>
        </w:rPr>
        <w:footnoteReference w:id="421"/>
      </w:r>
      <w:r w:rsidRPr="00BB6388">
        <w:rPr>
          <w:rFonts w:hint="cs"/>
          <w:rtl/>
        </w:rPr>
        <w:t xml:space="preserve"> בנוסף, חלק מהתלמידים נחשפו הן לתוכניות בתחום האלכוהול והן לתוכניות בתחום הסמים, אך נתוני המשתתפים עבור כל </w:t>
      </w:r>
      <w:r w:rsidR="000C75A5">
        <w:rPr>
          <w:rFonts w:hint="cs"/>
          <w:rtl/>
        </w:rPr>
        <w:t xml:space="preserve">תוכנית נמסרו בנפרד, </w:t>
      </w:r>
      <w:r w:rsidRPr="00BB6388">
        <w:rPr>
          <w:rFonts w:hint="cs"/>
          <w:rtl/>
        </w:rPr>
        <w:t>ולכן תתכן 'ספירה כפולה' של אותם התלמידים בשתי התוכניות.</w:t>
      </w:r>
    </w:p>
    <w:p w:rsidR="00AA7ECC" w:rsidRDefault="00AA7ECC" w:rsidP="00800D71">
      <w:pPr>
        <w:pStyle w:val="a2"/>
        <w:spacing w:line="360" w:lineRule="auto"/>
        <w:rPr>
          <w:rtl/>
        </w:rPr>
      </w:pPr>
      <w:r w:rsidRPr="00BB6388">
        <w:rPr>
          <w:rFonts w:hint="cs"/>
          <w:rtl/>
        </w:rPr>
        <w:t>לפי נתוני משרד החינוך, בשנה"ל תשע"ד (</w:t>
      </w:r>
      <w:r w:rsidRPr="000C75A5">
        <w:rPr>
          <w:rFonts w:hint="cs"/>
          <w:rtl/>
        </w:rPr>
        <w:t>2013-2014)</w:t>
      </w:r>
      <w:r w:rsidRPr="00BB6388">
        <w:rPr>
          <w:rFonts w:hint="cs"/>
          <w:rtl/>
        </w:rPr>
        <w:t xml:space="preserve"> נחשפו 116,947 תלמידים מ- 332 מוסדות חינוכיים לתוכניות מניעת שימוש באלכוהול ו- 98,537 תלמידים מ- 209 מוסדות לתוכניות מניעת שימוש בסמים, וזאת כחלק מהתוכנית הכללית 'כישורי חיים'.</w:t>
      </w:r>
      <w:r w:rsidRPr="00BB6388">
        <w:rPr>
          <w:rStyle w:val="ab"/>
          <w:rtl/>
        </w:rPr>
        <w:footnoteReference w:id="422"/>
      </w:r>
      <w:r w:rsidRPr="00BB6388">
        <w:rPr>
          <w:rFonts w:hint="cs"/>
          <w:rtl/>
        </w:rPr>
        <w:t xml:space="preserve"> בין היחידות השייכות לתוכנית כישורי חיים העוסקות באופן ישיר בנושא מניעת השימוש בחומרים פסיכואקטיביים ניתן למצוא את 'גדולים ולא שותים' המיועדת לכיתות ה'-ו' (ובה לקחו חלק 7,256 תלמידים מ- 57 מוסדות בשנה"ל תשע"ד); 'סמי פיצוציות' המיועדת לכיתות ח'-ט' (ובה לקחו חלק 33,300 תלמידים מ- 67 מוסדות); ותוכנית למודעות על הסיכונים שבשתיית אלכוהול בזמן נהיגה לכיתות י'-י"א (ובה לקחו חלק 74,057 תלמידים מ- 138 מוסדות).</w:t>
      </w:r>
      <w:r w:rsidRPr="00BB6388">
        <w:rPr>
          <w:rStyle w:val="ab"/>
          <w:rtl/>
        </w:rPr>
        <w:t xml:space="preserve"> </w:t>
      </w:r>
      <w:r w:rsidRPr="00BB6388">
        <w:rPr>
          <w:rStyle w:val="ab"/>
          <w:rtl/>
        </w:rPr>
        <w:footnoteReference w:id="423"/>
      </w:r>
      <w:r w:rsidR="00800D71">
        <w:rPr>
          <w:rFonts w:hint="cs"/>
          <w:rtl/>
        </w:rPr>
        <w:t xml:space="preserve"> </w:t>
      </w:r>
      <w:r w:rsidRPr="00BB6388">
        <w:rPr>
          <w:rFonts w:hint="cs"/>
          <w:rtl/>
        </w:rPr>
        <w:t>משרד החינוך מדווח גם כי כיום יש כ- 950 מב"סים בבתי הספר העל-יסודיים.</w:t>
      </w:r>
    </w:p>
    <w:p w:rsidR="00BB0E46" w:rsidRPr="00BB6388" w:rsidRDefault="00AA7ECC" w:rsidP="00D75800">
      <w:pPr>
        <w:pStyle w:val="3"/>
        <w:rPr>
          <w:rtl/>
        </w:rPr>
      </w:pPr>
      <w:bookmarkStart w:id="391" w:name="_Toc418585210"/>
      <w:bookmarkStart w:id="392" w:name="_Toc419054682"/>
      <w:bookmarkStart w:id="393" w:name="_Toc419959728"/>
      <w:bookmarkStart w:id="394" w:name="_Toc419963163"/>
      <w:bookmarkStart w:id="395" w:name="_Toc419963299"/>
      <w:bookmarkStart w:id="396" w:name="_Toc421697077"/>
      <w:r w:rsidRPr="00101F85">
        <w:rPr>
          <w:rFonts w:hint="cs"/>
          <w:rtl/>
        </w:rPr>
        <w:t>תוכניות במסגרות ה</w:t>
      </w:r>
      <w:bookmarkStart w:id="397" w:name="_Toc353962022"/>
      <w:r w:rsidRPr="00101F85">
        <w:rPr>
          <w:rFonts w:hint="cs"/>
          <w:rtl/>
        </w:rPr>
        <w:t>חינוך</w:t>
      </w:r>
      <w:r w:rsidRPr="00BB6388">
        <w:rPr>
          <w:rFonts w:hint="cs"/>
          <w:rtl/>
        </w:rPr>
        <w:t xml:space="preserve"> הבלתי פורמלי</w:t>
      </w:r>
      <w:bookmarkEnd w:id="397"/>
      <w:r w:rsidRPr="00BB6388">
        <w:rPr>
          <w:rFonts w:hint="cs"/>
          <w:rtl/>
        </w:rPr>
        <w:t>: האגף הקהילתי חברתי</w:t>
      </w:r>
      <w:bookmarkEnd w:id="391"/>
      <w:bookmarkEnd w:id="392"/>
      <w:bookmarkEnd w:id="393"/>
      <w:bookmarkEnd w:id="394"/>
      <w:bookmarkEnd w:id="395"/>
      <w:bookmarkEnd w:id="396"/>
    </w:p>
    <w:p w:rsidR="00AA7ECC" w:rsidRPr="00BB6388" w:rsidRDefault="00AA7ECC" w:rsidP="00BB0E46">
      <w:pPr>
        <w:pStyle w:val="a2"/>
        <w:rPr>
          <w:rtl/>
        </w:rPr>
      </w:pPr>
      <w:r w:rsidRPr="00BB6388">
        <w:rPr>
          <w:rFonts w:hint="cs"/>
          <w:rtl/>
        </w:rPr>
        <w:t xml:space="preserve">במסגרת החינוך הבלתי-פורמלי מקיים משרד החינוך, באמצעות אגף קהילתי-חברתי במנהל חינוך ונוער, </w:t>
      </w:r>
      <w:r w:rsidRPr="00BB0E46">
        <w:rPr>
          <w:rFonts w:hint="cs"/>
          <w:b/>
          <w:bCs/>
          <w:rtl/>
        </w:rPr>
        <w:t>פעילויות הדרכה לחניכים בתנועות נוער ולתלמידים במועצות נוער</w:t>
      </w:r>
      <w:r w:rsidRPr="00BB6388">
        <w:rPr>
          <w:rFonts w:hint="cs"/>
          <w:rtl/>
        </w:rPr>
        <w:t>. בהדרכות נדונות, בין השאר, דרכי ה</w:t>
      </w:r>
      <w:r w:rsidRPr="00BB6388">
        <w:rPr>
          <w:rtl/>
        </w:rPr>
        <w:t xml:space="preserve">התמודדות עם אלימות, </w:t>
      </w:r>
      <w:r w:rsidRPr="00BB6388">
        <w:rPr>
          <w:rFonts w:hint="cs"/>
          <w:rtl/>
        </w:rPr>
        <w:t xml:space="preserve">מניעת </w:t>
      </w:r>
      <w:r w:rsidRPr="00BB6388">
        <w:rPr>
          <w:rtl/>
        </w:rPr>
        <w:t>שימוש בסמים ואלכוהול</w:t>
      </w:r>
      <w:r w:rsidRPr="00BB6388">
        <w:rPr>
          <w:rFonts w:hint="cs"/>
          <w:rtl/>
        </w:rPr>
        <w:t xml:space="preserve"> ו</w:t>
      </w:r>
      <w:r w:rsidRPr="00BB6388">
        <w:rPr>
          <w:rtl/>
        </w:rPr>
        <w:t>בטיחות בדרכים</w:t>
      </w:r>
      <w:r w:rsidRPr="00BB6388">
        <w:rPr>
          <w:rFonts w:hint="cs"/>
          <w:rtl/>
        </w:rPr>
        <w:t xml:space="preserve">, במטרה להכשיר את הצעירים להדריך בני-נוער אחרים.  כמו-כן, נמסר </w:t>
      </w:r>
      <w:r w:rsidR="0096737A">
        <w:rPr>
          <w:rFonts w:hint="cs"/>
          <w:rtl/>
        </w:rPr>
        <w:t>למרכז המחקר והמידע</w:t>
      </w:r>
      <w:r w:rsidRPr="00BB6388">
        <w:rPr>
          <w:rFonts w:hint="cs"/>
          <w:rtl/>
        </w:rPr>
        <w:t xml:space="preserve"> </w:t>
      </w:r>
      <w:r w:rsidR="002D1551">
        <w:rPr>
          <w:rFonts w:hint="cs"/>
          <w:rtl/>
        </w:rPr>
        <w:t xml:space="preserve">של הכנסת </w:t>
      </w:r>
      <w:r w:rsidRPr="00BB6388">
        <w:rPr>
          <w:rFonts w:hint="cs"/>
          <w:rtl/>
        </w:rPr>
        <w:t xml:space="preserve">כי האגף מתכנן להוסיף להכשרת מנהלי מחלקות נוער ברשויות המקומיות במהלך 2015 יחידה בנושא מניעת שימוש בחומרים פסיכואקטיביים. </w:t>
      </w:r>
    </w:p>
    <w:p w:rsidR="00BB0E46" w:rsidRPr="00BB6388" w:rsidRDefault="00AA7ECC" w:rsidP="00BB0E46">
      <w:pPr>
        <w:pStyle w:val="3"/>
        <w:rPr>
          <w:rtl/>
        </w:rPr>
      </w:pPr>
      <w:bookmarkStart w:id="398" w:name="_Toc353962023"/>
      <w:bookmarkStart w:id="399" w:name="_Toc418585211"/>
      <w:bookmarkStart w:id="400" w:name="_Toc419054683"/>
      <w:bookmarkStart w:id="401" w:name="_Toc419959729"/>
      <w:bookmarkStart w:id="402" w:name="_Toc419963164"/>
      <w:bookmarkStart w:id="403" w:name="_Toc419963300"/>
      <w:bookmarkStart w:id="404" w:name="_Toc421697078"/>
      <w:r w:rsidRPr="00BB6388">
        <w:rPr>
          <w:rFonts w:hint="cs"/>
          <w:rtl/>
        </w:rPr>
        <w:t>תוכניות עבור נוער בסיכון ונוער מנותק: האגף לקידום נוער</w:t>
      </w:r>
      <w:bookmarkEnd w:id="398"/>
      <w:bookmarkEnd w:id="399"/>
      <w:bookmarkEnd w:id="400"/>
      <w:bookmarkEnd w:id="401"/>
      <w:bookmarkEnd w:id="402"/>
      <w:bookmarkEnd w:id="403"/>
      <w:bookmarkEnd w:id="404"/>
    </w:p>
    <w:p w:rsidR="00AA7ECC" w:rsidRPr="00BB6388" w:rsidRDefault="00AA7ECC" w:rsidP="00BB0E46">
      <w:pPr>
        <w:pStyle w:val="a2"/>
        <w:rPr>
          <w:rtl/>
        </w:rPr>
      </w:pPr>
      <w:r w:rsidRPr="00BB6388">
        <w:rPr>
          <w:rFonts w:hint="cs"/>
          <w:rtl/>
        </w:rPr>
        <w:t xml:space="preserve">האגף לקידום נוער במשרד החינוך פועל בשיתוף הרשויות המקומיות לשם טיפול בבני-נוער בני 18-14 שנשרו ממסגרות החינוך הפורמליות או מתקשים לתפקד בהן ולהסתגל אליהן. </w:t>
      </w:r>
      <w:r w:rsidRPr="00BB6388">
        <w:rPr>
          <w:rtl/>
        </w:rPr>
        <w:t>היחידה מכוונת את עיקר משאביה אל הנוער המנותק</w:t>
      </w:r>
      <w:r w:rsidRPr="00BB6388">
        <w:rPr>
          <w:rFonts w:hint="cs"/>
          <w:rtl/>
        </w:rPr>
        <w:t xml:space="preserve"> </w:t>
      </w:r>
      <w:r w:rsidRPr="00BB6388">
        <w:rPr>
          <w:rtl/>
        </w:rPr>
        <w:t>אך עוסקת גם באוכלוסייה הנמצאת בסיכון גבוה לניתוק, לסטייה ולהידרדרות.</w:t>
      </w:r>
    </w:p>
    <w:p w:rsidR="00225575" w:rsidRDefault="009C188E" w:rsidP="000822D6">
      <w:pPr>
        <w:pStyle w:val="a2"/>
        <w:spacing w:line="360" w:lineRule="auto"/>
        <w:rPr>
          <w:b/>
          <w:bCs/>
          <w:sz w:val="32"/>
          <w:szCs w:val="32"/>
          <w:rtl/>
        </w:rPr>
      </w:pPr>
      <w:r>
        <w:rPr>
          <w:rFonts w:hint="cs"/>
          <w:rtl/>
        </w:rPr>
        <w:t xml:space="preserve">לדברי משרד החינוך </w:t>
      </w:r>
      <w:r w:rsidR="00AA7ECC" w:rsidRPr="00BB6388">
        <w:rPr>
          <w:rFonts w:hint="cs"/>
          <w:rtl/>
        </w:rPr>
        <w:t xml:space="preserve">תפיסת העבודה של השרות לקידום נוער מבוססת על פיתוח גורמי חוסן והגנה בקרב מתבגרים. בבואו לעסוק בהתנהגויות בסיכון מבחין </w:t>
      </w:r>
      <w:r w:rsidR="006705AE">
        <w:rPr>
          <w:rFonts w:hint="cs"/>
          <w:rtl/>
        </w:rPr>
        <w:t>האגף לקידום נוער</w:t>
      </w:r>
      <w:r w:rsidR="00AA7ECC" w:rsidRPr="00BB6388">
        <w:rPr>
          <w:rFonts w:hint="cs"/>
          <w:rtl/>
        </w:rPr>
        <w:t xml:space="preserve"> בין 3 פעולות מניעה - אוניברסלית, סלקטיבית, ואינדוקטיבית:</w:t>
      </w:r>
      <w:r w:rsidR="00D838A7">
        <w:rPr>
          <w:rFonts w:hint="cs"/>
          <w:rtl/>
        </w:rPr>
        <w:t xml:space="preserve"> </w:t>
      </w:r>
      <w:r w:rsidR="00AA7ECC" w:rsidRPr="00D838A7">
        <w:rPr>
          <w:rFonts w:hint="cs"/>
          <w:b/>
          <w:bCs/>
          <w:rtl/>
        </w:rPr>
        <w:t>מניעה אוניברסלית</w:t>
      </w:r>
      <w:r w:rsidR="00D838A7">
        <w:rPr>
          <w:rFonts w:hint="cs"/>
          <w:rtl/>
        </w:rPr>
        <w:t>, ה</w:t>
      </w:r>
      <w:r w:rsidR="00AA7ECC" w:rsidRPr="00BB6388">
        <w:rPr>
          <w:rFonts w:hint="cs"/>
          <w:rtl/>
        </w:rPr>
        <w:t>מיועדת לכלל הנוער המנותק המטופל בשירות</w:t>
      </w:r>
      <w:r w:rsidR="00D838A7">
        <w:rPr>
          <w:rFonts w:hint="cs"/>
          <w:rtl/>
        </w:rPr>
        <w:t xml:space="preserve">; </w:t>
      </w:r>
      <w:r w:rsidR="00AA7ECC" w:rsidRPr="00D838A7">
        <w:rPr>
          <w:rFonts w:hint="cs"/>
          <w:b/>
          <w:bCs/>
          <w:rtl/>
        </w:rPr>
        <w:t>מניעה סלקטיבית</w:t>
      </w:r>
      <w:r w:rsidR="00D838A7">
        <w:rPr>
          <w:rFonts w:hint="cs"/>
          <w:rtl/>
        </w:rPr>
        <w:t>,</w:t>
      </w:r>
      <w:r w:rsidR="00AA7ECC" w:rsidRPr="00BB6388">
        <w:rPr>
          <w:rFonts w:hint="cs"/>
          <w:rtl/>
        </w:rPr>
        <w:t xml:space="preserve"> עבור נוער משתמש מזדמן</w:t>
      </w:r>
      <w:r w:rsidR="00D838A7">
        <w:rPr>
          <w:rFonts w:hint="cs"/>
          <w:rtl/>
        </w:rPr>
        <w:t>; ו</w:t>
      </w:r>
      <w:r w:rsidR="00AA7ECC" w:rsidRPr="00D838A7">
        <w:rPr>
          <w:rFonts w:hint="cs"/>
          <w:b/>
          <w:bCs/>
          <w:rtl/>
        </w:rPr>
        <w:t>מניעה אינדוקטיבית</w:t>
      </w:r>
      <w:r w:rsidR="00AA7ECC" w:rsidRPr="00BB6388">
        <w:rPr>
          <w:rFonts w:hint="cs"/>
          <w:rtl/>
        </w:rPr>
        <w:t xml:space="preserve"> עבור נוער מכור ומשתמש קבוע</w:t>
      </w:r>
      <w:r w:rsidR="00534191">
        <w:rPr>
          <w:rFonts w:hint="cs"/>
          <w:rtl/>
        </w:rPr>
        <w:t>.</w:t>
      </w:r>
      <w:bookmarkStart w:id="405" w:name="_Toc353962025"/>
      <w:bookmarkStart w:id="406" w:name="_Toc421697079"/>
      <w:bookmarkEnd w:id="379"/>
      <w:bookmarkEnd w:id="380"/>
      <w:bookmarkEnd w:id="381"/>
      <w:bookmarkEnd w:id="382"/>
      <w:bookmarkEnd w:id="383"/>
      <w:r w:rsidR="00225575">
        <w:rPr>
          <w:rtl/>
        </w:rPr>
        <w:br w:type="page"/>
      </w:r>
    </w:p>
    <w:p w:rsidR="0035014C" w:rsidRPr="00BB6388" w:rsidRDefault="00C3078A" w:rsidP="0035014C">
      <w:pPr>
        <w:pStyle w:val="10"/>
        <w:rPr>
          <w:rtl/>
        </w:rPr>
      </w:pPr>
      <w:r w:rsidRPr="001D0305">
        <w:rPr>
          <w:rFonts w:hint="cs"/>
          <w:rtl/>
        </w:rPr>
        <w:t>מקורות</w:t>
      </w:r>
      <w:bookmarkStart w:id="407" w:name="_Toc353962026"/>
      <w:bookmarkEnd w:id="405"/>
      <w:bookmarkEnd w:id="406"/>
    </w:p>
    <w:p w:rsidR="00C3078A" w:rsidRPr="001D0305" w:rsidRDefault="00C3078A" w:rsidP="0035014C">
      <w:pPr>
        <w:pStyle w:val="2"/>
        <w:rPr>
          <w:rtl/>
        </w:rPr>
      </w:pPr>
      <w:bookmarkStart w:id="408" w:name="_Toc421694855"/>
      <w:bookmarkStart w:id="409" w:name="_Toc421697080"/>
      <w:r w:rsidRPr="001D0305">
        <w:rPr>
          <w:rFonts w:hint="cs"/>
          <w:rtl/>
        </w:rPr>
        <w:t>מאמרים</w:t>
      </w:r>
      <w:bookmarkEnd w:id="407"/>
      <w:bookmarkEnd w:id="408"/>
      <w:bookmarkEnd w:id="409"/>
    </w:p>
    <w:p w:rsidR="00DC2DB0" w:rsidRDefault="00DC2DB0" w:rsidP="00DC2DB0">
      <w:pPr>
        <w:pStyle w:val="a2"/>
        <w:numPr>
          <w:ilvl w:val="0"/>
          <w:numId w:val="34"/>
        </w:numPr>
        <w:spacing w:line="360" w:lineRule="auto"/>
        <w:ind w:left="714" w:hanging="357"/>
      </w:pPr>
      <w:r w:rsidRPr="001D0305">
        <w:rPr>
          <w:rFonts w:hint="cs"/>
          <w:rtl/>
        </w:rPr>
        <w:t>בורד</w:t>
      </w:r>
      <w:r>
        <w:rPr>
          <w:rFonts w:hint="cs"/>
          <w:rtl/>
        </w:rPr>
        <w:t>,</w:t>
      </w:r>
      <w:r w:rsidRPr="001D0305">
        <w:rPr>
          <w:rFonts w:hint="cs"/>
          <w:rtl/>
        </w:rPr>
        <w:t xml:space="preserve"> שירן ופרופ' אורנה בראון-אפל, "שתיית משקאות אלכוהוליים בקרב בני-נוער בני טובים" </w:t>
      </w:r>
      <w:hyperlink r:id="rId14" w:history="1">
        <w:r w:rsidRPr="001D0305">
          <w:rPr>
            <w:rStyle w:val="Hyperlink"/>
            <w:rFonts w:hint="cs"/>
            <w:rtl/>
          </w:rPr>
          <w:t>קידום בריאות בישראל – כתב עת ישראלי לחינוך וקידום בריאות</w:t>
        </w:r>
      </w:hyperlink>
      <w:r w:rsidRPr="001D0305">
        <w:rPr>
          <w:rFonts w:hint="cs"/>
          <w:rtl/>
        </w:rPr>
        <w:t>, גיליון מס' 3, אפריל 2010, עמ' 39-32.</w:t>
      </w:r>
    </w:p>
    <w:p w:rsidR="00DC2DB0" w:rsidRPr="001D0305" w:rsidRDefault="00DC2DB0" w:rsidP="00DC2DB0">
      <w:pPr>
        <w:pStyle w:val="a2"/>
        <w:numPr>
          <w:ilvl w:val="0"/>
          <w:numId w:val="34"/>
        </w:numPr>
        <w:spacing w:line="360" w:lineRule="auto"/>
        <w:ind w:left="714" w:hanging="357"/>
      </w:pPr>
      <w:r w:rsidRPr="001D0305">
        <w:rPr>
          <w:rFonts w:hint="cs"/>
          <w:rtl/>
        </w:rPr>
        <w:t>בורד</w:t>
      </w:r>
      <w:r>
        <w:rPr>
          <w:rFonts w:hint="cs"/>
          <w:rtl/>
        </w:rPr>
        <w:t>,</w:t>
      </w:r>
      <w:r w:rsidRPr="001D0305">
        <w:rPr>
          <w:rFonts w:hint="cs"/>
          <w:rtl/>
        </w:rPr>
        <w:t xml:space="preserve"> שירן, ד"ר ענת גסר-אדלסבורג ופרופ' אורנה בראון-אפל, "</w:t>
      </w:r>
      <w:hyperlink r:id="rId15" w:history="1">
        <w:r w:rsidRPr="001D0305">
          <w:rPr>
            <w:rStyle w:val="Hyperlink"/>
            <w:rFonts w:hint="cs"/>
            <w:rtl/>
          </w:rPr>
          <w:t>נהיגה תחת השפעת אלכוהול בקרב צעירים בישראל: סקר בקרב מבלים בפאבים</w:t>
        </w:r>
      </w:hyperlink>
      <w:r w:rsidRPr="001D0305">
        <w:rPr>
          <w:rFonts w:hint="cs"/>
          <w:rtl/>
        </w:rPr>
        <w:t>", בית-הספר לבריאות הציבור, הפקולטה למדעי הרווחה והבריאות, אוניברסיטת חיפה.</w:t>
      </w:r>
    </w:p>
    <w:p w:rsidR="00DC2DB0" w:rsidRPr="001D0305" w:rsidRDefault="00DC2DB0" w:rsidP="00DC2DB0">
      <w:pPr>
        <w:pStyle w:val="a2"/>
        <w:numPr>
          <w:ilvl w:val="0"/>
          <w:numId w:val="34"/>
        </w:numPr>
        <w:spacing w:line="360" w:lineRule="auto"/>
        <w:ind w:left="714" w:hanging="357"/>
      </w:pPr>
      <w:r>
        <w:rPr>
          <w:rFonts w:asciiTheme="majorBidi" w:hAnsiTheme="majorBidi" w:hint="cs"/>
          <w:rtl/>
        </w:rPr>
        <w:t>מהל, חיים (ד"ר)</w:t>
      </w:r>
      <w:r w:rsidRPr="001D0305">
        <w:rPr>
          <w:rFonts w:asciiTheme="majorBidi" w:hAnsiTheme="majorBidi"/>
          <w:rtl/>
        </w:rPr>
        <w:t>, ראש אגף טיפול ושיקום ברשות הלאומית למלחמה בסמים ואלכוהול, הרצאה ביום עיון בנושא</w:t>
      </w:r>
      <w:r w:rsidRPr="001D0305">
        <w:rPr>
          <w:rFonts w:asciiTheme="majorBidi" w:hAnsiTheme="majorBidi"/>
          <w:u w:val="single"/>
          <w:rtl/>
        </w:rPr>
        <w:t xml:space="preserve"> אלכוהול: מגמות, סיכונים ודרכי התמודדות</w:t>
      </w:r>
      <w:r w:rsidRPr="001D0305">
        <w:rPr>
          <w:rFonts w:asciiTheme="majorBidi" w:hAnsiTheme="majorBidi"/>
          <w:rtl/>
        </w:rPr>
        <w:t>, אוניברסיטת חיפה, 11 בפברואר 2013.</w:t>
      </w:r>
    </w:p>
    <w:p w:rsidR="006A04DF" w:rsidRPr="001D0305" w:rsidRDefault="006A04DF" w:rsidP="00DC2DB0">
      <w:pPr>
        <w:pStyle w:val="a2"/>
        <w:numPr>
          <w:ilvl w:val="0"/>
          <w:numId w:val="34"/>
        </w:numPr>
        <w:bidi w:val="0"/>
        <w:spacing w:line="360" w:lineRule="auto"/>
        <w:ind w:left="714" w:hanging="357"/>
      </w:pPr>
      <w:r w:rsidRPr="001D0305">
        <w:rPr>
          <w:rFonts w:asciiTheme="majorBidi" w:hAnsiTheme="majorBidi"/>
        </w:rPr>
        <w:t xml:space="preserve">Guttmacher, S., et. al. (2002), </w:t>
      </w:r>
      <w:hyperlink r:id="rId16" w:history="1">
        <w:r w:rsidRPr="001D0305">
          <w:rPr>
            <w:rStyle w:val="Hyperlink"/>
            <w:rFonts w:asciiTheme="majorBidi" w:hAnsiTheme="majorBidi"/>
          </w:rPr>
          <w:t>Classroom-Based Surveys of Adolescent Risk-Taking Behaviors: Reducing the Bias of Absenteeism</w:t>
        </w:r>
      </w:hyperlink>
      <w:r w:rsidRPr="001D0305">
        <w:rPr>
          <w:rFonts w:asciiTheme="majorBidi" w:hAnsiTheme="majorBidi"/>
        </w:rPr>
        <w:t>, American Journal of Public Health, 92(2):235-237.</w:t>
      </w:r>
    </w:p>
    <w:p w:rsidR="00C3078A" w:rsidRPr="001D0305" w:rsidRDefault="00C3078A" w:rsidP="00C3078A">
      <w:pPr>
        <w:pStyle w:val="2"/>
        <w:rPr>
          <w:rtl/>
        </w:rPr>
      </w:pPr>
      <w:bookmarkStart w:id="410" w:name="_Toc353962027"/>
      <w:bookmarkStart w:id="411" w:name="_Toc421694856"/>
      <w:bookmarkStart w:id="412" w:name="_Toc421697081"/>
      <w:r w:rsidRPr="001D0305">
        <w:rPr>
          <w:rFonts w:hint="cs"/>
          <w:rtl/>
        </w:rPr>
        <w:t>חקיקה</w:t>
      </w:r>
      <w:bookmarkEnd w:id="410"/>
      <w:bookmarkEnd w:id="411"/>
      <w:bookmarkEnd w:id="412"/>
    </w:p>
    <w:p w:rsidR="00DC2DB0" w:rsidRPr="001D0305" w:rsidRDefault="00DC2DB0" w:rsidP="00DC2DB0">
      <w:pPr>
        <w:pStyle w:val="1"/>
        <w:numPr>
          <w:ilvl w:val="0"/>
          <w:numId w:val="33"/>
        </w:numPr>
        <w:spacing w:before="120"/>
        <w:ind w:left="726" w:right="11" w:hanging="357"/>
        <w:rPr>
          <w:b w:val="0"/>
          <w:bCs w:val="0"/>
          <w:sz w:val="24"/>
          <w:szCs w:val="24"/>
        </w:rPr>
      </w:pPr>
      <w:r w:rsidRPr="001D0305">
        <w:rPr>
          <w:rFonts w:hint="cs"/>
          <w:b w:val="0"/>
          <w:bCs w:val="0"/>
          <w:sz w:val="24"/>
          <w:szCs w:val="24"/>
          <w:rtl/>
        </w:rPr>
        <w:t xml:space="preserve">הצעת חוק הממשלה </w:t>
      </w:r>
      <w:r w:rsidRPr="001D0305">
        <w:rPr>
          <w:b w:val="0"/>
          <w:bCs w:val="0"/>
          <w:sz w:val="24"/>
          <w:szCs w:val="24"/>
          <w:rtl/>
        </w:rPr>
        <w:t>–</w:t>
      </w:r>
      <w:r w:rsidRPr="001D0305">
        <w:rPr>
          <w:rFonts w:hint="cs"/>
          <w:b w:val="0"/>
          <w:bCs w:val="0"/>
          <w:sz w:val="24"/>
          <w:szCs w:val="24"/>
          <w:rtl/>
        </w:rPr>
        <w:t xml:space="preserve"> 783, </w:t>
      </w:r>
      <w:hyperlink r:id="rId17" w:history="1">
        <w:r w:rsidRPr="001D0305">
          <w:rPr>
            <w:rStyle w:val="Hyperlink"/>
            <w:rFonts w:hint="cs"/>
            <w:b w:val="0"/>
            <w:bCs w:val="0"/>
            <w:sz w:val="24"/>
            <w:szCs w:val="24"/>
            <w:rtl/>
          </w:rPr>
          <w:t>הצעת חוק המאבק בתופעת השימוש בחומרים מסכנים, התשע"ג-2013</w:t>
        </w:r>
      </w:hyperlink>
      <w:r w:rsidRPr="001D0305">
        <w:rPr>
          <w:rFonts w:hint="cs"/>
          <w:b w:val="0"/>
          <w:bCs w:val="0"/>
          <w:sz w:val="24"/>
          <w:szCs w:val="24"/>
          <w:rtl/>
        </w:rPr>
        <w:t xml:space="preserve">, 3 יולי 2013. </w:t>
      </w:r>
    </w:p>
    <w:p w:rsidR="00DC2DB0" w:rsidRPr="001D0305" w:rsidRDefault="002113EA" w:rsidP="00DC2DB0">
      <w:pPr>
        <w:pStyle w:val="1"/>
        <w:numPr>
          <w:ilvl w:val="0"/>
          <w:numId w:val="33"/>
        </w:numPr>
        <w:spacing w:before="120"/>
        <w:ind w:right="11"/>
        <w:rPr>
          <w:b w:val="0"/>
          <w:bCs w:val="0"/>
          <w:sz w:val="24"/>
          <w:szCs w:val="24"/>
          <w:rtl/>
        </w:rPr>
      </w:pPr>
      <w:hyperlink r:id="rId18" w:history="1">
        <w:r w:rsidR="00DC2DB0" w:rsidRPr="001D0305">
          <w:rPr>
            <w:rStyle w:val="Hyperlink"/>
            <w:rFonts w:asciiTheme="majorBidi" w:hAnsiTheme="majorBidi"/>
            <w:b w:val="0"/>
            <w:bCs w:val="0"/>
            <w:sz w:val="24"/>
            <w:szCs w:val="24"/>
            <w:rtl/>
          </w:rPr>
          <w:t>חוק ביטוח בריאות ממלכתי התשנ"ד-1994</w:t>
        </w:r>
      </w:hyperlink>
      <w:r w:rsidR="00DC2DB0" w:rsidRPr="001D0305">
        <w:rPr>
          <w:rFonts w:asciiTheme="majorBidi" w:hAnsiTheme="majorBidi"/>
          <w:b w:val="0"/>
          <w:bCs w:val="0"/>
          <w:sz w:val="24"/>
          <w:szCs w:val="24"/>
          <w:rtl/>
        </w:rPr>
        <w:t>.</w:t>
      </w:r>
    </w:p>
    <w:p w:rsidR="00DC2DB0" w:rsidRPr="001D0305" w:rsidRDefault="002113EA" w:rsidP="00DC2DB0">
      <w:pPr>
        <w:pStyle w:val="1"/>
        <w:numPr>
          <w:ilvl w:val="0"/>
          <w:numId w:val="33"/>
        </w:numPr>
        <w:spacing w:before="120"/>
        <w:ind w:left="726" w:right="11" w:hanging="357"/>
        <w:rPr>
          <w:b w:val="0"/>
          <w:bCs w:val="0"/>
          <w:sz w:val="24"/>
          <w:szCs w:val="24"/>
        </w:rPr>
      </w:pPr>
      <w:hyperlink r:id="rId19" w:history="1">
        <w:r w:rsidR="00DC2DB0" w:rsidRPr="001D0305">
          <w:rPr>
            <w:rStyle w:val="Hyperlink"/>
            <w:b w:val="0"/>
            <w:bCs w:val="0"/>
            <w:sz w:val="24"/>
            <w:szCs w:val="24"/>
            <w:rtl/>
          </w:rPr>
          <w:t>חוק הגבלת הפרסומת והשיווק של משקאות אלכוהוליים, התשע"ב</w:t>
        </w:r>
        <w:r w:rsidR="00DC2DB0" w:rsidRPr="001D0305">
          <w:rPr>
            <w:rStyle w:val="Hyperlink"/>
            <w:rFonts w:hint="cs"/>
            <w:b w:val="0"/>
            <w:bCs w:val="0"/>
            <w:sz w:val="24"/>
            <w:szCs w:val="24"/>
            <w:rtl/>
          </w:rPr>
          <w:t>-</w:t>
        </w:r>
        <w:r w:rsidR="00DC2DB0" w:rsidRPr="001D0305">
          <w:rPr>
            <w:rStyle w:val="Hyperlink"/>
            <w:b w:val="0"/>
            <w:bCs w:val="0"/>
            <w:sz w:val="24"/>
            <w:szCs w:val="24"/>
            <w:rtl/>
          </w:rPr>
          <w:t>2012</w:t>
        </w:r>
      </w:hyperlink>
      <w:r w:rsidR="00DC2DB0" w:rsidRPr="001D0305">
        <w:rPr>
          <w:rFonts w:hint="cs"/>
          <w:b w:val="0"/>
          <w:bCs w:val="0"/>
          <w:sz w:val="24"/>
          <w:szCs w:val="24"/>
          <w:rtl/>
        </w:rPr>
        <w:t>.</w:t>
      </w:r>
    </w:p>
    <w:p w:rsidR="00DC2DB0" w:rsidRPr="001D0305" w:rsidRDefault="002113EA" w:rsidP="00DC2DB0">
      <w:pPr>
        <w:pStyle w:val="1"/>
        <w:numPr>
          <w:ilvl w:val="0"/>
          <w:numId w:val="33"/>
        </w:numPr>
        <w:spacing w:before="120"/>
        <w:ind w:left="726" w:right="11" w:hanging="357"/>
        <w:rPr>
          <w:b w:val="0"/>
          <w:bCs w:val="0"/>
          <w:sz w:val="24"/>
          <w:szCs w:val="24"/>
        </w:rPr>
      </w:pPr>
      <w:hyperlink r:id="rId20" w:history="1">
        <w:r w:rsidR="00DC2DB0" w:rsidRPr="001D0305">
          <w:rPr>
            <w:rStyle w:val="Hyperlink"/>
            <w:rFonts w:hint="cs"/>
            <w:b w:val="0"/>
            <w:bCs w:val="0"/>
            <w:sz w:val="24"/>
            <w:szCs w:val="24"/>
            <w:rtl/>
          </w:rPr>
          <w:t>חוק המאבק בתופעת השימוש בחומרים מסכנים, התשע"ג-2013</w:t>
        </w:r>
      </w:hyperlink>
      <w:r w:rsidR="00DC2DB0" w:rsidRPr="001D0305">
        <w:rPr>
          <w:rFonts w:hint="cs"/>
          <w:b w:val="0"/>
          <w:bCs w:val="0"/>
          <w:sz w:val="24"/>
          <w:szCs w:val="24"/>
          <w:rtl/>
        </w:rPr>
        <w:t>.</w:t>
      </w:r>
    </w:p>
    <w:p w:rsidR="00DC2DB0" w:rsidRPr="001D0305" w:rsidRDefault="002113EA" w:rsidP="00DC2DB0">
      <w:pPr>
        <w:pStyle w:val="1"/>
        <w:numPr>
          <w:ilvl w:val="0"/>
          <w:numId w:val="33"/>
        </w:numPr>
        <w:spacing w:before="120"/>
        <w:ind w:left="726" w:right="11" w:hanging="357"/>
        <w:rPr>
          <w:rStyle w:val="Hyperlink"/>
          <w:b w:val="0"/>
          <w:bCs w:val="0"/>
          <w:color w:val="auto"/>
          <w:sz w:val="24"/>
          <w:szCs w:val="24"/>
          <w:u w:val="none"/>
        </w:rPr>
      </w:pPr>
      <w:hyperlink r:id="rId21" w:history="1">
        <w:r w:rsidR="00DC2DB0" w:rsidRPr="001D0305">
          <w:rPr>
            <w:rStyle w:val="Hyperlink"/>
            <w:rFonts w:hint="cs"/>
            <w:b w:val="0"/>
            <w:bCs w:val="0"/>
            <w:sz w:val="24"/>
            <w:szCs w:val="24"/>
            <w:rtl/>
          </w:rPr>
          <w:t>חוק המאבק בתופעת השכרות (הוראת שעה ותיקון חקיקה) (תיקון), התשע"ג-2013</w:t>
        </w:r>
      </w:hyperlink>
      <w:r w:rsidR="00DC2DB0" w:rsidRPr="001D0305">
        <w:rPr>
          <w:rStyle w:val="Hyperlink"/>
          <w:rFonts w:hint="cs"/>
          <w:b w:val="0"/>
          <w:bCs w:val="0"/>
          <w:sz w:val="24"/>
          <w:szCs w:val="24"/>
          <w:rtl/>
        </w:rPr>
        <w:t>.</w:t>
      </w:r>
    </w:p>
    <w:p w:rsidR="00DC2DB0" w:rsidRPr="001D0305" w:rsidRDefault="002113EA" w:rsidP="00DC2DB0">
      <w:pPr>
        <w:pStyle w:val="1"/>
        <w:numPr>
          <w:ilvl w:val="0"/>
          <w:numId w:val="33"/>
        </w:numPr>
        <w:spacing w:before="120"/>
        <w:ind w:left="726" w:right="11" w:hanging="357"/>
        <w:rPr>
          <w:b w:val="0"/>
          <w:bCs w:val="0"/>
          <w:sz w:val="24"/>
          <w:szCs w:val="24"/>
        </w:rPr>
      </w:pPr>
      <w:hyperlink r:id="rId22" w:history="1">
        <w:r w:rsidR="00DC2DB0" w:rsidRPr="001D0305">
          <w:rPr>
            <w:rStyle w:val="Hyperlink"/>
            <w:rFonts w:hint="cs"/>
            <w:b w:val="0"/>
            <w:bCs w:val="0"/>
            <w:sz w:val="24"/>
            <w:szCs w:val="24"/>
            <w:rtl/>
          </w:rPr>
          <w:t>חוק המאבק בתופעת השכרות, התש"ע-2010</w:t>
        </w:r>
      </w:hyperlink>
      <w:r w:rsidR="00DC2DB0" w:rsidRPr="001D0305">
        <w:rPr>
          <w:rFonts w:hint="cs"/>
          <w:b w:val="0"/>
          <w:bCs w:val="0"/>
          <w:sz w:val="24"/>
          <w:szCs w:val="24"/>
          <w:rtl/>
        </w:rPr>
        <w:t>.</w:t>
      </w:r>
    </w:p>
    <w:p w:rsidR="00DC2DB0" w:rsidRPr="001D0305" w:rsidRDefault="002113EA" w:rsidP="00DC2DB0">
      <w:pPr>
        <w:pStyle w:val="1"/>
        <w:numPr>
          <w:ilvl w:val="0"/>
          <w:numId w:val="33"/>
        </w:numPr>
        <w:spacing w:before="120"/>
        <w:ind w:left="726" w:right="11" w:hanging="357"/>
        <w:rPr>
          <w:b w:val="0"/>
          <w:bCs w:val="0"/>
          <w:sz w:val="24"/>
          <w:szCs w:val="24"/>
        </w:rPr>
      </w:pPr>
      <w:hyperlink r:id="rId23" w:history="1">
        <w:bookmarkStart w:id="413" w:name="_Toc353962032"/>
        <w:r w:rsidR="00DC2DB0" w:rsidRPr="001D0305">
          <w:rPr>
            <w:rStyle w:val="Hyperlink"/>
            <w:rFonts w:hint="cs"/>
            <w:b w:val="0"/>
            <w:bCs w:val="0"/>
            <w:sz w:val="24"/>
            <w:szCs w:val="24"/>
            <w:rtl/>
          </w:rPr>
          <w:t>חוק המרשם הפלילי ותקנות השבים, התשמ"א-1981</w:t>
        </w:r>
      </w:hyperlink>
      <w:r w:rsidR="00DC2DB0" w:rsidRPr="001D0305">
        <w:rPr>
          <w:rFonts w:hint="cs"/>
          <w:b w:val="0"/>
          <w:bCs w:val="0"/>
          <w:sz w:val="24"/>
          <w:szCs w:val="24"/>
          <w:rtl/>
        </w:rPr>
        <w:t>.</w:t>
      </w:r>
      <w:bookmarkEnd w:id="413"/>
    </w:p>
    <w:p w:rsidR="00DC2DB0" w:rsidRPr="001D0305" w:rsidRDefault="002113EA" w:rsidP="00DC2DB0">
      <w:pPr>
        <w:pStyle w:val="1"/>
        <w:numPr>
          <w:ilvl w:val="0"/>
          <w:numId w:val="33"/>
        </w:numPr>
        <w:spacing w:before="120"/>
        <w:ind w:right="11"/>
        <w:rPr>
          <w:rStyle w:val="Hyperlink"/>
          <w:b w:val="0"/>
          <w:bCs w:val="0"/>
          <w:sz w:val="24"/>
          <w:szCs w:val="24"/>
          <w:rtl/>
        </w:rPr>
      </w:pPr>
      <w:hyperlink r:id="rId24" w:history="1">
        <w:r w:rsidR="00DC2DB0" w:rsidRPr="001D0305">
          <w:rPr>
            <w:rStyle w:val="Hyperlink"/>
            <w:rFonts w:hint="cs"/>
            <w:b w:val="0"/>
            <w:bCs w:val="0"/>
            <w:sz w:val="24"/>
            <w:szCs w:val="24"/>
            <w:rtl/>
          </w:rPr>
          <w:t>חוק המרשם הפלילי ותקנת השבים, התשמ"א-1981</w:t>
        </w:r>
      </w:hyperlink>
      <w:r w:rsidR="00DC2DB0" w:rsidRPr="001D0305">
        <w:rPr>
          <w:rStyle w:val="Hyperlink"/>
          <w:rFonts w:hint="cs"/>
          <w:b w:val="0"/>
          <w:bCs w:val="0"/>
          <w:sz w:val="24"/>
          <w:szCs w:val="24"/>
          <w:u w:val="none"/>
          <w:rtl/>
        </w:rPr>
        <w:t>.</w:t>
      </w:r>
    </w:p>
    <w:p w:rsidR="00DC2DB0" w:rsidRPr="001D0305" w:rsidRDefault="002113EA" w:rsidP="00DC2DB0">
      <w:pPr>
        <w:pStyle w:val="1"/>
        <w:numPr>
          <w:ilvl w:val="0"/>
          <w:numId w:val="33"/>
        </w:numPr>
        <w:spacing w:before="120"/>
        <w:ind w:left="726" w:right="11" w:hanging="357"/>
        <w:rPr>
          <w:b w:val="0"/>
          <w:bCs w:val="0"/>
          <w:sz w:val="24"/>
          <w:szCs w:val="24"/>
        </w:rPr>
      </w:pPr>
      <w:hyperlink r:id="rId25" w:history="1">
        <w:bookmarkStart w:id="414" w:name="_Toc353962031"/>
        <w:r w:rsidR="00DC2DB0" w:rsidRPr="001D0305">
          <w:rPr>
            <w:rStyle w:val="Hyperlink"/>
            <w:rFonts w:hint="cs"/>
            <w:b w:val="0"/>
            <w:bCs w:val="0"/>
            <w:sz w:val="24"/>
            <w:szCs w:val="24"/>
            <w:rtl/>
          </w:rPr>
          <w:t>חוק העונשין, התשל"ז-1977</w:t>
        </w:r>
      </w:hyperlink>
      <w:r w:rsidR="00DC2DB0" w:rsidRPr="001D0305">
        <w:rPr>
          <w:rFonts w:hint="cs"/>
          <w:b w:val="0"/>
          <w:bCs w:val="0"/>
          <w:sz w:val="24"/>
          <w:szCs w:val="24"/>
          <w:rtl/>
        </w:rPr>
        <w:t>.</w:t>
      </w:r>
      <w:bookmarkEnd w:id="414"/>
    </w:p>
    <w:p w:rsidR="00DC2DB0" w:rsidRPr="001D0305" w:rsidRDefault="002113EA" w:rsidP="00DC2DB0">
      <w:pPr>
        <w:pStyle w:val="1"/>
        <w:numPr>
          <w:ilvl w:val="0"/>
          <w:numId w:val="33"/>
        </w:numPr>
        <w:spacing w:before="120"/>
        <w:ind w:left="726" w:right="11" w:hanging="357"/>
        <w:rPr>
          <w:b w:val="0"/>
          <w:bCs w:val="0"/>
          <w:sz w:val="24"/>
          <w:szCs w:val="24"/>
        </w:rPr>
      </w:pPr>
      <w:hyperlink r:id="rId26" w:history="1">
        <w:bookmarkStart w:id="415" w:name="_Toc353962034"/>
        <w:r w:rsidR="00DC2DB0" w:rsidRPr="001D0305">
          <w:rPr>
            <w:rStyle w:val="Hyperlink"/>
            <w:rFonts w:hint="cs"/>
            <w:b w:val="0"/>
            <w:bCs w:val="0"/>
            <w:sz w:val="24"/>
            <w:szCs w:val="24"/>
            <w:rtl/>
          </w:rPr>
          <w:t>חוק הפיקוח על מוסדות לטיפול במשתמשים בסמים, התשנ"ג-1993</w:t>
        </w:r>
      </w:hyperlink>
      <w:r w:rsidR="00DC2DB0" w:rsidRPr="001D0305">
        <w:rPr>
          <w:rFonts w:hint="cs"/>
          <w:b w:val="0"/>
          <w:bCs w:val="0"/>
          <w:sz w:val="24"/>
          <w:szCs w:val="24"/>
          <w:rtl/>
        </w:rPr>
        <w:t>.</w:t>
      </w:r>
      <w:bookmarkEnd w:id="415"/>
    </w:p>
    <w:p w:rsidR="00DC2DB0" w:rsidRPr="001D0305" w:rsidRDefault="002113EA" w:rsidP="00DC2DB0">
      <w:pPr>
        <w:pStyle w:val="1"/>
        <w:numPr>
          <w:ilvl w:val="0"/>
          <w:numId w:val="33"/>
        </w:numPr>
        <w:spacing w:before="120"/>
        <w:ind w:right="11"/>
        <w:rPr>
          <w:b w:val="0"/>
          <w:bCs w:val="0"/>
          <w:sz w:val="24"/>
          <w:szCs w:val="24"/>
        </w:rPr>
      </w:pPr>
      <w:hyperlink r:id="rId27" w:history="1">
        <w:r w:rsidR="00DC2DB0" w:rsidRPr="001D0305">
          <w:rPr>
            <w:rStyle w:val="Hyperlink"/>
            <w:rFonts w:asciiTheme="majorBidi" w:hAnsiTheme="majorBidi"/>
            <w:b w:val="0"/>
            <w:bCs w:val="0"/>
            <w:sz w:val="24"/>
            <w:szCs w:val="24"/>
            <w:rtl/>
          </w:rPr>
          <w:t>חוק הרשות הלאומית למלחמה בסמים (תיקון מס' 3), התשע"ב-2012</w:t>
        </w:r>
      </w:hyperlink>
      <w:r w:rsidR="00DC2DB0" w:rsidRPr="001D0305">
        <w:rPr>
          <w:rFonts w:asciiTheme="majorBidi" w:hAnsiTheme="majorBidi"/>
          <w:b w:val="0"/>
          <w:bCs w:val="0"/>
          <w:sz w:val="24"/>
          <w:szCs w:val="24"/>
          <w:rtl/>
        </w:rPr>
        <w:t>.</w:t>
      </w:r>
    </w:p>
    <w:p w:rsidR="00DC2DB0" w:rsidRPr="001D0305" w:rsidRDefault="002113EA" w:rsidP="00DC2DB0">
      <w:pPr>
        <w:pStyle w:val="1"/>
        <w:numPr>
          <w:ilvl w:val="0"/>
          <w:numId w:val="33"/>
        </w:numPr>
        <w:spacing w:before="120"/>
        <w:ind w:left="726" w:right="11" w:hanging="357"/>
        <w:rPr>
          <w:b w:val="0"/>
          <w:bCs w:val="0"/>
          <w:sz w:val="24"/>
          <w:szCs w:val="24"/>
        </w:rPr>
      </w:pPr>
      <w:hyperlink r:id="rId28" w:history="1">
        <w:r w:rsidR="00DC2DB0" w:rsidRPr="001D0305">
          <w:rPr>
            <w:rStyle w:val="Hyperlink"/>
            <w:rFonts w:hint="cs"/>
            <w:b w:val="0"/>
            <w:bCs w:val="0"/>
            <w:sz w:val="24"/>
            <w:szCs w:val="24"/>
            <w:rtl/>
          </w:rPr>
          <w:t>חוק הרשות הלאומית למלחמה בסמים ובשימוש לרעה באלכוהול</w:t>
        </w:r>
        <w:r w:rsidR="00DC2DB0" w:rsidRPr="001D0305">
          <w:rPr>
            <w:rStyle w:val="Hyperlink"/>
            <w:rFonts w:hint="cs"/>
            <w:b w:val="0"/>
            <w:bCs w:val="0"/>
            <w:sz w:val="24"/>
            <w:szCs w:val="24"/>
          </w:rPr>
          <w:t>, </w:t>
        </w:r>
        <w:r w:rsidR="00DC2DB0" w:rsidRPr="001D0305">
          <w:rPr>
            <w:rStyle w:val="Hyperlink"/>
            <w:rFonts w:hint="cs"/>
            <w:b w:val="0"/>
            <w:bCs w:val="0"/>
            <w:sz w:val="24"/>
            <w:szCs w:val="24"/>
            <w:rtl/>
          </w:rPr>
          <w:t xml:space="preserve"> </w:t>
        </w:r>
        <w:r w:rsidR="00413CBB">
          <w:rPr>
            <w:rStyle w:val="Hyperlink"/>
            <w:rFonts w:hint="cs"/>
            <w:b w:val="0"/>
            <w:bCs w:val="0"/>
            <w:sz w:val="24"/>
            <w:szCs w:val="24"/>
            <w:rtl/>
          </w:rPr>
          <w:t>ה</w:t>
        </w:r>
        <w:r w:rsidR="00DC2DB0" w:rsidRPr="001D0305">
          <w:rPr>
            <w:rStyle w:val="Hyperlink"/>
            <w:rFonts w:hint="cs"/>
            <w:b w:val="0"/>
            <w:bCs w:val="0"/>
            <w:sz w:val="24"/>
            <w:szCs w:val="24"/>
            <w:rtl/>
          </w:rPr>
          <w:t>תשמ"ח-1988</w:t>
        </w:r>
      </w:hyperlink>
      <w:r w:rsidR="00DC2DB0" w:rsidRPr="001D0305">
        <w:rPr>
          <w:rFonts w:hint="cs"/>
          <w:b w:val="0"/>
          <w:bCs w:val="0"/>
          <w:color w:val="000000"/>
          <w:sz w:val="24"/>
          <w:szCs w:val="24"/>
          <w:rtl/>
        </w:rPr>
        <w:t>.</w:t>
      </w:r>
    </w:p>
    <w:p w:rsidR="00DC2DB0" w:rsidRPr="001D0305" w:rsidRDefault="002113EA" w:rsidP="00DC2DB0">
      <w:pPr>
        <w:pStyle w:val="1"/>
        <w:numPr>
          <w:ilvl w:val="0"/>
          <w:numId w:val="33"/>
        </w:numPr>
        <w:spacing w:before="120"/>
        <w:ind w:right="11"/>
        <w:rPr>
          <w:b w:val="0"/>
          <w:bCs w:val="0"/>
          <w:sz w:val="24"/>
          <w:szCs w:val="24"/>
        </w:rPr>
      </w:pPr>
      <w:hyperlink r:id="rId29" w:history="1">
        <w:r w:rsidR="00DC2DB0" w:rsidRPr="001D0305">
          <w:rPr>
            <w:rStyle w:val="Hyperlink"/>
            <w:rFonts w:ascii="HadasaMFOMedium" w:hint="cs"/>
            <w:b w:val="0"/>
            <w:bCs w:val="0"/>
            <w:sz w:val="24"/>
            <w:szCs w:val="24"/>
            <w:rtl/>
            <w:lang w:eastAsia="en-US"/>
          </w:rPr>
          <w:t>חוק רישוי עסקים (תיקון מס' 26 – הוראת שעה), התש"ע-2010</w:t>
        </w:r>
      </w:hyperlink>
      <w:r w:rsidR="00DC2DB0" w:rsidRPr="001D0305">
        <w:rPr>
          <w:rFonts w:ascii="HadasaMFOMedium" w:hint="cs"/>
          <w:b w:val="0"/>
          <w:bCs w:val="0"/>
          <w:sz w:val="24"/>
          <w:szCs w:val="24"/>
          <w:rtl/>
          <w:lang w:eastAsia="en-US"/>
        </w:rPr>
        <w:t>.</w:t>
      </w:r>
    </w:p>
    <w:p w:rsidR="00DC2DB0" w:rsidRPr="001D0305" w:rsidRDefault="002113EA" w:rsidP="00DC2DB0">
      <w:pPr>
        <w:pStyle w:val="1"/>
        <w:numPr>
          <w:ilvl w:val="0"/>
          <w:numId w:val="33"/>
        </w:numPr>
        <w:spacing w:before="120"/>
        <w:ind w:left="726" w:right="11" w:hanging="357"/>
        <w:rPr>
          <w:b w:val="0"/>
          <w:bCs w:val="0"/>
          <w:sz w:val="24"/>
          <w:szCs w:val="24"/>
        </w:rPr>
      </w:pPr>
      <w:hyperlink r:id="rId30" w:history="1">
        <w:r w:rsidR="00DC2DB0" w:rsidRPr="001D0305">
          <w:rPr>
            <w:rStyle w:val="Hyperlink"/>
            <w:rFonts w:hint="cs"/>
            <w:b w:val="0"/>
            <w:bCs w:val="0"/>
            <w:sz w:val="24"/>
            <w:szCs w:val="24"/>
            <w:rtl/>
          </w:rPr>
          <w:t>חוק רישוי עסקים, תשכ"ח-1968</w:t>
        </w:r>
      </w:hyperlink>
      <w:r w:rsidR="00DC2DB0" w:rsidRPr="001D0305">
        <w:rPr>
          <w:rFonts w:hint="cs"/>
          <w:b w:val="0"/>
          <w:bCs w:val="0"/>
          <w:sz w:val="24"/>
          <w:szCs w:val="24"/>
          <w:rtl/>
        </w:rPr>
        <w:t>.</w:t>
      </w:r>
    </w:p>
    <w:p w:rsidR="00DC2DB0" w:rsidRPr="001D0305" w:rsidRDefault="002113EA" w:rsidP="00DC2DB0">
      <w:pPr>
        <w:pStyle w:val="1"/>
        <w:numPr>
          <w:ilvl w:val="0"/>
          <w:numId w:val="33"/>
        </w:numPr>
        <w:spacing w:before="120"/>
        <w:ind w:left="726" w:right="11" w:hanging="357"/>
        <w:rPr>
          <w:b w:val="0"/>
          <w:bCs w:val="0"/>
          <w:sz w:val="24"/>
          <w:szCs w:val="24"/>
        </w:rPr>
      </w:pPr>
      <w:hyperlink r:id="rId31" w:history="1">
        <w:bookmarkStart w:id="416" w:name="_Toc353962028"/>
        <w:r w:rsidR="00DC2DB0" w:rsidRPr="001D0305">
          <w:rPr>
            <w:rStyle w:val="Hyperlink"/>
            <w:rFonts w:hint="cs"/>
            <w:b w:val="0"/>
            <w:bCs w:val="0"/>
            <w:sz w:val="24"/>
            <w:szCs w:val="24"/>
            <w:rtl/>
          </w:rPr>
          <w:t>פקודת הסמים המסוכנים [נוסח חדש], התשל"ג-1973</w:t>
        </w:r>
      </w:hyperlink>
      <w:r w:rsidR="00DC2DB0" w:rsidRPr="001D0305">
        <w:rPr>
          <w:rFonts w:hint="cs"/>
          <w:b w:val="0"/>
          <w:bCs w:val="0"/>
          <w:sz w:val="24"/>
          <w:szCs w:val="24"/>
          <w:rtl/>
        </w:rPr>
        <w:t>.</w:t>
      </w:r>
      <w:bookmarkEnd w:id="416"/>
    </w:p>
    <w:p w:rsidR="00DC2DB0" w:rsidRPr="001D0305" w:rsidRDefault="002113EA" w:rsidP="00DC2DB0">
      <w:pPr>
        <w:pStyle w:val="1"/>
        <w:numPr>
          <w:ilvl w:val="0"/>
          <w:numId w:val="33"/>
        </w:numPr>
        <w:spacing w:before="120"/>
        <w:ind w:left="726" w:right="11" w:hanging="357"/>
        <w:rPr>
          <w:rStyle w:val="Hyperlink"/>
          <w:b w:val="0"/>
          <w:bCs w:val="0"/>
          <w:color w:val="auto"/>
          <w:sz w:val="24"/>
          <w:szCs w:val="24"/>
          <w:u w:val="none"/>
        </w:rPr>
      </w:pPr>
      <w:hyperlink r:id="rId32" w:anchor="Seif348" w:history="1">
        <w:r w:rsidR="00DC2DB0" w:rsidRPr="001D0305">
          <w:rPr>
            <w:rStyle w:val="Hyperlink"/>
            <w:rFonts w:hint="cs"/>
            <w:b w:val="0"/>
            <w:bCs w:val="0"/>
            <w:sz w:val="24"/>
            <w:szCs w:val="24"/>
            <w:rtl/>
          </w:rPr>
          <w:t>פקודת העיריות [נוסח חדש]</w:t>
        </w:r>
      </w:hyperlink>
      <w:r w:rsidR="00DC2DB0" w:rsidRPr="001D0305">
        <w:rPr>
          <w:rStyle w:val="Hyperlink"/>
          <w:rFonts w:hint="cs"/>
          <w:b w:val="0"/>
          <w:bCs w:val="0"/>
          <w:sz w:val="24"/>
          <w:szCs w:val="24"/>
          <w:u w:val="none"/>
          <w:rtl/>
        </w:rPr>
        <w:t>.</w:t>
      </w:r>
    </w:p>
    <w:p w:rsidR="00DC2DB0" w:rsidRPr="001D0305" w:rsidRDefault="002113EA" w:rsidP="00DC2DB0">
      <w:pPr>
        <w:pStyle w:val="1"/>
        <w:numPr>
          <w:ilvl w:val="0"/>
          <w:numId w:val="33"/>
        </w:numPr>
        <w:spacing w:before="120"/>
        <w:ind w:left="726" w:right="11" w:hanging="357"/>
        <w:rPr>
          <w:b w:val="0"/>
          <w:bCs w:val="0"/>
          <w:sz w:val="24"/>
          <w:szCs w:val="24"/>
        </w:rPr>
      </w:pPr>
      <w:hyperlink r:id="rId33" w:history="1">
        <w:bookmarkStart w:id="417" w:name="_Toc353962030"/>
        <w:r w:rsidR="00DC2DB0" w:rsidRPr="001D0305">
          <w:rPr>
            <w:rStyle w:val="Hyperlink"/>
            <w:rFonts w:hint="cs"/>
            <w:b w:val="0"/>
            <w:bCs w:val="0"/>
            <w:sz w:val="24"/>
            <w:szCs w:val="24"/>
            <w:rtl/>
          </w:rPr>
          <w:t>פקודת הרוקחים [נוסח חדש], התשמ"א-1981</w:t>
        </w:r>
      </w:hyperlink>
      <w:r w:rsidR="00DC2DB0" w:rsidRPr="001D0305">
        <w:rPr>
          <w:rFonts w:hint="cs"/>
          <w:b w:val="0"/>
          <w:bCs w:val="0"/>
          <w:sz w:val="24"/>
          <w:szCs w:val="24"/>
          <w:rtl/>
        </w:rPr>
        <w:t>.</w:t>
      </w:r>
      <w:bookmarkEnd w:id="417"/>
    </w:p>
    <w:p w:rsidR="00DC2DB0" w:rsidRPr="001D0305" w:rsidRDefault="002113EA" w:rsidP="00DC2DB0">
      <w:pPr>
        <w:pStyle w:val="1"/>
        <w:numPr>
          <w:ilvl w:val="0"/>
          <w:numId w:val="33"/>
        </w:numPr>
        <w:spacing w:before="120"/>
        <w:ind w:left="726" w:right="11" w:hanging="357"/>
        <w:rPr>
          <w:b w:val="0"/>
          <w:bCs w:val="0"/>
          <w:sz w:val="24"/>
          <w:szCs w:val="24"/>
        </w:rPr>
      </w:pPr>
      <w:hyperlink r:id="rId34" w:history="1">
        <w:bookmarkStart w:id="418" w:name="_Toc353962029"/>
        <w:r w:rsidR="00DC2DB0" w:rsidRPr="001D0305">
          <w:rPr>
            <w:rStyle w:val="Hyperlink"/>
            <w:rFonts w:hint="cs"/>
            <w:b w:val="0"/>
            <w:bCs w:val="0"/>
            <w:sz w:val="24"/>
            <w:szCs w:val="24"/>
            <w:rtl/>
          </w:rPr>
          <w:t>פקודת התעבורה [נוסח חדש], התשל"ג-1973</w:t>
        </w:r>
      </w:hyperlink>
      <w:r w:rsidR="00DC2DB0" w:rsidRPr="001D0305">
        <w:rPr>
          <w:rFonts w:hint="cs"/>
          <w:b w:val="0"/>
          <w:bCs w:val="0"/>
          <w:sz w:val="24"/>
          <w:szCs w:val="24"/>
          <w:rtl/>
        </w:rPr>
        <w:t>.</w:t>
      </w:r>
      <w:bookmarkEnd w:id="418"/>
    </w:p>
    <w:p w:rsidR="00DC2DB0" w:rsidRPr="001D0305" w:rsidRDefault="002113EA" w:rsidP="00DC2DB0">
      <w:pPr>
        <w:pStyle w:val="1"/>
        <w:numPr>
          <w:ilvl w:val="0"/>
          <w:numId w:val="33"/>
        </w:numPr>
        <w:spacing w:before="120"/>
        <w:ind w:left="726" w:right="11" w:hanging="357"/>
        <w:rPr>
          <w:b w:val="0"/>
          <w:bCs w:val="0"/>
          <w:sz w:val="24"/>
          <w:szCs w:val="24"/>
        </w:rPr>
      </w:pPr>
      <w:hyperlink r:id="rId35" w:anchor="xml=http://www.nevo.co.il/Handlers/Highlighter/PdfHighlighter.ashx?index=4&amp;type=Main" w:history="1">
        <w:r w:rsidR="00DC2DB0" w:rsidRPr="001D0305">
          <w:rPr>
            <w:rStyle w:val="Hyperlink"/>
            <w:b w:val="0"/>
            <w:bCs w:val="0"/>
            <w:sz w:val="24"/>
            <w:szCs w:val="24"/>
            <w:rtl/>
          </w:rPr>
          <w:t>צו ביטוח בריאות ממלכתי (שינוי התוספת השנייה והשלישית לחוק), התשע"ב-2012</w:t>
        </w:r>
      </w:hyperlink>
      <w:r w:rsidR="00DC2DB0" w:rsidRPr="001D0305">
        <w:rPr>
          <w:b w:val="0"/>
          <w:bCs w:val="0"/>
          <w:sz w:val="24"/>
          <w:szCs w:val="24"/>
          <w:rtl/>
        </w:rPr>
        <w:t xml:space="preserve">, </w:t>
      </w:r>
      <w:r w:rsidR="00DC2DB0" w:rsidRPr="001D0305">
        <w:rPr>
          <w:rFonts w:hint="cs"/>
          <w:b w:val="0"/>
          <w:bCs w:val="0"/>
          <w:sz w:val="24"/>
          <w:szCs w:val="24"/>
          <w:rtl/>
        </w:rPr>
        <w:t>7 אוגוסט</w:t>
      </w:r>
      <w:r w:rsidR="00DC2DB0" w:rsidRPr="001D0305">
        <w:rPr>
          <w:b w:val="0"/>
          <w:bCs w:val="0"/>
          <w:sz w:val="24"/>
          <w:szCs w:val="24"/>
          <w:rtl/>
        </w:rPr>
        <w:t xml:space="preserve"> 2012</w:t>
      </w:r>
    </w:p>
    <w:p w:rsidR="00DC2DB0" w:rsidRPr="001D0305" w:rsidRDefault="002113EA" w:rsidP="00DC2DB0">
      <w:pPr>
        <w:pStyle w:val="1"/>
        <w:numPr>
          <w:ilvl w:val="0"/>
          <w:numId w:val="33"/>
        </w:numPr>
        <w:spacing w:before="120"/>
        <w:ind w:left="726" w:right="11" w:hanging="357"/>
        <w:rPr>
          <w:b w:val="0"/>
          <w:bCs w:val="0"/>
          <w:sz w:val="24"/>
          <w:szCs w:val="24"/>
        </w:rPr>
      </w:pPr>
      <w:hyperlink r:id="rId36" w:anchor="xml=http://www.nevo.co.il/Handlers/Highlighter/PdfHighlighter.ashx?index=2&amp;type=Main" w:history="1">
        <w:r w:rsidR="00DC2DB0" w:rsidRPr="001D0305">
          <w:rPr>
            <w:rStyle w:val="Hyperlink"/>
            <w:rFonts w:hint="cs"/>
            <w:b w:val="0"/>
            <w:bCs w:val="0"/>
            <w:sz w:val="24"/>
            <w:szCs w:val="24"/>
            <w:rtl/>
          </w:rPr>
          <w:t>תקנות הגבלת הפרסומת והשיווק של משקאות אלכוהוליים (סימן אזהרה), התשע"ג-2013</w:t>
        </w:r>
      </w:hyperlink>
      <w:r w:rsidR="00DC2DB0" w:rsidRPr="001D0305">
        <w:rPr>
          <w:rFonts w:hint="cs"/>
          <w:b w:val="0"/>
          <w:bCs w:val="0"/>
          <w:sz w:val="24"/>
          <w:szCs w:val="24"/>
          <w:rtl/>
        </w:rPr>
        <w:t xml:space="preserve">. </w:t>
      </w:r>
    </w:p>
    <w:p w:rsidR="009841C5" w:rsidRPr="00BB6388" w:rsidRDefault="00C3078A" w:rsidP="009841C5">
      <w:pPr>
        <w:pStyle w:val="2"/>
        <w:rPr>
          <w:rtl/>
        </w:rPr>
      </w:pPr>
      <w:bookmarkStart w:id="419" w:name="_Toc421694857"/>
      <w:bookmarkStart w:id="420" w:name="_Toc421697082"/>
      <w:bookmarkStart w:id="421" w:name="_Toc353962039"/>
      <w:r w:rsidRPr="009841C5">
        <w:rPr>
          <w:rFonts w:hint="cs"/>
          <w:rtl/>
        </w:rPr>
        <w:t>פסיקות</w:t>
      </w:r>
      <w:bookmarkEnd w:id="419"/>
      <w:bookmarkEnd w:id="420"/>
    </w:p>
    <w:p w:rsidR="00C3078A" w:rsidRPr="001D0305" w:rsidRDefault="00C3078A" w:rsidP="009841C5">
      <w:pPr>
        <w:pStyle w:val="a2"/>
        <w:numPr>
          <w:ilvl w:val="0"/>
          <w:numId w:val="38"/>
        </w:numPr>
      </w:pPr>
      <w:r w:rsidRPr="001D0305">
        <w:rPr>
          <w:rFonts w:hint="cs"/>
          <w:rtl/>
        </w:rPr>
        <w:t xml:space="preserve">בג"ץ 854/14 (החלטה), </w:t>
      </w:r>
      <w:hyperlink r:id="rId37" w:history="1">
        <w:r w:rsidRPr="001D0305">
          <w:rPr>
            <w:rStyle w:val="Hyperlink"/>
            <w:rFonts w:hint="cs"/>
            <w:rtl/>
          </w:rPr>
          <w:t>פוקוס צמחי מרפא בע"מ ואח' נ' ממשלת ישראל, משרד הבריאות ו"שראל פתרונות לוגיסטיים ומוצרים לרפואה מתקדמת בע"מ"</w:t>
        </w:r>
      </w:hyperlink>
      <w:r w:rsidRPr="001D0305">
        <w:rPr>
          <w:rFonts w:hint="cs"/>
          <w:rtl/>
        </w:rPr>
        <w:t>, 27 במאי 2015.</w:t>
      </w:r>
    </w:p>
    <w:p w:rsidR="00C3078A" w:rsidRPr="001D0305" w:rsidRDefault="00C3078A" w:rsidP="004013C4">
      <w:pPr>
        <w:pStyle w:val="2"/>
        <w:rPr>
          <w:rtl/>
        </w:rPr>
      </w:pPr>
      <w:bookmarkStart w:id="422" w:name="_Toc421694858"/>
      <w:bookmarkStart w:id="423" w:name="_Toc421697083"/>
      <w:r w:rsidRPr="001D0305">
        <w:rPr>
          <w:rFonts w:hint="cs"/>
          <w:rtl/>
        </w:rPr>
        <w:t>החלטות ממשלה</w:t>
      </w:r>
      <w:bookmarkEnd w:id="421"/>
      <w:bookmarkEnd w:id="422"/>
      <w:bookmarkEnd w:id="423"/>
    </w:p>
    <w:p w:rsidR="00443383" w:rsidRPr="001D0305" w:rsidRDefault="00443383" w:rsidP="00DC2DB0">
      <w:pPr>
        <w:pStyle w:val="a9"/>
        <w:numPr>
          <w:ilvl w:val="0"/>
          <w:numId w:val="30"/>
        </w:numPr>
        <w:spacing w:line="360" w:lineRule="auto"/>
        <w:rPr>
          <w:rFonts w:cs="David"/>
          <w:sz w:val="24"/>
          <w:szCs w:val="24"/>
        </w:rPr>
      </w:pPr>
      <w:r w:rsidRPr="001D0305">
        <w:rPr>
          <w:rFonts w:asciiTheme="majorBidi" w:hAnsiTheme="majorBidi" w:cs="David"/>
          <w:sz w:val="24"/>
          <w:szCs w:val="24"/>
          <w:rtl/>
        </w:rPr>
        <w:t xml:space="preserve">החלטת ממשלה מס' 1050, </w:t>
      </w:r>
      <w:hyperlink r:id="rId38" w:history="1">
        <w:r w:rsidRPr="001D0305">
          <w:rPr>
            <w:rStyle w:val="Hyperlink"/>
            <w:rFonts w:asciiTheme="majorBidi" w:hAnsiTheme="majorBidi" w:cs="David"/>
            <w:sz w:val="24"/>
            <w:szCs w:val="24"/>
            <w:rtl/>
          </w:rPr>
          <w:t>שימוש בקנביס למטרות רפואיות</w:t>
        </w:r>
      </w:hyperlink>
      <w:r w:rsidRPr="001D0305">
        <w:rPr>
          <w:rFonts w:asciiTheme="majorBidi" w:hAnsiTheme="majorBidi" w:cs="David"/>
          <w:sz w:val="24"/>
          <w:szCs w:val="24"/>
          <w:rtl/>
        </w:rPr>
        <w:t>, 15 דצמבר 201</w:t>
      </w:r>
      <w:r w:rsidRPr="001D0305">
        <w:rPr>
          <w:rFonts w:asciiTheme="majorBidi" w:hAnsiTheme="majorBidi" w:cs="David" w:hint="cs"/>
          <w:sz w:val="24"/>
          <w:szCs w:val="24"/>
          <w:rtl/>
        </w:rPr>
        <w:t>3</w:t>
      </w:r>
      <w:r w:rsidRPr="001D0305">
        <w:rPr>
          <w:rFonts w:asciiTheme="majorBidi" w:hAnsiTheme="majorBidi" w:cs="David"/>
          <w:sz w:val="24"/>
          <w:szCs w:val="24"/>
          <w:rtl/>
        </w:rPr>
        <w:t>.</w:t>
      </w:r>
    </w:p>
    <w:p w:rsidR="00443383" w:rsidRPr="001D0305" w:rsidRDefault="00443383" w:rsidP="00DC2DB0">
      <w:pPr>
        <w:pStyle w:val="a9"/>
        <w:numPr>
          <w:ilvl w:val="0"/>
          <w:numId w:val="30"/>
        </w:numPr>
        <w:spacing w:line="360" w:lineRule="auto"/>
        <w:rPr>
          <w:rFonts w:cs="David"/>
          <w:sz w:val="24"/>
          <w:szCs w:val="24"/>
        </w:rPr>
      </w:pPr>
      <w:r w:rsidRPr="001D0305">
        <w:rPr>
          <w:rFonts w:asciiTheme="majorBidi" w:hAnsiTheme="majorBidi" w:cs="David"/>
          <w:sz w:val="24"/>
          <w:szCs w:val="24"/>
          <w:rtl/>
        </w:rPr>
        <w:t xml:space="preserve">החלטת ממשלה מס' 3070, </w:t>
      </w:r>
      <w:hyperlink r:id="rId39" w:history="1">
        <w:r w:rsidRPr="001D0305">
          <w:rPr>
            <w:rStyle w:val="Hyperlink"/>
            <w:rFonts w:asciiTheme="majorBidi" w:hAnsiTheme="majorBidi" w:cs="David"/>
            <w:sz w:val="24"/>
            <w:szCs w:val="24"/>
            <w:rtl/>
          </w:rPr>
          <w:t>טיפול בנוער בסיכון</w:t>
        </w:r>
      </w:hyperlink>
      <w:r w:rsidRPr="001D0305">
        <w:rPr>
          <w:rFonts w:asciiTheme="majorBidi" w:hAnsiTheme="majorBidi" w:cs="David"/>
          <w:sz w:val="24"/>
          <w:szCs w:val="24"/>
          <w:rtl/>
        </w:rPr>
        <w:t>, 3 בפברואר 2008.</w:t>
      </w:r>
    </w:p>
    <w:p w:rsidR="00443383" w:rsidRPr="001D0305" w:rsidRDefault="00443383" w:rsidP="00DC2DB0">
      <w:pPr>
        <w:pStyle w:val="a9"/>
        <w:numPr>
          <w:ilvl w:val="0"/>
          <w:numId w:val="30"/>
        </w:numPr>
        <w:spacing w:line="360" w:lineRule="auto"/>
        <w:rPr>
          <w:rFonts w:cs="David"/>
          <w:sz w:val="24"/>
          <w:szCs w:val="24"/>
        </w:rPr>
      </w:pPr>
      <w:r w:rsidRPr="001D0305">
        <w:rPr>
          <w:rFonts w:cs="David"/>
          <w:sz w:val="24"/>
          <w:szCs w:val="24"/>
          <w:rtl/>
        </w:rPr>
        <w:t xml:space="preserve">החלטת ממשלה מס' 3328, </w:t>
      </w:r>
      <w:r w:rsidRPr="001D0305">
        <w:rPr>
          <w:rFonts w:cs="David" w:hint="cs"/>
          <w:sz w:val="24"/>
          <w:szCs w:val="24"/>
          <w:u w:val="single"/>
          <w:rtl/>
        </w:rPr>
        <w:t>עקרונות מסגרת להקמת יחידה למניעת הברחת סמים במכס</w:t>
      </w:r>
      <w:r w:rsidRPr="001D0305">
        <w:rPr>
          <w:rFonts w:cs="David"/>
          <w:sz w:val="24"/>
          <w:szCs w:val="24"/>
          <w:rtl/>
        </w:rPr>
        <w:t xml:space="preserve">, </w:t>
      </w:r>
      <w:r w:rsidRPr="001D0305">
        <w:rPr>
          <w:rFonts w:cs="David" w:hint="cs"/>
          <w:sz w:val="24"/>
          <w:szCs w:val="24"/>
          <w:rtl/>
        </w:rPr>
        <w:t xml:space="preserve">12 </w:t>
      </w:r>
      <w:r w:rsidRPr="001D0305">
        <w:rPr>
          <w:rFonts w:cs="David"/>
          <w:sz w:val="24"/>
          <w:szCs w:val="24"/>
          <w:rtl/>
        </w:rPr>
        <w:t>יוני 1994.</w:t>
      </w:r>
    </w:p>
    <w:p w:rsidR="00443383" w:rsidRPr="001D0305" w:rsidRDefault="00443383" w:rsidP="00DC2DB0">
      <w:pPr>
        <w:pStyle w:val="a9"/>
        <w:numPr>
          <w:ilvl w:val="0"/>
          <w:numId w:val="30"/>
        </w:numPr>
        <w:spacing w:line="360" w:lineRule="auto"/>
        <w:rPr>
          <w:rFonts w:cs="David"/>
          <w:sz w:val="24"/>
          <w:szCs w:val="24"/>
        </w:rPr>
      </w:pPr>
      <w:r w:rsidRPr="001D0305">
        <w:rPr>
          <w:rFonts w:cs="David" w:hint="cs"/>
          <w:sz w:val="24"/>
          <w:szCs w:val="24"/>
          <w:rtl/>
        </w:rPr>
        <w:t xml:space="preserve">החלטת ממשלה מס' 3609, </w:t>
      </w:r>
      <w:hyperlink r:id="rId40" w:history="1">
        <w:r w:rsidRPr="001D0305">
          <w:rPr>
            <w:rStyle w:val="Hyperlink"/>
            <w:rFonts w:cs="David" w:hint="cs"/>
            <w:sz w:val="24"/>
            <w:szCs w:val="24"/>
            <w:rtl/>
          </w:rPr>
          <w:t>פיקוח והסדרת מקור לאספקת קנביס למטרות רפואיות ולמחקר,</w:t>
        </w:r>
      </w:hyperlink>
      <w:r w:rsidRPr="001D0305">
        <w:rPr>
          <w:rFonts w:cs="David" w:hint="cs"/>
          <w:sz w:val="24"/>
          <w:szCs w:val="24"/>
          <w:rtl/>
        </w:rPr>
        <w:t xml:space="preserve"> 7 באוגוסט 2011.</w:t>
      </w:r>
    </w:p>
    <w:p w:rsidR="00443383" w:rsidRPr="001D0305" w:rsidRDefault="00443383" w:rsidP="00DC2DB0">
      <w:pPr>
        <w:pStyle w:val="a9"/>
        <w:numPr>
          <w:ilvl w:val="0"/>
          <w:numId w:val="30"/>
        </w:numPr>
        <w:spacing w:line="360" w:lineRule="auto"/>
        <w:rPr>
          <w:rFonts w:cs="David"/>
          <w:sz w:val="24"/>
          <w:szCs w:val="24"/>
          <w:rtl/>
        </w:rPr>
      </w:pPr>
      <w:r w:rsidRPr="001D0305">
        <w:rPr>
          <w:rFonts w:cs="David" w:hint="cs"/>
          <w:sz w:val="24"/>
          <w:szCs w:val="24"/>
          <w:rtl/>
        </w:rPr>
        <w:t xml:space="preserve">החלטת ממשלה מס' 3687, </w:t>
      </w:r>
      <w:hyperlink r:id="rId41" w:history="1">
        <w:r w:rsidRPr="001D0305">
          <w:rPr>
            <w:rStyle w:val="Hyperlink"/>
            <w:rFonts w:cs="David" w:hint="cs"/>
            <w:sz w:val="24"/>
            <w:szCs w:val="24"/>
            <w:rtl/>
          </w:rPr>
          <w:t>תופעת האלימות בחברה הישראלית</w:t>
        </w:r>
      </w:hyperlink>
      <w:r w:rsidRPr="001D0305">
        <w:rPr>
          <w:rFonts w:cs="David" w:hint="cs"/>
          <w:sz w:val="24"/>
          <w:szCs w:val="24"/>
          <w:rtl/>
        </w:rPr>
        <w:t xml:space="preserve">, 5 ביוני 2005. </w:t>
      </w:r>
    </w:p>
    <w:p w:rsidR="00443383" w:rsidRPr="001D0305" w:rsidRDefault="00443383" w:rsidP="00DC2DB0">
      <w:pPr>
        <w:pStyle w:val="a9"/>
        <w:numPr>
          <w:ilvl w:val="0"/>
          <w:numId w:val="30"/>
        </w:numPr>
        <w:spacing w:line="360" w:lineRule="auto"/>
        <w:rPr>
          <w:rFonts w:cs="David"/>
          <w:sz w:val="24"/>
          <w:szCs w:val="24"/>
        </w:rPr>
      </w:pPr>
      <w:r w:rsidRPr="001D0305">
        <w:rPr>
          <w:rFonts w:cs="David" w:hint="cs"/>
          <w:sz w:val="24"/>
          <w:szCs w:val="24"/>
          <w:rtl/>
        </w:rPr>
        <w:t xml:space="preserve">החלטת ממשלה מס' 44, </w:t>
      </w:r>
      <w:hyperlink r:id="rId42" w:history="1">
        <w:r w:rsidRPr="001D0305">
          <w:rPr>
            <w:rStyle w:val="Hyperlink"/>
            <w:rFonts w:cs="David" w:hint="cs"/>
            <w:sz w:val="24"/>
            <w:szCs w:val="24"/>
            <w:rtl/>
          </w:rPr>
          <w:t>הרשות הלאומית למלחמה בסמים – העברת סמכויות</w:t>
        </w:r>
      </w:hyperlink>
      <w:r w:rsidRPr="001D0305">
        <w:rPr>
          <w:rFonts w:cs="David" w:hint="cs"/>
          <w:sz w:val="24"/>
          <w:szCs w:val="24"/>
          <w:rtl/>
        </w:rPr>
        <w:t>, 26 באפריל 2009.</w:t>
      </w:r>
    </w:p>
    <w:p w:rsidR="00443383" w:rsidRPr="001D0305" w:rsidRDefault="00443383" w:rsidP="00DC2DB0">
      <w:pPr>
        <w:pStyle w:val="a9"/>
        <w:numPr>
          <w:ilvl w:val="0"/>
          <w:numId w:val="30"/>
        </w:numPr>
        <w:spacing w:line="360" w:lineRule="auto"/>
        <w:rPr>
          <w:rFonts w:cs="David"/>
          <w:sz w:val="24"/>
          <w:szCs w:val="24"/>
        </w:rPr>
      </w:pPr>
      <w:r w:rsidRPr="001D0305">
        <w:rPr>
          <w:rFonts w:cs="David"/>
          <w:sz w:val="24"/>
          <w:szCs w:val="24"/>
          <w:rtl/>
        </w:rPr>
        <w:t>החלטת ממשלה מס' 4611,</w:t>
      </w:r>
      <w:r w:rsidRPr="001D0305">
        <w:rPr>
          <w:rFonts w:cs="David" w:hint="cs"/>
          <w:sz w:val="24"/>
          <w:szCs w:val="24"/>
          <w:rtl/>
        </w:rPr>
        <w:t xml:space="preserve"> </w:t>
      </w:r>
      <w:hyperlink r:id="rId43" w:history="1">
        <w:r w:rsidRPr="001D0305">
          <w:rPr>
            <w:rStyle w:val="Hyperlink"/>
            <w:rFonts w:cs="David" w:hint="cs"/>
            <w:sz w:val="24"/>
            <w:szCs w:val="24"/>
            <w:rtl/>
          </w:rPr>
          <w:t>העברת מלוא האחריות הביטוחית בתחום בריאות הנפש מם המדינה לקופות החולים</w:t>
        </w:r>
      </w:hyperlink>
      <w:r w:rsidRPr="001D0305">
        <w:rPr>
          <w:rFonts w:cs="David" w:hint="cs"/>
          <w:sz w:val="24"/>
          <w:szCs w:val="24"/>
          <w:rtl/>
        </w:rPr>
        <w:t xml:space="preserve">, </w:t>
      </w:r>
      <w:r w:rsidRPr="001D0305">
        <w:rPr>
          <w:rFonts w:cs="David"/>
          <w:sz w:val="24"/>
          <w:szCs w:val="24"/>
          <w:rtl/>
        </w:rPr>
        <w:t>10 מאי 2012</w:t>
      </w:r>
    </w:p>
    <w:p w:rsidR="00443383" w:rsidRPr="001D0305" w:rsidRDefault="00443383" w:rsidP="00DC2DB0">
      <w:pPr>
        <w:pStyle w:val="a9"/>
        <w:numPr>
          <w:ilvl w:val="0"/>
          <w:numId w:val="30"/>
        </w:numPr>
        <w:spacing w:line="360" w:lineRule="auto"/>
        <w:rPr>
          <w:rFonts w:cs="David"/>
          <w:sz w:val="24"/>
          <w:szCs w:val="24"/>
        </w:rPr>
      </w:pPr>
      <w:r w:rsidRPr="001D0305">
        <w:rPr>
          <w:rFonts w:cs="David" w:hint="cs"/>
          <w:sz w:val="24"/>
          <w:szCs w:val="24"/>
          <w:rtl/>
        </w:rPr>
        <w:t xml:space="preserve">החלטת ממשלה מס' 4686, </w:t>
      </w:r>
      <w:hyperlink r:id="rId44" w:history="1">
        <w:r w:rsidRPr="001D0305">
          <w:rPr>
            <w:rStyle w:val="Hyperlink"/>
            <w:rFonts w:cs="David" w:hint="cs"/>
            <w:sz w:val="24"/>
            <w:szCs w:val="24"/>
            <w:rtl/>
          </w:rPr>
          <w:t>התוכנית הלאומית לצמצום צריכה בלתי אחראית של אלכוהול</w:t>
        </w:r>
      </w:hyperlink>
      <w:r w:rsidRPr="001D0305">
        <w:rPr>
          <w:rFonts w:cs="David" w:hint="cs"/>
          <w:sz w:val="24"/>
          <w:szCs w:val="24"/>
          <w:rtl/>
        </w:rPr>
        <w:t>, 31 במאי 2012.</w:t>
      </w:r>
    </w:p>
    <w:p w:rsidR="00443383" w:rsidRPr="001D0305" w:rsidRDefault="00443383" w:rsidP="00DC2DB0">
      <w:pPr>
        <w:pStyle w:val="a9"/>
        <w:numPr>
          <w:ilvl w:val="0"/>
          <w:numId w:val="30"/>
        </w:numPr>
        <w:spacing w:line="360" w:lineRule="auto"/>
        <w:rPr>
          <w:rFonts w:cs="David"/>
          <w:sz w:val="24"/>
          <w:szCs w:val="24"/>
        </w:rPr>
      </w:pPr>
      <w:r w:rsidRPr="001D0305">
        <w:rPr>
          <w:rFonts w:asciiTheme="majorBidi" w:hAnsiTheme="majorBidi" w:cs="David"/>
          <w:sz w:val="24"/>
          <w:szCs w:val="24"/>
          <w:rtl/>
        </w:rPr>
        <w:t xml:space="preserve">החלטת ממשלה מס' 477, </w:t>
      </w:r>
      <w:hyperlink r:id="rId45" w:history="1">
        <w:r w:rsidRPr="001D0305">
          <w:rPr>
            <w:rStyle w:val="Hyperlink"/>
            <w:rFonts w:asciiTheme="majorBidi" w:hAnsiTheme="majorBidi" w:cs="David"/>
            <w:sz w:val="24"/>
            <w:szCs w:val="24"/>
            <w:rtl/>
          </w:rPr>
          <w:t>אימוץ דין וחשבון הוועדה הציבורית לבדיקת מצבם של ילדים ובני-נוער בסיכון ובמצוקה</w:t>
        </w:r>
      </w:hyperlink>
      <w:r w:rsidRPr="001D0305">
        <w:rPr>
          <w:rFonts w:asciiTheme="majorBidi" w:hAnsiTheme="majorBidi" w:cs="David"/>
          <w:sz w:val="24"/>
          <w:szCs w:val="24"/>
          <w:rtl/>
        </w:rPr>
        <w:t>, 12 בספטמבר 2006.</w:t>
      </w:r>
    </w:p>
    <w:p w:rsidR="00443383" w:rsidRPr="001D0305" w:rsidRDefault="00443383" w:rsidP="00DC2DB0">
      <w:pPr>
        <w:pStyle w:val="1"/>
        <w:numPr>
          <w:ilvl w:val="0"/>
          <w:numId w:val="30"/>
        </w:numPr>
        <w:spacing w:before="120"/>
        <w:ind w:left="726" w:right="11" w:hanging="357"/>
        <w:rPr>
          <w:b w:val="0"/>
          <w:bCs w:val="0"/>
          <w:sz w:val="24"/>
          <w:szCs w:val="24"/>
        </w:rPr>
      </w:pPr>
      <w:r w:rsidRPr="001D0305">
        <w:rPr>
          <w:rFonts w:hint="cs"/>
          <w:b w:val="0"/>
          <w:bCs w:val="0"/>
          <w:sz w:val="24"/>
          <w:szCs w:val="24"/>
          <w:rtl/>
        </w:rPr>
        <w:t xml:space="preserve">החלטת ממשלה מס' 575, </w:t>
      </w:r>
      <w:hyperlink r:id="rId46" w:history="1">
        <w:r w:rsidRPr="001D0305">
          <w:rPr>
            <w:rStyle w:val="Hyperlink"/>
            <w:rFonts w:hint="cs"/>
            <w:b w:val="0"/>
            <w:bCs w:val="0"/>
            <w:sz w:val="24"/>
            <w:szCs w:val="24"/>
            <w:rtl/>
          </w:rPr>
          <w:t>פרויקט "עיר ללא אלימות"</w:t>
        </w:r>
      </w:hyperlink>
      <w:r w:rsidRPr="001D0305">
        <w:rPr>
          <w:rFonts w:hint="cs"/>
          <w:b w:val="0"/>
          <w:bCs w:val="0"/>
          <w:sz w:val="24"/>
          <w:szCs w:val="24"/>
          <w:rtl/>
        </w:rPr>
        <w:t>, 12 באוקטובר 2006.</w:t>
      </w:r>
    </w:p>
    <w:p w:rsidR="00443383" w:rsidRPr="001D0305" w:rsidRDefault="00443383" w:rsidP="00DC2DB0">
      <w:pPr>
        <w:pStyle w:val="a9"/>
        <w:numPr>
          <w:ilvl w:val="0"/>
          <w:numId w:val="30"/>
        </w:numPr>
        <w:spacing w:line="360" w:lineRule="auto"/>
        <w:rPr>
          <w:rFonts w:cs="David"/>
          <w:sz w:val="24"/>
          <w:szCs w:val="24"/>
        </w:rPr>
      </w:pPr>
      <w:r w:rsidRPr="001D0305">
        <w:rPr>
          <w:rFonts w:cs="David" w:hint="cs"/>
          <w:sz w:val="24"/>
          <w:szCs w:val="24"/>
          <w:rtl/>
        </w:rPr>
        <w:t xml:space="preserve">החלטת ממשלה מס' 698, </w:t>
      </w:r>
      <w:hyperlink r:id="rId47" w:history="1">
        <w:r w:rsidRPr="001D0305">
          <w:rPr>
            <w:rStyle w:val="Hyperlink"/>
            <w:rFonts w:cs="David" w:hint="cs"/>
            <w:sz w:val="24"/>
            <w:szCs w:val="24"/>
            <w:rtl/>
          </w:rPr>
          <w:t>המשך יישום התוכנית הלאומית לצמצום הצריכה הבלתי אחראית של אלכוהול</w:t>
        </w:r>
      </w:hyperlink>
      <w:r w:rsidRPr="001D0305">
        <w:rPr>
          <w:rFonts w:cs="David" w:hint="cs"/>
          <w:sz w:val="24"/>
          <w:szCs w:val="24"/>
          <w:rtl/>
        </w:rPr>
        <w:t>, 21 אוגוסט 2013.</w:t>
      </w:r>
    </w:p>
    <w:p w:rsidR="00443383" w:rsidRPr="001D0305" w:rsidRDefault="00443383" w:rsidP="00DC2DB0">
      <w:pPr>
        <w:pStyle w:val="a9"/>
        <w:numPr>
          <w:ilvl w:val="0"/>
          <w:numId w:val="30"/>
        </w:numPr>
        <w:spacing w:line="360" w:lineRule="auto"/>
        <w:rPr>
          <w:rFonts w:cs="David"/>
          <w:sz w:val="24"/>
          <w:szCs w:val="24"/>
        </w:rPr>
      </w:pPr>
      <w:r w:rsidRPr="001D0305">
        <w:rPr>
          <w:rFonts w:asciiTheme="majorBidi" w:hAnsiTheme="majorBidi" w:cs="David"/>
          <w:sz w:val="24"/>
          <w:szCs w:val="24"/>
          <w:rtl/>
        </w:rPr>
        <w:t xml:space="preserve">החלטת ממשלה מס' 698, </w:t>
      </w:r>
      <w:hyperlink r:id="rId48" w:history="1">
        <w:r w:rsidRPr="001D0305">
          <w:rPr>
            <w:rStyle w:val="Hyperlink"/>
            <w:rFonts w:asciiTheme="majorBidi" w:hAnsiTheme="majorBidi" w:cs="David"/>
            <w:sz w:val="24"/>
            <w:szCs w:val="24"/>
            <w:rtl/>
          </w:rPr>
          <w:t>המשך יישום התוכנית הלאומית לצמצום הצריכה הבלתי אחראית של אלכוהול</w:t>
        </w:r>
      </w:hyperlink>
      <w:r w:rsidRPr="001D0305">
        <w:rPr>
          <w:rFonts w:asciiTheme="majorBidi" w:hAnsiTheme="majorBidi" w:cs="David"/>
          <w:sz w:val="24"/>
          <w:szCs w:val="24"/>
          <w:rtl/>
        </w:rPr>
        <w:t>, 21 אוגוסט 2013.</w:t>
      </w:r>
    </w:p>
    <w:p w:rsidR="00443383" w:rsidRPr="001D0305" w:rsidRDefault="00443383" w:rsidP="00DC2DB0">
      <w:pPr>
        <w:pStyle w:val="a9"/>
        <w:numPr>
          <w:ilvl w:val="0"/>
          <w:numId w:val="30"/>
        </w:numPr>
        <w:spacing w:line="360" w:lineRule="auto"/>
        <w:rPr>
          <w:rFonts w:cs="David"/>
          <w:sz w:val="24"/>
          <w:szCs w:val="24"/>
        </w:rPr>
      </w:pPr>
      <w:r w:rsidRPr="001D0305">
        <w:rPr>
          <w:rFonts w:cs="David" w:hint="cs"/>
          <w:sz w:val="24"/>
          <w:szCs w:val="24"/>
          <w:rtl/>
        </w:rPr>
        <w:t xml:space="preserve">החלטת ממשלה מס' 907, </w:t>
      </w:r>
      <w:hyperlink r:id="rId49" w:history="1">
        <w:r w:rsidRPr="001D0305">
          <w:rPr>
            <w:rStyle w:val="Hyperlink"/>
            <w:rFonts w:cs="David" w:hint="cs"/>
            <w:sz w:val="24"/>
            <w:szCs w:val="24"/>
            <w:rtl/>
          </w:rPr>
          <w:t>תוכנית לאומית לצמצום הצריכה המופרזת של אלכוהול ולצמצום נזקיו</w:t>
        </w:r>
      </w:hyperlink>
      <w:r w:rsidRPr="001D0305">
        <w:rPr>
          <w:rFonts w:cs="David" w:hint="cs"/>
          <w:sz w:val="24"/>
          <w:szCs w:val="24"/>
          <w:rtl/>
        </w:rPr>
        <w:t>, 15 בנובמבר 2009.</w:t>
      </w:r>
    </w:p>
    <w:p w:rsidR="00C3078A" w:rsidRPr="001D0305" w:rsidRDefault="00C3078A" w:rsidP="004013C4">
      <w:pPr>
        <w:pStyle w:val="2"/>
        <w:rPr>
          <w:rtl/>
        </w:rPr>
      </w:pPr>
      <w:bookmarkStart w:id="424" w:name="_Toc353962043"/>
      <w:bookmarkStart w:id="425" w:name="_Toc421694859"/>
      <w:bookmarkStart w:id="426" w:name="_Toc421697084"/>
      <w:r w:rsidRPr="001D0305">
        <w:rPr>
          <w:rFonts w:hint="cs"/>
          <w:rtl/>
        </w:rPr>
        <w:t>מסמכי הכנסת</w:t>
      </w:r>
      <w:bookmarkEnd w:id="424"/>
      <w:bookmarkEnd w:id="425"/>
      <w:bookmarkEnd w:id="426"/>
    </w:p>
    <w:p w:rsidR="00284E3C" w:rsidRPr="001D0305" w:rsidRDefault="00284E3C" w:rsidP="00DC2DB0">
      <w:pPr>
        <w:pStyle w:val="a9"/>
        <w:numPr>
          <w:ilvl w:val="0"/>
          <w:numId w:val="28"/>
        </w:numPr>
        <w:spacing w:before="120" w:after="120" w:line="360" w:lineRule="auto"/>
        <w:ind w:left="720" w:hanging="357"/>
        <w:rPr>
          <w:rFonts w:cs="David"/>
          <w:sz w:val="24"/>
          <w:szCs w:val="24"/>
        </w:rPr>
      </w:pPr>
      <w:r w:rsidRPr="001D0305">
        <w:rPr>
          <w:rFonts w:cs="David" w:hint="cs"/>
          <w:sz w:val="24"/>
          <w:szCs w:val="24"/>
          <w:rtl/>
        </w:rPr>
        <w:t xml:space="preserve">"דברי הכנסת" ה- 12, מושב 35, </w:t>
      </w:r>
      <w:r w:rsidRPr="001D0305">
        <w:rPr>
          <w:rFonts w:cs="David" w:hint="cs"/>
          <w:sz w:val="24"/>
          <w:szCs w:val="24"/>
          <w:u w:val="single"/>
          <w:rtl/>
        </w:rPr>
        <w:t>הצעת ועדת הכנסת להקים ועדה למלחמה בנגע הסמים</w:t>
      </w:r>
      <w:r w:rsidRPr="001D0305">
        <w:rPr>
          <w:rFonts w:cs="David" w:hint="cs"/>
          <w:sz w:val="24"/>
          <w:szCs w:val="24"/>
          <w:rtl/>
        </w:rPr>
        <w:t>, 14 בפברואר 1989.</w:t>
      </w:r>
    </w:p>
    <w:p w:rsidR="00284E3C" w:rsidRPr="001D0305" w:rsidRDefault="00284E3C" w:rsidP="00DC2DB0">
      <w:pPr>
        <w:pStyle w:val="a9"/>
        <w:numPr>
          <w:ilvl w:val="0"/>
          <w:numId w:val="28"/>
        </w:numPr>
        <w:spacing w:before="120" w:after="120" w:line="360" w:lineRule="auto"/>
        <w:ind w:left="720" w:hanging="357"/>
        <w:rPr>
          <w:rFonts w:cs="David"/>
          <w:sz w:val="24"/>
          <w:szCs w:val="24"/>
        </w:rPr>
      </w:pPr>
      <w:r w:rsidRPr="001D0305">
        <w:rPr>
          <w:rFonts w:cs="David" w:hint="cs"/>
          <w:sz w:val="24"/>
          <w:szCs w:val="24"/>
          <w:rtl/>
        </w:rPr>
        <w:t>"דברי הכנסת" ה- 19, מושב 95, עמ' 25, 24 לדצמבר 2013.</w:t>
      </w:r>
    </w:p>
    <w:p w:rsidR="00284E3C" w:rsidRPr="001D0305" w:rsidRDefault="00284E3C" w:rsidP="00443383">
      <w:pPr>
        <w:pStyle w:val="a9"/>
        <w:numPr>
          <w:ilvl w:val="0"/>
          <w:numId w:val="28"/>
        </w:numPr>
        <w:spacing w:before="120" w:after="120" w:line="360" w:lineRule="auto"/>
        <w:ind w:left="720" w:hanging="357"/>
        <w:rPr>
          <w:rFonts w:cs="David"/>
          <w:sz w:val="24"/>
          <w:szCs w:val="24"/>
        </w:rPr>
      </w:pPr>
      <w:r w:rsidRPr="001D0305">
        <w:rPr>
          <w:rFonts w:cs="David" w:hint="cs"/>
          <w:sz w:val="24"/>
          <w:szCs w:val="24"/>
          <w:rtl/>
        </w:rPr>
        <w:t xml:space="preserve">בוגייסקי </w:t>
      </w:r>
      <w:r>
        <w:rPr>
          <w:rFonts w:cs="David" w:hint="cs"/>
          <w:sz w:val="24"/>
          <w:szCs w:val="24"/>
          <w:rtl/>
        </w:rPr>
        <w:t>,</w:t>
      </w:r>
      <w:r w:rsidRPr="001D0305">
        <w:rPr>
          <w:rFonts w:cs="David" w:hint="cs"/>
          <w:sz w:val="24"/>
          <w:szCs w:val="24"/>
          <w:rtl/>
        </w:rPr>
        <w:t xml:space="preserve">יובל, </w:t>
      </w:r>
      <w:hyperlink r:id="rId50" w:history="1">
        <w:r w:rsidRPr="001D0305">
          <w:rPr>
            <w:rStyle w:val="Hyperlink"/>
            <w:rFonts w:cs="David" w:hint="cs"/>
            <w:sz w:val="24"/>
            <w:szCs w:val="24"/>
            <w:rtl/>
          </w:rPr>
          <w:t>סוגיות בתחום הטיפול של הוועדה למאבק בנגע הסמים</w:t>
        </w:r>
      </w:hyperlink>
      <w:r w:rsidRPr="001D0305">
        <w:rPr>
          <w:rFonts w:cs="David" w:hint="cs"/>
          <w:sz w:val="24"/>
          <w:szCs w:val="24"/>
          <w:rtl/>
        </w:rPr>
        <w:t>, מרכז המחקר והמידע של הכנסת, 25 באפריל 2013.</w:t>
      </w:r>
    </w:p>
    <w:p w:rsidR="00284E3C" w:rsidRPr="001D0305" w:rsidRDefault="00284E3C" w:rsidP="00443383">
      <w:pPr>
        <w:pStyle w:val="a9"/>
        <w:numPr>
          <w:ilvl w:val="0"/>
          <w:numId w:val="28"/>
        </w:numPr>
        <w:spacing w:before="120" w:after="120" w:line="360" w:lineRule="auto"/>
        <w:rPr>
          <w:rFonts w:cs="David"/>
          <w:sz w:val="24"/>
          <w:szCs w:val="24"/>
        </w:rPr>
      </w:pPr>
      <w:r w:rsidRPr="001D0305">
        <w:rPr>
          <w:rFonts w:cs="David" w:hint="cs"/>
          <w:sz w:val="24"/>
          <w:szCs w:val="24"/>
          <w:rtl/>
        </w:rPr>
        <w:t>בוגייסקי</w:t>
      </w:r>
      <w:r>
        <w:rPr>
          <w:rFonts w:cs="David" w:hint="cs"/>
          <w:sz w:val="24"/>
          <w:szCs w:val="24"/>
          <w:rtl/>
        </w:rPr>
        <w:t>,</w:t>
      </w:r>
      <w:r w:rsidRPr="001D0305">
        <w:rPr>
          <w:rFonts w:cs="David" w:hint="cs"/>
          <w:sz w:val="24"/>
          <w:szCs w:val="24"/>
          <w:rtl/>
        </w:rPr>
        <w:t xml:space="preserve"> יובל, </w:t>
      </w:r>
      <w:hyperlink r:id="rId51" w:history="1">
        <w:r w:rsidRPr="001D0305">
          <w:rPr>
            <w:rStyle w:val="Hyperlink"/>
            <w:rFonts w:cs="David" w:hint="cs"/>
            <w:sz w:val="24"/>
            <w:szCs w:val="24"/>
            <w:rtl/>
          </w:rPr>
          <w:t>הגופים המופקדים על הסדרת השימוש בקנביס למטרות רפואיות במדינות שונות בעולם</w:t>
        </w:r>
      </w:hyperlink>
      <w:r w:rsidRPr="001D0305">
        <w:rPr>
          <w:rFonts w:cs="David" w:hint="cs"/>
          <w:sz w:val="24"/>
          <w:szCs w:val="24"/>
          <w:rtl/>
        </w:rPr>
        <w:t>, מרכז המחקר והמידע של הכנסת, 20 באוקטובר 2013.</w:t>
      </w:r>
    </w:p>
    <w:p w:rsidR="00284E3C" w:rsidRPr="00130402" w:rsidRDefault="00284E3C" w:rsidP="00DC2DB0">
      <w:pPr>
        <w:pStyle w:val="a9"/>
        <w:numPr>
          <w:ilvl w:val="0"/>
          <w:numId w:val="28"/>
        </w:numPr>
        <w:spacing w:before="120" w:after="120" w:line="360" w:lineRule="auto"/>
        <w:rPr>
          <w:rFonts w:cs="David"/>
          <w:sz w:val="24"/>
          <w:szCs w:val="24"/>
        </w:rPr>
      </w:pPr>
      <w:r w:rsidRPr="001D0305">
        <w:rPr>
          <w:rFonts w:asciiTheme="majorBidi" w:hAnsiTheme="majorBidi" w:cs="David"/>
          <w:sz w:val="24"/>
          <w:szCs w:val="24"/>
          <w:rtl/>
        </w:rPr>
        <w:t>הוועדה למאבק בנגעי הסמים והאלכוהול</w:t>
      </w:r>
      <w:r>
        <w:rPr>
          <w:rFonts w:asciiTheme="majorBidi" w:hAnsiTheme="majorBidi" w:cs="David" w:hint="cs"/>
          <w:sz w:val="24"/>
          <w:szCs w:val="24"/>
          <w:rtl/>
        </w:rPr>
        <w:t>,</w:t>
      </w:r>
      <w:r w:rsidRPr="001D0305">
        <w:rPr>
          <w:rFonts w:asciiTheme="majorBidi" w:hAnsiTheme="majorBidi" w:cs="David" w:hint="cs"/>
          <w:sz w:val="24"/>
          <w:szCs w:val="24"/>
          <w:rtl/>
        </w:rPr>
        <w:t xml:space="preserve"> </w:t>
      </w:r>
      <w:r w:rsidRPr="00130402">
        <w:rPr>
          <w:rFonts w:asciiTheme="majorBidi" w:hAnsiTheme="majorBidi" w:cs="David"/>
          <w:sz w:val="24"/>
          <w:szCs w:val="24"/>
          <w:rtl/>
        </w:rPr>
        <w:t xml:space="preserve">פרוטוקול מס' 2, </w:t>
      </w:r>
      <w:hyperlink r:id="rId52" w:history="1">
        <w:r w:rsidRPr="00DC0C90">
          <w:rPr>
            <w:rStyle w:val="ab"/>
            <w:rFonts w:asciiTheme="majorBidi" w:hAnsiTheme="majorBidi" w:cs="David"/>
            <w:color w:val="0000FF"/>
            <w:sz w:val="24"/>
            <w:szCs w:val="24"/>
            <w:u w:val="single"/>
            <w:vertAlign w:val="baseline"/>
            <w:rtl/>
          </w:rPr>
          <w:t>הערכות הרשות הלאומית למלחמה בסמים ובאלכוהול ומשרדי החינוך והרווחה לקראת אתגרי הקיץ בכלל והחופש הגדול בפרט</w:t>
        </w:r>
      </w:hyperlink>
      <w:r w:rsidRPr="00DC0C90">
        <w:rPr>
          <w:rFonts w:asciiTheme="majorBidi" w:hAnsiTheme="majorBidi" w:cs="David"/>
          <w:color w:val="0000FF"/>
          <w:sz w:val="24"/>
          <w:szCs w:val="24"/>
          <w:u w:val="single"/>
          <w:rtl/>
        </w:rPr>
        <w:t>,</w:t>
      </w:r>
      <w:r w:rsidRPr="00130402">
        <w:rPr>
          <w:rFonts w:asciiTheme="majorBidi" w:hAnsiTheme="majorBidi" w:cs="David"/>
          <w:sz w:val="24"/>
          <w:szCs w:val="24"/>
          <w:rtl/>
        </w:rPr>
        <w:t xml:space="preserve"> 2 ביולי 2012</w:t>
      </w:r>
      <w:r w:rsidRPr="00130402">
        <w:rPr>
          <w:rFonts w:asciiTheme="majorBidi" w:hAnsiTheme="majorBidi" w:cs="David" w:hint="cs"/>
          <w:sz w:val="24"/>
          <w:szCs w:val="24"/>
          <w:rtl/>
        </w:rPr>
        <w:t xml:space="preserve">; </w:t>
      </w:r>
      <w:r w:rsidRPr="00130402">
        <w:rPr>
          <w:rFonts w:asciiTheme="majorBidi" w:hAnsiTheme="majorBidi" w:cs="David"/>
          <w:sz w:val="24"/>
          <w:szCs w:val="24"/>
          <w:rtl/>
        </w:rPr>
        <w:t xml:space="preserve">פרוטוקול מס' 3, </w:t>
      </w:r>
      <w:r w:rsidRPr="00DC0C90">
        <w:rPr>
          <w:rFonts w:asciiTheme="majorBidi" w:hAnsiTheme="majorBidi" w:cs="David"/>
          <w:color w:val="0000FF"/>
          <w:sz w:val="24"/>
          <w:szCs w:val="24"/>
          <w:u w:val="single"/>
          <w:rtl/>
        </w:rPr>
        <w:t>התקציב לשנת 2013-2014 לרשות הלאומית למלחמה בסמים ובאלכוהול ולמשרדי הממשלה העוסקים בתחום</w:t>
      </w:r>
      <w:r w:rsidRPr="00130402">
        <w:rPr>
          <w:rFonts w:asciiTheme="majorBidi" w:hAnsiTheme="majorBidi" w:cs="David"/>
          <w:sz w:val="24"/>
          <w:szCs w:val="24"/>
          <w:rtl/>
        </w:rPr>
        <w:t>, 9 ביולי 2013</w:t>
      </w:r>
      <w:r w:rsidRPr="00130402">
        <w:rPr>
          <w:rFonts w:asciiTheme="majorBidi" w:hAnsiTheme="majorBidi" w:cs="David" w:hint="cs"/>
          <w:sz w:val="24"/>
          <w:szCs w:val="24"/>
          <w:rtl/>
        </w:rPr>
        <w:t>;</w:t>
      </w:r>
      <w:r w:rsidRPr="00DC0C90">
        <w:rPr>
          <w:rFonts w:asciiTheme="majorBidi" w:hAnsiTheme="majorBidi" w:cs="David"/>
          <w:sz w:val="24"/>
          <w:szCs w:val="24"/>
          <w:rtl/>
        </w:rPr>
        <w:t xml:space="preserve"> </w:t>
      </w:r>
      <w:r w:rsidRPr="00130402">
        <w:rPr>
          <w:rFonts w:asciiTheme="majorBidi" w:hAnsiTheme="majorBidi" w:cs="David"/>
          <w:sz w:val="24"/>
          <w:szCs w:val="24"/>
          <w:rtl/>
        </w:rPr>
        <w:t xml:space="preserve">פרוטוקול מס' 4, </w:t>
      </w:r>
      <w:hyperlink r:id="rId53" w:history="1">
        <w:r w:rsidRPr="00130402">
          <w:rPr>
            <w:rStyle w:val="Hyperlink"/>
            <w:rFonts w:asciiTheme="majorBidi" w:hAnsiTheme="majorBidi" w:cs="David"/>
            <w:sz w:val="24"/>
            <w:szCs w:val="24"/>
            <w:rtl/>
          </w:rPr>
          <w:t>סיור בנמל חיפה</w:t>
        </w:r>
      </w:hyperlink>
      <w:r w:rsidRPr="00130402">
        <w:rPr>
          <w:rFonts w:asciiTheme="majorBidi" w:hAnsiTheme="majorBidi" w:cs="David"/>
          <w:sz w:val="24"/>
          <w:szCs w:val="24"/>
          <w:rtl/>
        </w:rPr>
        <w:t>, 18 ביולי 2013.</w:t>
      </w:r>
      <w:r>
        <w:rPr>
          <w:rFonts w:asciiTheme="majorBidi" w:hAnsiTheme="majorBidi" w:cs="David"/>
          <w:sz w:val="24"/>
          <w:szCs w:val="24"/>
          <w:lang w:val="en-US"/>
        </w:rPr>
        <w:t xml:space="preserve"> </w:t>
      </w:r>
      <w:r w:rsidRPr="00130402">
        <w:rPr>
          <w:rFonts w:asciiTheme="majorBidi" w:hAnsiTheme="majorBidi" w:cs="David"/>
          <w:sz w:val="24"/>
          <w:szCs w:val="24"/>
          <w:rtl/>
        </w:rPr>
        <w:t xml:space="preserve">פרוטוקול מס' 5, </w:t>
      </w:r>
      <w:hyperlink r:id="rId54" w:history="1">
        <w:r w:rsidRPr="00DC0C90">
          <w:rPr>
            <w:rStyle w:val="ab"/>
            <w:rFonts w:asciiTheme="majorBidi" w:hAnsiTheme="majorBidi" w:cs="David"/>
            <w:color w:val="0000FF"/>
            <w:sz w:val="24"/>
            <w:szCs w:val="24"/>
            <w:u w:val="single"/>
            <w:vertAlign w:val="baseline"/>
            <w:rtl/>
          </w:rPr>
          <w:t>סחר והפצת סמים באמצעות רשת האינטרנט</w:t>
        </w:r>
      </w:hyperlink>
      <w:r w:rsidRPr="00130402">
        <w:rPr>
          <w:rFonts w:asciiTheme="majorBidi" w:hAnsiTheme="majorBidi" w:cs="David"/>
          <w:sz w:val="24"/>
          <w:szCs w:val="24"/>
          <w:rtl/>
        </w:rPr>
        <w:t>, 5 בנובמבר 2013</w:t>
      </w:r>
      <w:r w:rsidRPr="00130402">
        <w:rPr>
          <w:rFonts w:asciiTheme="majorBidi" w:hAnsiTheme="majorBidi" w:cs="David" w:hint="cs"/>
          <w:sz w:val="24"/>
          <w:szCs w:val="24"/>
          <w:rtl/>
        </w:rPr>
        <w:t>;</w:t>
      </w:r>
      <w:r>
        <w:rPr>
          <w:rFonts w:asciiTheme="majorBidi" w:hAnsiTheme="majorBidi" w:cs="David"/>
          <w:sz w:val="24"/>
          <w:szCs w:val="24"/>
          <w:lang w:val="en-US"/>
        </w:rPr>
        <w:t xml:space="preserve"> </w:t>
      </w:r>
      <w:r w:rsidRPr="00130402">
        <w:rPr>
          <w:rFonts w:asciiTheme="majorBidi" w:hAnsiTheme="majorBidi" w:cs="David"/>
          <w:sz w:val="24"/>
          <w:szCs w:val="24"/>
          <w:rtl/>
        </w:rPr>
        <w:t xml:space="preserve">פרוטוקול מס' 6, </w:t>
      </w:r>
      <w:hyperlink r:id="rId55" w:history="1">
        <w:r w:rsidRPr="00DC0C90">
          <w:rPr>
            <w:rStyle w:val="ab"/>
            <w:rFonts w:asciiTheme="majorBidi" w:hAnsiTheme="majorBidi" w:cs="David"/>
            <w:color w:val="0000FF"/>
            <w:sz w:val="24"/>
            <w:szCs w:val="24"/>
            <w:u w:val="single"/>
            <w:vertAlign w:val="baseline"/>
            <w:rtl/>
          </w:rPr>
          <w:t>כלים להתמודדות יעילה עם תופעת סחר והפצת סמים באמצעות רשת האינטרנט</w:t>
        </w:r>
      </w:hyperlink>
      <w:r w:rsidRPr="00130402">
        <w:rPr>
          <w:rFonts w:asciiTheme="majorBidi" w:hAnsiTheme="majorBidi" w:cs="David"/>
          <w:sz w:val="24"/>
          <w:szCs w:val="24"/>
          <w:rtl/>
        </w:rPr>
        <w:t>, 20 בנובמבר 2013;</w:t>
      </w:r>
      <w:r>
        <w:rPr>
          <w:rFonts w:asciiTheme="majorBidi" w:hAnsiTheme="majorBidi" w:cs="David"/>
          <w:sz w:val="24"/>
          <w:szCs w:val="24"/>
          <w:lang w:val="en-US"/>
        </w:rPr>
        <w:t xml:space="preserve"> </w:t>
      </w:r>
      <w:r w:rsidRPr="00130402">
        <w:rPr>
          <w:rFonts w:asciiTheme="majorBidi" w:hAnsiTheme="majorBidi" w:cs="David"/>
          <w:sz w:val="24"/>
          <w:szCs w:val="24"/>
          <w:rtl/>
        </w:rPr>
        <w:t>פרוטוקול</w:t>
      </w:r>
      <w:r w:rsidRPr="00130402">
        <w:rPr>
          <w:rFonts w:asciiTheme="majorBidi" w:hAnsiTheme="majorBidi" w:cs="David" w:hint="cs"/>
          <w:sz w:val="24"/>
          <w:szCs w:val="24"/>
          <w:rtl/>
        </w:rPr>
        <w:t>,</w:t>
      </w:r>
      <w:r w:rsidRPr="00130402">
        <w:rPr>
          <w:rFonts w:asciiTheme="majorBidi" w:hAnsiTheme="majorBidi" w:cs="David"/>
          <w:sz w:val="24"/>
          <w:szCs w:val="24"/>
          <w:rtl/>
        </w:rPr>
        <w:t xml:space="preserve"> </w:t>
      </w:r>
      <w:hyperlink r:id="rId56" w:history="1">
        <w:r w:rsidRPr="00DC0C90">
          <w:rPr>
            <w:rStyle w:val="ab"/>
            <w:rFonts w:asciiTheme="majorBidi" w:hAnsiTheme="majorBidi" w:cs="David"/>
            <w:color w:val="0000FF"/>
            <w:sz w:val="24"/>
            <w:szCs w:val="24"/>
            <w:u w:val="single"/>
            <w:vertAlign w:val="baseline"/>
            <w:rtl/>
          </w:rPr>
          <w:t>תיאום פעילות ושיתוף פעולה בינלאומי למאבק בסחר והפצת סמים באמצעות רשת האינטרנט</w:t>
        </w:r>
      </w:hyperlink>
      <w:r w:rsidRPr="00130402">
        <w:rPr>
          <w:rFonts w:asciiTheme="majorBidi" w:hAnsiTheme="majorBidi" w:cs="David"/>
          <w:sz w:val="24"/>
          <w:szCs w:val="24"/>
          <w:rtl/>
        </w:rPr>
        <w:t>, 26 בנובמבר 2013;</w:t>
      </w:r>
      <w:r>
        <w:rPr>
          <w:rFonts w:asciiTheme="majorBidi" w:hAnsiTheme="majorBidi" w:cs="David"/>
          <w:sz w:val="24"/>
          <w:szCs w:val="24"/>
          <w:lang w:val="en-US"/>
        </w:rPr>
        <w:t xml:space="preserve"> </w:t>
      </w:r>
      <w:r w:rsidRPr="00130402">
        <w:rPr>
          <w:rFonts w:asciiTheme="majorBidi" w:hAnsiTheme="majorBidi" w:cs="David"/>
          <w:sz w:val="24"/>
          <w:szCs w:val="24"/>
          <w:rtl/>
        </w:rPr>
        <w:t xml:space="preserve">פרוטוקול מס' 7, </w:t>
      </w:r>
      <w:hyperlink r:id="rId57" w:history="1">
        <w:r w:rsidRPr="00DC0C90">
          <w:rPr>
            <w:rStyle w:val="ab"/>
            <w:rFonts w:asciiTheme="majorBidi" w:hAnsiTheme="majorBidi" w:cs="David"/>
            <w:color w:val="0000FF"/>
            <w:sz w:val="24"/>
            <w:szCs w:val="24"/>
            <w:u w:val="single"/>
            <w:vertAlign w:val="baseline"/>
            <w:rtl/>
          </w:rPr>
          <w:t>התמכרויות לא מרפאות דיפרסיה לבני נוער, על הסיבה לשימוש בסמים, התוצאה, המוצא - הצעות לפתרון. לציון שבוע הסמים הלאומי</w:t>
        </w:r>
      </w:hyperlink>
      <w:r w:rsidRPr="00130402">
        <w:rPr>
          <w:rFonts w:asciiTheme="majorBidi" w:hAnsiTheme="majorBidi" w:cs="David"/>
          <w:sz w:val="24"/>
          <w:szCs w:val="24"/>
          <w:rtl/>
        </w:rPr>
        <w:t>, 10 בדצמבר 2013;</w:t>
      </w:r>
      <w:r>
        <w:rPr>
          <w:rFonts w:asciiTheme="majorBidi" w:hAnsiTheme="majorBidi" w:cs="David"/>
          <w:sz w:val="24"/>
          <w:szCs w:val="24"/>
          <w:lang w:val="en-US"/>
        </w:rPr>
        <w:t xml:space="preserve"> </w:t>
      </w:r>
      <w:r w:rsidRPr="00130402">
        <w:rPr>
          <w:rFonts w:asciiTheme="majorBidi" w:hAnsiTheme="majorBidi" w:cs="David"/>
          <w:sz w:val="24"/>
          <w:szCs w:val="24"/>
          <w:rtl/>
        </w:rPr>
        <w:t xml:space="preserve">פרוטוקול מס' 8, </w:t>
      </w:r>
      <w:hyperlink r:id="rId58" w:history="1">
        <w:r w:rsidRPr="00DC0C90">
          <w:rPr>
            <w:rStyle w:val="ab"/>
            <w:rFonts w:asciiTheme="majorBidi" w:hAnsiTheme="majorBidi" w:cs="David"/>
            <w:color w:val="0000FF"/>
            <w:sz w:val="24"/>
            <w:szCs w:val="24"/>
            <w:u w:val="single"/>
            <w:vertAlign w:val="baseline"/>
            <w:rtl/>
          </w:rPr>
          <w:t xml:space="preserve">הצגת המלצות לחיזוק שיתוף הפעולה הבינלאומי בתחום הסחר והפצת סמים באמצעות רשת האינטרנט – בהשתתפות נציג הארגון </w:t>
        </w:r>
        <w:r w:rsidRPr="00DC0C90">
          <w:rPr>
            <w:rStyle w:val="ab"/>
            <w:rFonts w:asciiTheme="majorBidi" w:hAnsiTheme="majorBidi" w:cs="David"/>
            <w:color w:val="0000FF"/>
            <w:sz w:val="24"/>
            <w:szCs w:val="24"/>
            <w:u w:val="single"/>
            <w:vertAlign w:val="baseline"/>
          </w:rPr>
          <w:t>UNODC</w:t>
        </w:r>
        <w:r w:rsidRPr="00DC0C90">
          <w:rPr>
            <w:rStyle w:val="ab"/>
            <w:rFonts w:asciiTheme="majorBidi" w:hAnsiTheme="majorBidi" w:cs="David"/>
            <w:color w:val="0000FF"/>
            <w:sz w:val="24"/>
            <w:szCs w:val="24"/>
            <w:u w:val="single"/>
            <w:vertAlign w:val="baseline"/>
            <w:rtl/>
          </w:rPr>
          <w:t xml:space="preserve"> בווינה, ד"ר ג'ילברטו ג'רה</w:t>
        </w:r>
      </w:hyperlink>
      <w:r w:rsidRPr="00130402">
        <w:rPr>
          <w:rFonts w:asciiTheme="majorBidi" w:hAnsiTheme="majorBidi" w:cs="David"/>
          <w:sz w:val="24"/>
          <w:szCs w:val="24"/>
          <w:rtl/>
        </w:rPr>
        <w:t>, 11 בדצמבר 2013;</w:t>
      </w:r>
      <w:r w:rsidRPr="00F71120">
        <w:rPr>
          <w:rFonts w:asciiTheme="majorBidi" w:hAnsiTheme="majorBidi" w:cs="David"/>
          <w:sz w:val="24"/>
          <w:szCs w:val="24"/>
          <w:rtl/>
        </w:rPr>
        <w:t xml:space="preserve"> </w:t>
      </w:r>
      <w:r w:rsidRPr="00130402">
        <w:rPr>
          <w:rFonts w:asciiTheme="majorBidi" w:hAnsiTheme="majorBidi" w:cs="David"/>
          <w:sz w:val="24"/>
          <w:szCs w:val="24"/>
          <w:rtl/>
        </w:rPr>
        <w:t xml:space="preserve">פרוטוקול מס' 10, </w:t>
      </w:r>
      <w:hyperlink r:id="rId59" w:history="1">
        <w:r w:rsidRPr="00DC0C90">
          <w:rPr>
            <w:rStyle w:val="ab"/>
            <w:rFonts w:asciiTheme="majorBidi" w:hAnsiTheme="majorBidi" w:cs="David"/>
            <w:color w:val="0000FF"/>
            <w:sz w:val="24"/>
            <w:szCs w:val="24"/>
            <w:u w:val="single"/>
            <w:vertAlign w:val="baseline"/>
            <w:rtl/>
          </w:rPr>
          <w:t>היקף השימוש בריטלין בקרב צעירים וסטודנטים</w:t>
        </w:r>
      </w:hyperlink>
      <w:r w:rsidRPr="00130402">
        <w:rPr>
          <w:rFonts w:asciiTheme="majorBidi" w:hAnsiTheme="majorBidi" w:cs="David"/>
          <w:sz w:val="24"/>
          <w:szCs w:val="24"/>
          <w:rtl/>
        </w:rPr>
        <w:t>, 24 בדצמבר 2013;</w:t>
      </w:r>
      <w:r>
        <w:rPr>
          <w:rFonts w:asciiTheme="majorBidi" w:hAnsiTheme="majorBidi" w:cs="David"/>
          <w:sz w:val="24"/>
          <w:szCs w:val="24"/>
          <w:lang w:val="en-US"/>
        </w:rPr>
        <w:t xml:space="preserve"> </w:t>
      </w:r>
      <w:r w:rsidRPr="00130402">
        <w:rPr>
          <w:rFonts w:asciiTheme="majorBidi" w:hAnsiTheme="majorBidi" w:cs="David"/>
          <w:sz w:val="24"/>
          <w:szCs w:val="24"/>
          <w:rtl/>
        </w:rPr>
        <w:t xml:space="preserve">פרוטוקול מס' 11, </w:t>
      </w:r>
      <w:hyperlink r:id="rId60" w:history="1">
        <w:r w:rsidRPr="00DC0C90">
          <w:rPr>
            <w:rStyle w:val="ab"/>
            <w:rFonts w:asciiTheme="majorBidi" w:hAnsiTheme="majorBidi" w:cs="David"/>
            <w:color w:val="0000FF"/>
            <w:sz w:val="24"/>
            <w:szCs w:val="24"/>
            <w:u w:val="single"/>
            <w:vertAlign w:val="baseline"/>
            <w:rtl/>
          </w:rPr>
          <w:t>דפוסי השתייה הבעייתית של אלכוהול בקרב בני נוער וצעירים - הצורך באסטרטגיות חדשות לצמצום התופעה</w:t>
        </w:r>
      </w:hyperlink>
      <w:r w:rsidRPr="00130402">
        <w:rPr>
          <w:rFonts w:asciiTheme="majorBidi" w:hAnsiTheme="majorBidi" w:cs="David"/>
          <w:sz w:val="24"/>
          <w:szCs w:val="24"/>
          <w:rtl/>
        </w:rPr>
        <w:t xml:space="preserve">, 30 דצמבר 2013; פרוטוקול מס' 12, </w:t>
      </w:r>
      <w:hyperlink r:id="rId61" w:history="1">
        <w:r w:rsidRPr="00DC0C90">
          <w:rPr>
            <w:rStyle w:val="ab"/>
            <w:rFonts w:asciiTheme="majorBidi" w:hAnsiTheme="majorBidi" w:cs="David"/>
            <w:color w:val="0000FF"/>
            <w:sz w:val="24"/>
            <w:szCs w:val="24"/>
            <w:u w:val="single"/>
            <w:vertAlign w:val="baseline"/>
            <w:rtl/>
          </w:rPr>
          <w:t>סקירת המשטרה: סיכום שנת 2013 ומגמות בתחום המאבק בסמים</w:t>
        </w:r>
      </w:hyperlink>
      <w:r w:rsidRPr="00130402">
        <w:rPr>
          <w:rFonts w:asciiTheme="majorBidi" w:hAnsiTheme="majorBidi" w:cs="David"/>
          <w:sz w:val="24"/>
          <w:szCs w:val="24"/>
          <w:rtl/>
        </w:rPr>
        <w:t>, 20 בינואר 2014;</w:t>
      </w:r>
      <w:r>
        <w:rPr>
          <w:rFonts w:asciiTheme="majorBidi" w:hAnsiTheme="majorBidi" w:cs="David"/>
          <w:sz w:val="24"/>
          <w:szCs w:val="24"/>
          <w:lang w:val="en-US"/>
        </w:rPr>
        <w:t xml:space="preserve"> </w:t>
      </w:r>
      <w:r w:rsidRPr="00130402">
        <w:rPr>
          <w:rFonts w:asciiTheme="majorBidi" w:hAnsiTheme="majorBidi" w:cs="David"/>
          <w:sz w:val="24"/>
          <w:szCs w:val="24"/>
          <w:rtl/>
        </w:rPr>
        <w:t xml:space="preserve">פרוטוקול מס' 13, </w:t>
      </w:r>
      <w:hyperlink r:id="rId62" w:history="1">
        <w:r w:rsidRPr="00DC0C90">
          <w:rPr>
            <w:rStyle w:val="ab"/>
            <w:rFonts w:asciiTheme="majorBidi" w:hAnsiTheme="majorBidi" w:cs="David"/>
            <w:color w:val="0000FF"/>
            <w:sz w:val="24"/>
            <w:szCs w:val="24"/>
            <w:u w:val="single"/>
            <w:vertAlign w:val="baseline"/>
            <w:rtl/>
          </w:rPr>
          <w:t>האסטרטגיה הגלובלית לצמצום נזקי האלכוהול</w:t>
        </w:r>
      </w:hyperlink>
      <w:r w:rsidRPr="00130402">
        <w:rPr>
          <w:rFonts w:asciiTheme="majorBidi" w:hAnsiTheme="majorBidi" w:cs="David"/>
          <w:sz w:val="24"/>
          <w:szCs w:val="24"/>
          <w:rtl/>
        </w:rPr>
        <w:t>, 28 בינואר 2014</w:t>
      </w:r>
      <w:r>
        <w:rPr>
          <w:rFonts w:asciiTheme="majorBidi" w:hAnsiTheme="majorBidi" w:cs="David" w:hint="cs"/>
          <w:sz w:val="24"/>
          <w:szCs w:val="24"/>
          <w:rtl/>
        </w:rPr>
        <w:t xml:space="preserve">; </w:t>
      </w:r>
      <w:r w:rsidRPr="00130402">
        <w:rPr>
          <w:rFonts w:asciiTheme="majorBidi" w:hAnsiTheme="majorBidi" w:cs="David"/>
          <w:sz w:val="24"/>
          <w:szCs w:val="24"/>
          <w:rtl/>
        </w:rPr>
        <w:t xml:space="preserve">פרוטוקול מס' 14, </w:t>
      </w:r>
      <w:hyperlink r:id="rId63" w:history="1">
        <w:r w:rsidRPr="00130402">
          <w:rPr>
            <w:rStyle w:val="Hyperlink"/>
            <w:rFonts w:asciiTheme="majorBidi" w:hAnsiTheme="majorBidi" w:cs="David"/>
            <w:sz w:val="24"/>
            <w:szCs w:val="24"/>
            <w:rtl/>
          </w:rPr>
          <w:t>חידושים בנושא שתיית אלכוהול במהלך ההיריון ובתקופת ההנקה ונגישות המידע</w:t>
        </w:r>
      </w:hyperlink>
      <w:r w:rsidRPr="00130402">
        <w:rPr>
          <w:rFonts w:asciiTheme="majorBidi" w:hAnsiTheme="majorBidi" w:cs="David"/>
          <w:sz w:val="24"/>
          <w:szCs w:val="24"/>
          <w:rtl/>
        </w:rPr>
        <w:t>, 4 בפברואר 2014</w:t>
      </w:r>
      <w:r w:rsidRPr="00130402">
        <w:rPr>
          <w:rFonts w:asciiTheme="majorBidi" w:hAnsiTheme="majorBidi" w:cs="David" w:hint="cs"/>
          <w:sz w:val="24"/>
          <w:szCs w:val="24"/>
          <w:rtl/>
        </w:rPr>
        <w:t>;</w:t>
      </w:r>
      <w:r>
        <w:rPr>
          <w:rFonts w:asciiTheme="majorBidi" w:hAnsiTheme="majorBidi" w:cs="David"/>
          <w:sz w:val="24"/>
          <w:szCs w:val="24"/>
          <w:lang w:val="en-US"/>
        </w:rPr>
        <w:t xml:space="preserve"> </w:t>
      </w:r>
      <w:r w:rsidRPr="00130402">
        <w:rPr>
          <w:rFonts w:asciiTheme="majorBidi" w:hAnsiTheme="majorBidi" w:cs="David"/>
          <w:sz w:val="24"/>
          <w:szCs w:val="24"/>
          <w:rtl/>
        </w:rPr>
        <w:t xml:space="preserve">פרוטוקול מס' 15, </w:t>
      </w:r>
      <w:hyperlink r:id="rId64" w:history="1">
        <w:r w:rsidRPr="00DC0C90">
          <w:rPr>
            <w:rStyle w:val="ab"/>
            <w:rFonts w:asciiTheme="majorBidi" w:hAnsiTheme="majorBidi" w:cs="David"/>
            <w:color w:val="0000FF"/>
            <w:sz w:val="24"/>
            <w:szCs w:val="24"/>
            <w:u w:val="single"/>
            <w:vertAlign w:val="baseline"/>
            <w:rtl/>
          </w:rPr>
          <w:t>עולמם של בני הנוער 2014 - תפקיד הרשויות המקומיות ביצירת תרבות בילוי ופנאי כפתרון לנגעי הסמים והאלכוהול במוקדי בילוי</w:t>
        </w:r>
      </w:hyperlink>
      <w:r w:rsidRPr="00130402">
        <w:rPr>
          <w:rFonts w:asciiTheme="majorBidi" w:hAnsiTheme="majorBidi" w:cs="David"/>
          <w:sz w:val="24"/>
          <w:szCs w:val="24"/>
          <w:rtl/>
        </w:rPr>
        <w:t>, 11 בפברואר 2014;</w:t>
      </w:r>
      <w:r>
        <w:rPr>
          <w:rFonts w:asciiTheme="majorBidi" w:hAnsiTheme="majorBidi" w:cs="David"/>
          <w:sz w:val="24"/>
          <w:szCs w:val="24"/>
          <w:lang w:val="en-US"/>
        </w:rPr>
        <w:t xml:space="preserve"> </w:t>
      </w:r>
      <w:r w:rsidRPr="00130402">
        <w:rPr>
          <w:rFonts w:asciiTheme="majorBidi" w:hAnsiTheme="majorBidi" w:cs="David"/>
          <w:sz w:val="24"/>
          <w:szCs w:val="24"/>
          <w:rtl/>
        </w:rPr>
        <w:t xml:space="preserve">פרוטוקול מס' 16, </w:t>
      </w:r>
      <w:hyperlink r:id="rId65" w:history="1">
        <w:r w:rsidRPr="00DC0C90">
          <w:rPr>
            <w:rStyle w:val="ab"/>
            <w:rFonts w:asciiTheme="majorBidi" w:hAnsiTheme="majorBidi" w:cs="David"/>
            <w:color w:val="0000FF"/>
            <w:sz w:val="24"/>
            <w:szCs w:val="24"/>
            <w:u w:val="single"/>
            <w:vertAlign w:val="baseline"/>
            <w:rtl/>
          </w:rPr>
          <w:t>תחלואה כפולה – צורכי הטיפול ומציאות בשטח</w:t>
        </w:r>
      </w:hyperlink>
      <w:r w:rsidRPr="00130402">
        <w:rPr>
          <w:rFonts w:asciiTheme="majorBidi" w:hAnsiTheme="majorBidi" w:cs="David"/>
          <w:sz w:val="24"/>
          <w:szCs w:val="24"/>
          <w:rtl/>
        </w:rPr>
        <w:t>, 18 בפברואר 2014</w:t>
      </w:r>
      <w:r w:rsidRPr="00130402">
        <w:rPr>
          <w:rFonts w:asciiTheme="majorBidi" w:hAnsiTheme="majorBidi" w:cs="David" w:hint="cs"/>
          <w:sz w:val="24"/>
          <w:szCs w:val="24"/>
          <w:rtl/>
        </w:rPr>
        <w:t xml:space="preserve">; </w:t>
      </w:r>
      <w:r w:rsidRPr="001D0305">
        <w:rPr>
          <w:rFonts w:asciiTheme="majorBidi" w:hAnsiTheme="majorBidi" w:cs="David"/>
          <w:sz w:val="24"/>
          <w:szCs w:val="24"/>
          <w:rtl/>
        </w:rPr>
        <w:t>פרוטוקול מס' 17</w:t>
      </w:r>
      <w:r w:rsidRPr="00130402">
        <w:rPr>
          <w:rFonts w:asciiTheme="majorBidi" w:hAnsiTheme="majorBidi" w:cs="David"/>
          <w:sz w:val="24"/>
          <w:szCs w:val="24"/>
          <w:rtl/>
        </w:rPr>
        <w:t xml:space="preserve">, </w:t>
      </w:r>
      <w:hyperlink r:id="rId66" w:history="1">
        <w:r w:rsidRPr="00DC0C90">
          <w:rPr>
            <w:rStyle w:val="ab"/>
            <w:rFonts w:asciiTheme="majorBidi" w:hAnsiTheme="majorBidi" w:cs="David"/>
            <w:color w:val="0000FF"/>
            <w:sz w:val="24"/>
            <w:szCs w:val="24"/>
            <w:u w:val="single"/>
            <w:vertAlign w:val="baseline"/>
            <w:rtl/>
          </w:rPr>
          <w:t>הגשת כתבי אישום בגין עבירות סמים המוגדרות בחוק 'שימוש עצמי</w:t>
        </w:r>
      </w:hyperlink>
      <w:r>
        <w:rPr>
          <w:rStyle w:val="ab"/>
          <w:rFonts w:asciiTheme="majorBidi" w:hAnsiTheme="majorBidi" w:cs="David" w:hint="cs"/>
          <w:color w:val="0000FF"/>
          <w:sz w:val="24"/>
          <w:szCs w:val="24"/>
          <w:u w:val="single"/>
          <w:vertAlign w:val="baseline"/>
          <w:rtl/>
        </w:rPr>
        <w:t>'</w:t>
      </w:r>
      <w:r w:rsidRPr="00130402">
        <w:rPr>
          <w:rFonts w:asciiTheme="majorBidi" w:hAnsiTheme="majorBidi" w:cs="David"/>
          <w:sz w:val="24"/>
          <w:szCs w:val="24"/>
          <w:rtl/>
        </w:rPr>
        <w:t xml:space="preserve">, 25 בפברואר 2014; פרוטוקול, </w:t>
      </w:r>
      <w:hyperlink r:id="rId67" w:history="1">
        <w:r w:rsidRPr="006A04DF">
          <w:rPr>
            <w:rStyle w:val="ab"/>
            <w:rFonts w:asciiTheme="majorBidi" w:hAnsiTheme="majorBidi" w:cs="David"/>
            <w:color w:val="0000FF"/>
            <w:sz w:val="24"/>
            <w:szCs w:val="24"/>
            <w:u w:val="single"/>
            <w:vertAlign w:val="baseline"/>
            <w:rtl/>
          </w:rPr>
          <w:t>סמים במגזר הערבי</w:t>
        </w:r>
      </w:hyperlink>
      <w:r w:rsidRPr="00130402">
        <w:rPr>
          <w:rFonts w:asciiTheme="majorBidi" w:hAnsiTheme="majorBidi" w:cs="David"/>
          <w:sz w:val="24"/>
          <w:szCs w:val="24"/>
          <w:rtl/>
        </w:rPr>
        <w:t>, 20 במאי 2014</w:t>
      </w:r>
      <w:r w:rsidRPr="00130402">
        <w:rPr>
          <w:rFonts w:asciiTheme="majorBidi" w:hAnsiTheme="majorBidi" w:cs="David" w:hint="cs"/>
          <w:sz w:val="24"/>
          <w:szCs w:val="24"/>
          <w:rtl/>
        </w:rPr>
        <w:t>;</w:t>
      </w:r>
      <w:r>
        <w:rPr>
          <w:rFonts w:asciiTheme="majorBidi" w:hAnsiTheme="majorBidi" w:cs="David"/>
          <w:sz w:val="24"/>
          <w:szCs w:val="24"/>
          <w:lang w:val="en-US"/>
        </w:rPr>
        <w:t xml:space="preserve"> </w:t>
      </w:r>
      <w:r w:rsidRPr="00130402">
        <w:rPr>
          <w:rFonts w:asciiTheme="majorBidi" w:hAnsiTheme="majorBidi" w:cs="David"/>
          <w:sz w:val="24"/>
          <w:szCs w:val="24"/>
          <w:rtl/>
        </w:rPr>
        <w:t xml:space="preserve">פרוטוקול מס' 19, </w:t>
      </w:r>
      <w:hyperlink r:id="rId68" w:history="1">
        <w:r w:rsidRPr="006A04DF">
          <w:rPr>
            <w:rStyle w:val="ab"/>
            <w:rFonts w:asciiTheme="majorBidi" w:hAnsiTheme="majorBidi" w:cs="David"/>
            <w:color w:val="0000FF"/>
            <w:sz w:val="24"/>
            <w:szCs w:val="24"/>
            <w:u w:val="single"/>
            <w:vertAlign w:val="baseline"/>
            <w:rtl/>
          </w:rPr>
          <w:t>החופש הגדול טומן בחובו סכנות רבות – סמים ואלכוהול</w:t>
        </w:r>
      </w:hyperlink>
      <w:r w:rsidRPr="00130402">
        <w:rPr>
          <w:rFonts w:asciiTheme="majorBidi" w:hAnsiTheme="majorBidi" w:cs="David"/>
          <w:sz w:val="24"/>
          <w:szCs w:val="24"/>
          <w:rtl/>
        </w:rPr>
        <w:t>, 2 ביוני 2014;</w:t>
      </w:r>
      <w:r>
        <w:rPr>
          <w:rFonts w:asciiTheme="majorBidi" w:hAnsiTheme="majorBidi" w:cs="David"/>
          <w:sz w:val="24"/>
          <w:szCs w:val="24"/>
          <w:lang w:val="en-US"/>
        </w:rPr>
        <w:t xml:space="preserve"> </w:t>
      </w:r>
      <w:r w:rsidRPr="00130402">
        <w:rPr>
          <w:rFonts w:asciiTheme="majorBidi" w:hAnsiTheme="majorBidi" w:cs="David"/>
          <w:sz w:val="24"/>
          <w:szCs w:val="24"/>
          <w:rtl/>
        </w:rPr>
        <w:t xml:space="preserve">פרוטוקול מס' 20, </w:t>
      </w:r>
      <w:hyperlink r:id="rId69" w:history="1">
        <w:r w:rsidRPr="006A04DF">
          <w:rPr>
            <w:rStyle w:val="ab"/>
            <w:rFonts w:asciiTheme="majorBidi" w:hAnsiTheme="majorBidi" w:cs="David"/>
            <w:color w:val="0000FF"/>
            <w:sz w:val="24"/>
            <w:szCs w:val="24"/>
            <w:u w:val="single"/>
            <w:vertAlign w:val="baseline"/>
            <w:rtl/>
          </w:rPr>
          <w:t>תופעת והיקף השימוש לרעה בתרופות מרשם בקרב ילדים ונוער</w:t>
        </w:r>
      </w:hyperlink>
      <w:r w:rsidRPr="00130402">
        <w:rPr>
          <w:rFonts w:asciiTheme="majorBidi" w:hAnsiTheme="majorBidi" w:cs="David"/>
          <w:sz w:val="24"/>
          <w:szCs w:val="24"/>
          <w:rtl/>
        </w:rPr>
        <w:t>, 9 ביוני 2014;</w:t>
      </w:r>
      <w:r>
        <w:rPr>
          <w:rFonts w:asciiTheme="majorBidi" w:hAnsiTheme="majorBidi" w:cs="David"/>
          <w:sz w:val="24"/>
          <w:szCs w:val="24"/>
          <w:lang w:val="en-US"/>
        </w:rPr>
        <w:t xml:space="preserve"> </w:t>
      </w:r>
      <w:r w:rsidRPr="00130402">
        <w:rPr>
          <w:rFonts w:asciiTheme="majorBidi" w:hAnsiTheme="majorBidi" w:cs="David"/>
          <w:sz w:val="24"/>
          <w:szCs w:val="24"/>
          <w:rtl/>
        </w:rPr>
        <w:t xml:space="preserve">פרוטוקול מס' 21, </w:t>
      </w:r>
      <w:hyperlink r:id="rId70" w:history="1">
        <w:r w:rsidRPr="006A04DF">
          <w:rPr>
            <w:rStyle w:val="ab"/>
            <w:rFonts w:asciiTheme="majorBidi" w:hAnsiTheme="majorBidi" w:cs="David"/>
            <w:color w:val="0000FF"/>
            <w:sz w:val="24"/>
            <w:szCs w:val="24"/>
            <w:u w:val="single"/>
            <w:vertAlign w:val="baseline"/>
            <w:rtl/>
          </w:rPr>
          <w:t>תופעת השימוש בנרגילות כשער לצריכת חומרים ממכרים – לציון יום הנוער והצעירים בכנסת</w:t>
        </w:r>
      </w:hyperlink>
      <w:r w:rsidRPr="00130402">
        <w:rPr>
          <w:rFonts w:asciiTheme="majorBidi" w:hAnsiTheme="majorBidi" w:cs="David"/>
          <w:sz w:val="24"/>
          <w:szCs w:val="24"/>
          <w:rtl/>
        </w:rPr>
        <w:t>,  17 ביוני 2014;</w:t>
      </w:r>
      <w:r w:rsidRPr="00F71120">
        <w:rPr>
          <w:rFonts w:asciiTheme="majorBidi" w:hAnsiTheme="majorBidi" w:cs="David"/>
          <w:sz w:val="24"/>
          <w:szCs w:val="24"/>
          <w:rtl/>
        </w:rPr>
        <w:t xml:space="preserve"> </w:t>
      </w:r>
      <w:r w:rsidRPr="00130402">
        <w:rPr>
          <w:rFonts w:asciiTheme="majorBidi" w:hAnsiTheme="majorBidi" w:cs="David"/>
          <w:sz w:val="24"/>
          <w:szCs w:val="24"/>
          <w:rtl/>
        </w:rPr>
        <w:t xml:space="preserve">פרוטוקול מס' 22, </w:t>
      </w:r>
      <w:hyperlink r:id="rId71" w:history="1">
        <w:r w:rsidRPr="006A04DF">
          <w:rPr>
            <w:rStyle w:val="ab"/>
            <w:rFonts w:asciiTheme="majorBidi" w:hAnsiTheme="majorBidi" w:cs="David"/>
            <w:color w:val="0000FF"/>
            <w:sz w:val="24"/>
            <w:szCs w:val="24"/>
            <w:u w:val="single"/>
            <w:vertAlign w:val="baseline"/>
            <w:rtl/>
          </w:rPr>
          <w:t>זמני המעצר הנפסקים בבתי המשפט בנושא סמי פיצוציות מול יכולות זיהוי מדעיות</w:t>
        </w:r>
      </w:hyperlink>
      <w:r w:rsidRPr="00130402">
        <w:rPr>
          <w:rFonts w:asciiTheme="majorBidi" w:hAnsiTheme="majorBidi" w:cs="David"/>
          <w:sz w:val="24"/>
          <w:szCs w:val="24"/>
          <w:rtl/>
        </w:rPr>
        <w:t>, 8 ביולי 2014</w:t>
      </w:r>
      <w:r w:rsidRPr="00130402">
        <w:rPr>
          <w:rFonts w:asciiTheme="majorBidi" w:hAnsiTheme="majorBidi" w:cs="David" w:hint="cs"/>
          <w:sz w:val="24"/>
          <w:szCs w:val="24"/>
          <w:rtl/>
        </w:rPr>
        <w:t>;</w:t>
      </w:r>
      <w:r>
        <w:rPr>
          <w:rFonts w:asciiTheme="majorBidi" w:hAnsiTheme="majorBidi" w:cs="David"/>
          <w:sz w:val="24"/>
          <w:szCs w:val="24"/>
          <w:lang w:val="en-US"/>
        </w:rPr>
        <w:t xml:space="preserve"> </w:t>
      </w:r>
      <w:r w:rsidRPr="00130402">
        <w:rPr>
          <w:rFonts w:asciiTheme="majorBidi" w:hAnsiTheme="majorBidi" w:cs="David"/>
          <w:sz w:val="24"/>
          <w:szCs w:val="24"/>
          <w:rtl/>
        </w:rPr>
        <w:t xml:space="preserve">פרוטוקול מס' 23, </w:t>
      </w:r>
      <w:hyperlink r:id="rId72" w:history="1">
        <w:r w:rsidRPr="006A04DF">
          <w:rPr>
            <w:rStyle w:val="ab"/>
            <w:rFonts w:asciiTheme="majorBidi" w:hAnsiTheme="majorBidi" w:cs="David"/>
            <w:color w:val="0000FF"/>
            <w:sz w:val="24"/>
            <w:szCs w:val="24"/>
            <w:u w:val="single"/>
            <w:vertAlign w:val="baseline"/>
            <w:rtl/>
          </w:rPr>
          <w:t>תחלואה כפולה – צורכי הטיפול ומציאות בשטח – מעקב מיום 18/2/2014</w:t>
        </w:r>
      </w:hyperlink>
      <w:r w:rsidRPr="00130402">
        <w:rPr>
          <w:rFonts w:asciiTheme="majorBidi" w:hAnsiTheme="majorBidi" w:cs="David"/>
          <w:sz w:val="24"/>
          <w:szCs w:val="24"/>
          <w:rtl/>
        </w:rPr>
        <w:t>, 14 ביולי 2014;</w:t>
      </w:r>
      <w:r>
        <w:rPr>
          <w:rFonts w:asciiTheme="majorBidi" w:hAnsiTheme="majorBidi" w:cs="David"/>
          <w:sz w:val="24"/>
          <w:szCs w:val="24"/>
          <w:lang w:val="en-US"/>
        </w:rPr>
        <w:t xml:space="preserve"> </w:t>
      </w:r>
      <w:r w:rsidRPr="00130402">
        <w:rPr>
          <w:rFonts w:asciiTheme="majorBidi" w:hAnsiTheme="majorBidi" w:cs="David"/>
          <w:sz w:val="24"/>
          <w:szCs w:val="24"/>
          <w:rtl/>
        </w:rPr>
        <w:t xml:space="preserve">פרוטוקול מס' 24, </w:t>
      </w:r>
      <w:hyperlink r:id="rId73" w:history="1">
        <w:r w:rsidRPr="006A04DF">
          <w:rPr>
            <w:rStyle w:val="ab"/>
            <w:rFonts w:asciiTheme="majorBidi" w:hAnsiTheme="majorBidi" w:cs="David"/>
            <w:color w:val="0000FF"/>
            <w:sz w:val="24"/>
            <w:szCs w:val="24"/>
            <w:u w:val="single"/>
            <w:vertAlign w:val="baseline"/>
            <w:rtl/>
          </w:rPr>
          <w:t>ספורט ככלי ומענה לפתרון בעיית הסמים והאלכוהול</w:t>
        </w:r>
      </w:hyperlink>
      <w:r w:rsidRPr="00130402">
        <w:rPr>
          <w:rFonts w:asciiTheme="majorBidi" w:hAnsiTheme="majorBidi" w:cs="David"/>
          <w:sz w:val="24"/>
          <w:szCs w:val="24"/>
          <w:rtl/>
        </w:rPr>
        <w:t>, 3 בנובמבר 2014</w:t>
      </w:r>
      <w:r w:rsidRPr="00130402">
        <w:rPr>
          <w:rFonts w:asciiTheme="majorBidi" w:hAnsiTheme="majorBidi" w:cs="David" w:hint="cs"/>
          <w:sz w:val="24"/>
          <w:szCs w:val="24"/>
          <w:rtl/>
        </w:rPr>
        <w:t>;</w:t>
      </w:r>
      <w:r>
        <w:rPr>
          <w:rFonts w:asciiTheme="majorBidi" w:hAnsiTheme="majorBidi" w:cs="David"/>
          <w:sz w:val="24"/>
          <w:szCs w:val="24"/>
          <w:lang w:val="en-US"/>
        </w:rPr>
        <w:t xml:space="preserve"> </w:t>
      </w:r>
      <w:r w:rsidRPr="00130402">
        <w:rPr>
          <w:rFonts w:asciiTheme="majorBidi" w:hAnsiTheme="majorBidi" w:cs="David"/>
          <w:sz w:val="24"/>
          <w:szCs w:val="24"/>
          <w:rtl/>
        </w:rPr>
        <w:t xml:space="preserve">פרוטוקול מס' 25, </w:t>
      </w:r>
      <w:hyperlink r:id="rId74" w:history="1">
        <w:r w:rsidRPr="006A04DF">
          <w:rPr>
            <w:rStyle w:val="ab"/>
            <w:rFonts w:asciiTheme="majorBidi" w:hAnsiTheme="majorBidi" w:cs="David"/>
            <w:color w:val="0000FF"/>
            <w:sz w:val="24"/>
            <w:szCs w:val="24"/>
            <w:u w:val="single"/>
            <w:vertAlign w:val="baseline"/>
            <w:rtl/>
          </w:rPr>
          <w:t>תקציב הרשות הלאומית למלחמה בסמים ובאלכוהול לשנת 2015</w:t>
        </w:r>
      </w:hyperlink>
      <w:r w:rsidRPr="00130402">
        <w:rPr>
          <w:rFonts w:asciiTheme="majorBidi" w:hAnsiTheme="majorBidi" w:cs="David"/>
          <w:sz w:val="24"/>
          <w:szCs w:val="24"/>
          <w:rtl/>
        </w:rPr>
        <w:t>, 24 בנובמבר 2014;</w:t>
      </w:r>
    </w:p>
    <w:p w:rsidR="00284E3C" w:rsidRPr="001D0305" w:rsidRDefault="00284E3C" w:rsidP="00DC2DB0">
      <w:pPr>
        <w:pStyle w:val="a9"/>
        <w:numPr>
          <w:ilvl w:val="0"/>
          <w:numId w:val="28"/>
        </w:numPr>
        <w:spacing w:before="120" w:after="120" w:line="360" w:lineRule="auto"/>
        <w:ind w:left="720" w:hanging="357"/>
        <w:rPr>
          <w:rFonts w:cs="David"/>
          <w:sz w:val="24"/>
          <w:szCs w:val="24"/>
        </w:rPr>
      </w:pPr>
      <w:r w:rsidRPr="001D0305">
        <w:rPr>
          <w:rFonts w:cs="David" w:hint="cs"/>
          <w:sz w:val="24"/>
          <w:szCs w:val="24"/>
          <w:rtl/>
        </w:rPr>
        <w:t xml:space="preserve">ועדת הכלכלה, פרוטוקול מס' 71, </w:t>
      </w:r>
      <w:hyperlink r:id="rId75" w:history="1">
        <w:r w:rsidRPr="001D0305">
          <w:rPr>
            <w:rStyle w:val="Hyperlink"/>
            <w:rFonts w:cs="David" w:hint="cs"/>
            <w:sz w:val="24"/>
            <w:szCs w:val="24"/>
            <w:rtl/>
          </w:rPr>
          <w:t>תקנות הגבלת הפרסומת והשיווק של משקאות אלכוהוליים (סימון אזהרה), התשע"ג-2013</w:t>
        </w:r>
      </w:hyperlink>
      <w:r>
        <w:rPr>
          <w:rFonts w:cs="David" w:hint="cs"/>
          <w:sz w:val="24"/>
          <w:szCs w:val="24"/>
          <w:rtl/>
        </w:rPr>
        <w:t xml:space="preserve">, 30 ביולי 2013; </w:t>
      </w:r>
      <w:r w:rsidRPr="001D0305">
        <w:rPr>
          <w:rFonts w:cs="David" w:hint="cs"/>
          <w:sz w:val="24"/>
          <w:szCs w:val="24"/>
          <w:rtl/>
        </w:rPr>
        <w:t xml:space="preserve">פרוטוקול מס' 909, </w:t>
      </w:r>
      <w:hyperlink r:id="rId76" w:history="1">
        <w:r w:rsidRPr="001D0305">
          <w:rPr>
            <w:rStyle w:val="Hyperlink"/>
            <w:rFonts w:cs="David" w:hint="cs"/>
            <w:sz w:val="24"/>
            <w:szCs w:val="24"/>
            <w:rtl/>
          </w:rPr>
          <w:t>תקנות הגבלת הפרסומת והשיווק של משקאות אלכוהוליים (סימון אזהרה), התשע"ב 2012</w:t>
        </w:r>
      </w:hyperlink>
      <w:r w:rsidRPr="001D0305">
        <w:rPr>
          <w:rFonts w:cs="David" w:hint="cs"/>
          <w:sz w:val="24"/>
          <w:szCs w:val="24"/>
          <w:rtl/>
        </w:rPr>
        <w:t>, 9 ביולי 2012.</w:t>
      </w:r>
    </w:p>
    <w:p w:rsidR="00284E3C" w:rsidRPr="001D0305" w:rsidRDefault="00284E3C" w:rsidP="00DC2DB0">
      <w:pPr>
        <w:pStyle w:val="a9"/>
        <w:numPr>
          <w:ilvl w:val="0"/>
          <w:numId w:val="28"/>
        </w:numPr>
        <w:spacing w:before="120" w:after="120" w:line="360" w:lineRule="auto"/>
        <w:ind w:left="720" w:hanging="357"/>
        <w:rPr>
          <w:rFonts w:cs="David"/>
          <w:sz w:val="24"/>
          <w:szCs w:val="24"/>
        </w:rPr>
      </w:pPr>
      <w:r w:rsidRPr="001D0305">
        <w:rPr>
          <w:rFonts w:cs="David" w:hint="cs"/>
          <w:sz w:val="24"/>
          <w:szCs w:val="24"/>
          <w:rtl/>
        </w:rPr>
        <w:t>ועדת הכנסת, פרוטוקול מס' 58, 23 בדצמבר 2013</w:t>
      </w:r>
    </w:p>
    <w:p w:rsidR="00284E3C" w:rsidRPr="001D0305" w:rsidRDefault="00284E3C" w:rsidP="00DC2DB0">
      <w:pPr>
        <w:pStyle w:val="a9"/>
        <w:numPr>
          <w:ilvl w:val="0"/>
          <w:numId w:val="28"/>
        </w:numPr>
        <w:spacing w:before="120" w:after="120" w:line="360" w:lineRule="auto"/>
        <w:rPr>
          <w:rFonts w:cs="David"/>
          <w:sz w:val="24"/>
          <w:szCs w:val="24"/>
        </w:rPr>
      </w:pPr>
      <w:r w:rsidRPr="001D0305">
        <w:rPr>
          <w:rFonts w:asciiTheme="majorBidi" w:hAnsiTheme="majorBidi" w:cs="David"/>
          <w:sz w:val="24"/>
          <w:szCs w:val="24"/>
          <w:rtl/>
        </w:rPr>
        <w:t>טל-ספירו,</w:t>
      </w:r>
      <w:r>
        <w:rPr>
          <w:rFonts w:asciiTheme="majorBidi" w:hAnsiTheme="majorBidi" w:cs="David" w:hint="cs"/>
          <w:sz w:val="24"/>
          <w:szCs w:val="24"/>
          <w:rtl/>
        </w:rPr>
        <w:t xml:space="preserve"> </w:t>
      </w:r>
      <w:r w:rsidRPr="001D0305">
        <w:rPr>
          <w:rFonts w:asciiTheme="majorBidi" w:hAnsiTheme="majorBidi" w:cs="David"/>
          <w:sz w:val="24"/>
          <w:szCs w:val="24"/>
          <w:rtl/>
        </w:rPr>
        <w:t>אורי</w:t>
      </w:r>
      <w:r>
        <w:rPr>
          <w:rFonts w:asciiTheme="majorBidi" w:hAnsiTheme="majorBidi" w:cs="David" w:hint="cs"/>
          <w:sz w:val="24"/>
          <w:szCs w:val="24"/>
          <w:rtl/>
        </w:rPr>
        <w:t>,</w:t>
      </w:r>
      <w:r w:rsidRPr="001D0305">
        <w:rPr>
          <w:rFonts w:asciiTheme="majorBidi" w:hAnsiTheme="majorBidi" w:cs="David"/>
          <w:sz w:val="24"/>
          <w:szCs w:val="24"/>
          <w:rtl/>
        </w:rPr>
        <w:t xml:space="preserve"> </w:t>
      </w:r>
      <w:hyperlink r:id="rId77" w:history="1">
        <w:r w:rsidRPr="001D0305">
          <w:rPr>
            <w:rStyle w:val="Hyperlink"/>
            <w:rFonts w:asciiTheme="majorBidi" w:hAnsiTheme="majorBidi" w:cs="David"/>
            <w:sz w:val="24"/>
            <w:szCs w:val="24"/>
            <w:rtl/>
          </w:rPr>
          <w:t>שימוש בסמים במגזר הערבי</w:t>
        </w:r>
      </w:hyperlink>
      <w:r w:rsidRPr="001D0305">
        <w:rPr>
          <w:rFonts w:asciiTheme="majorBidi" w:hAnsiTheme="majorBidi" w:cs="David"/>
          <w:sz w:val="24"/>
          <w:szCs w:val="24"/>
          <w:rtl/>
        </w:rPr>
        <w:t>, מרכז המחקר והמידע של הכנסת, 8 במאי 2014.</w:t>
      </w:r>
    </w:p>
    <w:p w:rsidR="00284E3C" w:rsidRPr="001D0305" w:rsidRDefault="00284E3C" w:rsidP="00443383">
      <w:pPr>
        <w:pStyle w:val="a9"/>
        <w:numPr>
          <w:ilvl w:val="0"/>
          <w:numId w:val="28"/>
        </w:numPr>
        <w:spacing w:before="120" w:after="120" w:line="360" w:lineRule="auto"/>
        <w:rPr>
          <w:rFonts w:cs="David"/>
          <w:sz w:val="24"/>
          <w:szCs w:val="24"/>
        </w:rPr>
      </w:pPr>
      <w:r w:rsidRPr="001D0305">
        <w:rPr>
          <w:rFonts w:asciiTheme="majorBidi" w:hAnsiTheme="majorBidi" w:cs="David"/>
          <w:sz w:val="24"/>
          <w:szCs w:val="24"/>
          <w:rtl/>
        </w:rPr>
        <w:t>נתן</w:t>
      </w:r>
      <w:r>
        <w:rPr>
          <w:rFonts w:asciiTheme="majorBidi" w:hAnsiTheme="majorBidi" w:cs="David" w:hint="cs"/>
          <w:sz w:val="24"/>
          <w:szCs w:val="24"/>
          <w:rtl/>
        </w:rPr>
        <w:t>,</w:t>
      </w:r>
      <w:r w:rsidRPr="001D0305">
        <w:rPr>
          <w:rFonts w:asciiTheme="majorBidi" w:hAnsiTheme="majorBidi" w:cs="David"/>
          <w:sz w:val="24"/>
          <w:szCs w:val="24"/>
          <w:rtl/>
        </w:rPr>
        <w:t xml:space="preserve"> גלעד, </w:t>
      </w:r>
      <w:hyperlink r:id="rId78" w:history="1">
        <w:r w:rsidRPr="001D0305">
          <w:rPr>
            <w:rStyle w:val="Hyperlink"/>
            <w:rFonts w:asciiTheme="majorBidi" w:hAnsiTheme="majorBidi" w:cs="David"/>
            <w:sz w:val="24"/>
            <w:szCs w:val="24"/>
            <w:rtl/>
          </w:rPr>
          <w:t>הסדרת השימוש בקנביס רפואי</w:t>
        </w:r>
      </w:hyperlink>
      <w:r w:rsidRPr="001D0305">
        <w:rPr>
          <w:rFonts w:asciiTheme="majorBidi" w:hAnsiTheme="majorBidi" w:cs="David"/>
          <w:sz w:val="24"/>
          <w:szCs w:val="24"/>
          <w:rtl/>
        </w:rPr>
        <w:t>, מרכז המחקר והמידע של הכנסת, 5 במרס 2012</w:t>
      </w:r>
      <w:r>
        <w:rPr>
          <w:rFonts w:asciiTheme="majorBidi" w:hAnsiTheme="majorBidi" w:cs="David" w:hint="cs"/>
          <w:sz w:val="24"/>
          <w:szCs w:val="24"/>
          <w:rtl/>
        </w:rPr>
        <w:t>.</w:t>
      </w:r>
      <w:r w:rsidRPr="001D0305">
        <w:rPr>
          <w:rFonts w:asciiTheme="majorBidi" w:hAnsiTheme="majorBidi" w:cs="David"/>
          <w:sz w:val="24"/>
          <w:szCs w:val="24"/>
          <w:rtl/>
        </w:rPr>
        <w:t xml:space="preserve"> </w:t>
      </w:r>
    </w:p>
    <w:p w:rsidR="00284E3C" w:rsidRPr="001D0305" w:rsidRDefault="00284E3C" w:rsidP="00443383">
      <w:pPr>
        <w:pStyle w:val="a9"/>
        <w:numPr>
          <w:ilvl w:val="0"/>
          <w:numId w:val="28"/>
        </w:numPr>
        <w:spacing w:before="120" w:after="120" w:line="360" w:lineRule="auto"/>
        <w:rPr>
          <w:rFonts w:cs="David"/>
          <w:sz w:val="24"/>
          <w:szCs w:val="24"/>
        </w:rPr>
      </w:pPr>
      <w:r w:rsidRPr="001D0305">
        <w:rPr>
          <w:rFonts w:asciiTheme="majorBidi" w:hAnsiTheme="majorBidi" w:cs="David"/>
          <w:sz w:val="24"/>
          <w:szCs w:val="24"/>
          <w:rtl/>
        </w:rPr>
        <w:t>נתן</w:t>
      </w:r>
      <w:r>
        <w:rPr>
          <w:rFonts w:asciiTheme="majorBidi" w:hAnsiTheme="majorBidi" w:cs="David" w:hint="cs"/>
          <w:sz w:val="24"/>
          <w:szCs w:val="24"/>
          <w:rtl/>
        </w:rPr>
        <w:t>,</w:t>
      </w:r>
      <w:r w:rsidRPr="001D0305">
        <w:rPr>
          <w:rFonts w:asciiTheme="majorBidi" w:hAnsiTheme="majorBidi" w:cs="David"/>
          <w:sz w:val="24"/>
          <w:szCs w:val="24"/>
          <w:rtl/>
        </w:rPr>
        <w:t xml:space="preserve"> גלעד, </w:t>
      </w:r>
      <w:hyperlink r:id="rId79" w:history="1">
        <w:r w:rsidRPr="001D0305">
          <w:rPr>
            <w:rStyle w:val="Hyperlink"/>
            <w:rFonts w:asciiTheme="majorBidi" w:hAnsiTheme="majorBidi" w:cs="David"/>
            <w:sz w:val="24"/>
            <w:szCs w:val="24"/>
            <w:rtl/>
          </w:rPr>
          <w:t>הצרכים של יחידת הסמים של המכס</w:t>
        </w:r>
      </w:hyperlink>
      <w:r w:rsidRPr="001D0305">
        <w:rPr>
          <w:rFonts w:asciiTheme="majorBidi" w:hAnsiTheme="majorBidi" w:cs="David"/>
          <w:sz w:val="24"/>
          <w:szCs w:val="24"/>
          <w:rtl/>
        </w:rPr>
        <w:t>, מרכז המחקר והמידע של הכנסת, 23 בינואר 2011.</w:t>
      </w:r>
    </w:p>
    <w:p w:rsidR="00284E3C" w:rsidRPr="001D0305" w:rsidRDefault="00284E3C" w:rsidP="00443383">
      <w:pPr>
        <w:pStyle w:val="a9"/>
        <w:numPr>
          <w:ilvl w:val="0"/>
          <w:numId w:val="28"/>
        </w:numPr>
        <w:spacing w:before="120" w:after="120" w:line="360" w:lineRule="auto"/>
        <w:rPr>
          <w:rFonts w:cs="David"/>
          <w:sz w:val="24"/>
          <w:szCs w:val="24"/>
        </w:rPr>
      </w:pPr>
      <w:r w:rsidRPr="001D0305">
        <w:rPr>
          <w:rFonts w:cs="David" w:hint="cs"/>
          <w:sz w:val="24"/>
          <w:szCs w:val="24"/>
          <w:rtl/>
        </w:rPr>
        <w:t>נתן</w:t>
      </w:r>
      <w:r>
        <w:rPr>
          <w:rFonts w:cs="David" w:hint="cs"/>
          <w:sz w:val="24"/>
          <w:szCs w:val="24"/>
          <w:rtl/>
        </w:rPr>
        <w:t>,</w:t>
      </w:r>
      <w:r w:rsidRPr="001D0305">
        <w:rPr>
          <w:rFonts w:cs="David" w:hint="cs"/>
          <w:sz w:val="24"/>
          <w:szCs w:val="24"/>
          <w:rtl/>
        </w:rPr>
        <w:t xml:space="preserve"> גלעד, </w:t>
      </w:r>
      <w:hyperlink r:id="rId80" w:history="1">
        <w:r w:rsidRPr="001D0305">
          <w:rPr>
            <w:rStyle w:val="Hyperlink"/>
            <w:rFonts w:asciiTheme="majorBidi" w:hAnsiTheme="majorBidi" w:cs="David"/>
            <w:sz w:val="24"/>
            <w:szCs w:val="24"/>
            <w:rtl/>
          </w:rPr>
          <w:t>סוגיות בתחום המניעה והטיפול במסגרת המאבק בנגע הסמים</w:t>
        </w:r>
      </w:hyperlink>
      <w:r w:rsidRPr="001D0305">
        <w:rPr>
          <w:rFonts w:asciiTheme="majorBidi" w:hAnsiTheme="majorBidi" w:cs="David"/>
          <w:sz w:val="24"/>
          <w:szCs w:val="24"/>
          <w:rtl/>
        </w:rPr>
        <w:t xml:space="preserve">, </w:t>
      </w:r>
      <w:r w:rsidRPr="001D0305">
        <w:rPr>
          <w:rFonts w:asciiTheme="majorBidi" w:hAnsiTheme="majorBidi" w:cs="David" w:hint="cs"/>
          <w:sz w:val="24"/>
          <w:szCs w:val="24"/>
          <w:rtl/>
        </w:rPr>
        <w:t>מרכז המחקר והמידע של הכנסת</w:t>
      </w:r>
      <w:r w:rsidRPr="001D0305">
        <w:rPr>
          <w:rFonts w:asciiTheme="majorBidi" w:hAnsiTheme="majorBidi" w:cs="David"/>
          <w:sz w:val="24"/>
          <w:szCs w:val="24"/>
          <w:rtl/>
        </w:rPr>
        <w:t>, 28 ביוני 2011.</w:t>
      </w:r>
    </w:p>
    <w:p w:rsidR="00284E3C" w:rsidRPr="001D0305" w:rsidRDefault="00284E3C" w:rsidP="00DC2DB0">
      <w:pPr>
        <w:pStyle w:val="a9"/>
        <w:numPr>
          <w:ilvl w:val="0"/>
          <w:numId w:val="28"/>
        </w:numPr>
        <w:spacing w:before="120" w:after="120" w:line="360" w:lineRule="auto"/>
        <w:ind w:left="720" w:hanging="357"/>
        <w:rPr>
          <w:rFonts w:cs="David"/>
          <w:sz w:val="24"/>
          <w:szCs w:val="24"/>
        </w:rPr>
      </w:pPr>
      <w:r w:rsidRPr="001D0305">
        <w:rPr>
          <w:rFonts w:cs="David" w:hint="cs"/>
          <w:sz w:val="24"/>
          <w:szCs w:val="24"/>
          <w:rtl/>
        </w:rPr>
        <w:t xml:space="preserve">סעיף 108, </w:t>
      </w:r>
      <w:hyperlink r:id="rId81" w:history="1">
        <w:r w:rsidRPr="001D0305">
          <w:rPr>
            <w:rStyle w:val="Hyperlink"/>
            <w:rFonts w:cs="David" w:hint="cs"/>
            <w:sz w:val="24"/>
            <w:szCs w:val="24"/>
            <w:rtl/>
          </w:rPr>
          <w:t>תקנון הכנסת</w:t>
        </w:r>
      </w:hyperlink>
      <w:r w:rsidRPr="001D0305">
        <w:rPr>
          <w:rFonts w:cs="David" w:hint="cs"/>
          <w:sz w:val="24"/>
          <w:szCs w:val="24"/>
          <w:rtl/>
        </w:rPr>
        <w:t>, 4 בפברואר 2015.</w:t>
      </w:r>
    </w:p>
    <w:p w:rsidR="00284E3C" w:rsidRPr="001D0305" w:rsidRDefault="00284E3C" w:rsidP="00DC2DB0">
      <w:pPr>
        <w:pStyle w:val="a9"/>
        <w:numPr>
          <w:ilvl w:val="0"/>
          <w:numId w:val="28"/>
        </w:numPr>
        <w:spacing w:before="120" w:after="120" w:line="360" w:lineRule="auto"/>
        <w:ind w:left="720" w:hanging="357"/>
        <w:rPr>
          <w:rFonts w:cs="David"/>
          <w:sz w:val="24"/>
          <w:szCs w:val="24"/>
        </w:rPr>
      </w:pPr>
      <w:r w:rsidRPr="001D0305">
        <w:rPr>
          <w:rFonts w:cs="David"/>
          <w:sz w:val="24"/>
          <w:szCs w:val="24"/>
          <w:rtl/>
        </w:rPr>
        <w:t>קוך-דוידוביץ',</w:t>
      </w:r>
      <w:r>
        <w:rPr>
          <w:rFonts w:cs="David" w:hint="cs"/>
          <w:sz w:val="24"/>
          <w:szCs w:val="24"/>
          <w:rtl/>
        </w:rPr>
        <w:t xml:space="preserve"> </w:t>
      </w:r>
      <w:r w:rsidRPr="001D0305">
        <w:rPr>
          <w:rFonts w:cs="David"/>
          <w:sz w:val="24"/>
          <w:szCs w:val="24"/>
          <w:rtl/>
        </w:rPr>
        <w:t>פלורה</w:t>
      </w:r>
      <w:r>
        <w:rPr>
          <w:rFonts w:cs="David" w:hint="cs"/>
          <w:sz w:val="24"/>
          <w:szCs w:val="24"/>
          <w:rtl/>
        </w:rPr>
        <w:t>,</w:t>
      </w:r>
      <w:r w:rsidRPr="001D0305">
        <w:rPr>
          <w:rFonts w:cs="David"/>
          <w:sz w:val="24"/>
          <w:szCs w:val="24"/>
          <w:rtl/>
        </w:rPr>
        <w:t xml:space="preserve"> </w:t>
      </w:r>
      <w:hyperlink r:id="rId82" w:history="1">
        <w:r w:rsidRPr="001D0305">
          <w:rPr>
            <w:rStyle w:val="Hyperlink"/>
            <w:rFonts w:cs="David"/>
            <w:sz w:val="24"/>
            <w:szCs w:val="24"/>
            <w:rtl/>
          </w:rPr>
          <w:t>הטיפול במכורים לסמים הסובלים ממחלת נפש לאחר העברת שירותי בריאות הנפש מאחריות משרד הבריאות לאחריות קופות-החולים</w:t>
        </w:r>
      </w:hyperlink>
      <w:r w:rsidRPr="001D0305">
        <w:rPr>
          <w:rFonts w:cs="David"/>
          <w:sz w:val="24"/>
          <w:szCs w:val="24"/>
          <w:rtl/>
        </w:rPr>
        <w:t>, מרכז המחקר והמידע של הכנסת, 2 יולי 2014.</w:t>
      </w:r>
    </w:p>
    <w:p w:rsidR="00284E3C" w:rsidRPr="001D0305" w:rsidRDefault="00284E3C" w:rsidP="00DC2DB0">
      <w:pPr>
        <w:pStyle w:val="a9"/>
        <w:numPr>
          <w:ilvl w:val="0"/>
          <w:numId w:val="28"/>
        </w:numPr>
        <w:spacing w:before="120" w:after="120" w:line="360" w:lineRule="auto"/>
        <w:rPr>
          <w:rFonts w:cs="David"/>
          <w:sz w:val="24"/>
          <w:szCs w:val="24"/>
        </w:rPr>
      </w:pPr>
      <w:r w:rsidRPr="001D0305">
        <w:rPr>
          <w:rFonts w:ascii="David" w:cs="David" w:hint="cs"/>
          <w:color w:val="000000"/>
          <w:sz w:val="24"/>
          <w:szCs w:val="24"/>
          <w:rtl/>
          <w:lang w:eastAsia="en-US"/>
        </w:rPr>
        <w:t>קופמן</w:t>
      </w:r>
      <w:r>
        <w:rPr>
          <w:rFonts w:ascii="David" w:cs="David" w:hint="cs"/>
          <w:color w:val="000000"/>
          <w:sz w:val="24"/>
          <w:szCs w:val="24"/>
          <w:rtl/>
          <w:lang w:eastAsia="en-US"/>
        </w:rPr>
        <w:t>, איל</w:t>
      </w:r>
      <w:r w:rsidRPr="001D0305">
        <w:rPr>
          <w:rFonts w:ascii="David" w:cs="David" w:hint="cs"/>
          <w:color w:val="000000"/>
          <w:sz w:val="24"/>
          <w:szCs w:val="24"/>
          <w:rtl/>
          <w:lang w:eastAsia="en-US"/>
        </w:rPr>
        <w:t xml:space="preserve">, </w:t>
      </w:r>
      <w:hyperlink r:id="rId83" w:history="1">
        <w:r w:rsidRPr="001D0305">
          <w:rPr>
            <w:rStyle w:val="Hyperlink"/>
            <w:rFonts w:ascii="David" w:cs="David" w:hint="cs"/>
            <w:sz w:val="24"/>
            <w:szCs w:val="24"/>
            <w:rtl/>
            <w:lang w:eastAsia="en-US"/>
          </w:rPr>
          <w:t xml:space="preserve">הטלת מס קנייה קצוב על מוצרי אלכוהול </w:t>
        </w:r>
        <w:r w:rsidRPr="001D0305">
          <w:rPr>
            <w:rStyle w:val="Hyperlink"/>
            <w:rFonts w:ascii="David" w:cs="David"/>
            <w:sz w:val="24"/>
            <w:szCs w:val="24"/>
            <w:rtl/>
            <w:lang w:eastAsia="en-US"/>
          </w:rPr>
          <w:t>–</w:t>
        </w:r>
        <w:r w:rsidRPr="001D0305">
          <w:rPr>
            <w:rStyle w:val="Hyperlink"/>
            <w:rFonts w:ascii="David" w:cs="David" w:hint="cs"/>
            <w:sz w:val="24"/>
            <w:szCs w:val="24"/>
            <w:rtl/>
            <w:lang w:eastAsia="en-US"/>
          </w:rPr>
          <w:t xml:space="preserve"> תיאור וניתוח</w:t>
        </w:r>
      </w:hyperlink>
      <w:r w:rsidRPr="001D0305">
        <w:rPr>
          <w:rFonts w:ascii="David" w:cs="David" w:hint="cs"/>
          <w:color w:val="000000"/>
          <w:sz w:val="24"/>
          <w:szCs w:val="24"/>
          <w:rtl/>
          <w:lang w:eastAsia="en-US"/>
        </w:rPr>
        <w:t>, מרכז המחקר והמידע של הכנסת, 29 באוקטובר 2013.</w:t>
      </w:r>
    </w:p>
    <w:p w:rsidR="00284E3C" w:rsidRPr="001D0305" w:rsidRDefault="00284E3C" w:rsidP="00A7137F">
      <w:pPr>
        <w:pStyle w:val="a9"/>
        <w:numPr>
          <w:ilvl w:val="0"/>
          <w:numId w:val="28"/>
        </w:numPr>
        <w:spacing w:before="120" w:after="120" w:line="360" w:lineRule="auto"/>
        <w:rPr>
          <w:rFonts w:cs="David"/>
          <w:sz w:val="24"/>
          <w:szCs w:val="24"/>
          <w:rtl/>
        </w:rPr>
      </w:pPr>
      <w:r w:rsidRPr="001D0305">
        <w:rPr>
          <w:rFonts w:asciiTheme="majorBidi" w:hAnsiTheme="majorBidi" w:cs="David"/>
          <w:sz w:val="24"/>
          <w:szCs w:val="24"/>
          <w:rtl/>
        </w:rPr>
        <w:t>רבינוביץ'</w:t>
      </w:r>
      <w:r>
        <w:rPr>
          <w:rFonts w:asciiTheme="majorBidi" w:hAnsiTheme="majorBidi" w:cs="David" w:hint="cs"/>
          <w:sz w:val="24"/>
          <w:szCs w:val="24"/>
          <w:rtl/>
        </w:rPr>
        <w:t>,</w:t>
      </w:r>
      <w:r w:rsidRPr="001D0305">
        <w:rPr>
          <w:rFonts w:asciiTheme="majorBidi" w:hAnsiTheme="majorBidi" w:cs="David"/>
          <w:sz w:val="24"/>
          <w:szCs w:val="24"/>
          <w:rtl/>
        </w:rPr>
        <w:t xml:space="preserve"> מריה</w:t>
      </w:r>
      <w:r>
        <w:rPr>
          <w:rFonts w:asciiTheme="majorBidi" w:hAnsiTheme="majorBidi" w:cs="David" w:hint="cs"/>
          <w:sz w:val="24"/>
          <w:szCs w:val="24"/>
          <w:rtl/>
        </w:rPr>
        <w:t>,</w:t>
      </w:r>
      <w:r w:rsidRPr="001D0305">
        <w:rPr>
          <w:rFonts w:asciiTheme="majorBidi" w:hAnsiTheme="majorBidi" w:cs="David"/>
          <w:sz w:val="24"/>
          <w:szCs w:val="24"/>
          <w:rtl/>
        </w:rPr>
        <w:t xml:space="preserve"> ובס-ספקטור</w:t>
      </w:r>
      <w:r w:rsidRPr="001D0305">
        <w:rPr>
          <w:rFonts w:asciiTheme="majorBidi" w:hAnsiTheme="majorBidi" w:cs="David" w:hint="cs"/>
          <w:sz w:val="24"/>
          <w:szCs w:val="24"/>
          <w:rtl/>
        </w:rPr>
        <w:t xml:space="preserve">, </w:t>
      </w:r>
      <w:r w:rsidR="00A7137F">
        <w:rPr>
          <w:rFonts w:asciiTheme="majorBidi" w:hAnsiTheme="majorBidi" w:cs="David" w:hint="cs"/>
          <w:sz w:val="24"/>
          <w:szCs w:val="24"/>
          <w:u w:val="single"/>
          <w:rtl/>
        </w:rPr>
        <w:t xml:space="preserve">שירי, </w:t>
      </w:r>
      <w:r w:rsidRPr="001D0305">
        <w:rPr>
          <w:rFonts w:asciiTheme="majorBidi" w:hAnsiTheme="majorBidi" w:cs="David"/>
          <w:sz w:val="24"/>
          <w:szCs w:val="24"/>
          <w:u w:val="single"/>
          <w:rtl/>
        </w:rPr>
        <w:t>שירותי רווחה לנערות ולצעירות בסיכון ובמצוקה ברשויות מקומיות</w:t>
      </w:r>
      <w:r w:rsidRPr="001D0305">
        <w:rPr>
          <w:rFonts w:asciiTheme="majorBidi" w:hAnsiTheme="majorBidi" w:cs="David"/>
          <w:sz w:val="24"/>
          <w:szCs w:val="24"/>
          <w:rtl/>
        </w:rPr>
        <w:t xml:space="preserve">, </w:t>
      </w:r>
      <w:r w:rsidRPr="001D0305">
        <w:rPr>
          <w:rFonts w:asciiTheme="majorBidi" w:hAnsiTheme="majorBidi" w:cs="David" w:hint="cs"/>
          <w:sz w:val="24"/>
          <w:szCs w:val="24"/>
          <w:rtl/>
        </w:rPr>
        <w:t>מרכז המחקר והמידע של הכנסת</w:t>
      </w:r>
      <w:r w:rsidRPr="001D0305">
        <w:rPr>
          <w:rFonts w:asciiTheme="majorBidi" w:hAnsiTheme="majorBidi" w:cs="David"/>
          <w:sz w:val="24"/>
          <w:szCs w:val="24"/>
          <w:rtl/>
        </w:rPr>
        <w:t>, 4 במרץ 2014.</w:t>
      </w:r>
    </w:p>
    <w:p w:rsidR="00284E3C" w:rsidRPr="001D0305" w:rsidRDefault="00284E3C" w:rsidP="00443383">
      <w:pPr>
        <w:pStyle w:val="a9"/>
        <w:numPr>
          <w:ilvl w:val="0"/>
          <w:numId w:val="28"/>
        </w:numPr>
        <w:spacing w:before="120" w:after="120" w:line="360" w:lineRule="auto"/>
        <w:rPr>
          <w:rFonts w:cs="David"/>
          <w:sz w:val="24"/>
          <w:szCs w:val="24"/>
        </w:rPr>
      </w:pPr>
      <w:r w:rsidRPr="001D0305">
        <w:rPr>
          <w:rFonts w:asciiTheme="majorBidi" w:hAnsiTheme="majorBidi" w:cs="David" w:hint="cs"/>
          <w:sz w:val="24"/>
          <w:szCs w:val="24"/>
          <w:rtl/>
        </w:rPr>
        <w:t>רבינוביץ'</w:t>
      </w:r>
      <w:r>
        <w:rPr>
          <w:rFonts w:asciiTheme="majorBidi" w:hAnsiTheme="majorBidi" w:cs="David" w:hint="cs"/>
          <w:sz w:val="24"/>
          <w:szCs w:val="24"/>
          <w:rtl/>
        </w:rPr>
        <w:t xml:space="preserve">, </w:t>
      </w:r>
      <w:r w:rsidRPr="001D0305">
        <w:rPr>
          <w:rFonts w:asciiTheme="majorBidi" w:hAnsiTheme="majorBidi" w:cs="David" w:hint="cs"/>
          <w:sz w:val="24"/>
          <w:szCs w:val="24"/>
          <w:rtl/>
        </w:rPr>
        <w:t xml:space="preserve">מריה, </w:t>
      </w:r>
      <w:r w:rsidRPr="001D0305">
        <w:rPr>
          <w:rFonts w:asciiTheme="majorBidi" w:hAnsiTheme="majorBidi" w:cs="David" w:hint="cs"/>
          <w:sz w:val="24"/>
          <w:szCs w:val="24"/>
          <w:u w:val="single"/>
          <w:rtl/>
        </w:rPr>
        <w:t>סוגיות מרכזיות בעבודת הוועדה לזכויות הילד</w:t>
      </w:r>
      <w:r w:rsidRPr="001D0305">
        <w:rPr>
          <w:rFonts w:asciiTheme="majorBidi" w:hAnsiTheme="majorBidi" w:cs="David" w:hint="cs"/>
          <w:sz w:val="24"/>
          <w:szCs w:val="24"/>
          <w:rtl/>
        </w:rPr>
        <w:t>, מרכז המחקר והמידע של הכנסת, 28 במאי 2015</w:t>
      </w:r>
      <w:r>
        <w:rPr>
          <w:rFonts w:asciiTheme="majorBidi" w:hAnsiTheme="majorBidi" w:cs="David" w:hint="cs"/>
          <w:sz w:val="24"/>
          <w:szCs w:val="24"/>
          <w:rtl/>
        </w:rPr>
        <w:t>.</w:t>
      </w:r>
    </w:p>
    <w:p w:rsidR="00284E3C" w:rsidRPr="001D0305" w:rsidRDefault="00284E3C" w:rsidP="00443383">
      <w:pPr>
        <w:pStyle w:val="a9"/>
        <w:numPr>
          <w:ilvl w:val="0"/>
          <w:numId w:val="28"/>
        </w:numPr>
        <w:spacing w:before="120" w:after="120" w:line="360" w:lineRule="auto"/>
        <w:rPr>
          <w:rFonts w:cs="David"/>
          <w:sz w:val="24"/>
          <w:szCs w:val="24"/>
        </w:rPr>
      </w:pPr>
      <w:r w:rsidRPr="001D0305">
        <w:rPr>
          <w:rFonts w:cs="David" w:hint="cs"/>
          <w:sz w:val="24"/>
          <w:szCs w:val="24"/>
          <w:rtl/>
        </w:rPr>
        <w:t>שחק</w:t>
      </w:r>
      <w:r>
        <w:rPr>
          <w:rFonts w:cs="David" w:hint="cs"/>
          <w:sz w:val="24"/>
          <w:szCs w:val="24"/>
          <w:rtl/>
        </w:rPr>
        <w:t xml:space="preserve">, </w:t>
      </w:r>
      <w:r w:rsidRPr="001D0305">
        <w:rPr>
          <w:rFonts w:cs="David" w:hint="cs"/>
          <w:sz w:val="24"/>
          <w:szCs w:val="24"/>
          <w:rtl/>
        </w:rPr>
        <w:t xml:space="preserve">מתן, </w:t>
      </w:r>
      <w:r w:rsidRPr="001D0305">
        <w:rPr>
          <w:rFonts w:asciiTheme="majorBidi" w:hAnsiTheme="majorBidi" w:cs="David"/>
          <w:sz w:val="24"/>
          <w:szCs w:val="24"/>
          <w:u w:val="single"/>
          <w:rtl/>
        </w:rPr>
        <w:t>הרשות הלאומית למלחמה בסמים ובאלכוהול – מבנה, תפקידים ותקציב</w:t>
      </w:r>
      <w:r w:rsidRPr="001D0305">
        <w:rPr>
          <w:rFonts w:asciiTheme="majorBidi" w:hAnsiTheme="majorBidi" w:cs="David" w:hint="cs"/>
          <w:sz w:val="24"/>
          <w:szCs w:val="24"/>
          <w:rtl/>
        </w:rPr>
        <w:t xml:space="preserve">, </w:t>
      </w:r>
      <w:r w:rsidRPr="001D0305">
        <w:rPr>
          <w:rFonts w:asciiTheme="majorBidi" w:hAnsiTheme="majorBidi" w:cs="David"/>
          <w:sz w:val="24"/>
          <w:szCs w:val="24"/>
          <w:rtl/>
        </w:rPr>
        <w:t>מרכז המחקר והמידע של הכנסת</w:t>
      </w:r>
      <w:r w:rsidRPr="001D0305">
        <w:rPr>
          <w:rFonts w:asciiTheme="majorBidi" w:hAnsiTheme="majorBidi" w:cs="David" w:hint="cs"/>
          <w:sz w:val="24"/>
          <w:szCs w:val="24"/>
          <w:rtl/>
        </w:rPr>
        <w:t>,</w:t>
      </w:r>
      <w:r w:rsidRPr="001D0305">
        <w:rPr>
          <w:rFonts w:asciiTheme="majorBidi" w:hAnsiTheme="majorBidi" w:cs="David"/>
          <w:sz w:val="24"/>
          <w:szCs w:val="24"/>
          <w:rtl/>
        </w:rPr>
        <w:t xml:space="preserve"> 23 בנובמבר 2014</w:t>
      </w:r>
      <w:r w:rsidRPr="001D0305">
        <w:rPr>
          <w:rFonts w:asciiTheme="majorBidi" w:hAnsiTheme="majorBidi" w:cs="David" w:hint="cs"/>
          <w:sz w:val="24"/>
          <w:szCs w:val="24"/>
          <w:rtl/>
        </w:rPr>
        <w:t>.</w:t>
      </w:r>
    </w:p>
    <w:p w:rsidR="00C3078A" w:rsidRPr="001D0305" w:rsidRDefault="004950EE" w:rsidP="004013C4">
      <w:pPr>
        <w:pStyle w:val="2"/>
        <w:rPr>
          <w:rtl/>
        </w:rPr>
      </w:pPr>
      <w:bookmarkStart w:id="427" w:name="_Toc353962044"/>
      <w:bookmarkStart w:id="428" w:name="_Toc421694860"/>
      <w:bookmarkStart w:id="429" w:name="_Toc421697085"/>
      <w:r>
        <w:rPr>
          <w:rFonts w:hint="cs"/>
          <w:rtl/>
        </w:rPr>
        <w:t>מסמכי</w:t>
      </w:r>
      <w:r w:rsidR="00C3078A" w:rsidRPr="001D0305">
        <w:rPr>
          <w:rFonts w:hint="cs"/>
          <w:rtl/>
        </w:rPr>
        <w:t xml:space="preserve"> ממשל</w:t>
      </w:r>
      <w:bookmarkEnd w:id="427"/>
      <w:r>
        <w:rPr>
          <w:rFonts w:hint="cs"/>
          <w:rtl/>
        </w:rPr>
        <w:t>ה</w:t>
      </w:r>
      <w:bookmarkEnd w:id="428"/>
      <w:bookmarkEnd w:id="429"/>
    </w:p>
    <w:p w:rsidR="00AA3EAD" w:rsidRPr="001D0305" w:rsidRDefault="00AA3EAD" w:rsidP="00DC2DB0">
      <w:pPr>
        <w:pStyle w:val="a2"/>
        <w:numPr>
          <w:ilvl w:val="0"/>
          <w:numId w:val="29"/>
        </w:numPr>
        <w:spacing w:line="360" w:lineRule="auto"/>
      </w:pPr>
      <w:r w:rsidRPr="001D0305">
        <w:rPr>
          <w:rFonts w:hint="cs"/>
          <w:rtl/>
        </w:rPr>
        <w:t xml:space="preserve">הלשכה המרכזית לסטטיסטיקה והרשות הלאומית לבטיחות בדרכים, </w:t>
      </w:r>
      <w:hyperlink r:id="rId84" w:history="1">
        <w:r w:rsidRPr="001D0305">
          <w:rPr>
            <w:rStyle w:val="Hyperlink"/>
            <w:rFonts w:hint="cs"/>
            <w:rtl/>
          </w:rPr>
          <w:t>הרשעות ומורשעים בעברות נהיגה 2013-2011</w:t>
        </w:r>
      </w:hyperlink>
      <w:r w:rsidRPr="001D0305">
        <w:rPr>
          <w:rFonts w:hint="cs"/>
          <w:rtl/>
        </w:rPr>
        <w:t>, פרסום מס' 1601, מרץ 2015.</w:t>
      </w:r>
    </w:p>
    <w:p w:rsidR="00AA3EAD" w:rsidRPr="001D0305" w:rsidRDefault="00AA3EAD" w:rsidP="00DC2DB0">
      <w:pPr>
        <w:pStyle w:val="a2"/>
        <w:numPr>
          <w:ilvl w:val="0"/>
          <w:numId w:val="29"/>
        </w:numPr>
        <w:spacing w:line="360" w:lineRule="auto"/>
      </w:pPr>
      <w:r w:rsidRPr="001D0305">
        <w:rPr>
          <w:rFonts w:asciiTheme="majorBidi" w:hAnsiTheme="majorBidi"/>
          <w:rtl/>
        </w:rPr>
        <w:t xml:space="preserve">הרשות הלאומית לבטיחות בדרכים, </w:t>
      </w:r>
      <w:hyperlink r:id="rId85" w:history="1">
        <w:r w:rsidRPr="001D0305">
          <w:rPr>
            <w:rStyle w:val="Hyperlink"/>
            <w:rFonts w:asciiTheme="majorBidi" w:hAnsiTheme="majorBidi"/>
            <w:rtl/>
          </w:rPr>
          <w:t>נהיגה תחת השפעות אלכוהול: 2012</w:t>
        </w:r>
      </w:hyperlink>
      <w:r w:rsidRPr="001D0305">
        <w:rPr>
          <w:rFonts w:asciiTheme="majorBidi" w:hAnsiTheme="majorBidi"/>
          <w:rtl/>
        </w:rPr>
        <w:t>, פברואר 2013</w:t>
      </w:r>
    </w:p>
    <w:p w:rsidR="00AA3EAD" w:rsidRPr="001D0305" w:rsidRDefault="00AA3EAD" w:rsidP="00DC2DB0">
      <w:pPr>
        <w:pStyle w:val="a2"/>
        <w:numPr>
          <w:ilvl w:val="0"/>
          <w:numId w:val="29"/>
        </w:numPr>
        <w:spacing w:line="360" w:lineRule="auto"/>
      </w:pPr>
      <w:r w:rsidRPr="001D0305">
        <w:rPr>
          <w:rFonts w:hint="cs"/>
          <w:rtl/>
        </w:rPr>
        <w:t xml:space="preserve">הרשות הלאומית למלחמה בסמים ואלכוהול ותכנית המחקר הבינלאומי על רווחתם ובריאותם של בני הנוער, בית הספר לחינוך אוניברסיטת בר-אילן, </w:t>
      </w:r>
      <w:hyperlink r:id="rId86" w:history="1">
        <w:r w:rsidRPr="001D0305">
          <w:rPr>
            <w:rStyle w:val="Hyperlink"/>
            <w:rFonts w:hint="cs"/>
            <w:rtl/>
          </w:rPr>
          <w:t>נוער בישראל: דפוסי שימוש והתייחסות לחומרים ממכרים בהשוואה בינלאומית, 1994-2011</w:t>
        </w:r>
      </w:hyperlink>
      <w:r w:rsidRPr="001D0305">
        <w:rPr>
          <w:rFonts w:hint="cs"/>
          <w:rtl/>
        </w:rPr>
        <w:t>, 2013.</w:t>
      </w:r>
    </w:p>
    <w:p w:rsidR="00AA3EAD" w:rsidRPr="001D0305" w:rsidRDefault="00AA3EAD" w:rsidP="00DC2DB0">
      <w:pPr>
        <w:pStyle w:val="a2"/>
        <w:numPr>
          <w:ilvl w:val="0"/>
          <w:numId w:val="29"/>
        </w:numPr>
        <w:spacing w:line="360" w:lineRule="auto"/>
      </w:pPr>
      <w:r w:rsidRPr="001D0305">
        <w:rPr>
          <w:rFonts w:hint="cs"/>
          <w:rtl/>
        </w:rPr>
        <w:t xml:space="preserve">הרשות הלאומית למלחמה בסמים ואלכוהול, </w:t>
      </w:r>
      <w:hyperlink r:id="rId87" w:history="1">
        <w:r w:rsidRPr="001D0305">
          <w:rPr>
            <w:rStyle w:val="Hyperlink"/>
            <w:rFonts w:hint="cs"/>
            <w:rtl/>
          </w:rPr>
          <w:t>דוח מחקר מסכם בנושא השימוש בחומרים פסיכואקטיביים בקרב תושבי מדינת ישראל</w:t>
        </w:r>
      </w:hyperlink>
      <w:r w:rsidRPr="001D0305">
        <w:rPr>
          <w:rFonts w:hint="cs"/>
          <w:rtl/>
        </w:rPr>
        <w:t>, מחקר אפידמיולוגי מס' 7, דצמבר 2009.</w:t>
      </w:r>
    </w:p>
    <w:p w:rsidR="00AA3EAD" w:rsidRPr="001D0305" w:rsidRDefault="00AA3EAD" w:rsidP="00DC2DB0">
      <w:pPr>
        <w:pStyle w:val="a2"/>
        <w:numPr>
          <w:ilvl w:val="0"/>
          <w:numId w:val="29"/>
        </w:numPr>
        <w:spacing w:line="360" w:lineRule="auto"/>
      </w:pPr>
      <w:r w:rsidRPr="001D0305">
        <w:rPr>
          <w:rFonts w:asciiTheme="majorBidi" w:hAnsiTheme="majorBidi"/>
          <w:rtl/>
        </w:rPr>
        <w:t>הרשות הלאומית למלחמה בסמים ובאלכוהול, סיכום שנת העבודה 2013 (דו"ח מס' 25), אפריל 2014, עמ' 17.</w:t>
      </w:r>
    </w:p>
    <w:p w:rsidR="00AA3EAD" w:rsidRPr="001D0305" w:rsidRDefault="00AA3EAD" w:rsidP="00DC2DB0">
      <w:pPr>
        <w:pStyle w:val="a2"/>
        <w:numPr>
          <w:ilvl w:val="0"/>
          <w:numId w:val="29"/>
        </w:numPr>
        <w:spacing w:line="360" w:lineRule="auto"/>
      </w:pPr>
      <w:r w:rsidRPr="001D0305">
        <w:rPr>
          <w:rFonts w:asciiTheme="majorBidi" w:hAnsiTheme="majorBidi"/>
          <w:rtl/>
        </w:rPr>
        <w:t xml:space="preserve">הרשות הלאומית למלחמה בסמים ובאלכוהול, </w:t>
      </w:r>
      <w:hyperlink r:id="rId88" w:history="1">
        <w:r w:rsidRPr="001D0305">
          <w:rPr>
            <w:rStyle w:val="Hyperlink"/>
            <w:rFonts w:asciiTheme="majorBidi" w:hAnsiTheme="majorBidi"/>
            <w:rtl/>
          </w:rPr>
          <w:t>סקר יד-על-הדופק 5</w:t>
        </w:r>
      </w:hyperlink>
      <w:r w:rsidRPr="001D0305">
        <w:rPr>
          <w:rFonts w:asciiTheme="majorBidi" w:hAnsiTheme="majorBidi"/>
          <w:rtl/>
        </w:rPr>
        <w:t>, יוני 2014.</w:t>
      </w:r>
    </w:p>
    <w:p w:rsidR="00AA3EAD" w:rsidRPr="001D0305" w:rsidRDefault="00AA3EAD" w:rsidP="00DC2DB0">
      <w:pPr>
        <w:pStyle w:val="a2"/>
        <w:numPr>
          <w:ilvl w:val="0"/>
          <w:numId w:val="29"/>
        </w:numPr>
        <w:spacing w:line="360" w:lineRule="auto"/>
      </w:pPr>
      <w:r w:rsidRPr="001D0305">
        <w:rPr>
          <w:rFonts w:asciiTheme="majorBidi" w:hAnsiTheme="majorBidi"/>
          <w:rtl/>
        </w:rPr>
        <w:t xml:space="preserve">הרשות הלאומית למלחמה בסמים ובאלכוהול, </w:t>
      </w:r>
      <w:hyperlink r:id="rId89" w:history="1">
        <w:r w:rsidRPr="001D0305">
          <w:rPr>
            <w:rStyle w:val="Hyperlink"/>
            <w:rFonts w:asciiTheme="majorBidi" w:hAnsiTheme="majorBidi"/>
            <w:rtl/>
          </w:rPr>
          <w:t>צריכת סמים ואלכוהול בישראל: נתוני מפתח לשנת 2013</w:t>
        </w:r>
      </w:hyperlink>
      <w:r w:rsidRPr="001D0305">
        <w:rPr>
          <w:rFonts w:asciiTheme="majorBidi" w:hAnsiTheme="majorBidi"/>
          <w:rtl/>
        </w:rPr>
        <w:t>, יולי 2014</w:t>
      </w:r>
    </w:p>
    <w:p w:rsidR="00AA3EAD" w:rsidRPr="001D0305" w:rsidRDefault="00AA3EAD" w:rsidP="00284E3C">
      <w:pPr>
        <w:pStyle w:val="a2"/>
        <w:numPr>
          <w:ilvl w:val="0"/>
          <w:numId w:val="29"/>
        </w:numPr>
        <w:spacing w:line="360" w:lineRule="auto"/>
      </w:pPr>
      <w:r w:rsidRPr="001D0305">
        <w:rPr>
          <w:rFonts w:asciiTheme="majorBidi" w:hAnsiTheme="majorBidi" w:hint="cs"/>
          <w:rtl/>
        </w:rPr>
        <w:t>ה</w:t>
      </w:r>
      <w:r w:rsidRPr="001D0305">
        <w:rPr>
          <w:rFonts w:asciiTheme="majorBidi" w:hAnsiTheme="majorBidi"/>
          <w:rtl/>
        </w:rPr>
        <w:t xml:space="preserve">שר </w:t>
      </w:r>
      <w:r w:rsidRPr="001D0305">
        <w:rPr>
          <w:rFonts w:asciiTheme="majorBidi" w:hAnsiTheme="majorBidi" w:hint="cs"/>
          <w:rtl/>
        </w:rPr>
        <w:t xml:space="preserve">לבטחון </w:t>
      </w:r>
      <w:r w:rsidRPr="001D0305">
        <w:rPr>
          <w:rFonts w:asciiTheme="majorBidi" w:hAnsiTheme="majorBidi"/>
          <w:rtl/>
        </w:rPr>
        <w:t>הפנים</w:t>
      </w:r>
      <w:r>
        <w:rPr>
          <w:rFonts w:asciiTheme="majorBidi" w:hAnsiTheme="majorBidi" w:hint="cs"/>
          <w:rtl/>
        </w:rPr>
        <w:t xml:space="preserve">, </w:t>
      </w:r>
      <w:r w:rsidRPr="00284E3C">
        <w:rPr>
          <w:rFonts w:asciiTheme="majorBidi" w:hAnsiTheme="majorBidi" w:hint="cs"/>
          <w:u w:val="single"/>
          <w:rtl/>
        </w:rPr>
        <w:t>דיווח</w:t>
      </w:r>
      <w:r w:rsidRPr="00284E3C">
        <w:rPr>
          <w:rFonts w:asciiTheme="majorBidi" w:hAnsiTheme="majorBidi"/>
          <w:u w:val="single"/>
          <w:rtl/>
        </w:rPr>
        <w:t xml:space="preserve"> לוועדת הפנים והגנת הסביבה של הכנסת ולוועדת חוק חוקה ומשפט של הכנסת</w:t>
      </w:r>
      <w:r w:rsidRPr="001D0305">
        <w:rPr>
          <w:rFonts w:asciiTheme="majorBidi" w:hAnsiTheme="majorBidi"/>
          <w:rtl/>
        </w:rPr>
        <w:t>, 25 במרץ 2015</w:t>
      </w:r>
      <w:r>
        <w:rPr>
          <w:rFonts w:asciiTheme="majorBidi" w:hAnsiTheme="majorBidi" w:hint="cs"/>
          <w:rtl/>
        </w:rPr>
        <w:t>.</w:t>
      </w:r>
      <w:r w:rsidR="00384C7C">
        <w:rPr>
          <w:rFonts w:asciiTheme="majorBidi" w:hAnsiTheme="majorBidi" w:hint="cs"/>
          <w:rtl/>
        </w:rPr>
        <w:t xml:space="preserve"> </w:t>
      </w:r>
    </w:p>
    <w:p w:rsidR="00AA3EAD" w:rsidRPr="001D0305" w:rsidRDefault="00AA3EAD" w:rsidP="00DC2DB0">
      <w:pPr>
        <w:pStyle w:val="a2"/>
        <w:numPr>
          <w:ilvl w:val="0"/>
          <w:numId w:val="29"/>
        </w:numPr>
        <w:spacing w:line="360" w:lineRule="auto"/>
      </w:pPr>
      <w:r w:rsidRPr="001D0305">
        <w:rPr>
          <w:rFonts w:hint="cs"/>
          <w:rtl/>
        </w:rPr>
        <w:t xml:space="preserve">מבקר המדינה, </w:t>
      </w:r>
      <w:r w:rsidRPr="001D0305">
        <w:rPr>
          <w:rFonts w:hint="cs"/>
          <w:u w:val="single"/>
          <w:rtl/>
        </w:rPr>
        <w:t>משרד האוצר: פעילות בית המכס בנמל התעופה בן גוריון למניעת הברחות</w:t>
      </w:r>
      <w:r w:rsidRPr="001D0305">
        <w:rPr>
          <w:rFonts w:hint="cs"/>
          <w:rtl/>
        </w:rPr>
        <w:t>, דו"ח 64א', 2013, עמ' 207-215.</w:t>
      </w:r>
    </w:p>
    <w:p w:rsidR="00AA3EAD" w:rsidRPr="001D0305" w:rsidRDefault="00AA3EAD" w:rsidP="00DC2DB0">
      <w:pPr>
        <w:pStyle w:val="a2"/>
        <w:numPr>
          <w:ilvl w:val="0"/>
          <w:numId w:val="29"/>
        </w:numPr>
        <w:spacing w:line="360" w:lineRule="auto"/>
      </w:pPr>
      <w:r w:rsidRPr="001D0305">
        <w:rPr>
          <w:rFonts w:hint="cs"/>
          <w:rtl/>
        </w:rPr>
        <w:t xml:space="preserve">מבקר המדינה, </w:t>
      </w:r>
      <w:r w:rsidRPr="001D0305">
        <w:rPr>
          <w:rFonts w:hint="cs"/>
          <w:u w:val="single"/>
          <w:rtl/>
        </w:rPr>
        <w:t>רשות המיסים בישראל: פעולות למניעת הברחות של טובין</w:t>
      </w:r>
      <w:r w:rsidRPr="001D0305">
        <w:rPr>
          <w:rFonts w:hint="cs"/>
          <w:rtl/>
        </w:rPr>
        <w:t>, דו"ח 59ב', 2009, עמ' 241-249.</w:t>
      </w:r>
    </w:p>
    <w:p w:rsidR="00AA3EAD" w:rsidRPr="001D0305" w:rsidRDefault="00AA3EAD" w:rsidP="00DC2DB0">
      <w:pPr>
        <w:pStyle w:val="a2"/>
        <w:numPr>
          <w:ilvl w:val="0"/>
          <w:numId w:val="29"/>
        </w:numPr>
        <w:spacing w:line="360" w:lineRule="auto"/>
      </w:pPr>
      <w:r w:rsidRPr="001D0305">
        <w:rPr>
          <w:rFonts w:asciiTheme="majorBidi" w:hAnsiTheme="majorBidi"/>
          <w:rtl/>
        </w:rPr>
        <w:t xml:space="preserve">משטרת ישראל, </w:t>
      </w:r>
      <w:r w:rsidRPr="001D0305">
        <w:rPr>
          <w:rFonts w:asciiTheme="majorBidi" w:hAnsiTheme="majorBidi"/>
          <w:u w:val="single"/>
          <w:rtl/>
        </w:rPr>
        <w:t>השנתון הסטטיסטי של משטרת ישראל 2010</w:t>
      </w:r>
      <w:r w:rsidRPr="001D0305">
        <w:rPr>
          <w:rFonts w:asciiTheme="majorBidi" w:hAnsiTheme="majorBidi"/>
          <w:rtl/>
        </w:rPr>
        <w:t xml:space="preserve">, פברואר 2011; </w:t>
      </w:r>
    </w:p>
    <w:p w:rsidR="00AA3EAD" w:rsidRPr="001D0305" w:rsidRDefault="00AA3EAD" w:rsidP="00DC2DB0">
      <w:pPr>
        <w:pStyle w:val="a2"/>
        <w:numPr>
          <w:ilvl w:val="0"/>
          <w:numId w:val="29"/>
        </w:numPr>
        <w:spacing w:line="360" w:lineRule="auto"/>
      </w:pPr>
      <w:r w:rsidRPr="001D0305">
        <w:rPr>
          <w:rFonts w:asciiTheme="majorBidi" w:hAnsiTheme="majorBidi"/>
          <w:rtl/>
        </w:rPr>
        <w:t xml:space="preserve">משטרת ישראל, </w:t>
      </w:r>
      <w:r w:rsidRPr="001D0305">
        <w:rPr>
          <w:rFonts w:asciiTheme="majorBidi" w:hAnsiTheme="majorBidi"/>
          <w:u w:val="single"/>
          <w:rtl/>
        </w:rPr>
        <w:t>השנתון הסטטיסטי של משטרת ישראל 2011</w:t>
      </w:r>
      <w:r w:rsidRPr="001D0305">
        <w:rPr>
          <w:rFonts w:asciiTheme="majorBidi" w:hAnsiTheme="majorBidi"/>
          <w:rtl/>
        </w:rPr>
        <w:t xml:space="preserve">, מאי 2012; </w:t>
      </w:r>
    </w:p>
    <w:p w:rsidR="00AA3EAD" w:rsidRPr="001D0305" w:rsidRDefault="00AA3EAD" w:rsidP="00DC2DB0">
      <w:pPr>
        <w:pStyle w:val="a2"/>
        <w:numPr>
          <w:ilvl w:val="0"/>
          <w:numId w:val="29"/>
        </w:numPr>
        <w:spacing w:line="360" w:lineRule="auto"/>
      </w:pPr>
      <w:r w:rsidRPr="001D0305">
        <w:rPr>
          <w:rFonts w:asciiTheme="majorBidi" w:hAnsiTheme="majorBidi"/>
          <w:rtl/>
        </w:rPr>
        <w:t xml:space="preserve">משטרת ישראל, </w:t>
      </w:r>
      <w:hyperlink r:id="rId90" w:history="1">
        <w:r w:rsidRPr="001D0305">
          <w:rPr>
            <w:rStyle w:val="Hyperlink"/>
            <w:rFonts w:asciiTheme="majorBidi" w:hAnsiTheme="majorBidi"/>
            <w:rtl/>
          </w:rPr>
          <w:t>השנתון הסטטיסטי של משטרת ישראל 2013</w:t>
        </w:r>
      </w:hyperlink>
      <w:r w:rsidRPr="001D0305">
        <w:rPr>
          <w:rFonts w:asciiTheme="majorBidi" w:hAnsiTheme="majorBidi"/>
          <w:rtl/>
        </w:rPr>
        <w:t>, מאי 2014</w:t>
      </w:r>
      <w:r w:rsidRPr="001D0305">
        <w:rPr>
          <w:rFonts w:asciiTheme="majorBidi" w:hAnsiTheme="majorBidi" w:hint="cs"/>
          <w:rtl/>
        </w:rPr>
        <w:t xml:space="preserve">; </w:t>
      </w:r>
    </w:p>
    <w:p w:rsidR="00AA3EAD" w:rsidRPr="001D0305" w:rsidRDefault="00AA3EAD" w:rsidP="00DC2DB0">
      <w:pPr>
        <w:pStyle w:val="a2"/>
        <w:numPr>
          <w:ilvl w:val="0"/>
          <w:numId w:val="29"/>
        </w:numPr>
        <w:spacing w:line="360" w:lineRule="auto"/>
      </w:pPr>
      <w:r w:rsidRPr="001D0305">
        <w:rPr>
          <w:rFonts w:asciiTheme="majorBidi" w:hAnsiTheme="majorBidi" w:hint="cs"/>
          <w:rtl/>
        </w:rPr>
        <w:t xml:space="preserve">משטרת ישראל, </w:t>
      </w:r>
      <w:hyperlink r:id="rId91" w:history="1">
        <w:r w:rsidRPr="001D0305">
          <w:rPr>
            <w:rStyle w:val="Hyperlink"/>
            <w:rFonts w:asciiTheme="majorBidi" w:hAnsiTheme="majorBidi" w:hint="cs"/>
            <w:rtl/>
          </w:rPr>
          <w:t>השנתון הסטטיסטי של משטרת ישראל 2014</w:t>
        </w:r>
      </w:hyperlink>
      <w:r w:rsidRPr="001D0305">
        <w:rPr>
          <w:rFonts w:asciiTheme="majorBidi" w:hAnsiTheme="majorBidi" w:hint="cs"/>
          <w:rtl/>
        </w:rPr>
        <w:t>, מאי 2015.</w:t>
      </w:r>
    </w:p>
    <w:p w:rsidR="00AA3EAD" w:rsidRPr="001D0305" w:rsidRDefault="00FF7EF0" w:rsidP="00DC2DB0">
      <w:pPr>
        <w:pStyle w:val="a2"/>
        <w:numPr>
          <w:ilvl w:val="0"/>
          <w:numId w:val="29"/>
        </w:numPr>
        <w:spacing w:line="360" w:lineRule="auto"/>
      </w:pPr>
      <w:r w:rsidRPr="00ED14C9">
        <w:rPr>
          <w:rFonts w:ascii="David" w:hint="cs"/>
          <w:color w:val="000000"/>
          <w:rtl/>
        </w:rPr>
        <w:t xml:space="preserve">משרד האוצר, </w:t>
      </w:r>
      <w:hyperlink r:id="rId92" w:history="1">
        <w:r>
          <w:rPr>
            <w:rStyle w:val="Hyperlink"/>
            <w:rFonts w:ascii="David" w:hint="cs"/>
            <w:rtl/>
          </w:rPr>
          <w:t>דו"ח מינהל הכנסות המדינה 2011-2012</w:t>
        </w:r>
      </w:hyperlink>
      <w:r>
        <w:rPr>
          <w:rFonts w:ascii="David" w:hint="cs"/>
          <w:color w:val="000000"/>
          <w:rtl/>
        </w:rPr>
        <w:t xml:space="preserve">, פרק י"ב </w:t>
      </w:r>
      <w:r>
        <w:rPr>
          <w:rFonts w:ascii="David"/>
          <w:color w:val="000000"/>
          <w:rtl/>
        </w:rPr>
        <w:t>–</w:t>
      </w:r>
      <w:r>
        <w:rPr>
          <w:rFonts w:ascii="David" w:hint="cs"/>
          <w:color w:val="000000"/>
          <w:rtl/>
        </w:rPr>
        <w:t xml:space="preserve"> מס קניה, דצמבר 2013.</w:t>
      </w:r>
    </w:p>
    <w:p w:rsidR="00AA3EAD" w:rsidRPr="001D0305" w:rsidRDefault="00AA3EAD" w:rsidP="00DC2DB0">
      <w:pPr>
        <w:pStyle w:val="a2"/>
        <w:numPr>
          <w:ilvl w:val="0"/>
          <w:numId w:val="29"/>
        </w:numPr>
        <w:spacing w:line="360" w:lineRule="auto"/>
      </w:pPr>
      <w:r w:rsidRPr="001D0305">
        <w:rPr>
          <w:rFonts w:asciiTheme="majorBidi" w:hAnsiTheme="majorBidi"/>
          <w:rtl/>
        </w:rPr>
        <w:t xml:space="preserve">משרד הבריאות, </w:t>
      </w:r>
      <w:hyperlink r:id="rId93" w:history="1">
        <w:r w:rsidRPr="001D0305">
          <w:rPr>
            <w:rStyle w:val="Hyperlink"/>
            <w:rFonts w:asciiTheme="majorBidi" w:hAnsiTheme="majorBidi"/>
            <w:rtl/>
          </w:rPr>
          <w:t>חוזר המנהל הכללי – הרחבת סל שירותי הבריאות לשנת 2013</w:t>
        </w:r>
      </w:hyperlink>
      <w:r w:rsidRPr="001D0305">
        <w:rPr>
          <w:rFonts w:asciiTheme="majorBidi" w:hAnsiTheme="majorBidi"/>
          <w:rtl/>
        </w:rPr>
        <w:t>, ינואר 2013.</w:t>
      </w:r>
    </w:p>
    <w:p w:rsidR="00AA3EAD" w:rsidRPr="001D0305" w:rsidRDefault="00AA3EAD" w:rsidP="00DC2DB0">
      <w:pPr>
        <w:pStyle w:val="a2"/>
        <w:numPr>
          <w:ilvl w:val="0"/>
          <w:numId w:val="29"/>
        </w:numPr>
        <w:spacing w:line="360" w:lineRule="auto"/>
      </w:pPr>
      <w:r w:rsidRPr="001D0305">
        <w:rPr>
          <w:rFonts w:asciiTheme="majorBidi" w:hAnsiTheme="majorBidi"/>
          <w:rtl/>
        </w:rPr>
        <w:t xml:space="preserve">משרד הבריאות, </w:t>
      </w:r>
      <w:hyperlink r:id="rId94" w:history="1">
        <w:r w:rsidRPr="001D0305">
          <w:rPr>
            <w:rStyle w:val="Hyperlink"/>
            <w:rFonts w:asciiTheme="majorBidi" w:hAnsiTheme="majorBidi"/>
            <w:rtl/>
          </w:rPr>
          <w:t>טופס בקשה לרישיון שימוש בקנביס רפואי</w:t>
        </w:r>
      </w:hyperlink>
      <w:r w:rsidRPr="001D0305">
        <w:rPr>
          <w:rFonts w:asciiTheme="majorBidi" w:hAnsiTheme="majorBidi"/>
          <w:rtl/>
        </w:rPr>
        <w:t>. תאריך כניסה: 26 מאי 2015.</w:t>
      </w:r>
    </w:p>
    <w:p w:rsidR="00AA3EAD" w:rsidRPr="001D0305" w:rsidRDefault="00AA3EAD" w:rsidP="00DC2DB0">
      <w:pPr>
        <w:pStyle w:val="a2"/>
        <w:numPr>
          <w:ilvl w:val="0"/>
          <w:numId w:val="29"/>
        </w:numPr>
        <w:spacing w:line="360" w:lineRule="auto"/>
      </w:pPr>
      <w:r w:rsidRPr="001D0305">
        <w:rPr>
          <w:rFonts w:hint="cs"/>
          <w:rtl/>
        </w:rPr>
        <w:t xml:space="preserve">משרד הבריאות, משרד האוצר וקופת חולים כללית, </w:t>
      </w:r>
      <w:r w:rsidRPr="001D0305">
        <w:rPr>
          <w:u w:val="single"/>
          <w:rtl/>
        </w:rPr>
        <w:t>סיכום בין משרדי הבריאות והאוצר לבין שירותי בריאות כללית בנושא העברת שירותי בריאות נפש מהתוספת השלישית לתוספת השניה לחוק ביטוח בריאות ממלכתי</w:t>
      </w:r>
      <w:r w:rsidRPr="001D0305">
        <w:rPr>
          <w:rtl/>
        </w:rPr>
        <w:t>, 31 במאי 2012</w:t>
      </w:r>
      <w:r w:rsidRPr="001D0305">
        <w:rPr>
          <w:rFonts w:hint="cs"/>
          <w:rtl/>
        </w:rPr>
        <w:t>.</w:t>
      </w:r>
    </w:p>
    <w:p w:rsidR="00AA3EAD" w:rsidRPr="001D0305" w:rsidRDefault="00AA3EAD" w:rsidP="00DC2DB0">
      <w:pPr>
        <w:pStyle w:val="a2"/>
        <w:numPr>
          <w:ilvl w:val="0"/>
          <w:numId w:val="29"/>
        </w:numPr>
        <w:spacing w:line="360" w:lineRule="auto"/>
      </w:pPr>
      <w:r w:rsidRPr="001D0305">
        <w:rPr>
          <w:rFonts w:asciiTheme="majorBidi" w:hAnsiTheme="majorBidi"/>
          <w:rtl/>
        </w:rPr>
        <w:t xml:space="preserve">משרד הבריאות, </w:t>
      </w:r>
      <w:hyperlink r:id="rId95" w:history="1">
        <w:r w:rsidRPr="001D0305">
          <w:rPr>
            <w:rStyle w:val="Hyperlink"/>
            <w:rFonts w:asciiTheme="majorBidi" w:hAnsiTheme="majorBidi"/>
            <w:rtl/>
          </w:rPr>
          <w:t>נוהל הכנסת חומרים חדשים לפקודת הסמים המסוכנים (81)</w:t>
        </w:r>
      </w:hyperlink>
      <w:r w:rsidRPr="001D0305">
        <w:rPr>
          <w:rFonts w:asciiTheme="majorBidi" w:hAnsiTheme="majorBidi"/>
          <w:rtl/>
        </w:rPr>
        <w:t>, מאי 2010.</w:t>
      </w:r>
    </w:p>
    <w:p w:rsidR="00AA3EAD" w:rsidRPr="001D0305" w:rsidRDefault="00AA3EAD" w:rsidP="00DC2DB0">
      <w:pPr>
        <w:pStyle w:val="a2"/>
        <w:numPr>
          <w:ilvl w:val="0"/>
          <w:numId w:val="29"/>
        </w:numPr>
        <w:spacing w:line="360" w:lineRule="auto"/>
      </w:pPr>
      <w:r w:rsidRPr="001D0305">
        <w:rPr>
          <w:rFonts w:asciiTheme="majorBidi" w:hAnsiTheme="majorBidi"/>
          <w:rtl/>
        </w:rPr>
        <w:t xml:space="preserve">משרד הבריאות, </w:t>
      </w:r>
      <w:hyperlink r:id="rId96" w:history="1">
        <w:r w:rsidRPr="001D0305">
          <w:rPr>
            <w:rStyle w:val="Hyperlink"/>
            <w:rFonts w:asciiTheme="majorBidi" w:hAnsiTheme="majorBidi"/>
            <w:rtl/>
          </w:rPr>
          <w:t>נוהל הכרזה דחופה על חומרים אסורים בהפצה (114)</w:t>
        </w:r>
      </w:hyperlink>
      <w:r w:rsidRPr="001D0305">
        <w:rPr>
          <w:rFonts w:asciiTheme="majorBidi" w:hAnsiTheme="majorBidi"/>
          <w:rtl/>
        </w:rPr>
        <w:t>, אוגוסט 2013.</w:t>
      </w:r>
    </w:p>
    <w:p w:rsidR="00AA3EAD" w:rsidRPr="001D0305" w:rsidRDefault="00AA3EAD" w:rsidP="00DC2DB0">
      <w:pPr>
        <w:pStyle w:val="a2"/>
        <w:numPr>
          <w:ilvl w:val="0"/>
          <w:numId w:val="29"/>
        </w:numPr>
        <w:spacing w:line="360" w:lineRule="auto"/>
      </w:pPr>
      <w:r w:rsidRPr="001D0305">
        <w:rPr>
          <w:rFonts w:asciiTheme="majorBidi" w:hAnsiTheme="majorBidi"/>
          <w:rtl/>
        </w:rPr>
        <w:t xml:space="preserve">משרד הרווחה והשירותים החברתיים, </w:t>
      </w:r>
      <w:hyperlink r:id="rId97" w:history="1">
        <w:r w:rsidRPr="001D0305">
          <w:rPr>
            <w:rStyle w:val="Hyperlink"/>
            <w:rFonts w:asciiTheme="majorBidi" w:hAnsiTheme="majorBidi"/>
            <w:rtl/>
          </w:rPr>
          <w:t>דוח הוועדה הציבורית לבדיקת מצבם של ילדים ובני-נוער בסיכון ובמצוקה</w:t>
        </w:r>
      </w:hyperlink>
      <w:r w:rsidRPr="001D0305">
        <w:rPr>
          <w:rFonts w:asciiTheme="majorBidi" w:hAnsiTheme="majorBidi"/>
          <w:rtl/>
        </w:rPr>
        <w:t>, מרס 2006.</w:t>
      </w:r>
    </w:p>
    <w:p w:rsidR="00AA3EAD" w:rsidRPr="001D0305" w:rsidRDefault="00AA3EAD" w:rsidP="00DC2DB0">
      <w:pPr>
        <w:pStyle w:val="a2"/>
        <w:numPr>
          <w:ilvl w:val="0"/>
          <w:numId w:val="29"/>
        </w:numPr>
        <w:spacing w:line="360" w:lineRule="auto"/>
        <w:rPr>
          <w:rtl/>
        </w:rPr>
      </w:pPr>
      <w:r w:rsidRPr="001D0305">
        <w:rPr>
          <w:rFonts w:asciiTheme="majorBidi" w:hAnsiTheme="majorBidi"/>
          <w:rtl/>
        </w:rPr>
        <w:t xml:space="preserve">משרד הרווחה והשירותים החברתיים, </w:t>
      </w:r>
      <w:hyperlink r:id="rId98" w:history="1">
        <w:r w:rsidRPr="001D0305">
          <w:rPr>
            <w:rStyle w:val="Hyperlink"/>
            <w:rFonts w:asciiTheme="majorBidi" w:hAnsiTheme="majorBidi"/>
            <w:rtl/>
          </w:rPr>
          <w:t>סקירת השירותים החברתיים 2013: אוכלוסיית המתמכרים לסמים, לאלכוהול ולהימורים</w:t>
        </w:r>
      </w:hyperlink>
      <w:r w:rsidRPr="001D0305">
        <w:rPr>
          <w:rFonts w:asciiTheme="majorBidi" w:hAnsiTheme="majorBidi"/>
          <w:rtl/>
        </w:rPr>
        <w:t>, 2014</w:t>
      </w:r>
      <w:r w:rsidRPr="001D0305">
        <w:rPr>
          <w:rFonts w:asciiTheme="majorBidi" w:hAnsiTheme="majorBidi" w:hint="cs"/>
          <w:rtl/>
        </w:rPr>
        <w:t>.</w:t>
      </w:r>
    </w:p>
    <w:p w:rsidR="009841C5" w:rsidRPr="00BB6388" w:rsidRDefault="00C3078A" w:rsidP="009841C5">
      <w:pPr>
        <w:pStyle w:val="2"/>
        <w:numPr>
          <w:ilvl w:val="1"/>
          <w:numId w:val="1"/>
        </w:numPr>
        <w:ind w:left="350"/>
        <w:rPr>
          <w:rtl/>
        </w:rPr>
      </w:pPr>
      <w:bookmarkStart w:id="430" w:name="_Toc421694861"/>
      <w:bookmarkStart w:id="431" w:name="_Toc421697086"/>
      <w:bookmarkStart w:id="432" w:name="_Toc353962045"/>
      <w:r w:rsidRPr="001D0305">
        <w:rPr>
          <w:rFonts w:hint="cs"/>
          <w:rtl/>
        </w:rPr>
        <w:t>מסמכי ארגונים בינלאומיים</w:t>
      </w:r>
      <w:bookmarkEnd w:id="430"/>
      <w:bookmarkEnd w:id="431"/>
    </w:p>
    <w:p w:rsidR="00C3078A" w:rsidRPr="00EC3C0D" w:rsidRDefault="00C3078A" w:rsidP="00EC3C0D">
      <w:pPr>
        <w:pStyle w:val="a2"/>
        <w:numPr>
          <w:ilvl w:val="0"/>
          <w:numId w:val="38"/>
        </w:numPr>
        <w:bidi w:val="0"/>
      </w:pPr>
      <w:bookmarkStart w:id="433" w:name="_Toc421694862"/>
      <w:r w:rsidRPr="00EC3C0D">
        <w:t xml:space="preserve">United Nations Office on Drugs and Crime, </w:t>
      </w:r>
      <w:hyperlink r:id="rId99" w:history="1">
        <w:r w:rsidRPr="00EC3C0D">
          <w:rPr>
            <w:rStyle w:val="Hyperlink"/>
            <w:rFonts w:asciiTheme="majorBidi" w:hAnsiTheme="majorBidi"/>
          </w:rPr>
          <w:t>World Drug Report 2014 – Full Report</w:t>
        </w:r>
      </w:hyperlink>
      <w:r w:rsidRPr="00EC3C0D">
        <w:t xml:space="preserve">, June, </w:t>
      </w:r>
      <w:r w:rsidRPr="00EC3C0D">
        <w:rPr>
          <w:vertAlign w:val="superscript"/>
        </w:rPr>
        <w:t xml:space="preserve"> </w:t>
      </w:r>
      <w:r w:rsidRPr="00EC3C0D">
        <w:t>2014</w:t>
      </w:r>
      <w:bookmarkEnd w:id="433"/>
    </w:p>
    <w:p w:rsidR="00C3078A" w:rsidRPr="00EC3C0D" w:rsidRDefault="00C3078A" w:rsidP="00EC3C0D">
      <w:pPr>
        <w:pStyle w:val="a2"/>
        <w:numPr>
          <w:ilvl w:val="0"/>
          <w:numId w:val="38"/>
        </w:numPr>
        <w:bidi w:val="0"/>
      </w:pPr>
      <w:r w:rsidRPr="00EC3C0D">
        <w:rPr>
          <w:rFonts w:asciiTheme="majorBidi" w:hAnsiTheme="majorBidi"/>
        </w:rPr>
        <w:t xml:space="preserve">United Nations, </w:t>
      </w:r>
      <w:hyperlink r:id="rId100" w:history="1">
        <w:r w:rsidRPr="00EC3C0D">
          <w:rPr>
            <w:rStyle w:val="Hyperlink"/>
            <w:rFonts w:asciiTheme="majorBidi" w:hAnsiTheme="majorBidi"/>
          </w:rPr>
          <w:t>Single Convention on Narcotic Drugs</w:t>
        </w:r>
      </w:hyperlink>
      <w:r w:rsidRPr="00EC3C0D">
        <w:rPr>
          <w:rFonts w:asciiTheme="majorBidi" w:hAnsiTheme="majorBidi"/>
        </w:rPr>
        <w:t>, 1961.</w:t>
      </w:r>
    </w:p>
    <w:p w:rsidR="00C3078A" w:rsidRPr="00EC3C0D" w:rsidRDefault="00C3078A" w:rsidP="00EC3C0D">
      <w:pPr>
        <w:pStyle w:val="a2"/>
        <w:numPr>
          <w:ilvl w:val="0"/>
          <w:numId w:val="38"/>
        </w:numPr>
        <w:bidi w:val="0"/>
      </w:pPr>
      <w:r w:rsidRPr="00EC3C0D">
        <w:t xml:space="preserve">United Nations Office on Drugs and Crime, </w:t>
      </w:r>
      <w:hyperlink r:id="rId101" w:history="1">
        <w:r w:rsidRPr="00EC3C0D">
          <w:rPr>
            <w:rStyle w:val="Hyperlink"/>
            <w:rFonts w:asciiTheme="majorBidi" w:hAnsiTheme="majorBidi"/>
          </w:rPr>
          <w:t>World Drug Report 2014 – Methodology</w:t>
        </w:r>
      </w:hyperlink>
      <w:r w:rsidRPr="00EC3C0D">
        <w:t>, June 2014.</w:t>
      </w:r>
    </w:p>
    <w:p w:rsidR="00C3078A" w:rsidRPr="00EC3C0D" w:rsidRDefault="00C3078A" w:rsidP="00EC3C0D">
      <w:pPr>
        <w:pStyle w:val="a2"/>
        <w:numPr>
          <w:ilvl w:val="0"/>
          <w:numId w:val="38"/>
        </w:numPr>
        <w:bidi w:val="0"/>
      </w:pPr>
      <w:r w:rsidRPr="00EC3C0D">
        <w:rPr>
          <w:rFonts w:asciiTheme="majorBidi" w:hAnsiTheme="majorBidi"/>
        </w:rPr>
        <w:t xml:space="preserve">World Health Organization, </w:t>
      </w:r>
      <w:hyperlink r:id="rId102" w:history="1">
        <w:r w:rsidRPr="00EC3C0D">
          <w:rPr>
            <w:rStyle w:val="Hyperlink"/>
            <w:rFonts w:asciiTheme="majorBidi" w:hAnsiTheme="majorBidi"/>
          </w:rPr>
          <w:t>Global Status Report on Alcohol and Health 2014</w:t>
        </w:r>
      </w:hyperlink>
      <w:r w:rsidRPr="00EC3C0D">
        <w:rPr>
          <w:rFonts w:asciiTheme="majorBidi" w:hAnsiTheme="majorBidi"/>
        </w:rPr>
        <w:t>, 2014</w:t>
      </w:r>
    </w:p>
    <w:p w:rsidR="00C3078A" w:rsidRPr="00EC3C0D" w:rsidRDefault="00C3078A" w:rsidP="00EC3C0D">
      <w:pPr>
        <w:pStyle w:val="a2"/>
        <w:numPr>
          <w:ilvl w:val="0"/>
          <w:numId w:val="38"/>
        </w:numPr>
        <w:bidi w:val="0"/>
      </w:pPr>
      <w:r w:rsidRPr="00EC3C0D">
        <w:rPr>
          <w:rFonts w:asciiTheme="majorBidi" w:hAnsiTheme="majorBidi"/>
        </w:rPr>
        <w:t xml:space="preserve">European Monitoring Center for Drugs and Drug Addiction, </w:t>
      </w:r>
      <w:hyperlink r:id="rId103" w:history="1">
        <w:r w:rsidRPr="00EC3C0D">
          <w:rPr>
            <w:rStyle w:val="Hyperlink"/>
            <w:rFonts w:asciiTheme="majorBidi" w:hAnsiTheme="majorBidi"/>
          </w:rPr>
          <w:t>European Drug Report 2014: Trends and Developments</w:t>
        </w:r>
      </w:hyperlink>
      <w:r w:rsidRPr="00EC3C0D">
        <w:rPr>
          <w:rFonts w:asciiTheme="majorBidi" w:hAnsiTheme="majorBidi"/>
        </w:rPr>
        <w:t>, May 2014.</w:t>
      </w:r>
    </w:p>
    <w:p w:rsidR="00C3078A" w:rsidRPr="001D0305" w:rsidRDefault="00C3078A" w:rsidP="004013C4">
      <w:pPr>
        <w:pStyle w:val="2"/>
        <w:rPr>
          <w:rtl/>
        </w:rPr>
      </w:pPr>
      <w:bookmarkStart w:id="434" w:name="_Toc421694863"/>
      <w:bookmarkStart w:id="435" w:name="_Toc421697087"/>
      <w:r w:rsidRPr="001D0305">
        <w:rPr>
          <w:rFonts w:hint="cs"/>
          <w:rtl/>
        </w:rPr>
        <w:t>פגישות עבודה, שיחות טלפון, דואר אלקטרוני ומכתבים</w:t>
      </w:r>
      <w:bookmarkEnd w:id="432"/>
      <w:bookmarkEnd w:id="434"/>
      <w:bookmarkEnd w:id="435"/>
    </w:p>
    <w:p w:rsidR="008670C5" w:rsidRPr="00EB1406" w:rsidRDefault="008670C5" w:rsidP="001809B4">
      <w:pPr>
        <w:pStyle w:val="a2"/>
        <w:numPr>
          <w:ilvl w:val="0"/>
          <w:numId w:val="31"/>
        </w:numPr>
        <w:spacing w:line="360" w:lineRule="auto"/>
      </w:pPr>
      <w:r w:rsidRPr="001D0305">
        <w:rPr>
          <w:rFonts w:asciiTheme="majorBidi" w:hAnsiTheme="majorBidi"/>
          <w:rtl/>
        </w:rPr>
        <w:t>אור-טל</w:t>
      </w:r>
      <w:r>
        <w:rPr>
          <w:rFonts w:asciiTheme="majorBidi" w:hAnsiTheme="majorBidi" w:hint="cs"/>
          <w:rtl/>
        </w:rPr>
        <w:t xml:space="preserve">, </w:t>
      </w:r>
      <w:r w:rsidRPr="001D0305">
        <w:rPr>
          <w:rFonts w:asciiTheme="majorBidi" w:hAnsiTheme="majorBidi"/>
          <w:rtl/>
        </w:rPr>
        <w:t>אהוד, ממונה מדור בכיר מבצעים ביחידת הסמים והלבנת הון שברשות המיסים, שיחת טלפון, 21 במאי 2015.</w:t>
      </w:r>
    </w:p>
    <w:p w:rsidR="00EB1406" w:rsidRPr="001D0305" w:rsidRDefault="00EB1406" w:rsidP="00EB1406">
      <w:pPr>
        <w:pStyle w:val="a2"/>
        <w:numPr>
          <w:ilvl w:val="0"/>
          <w:numId w:val="31"/>
        </w:numPr>
        <w:spacing w:line="360" w:lineRule="auto"/>
      </w:pPr>
      <w:r>
        <w:rPr>
          <w:rFonts w:hint="cs"/>
          <w:rtl/>
        </w:rPr>
        <w:t>אסטרחן, ארבל, הלשכה המשפטית של הכנסת, שיחת טלפון, 16 ביוני 2015.</w:t>
      </w:r>
    </w:p>
    <w:p w:rsidR="008670C5" w:rsidRPr="001D0305" w:rsidRDefault="008670C5" w:rsidP="00E10DB8">
      <w:pPr>
        <w:pStyle w:val="a2"/>
        <w:numPr>
          <w:ilvl w:val="0"/>
          <w:numId w:val="31"/>
        </w:numPr>
        <w:spacing w:line="360" w:lineRule="auto"/>
      </w:pPr>
      <w:r w:rsidRPr="001D0305">
        <w:rPr>
          <w:rFonts w:asciiTheme="majorBidi" w:hAnsiTheme="majorBidi"/>
          <w:rtl/>
        </w:rPr>
        <w:t>אריאלי</w:t>
      </w:r>
      <w:r>
        <w:rPr>
          <w:rFonts w:asciiTheme="majorBidi" w:hAnsiTheme="majorBidi" w:hint="cs"/>
          <w:rtl/>
        </w:rPr>
        <w:t>,</w:t>
      </w:r>
      <w:r w:rsidRPr="001D0305">
        <w:rPr>
          <w:rFonts w:asciiTheme="majorBidi" w:hAnsiTheme="majorBidi"/>
          <w:rtl/>
        </w:rPr>
        <w:t xml:space="preserve"> מיקי, ראש האגף לפיקוח ואכיפה, </w:t>
      </w:r>
      <w:r w:rsidRPr="001D0305">
        <w:rPr>
          <w:rFonts w:asciiTheme="majorBidi" w:hAnsiTheme="majorBidi" w:hint="cs"/>
          <w:rtl/>
        </w:rPr>
        <w:t xml:space="preserve">משרד הבריאות, </w:t>
      </w:r>
      <w:r w:rsidRPr="001D0305">
        <w:rPr>
          <w:rFonts w:asciiTheme="majorBidi" w:hAnsiTheme="majorBidi"/>
          <w:rtl/>
        </w:rPr>
        <w:t>שיחת טלפון, 27 אפריל 2015</w:t>
      </w:r>
      <w:r>
        <w:rPr>
          <w:rFonts w:hint="cs"/>
          <w:rtl/>
        </w:rPr>
        <w:t>;</w:t>
      </w:r>
      <w:r w:rsidRPr="001D0305">
        <w:rPr>
          <w:rFonts w:asciiTheme="majorBidi" w:hAnsiTheme="majorBidi"/>
          <w:rtl/>
        </w:rPr>
        <w:t xml:space="preserve"> 27 </w:t>
      </w:r>
      <w:r w:rsidRPr="001D0305">
        <w:rPr>
          <w:rFonts w:asciiTheme="majorBidi" w:hAnsiTheme="majorBidi" w:hint="cs"/>
          <w:rtl/>
        </w:rPr>
        <w:t>מאי</w:t>
      </w:r>
      <w:r w:rsidRPr="001D0305">
        <w:rPr>
          <w:rFonts w:asciiTheme="majorBidi" w:hAnsiTheme="majorBidi"/>
          <w:rtl/>
        </w:rPr>
        <w:t xml:space="preserve"> 2015.</w:t>
      </w:r>
    </w:p>
    <w:p w:rsidR="008670C5" w:rsidRPr="001D0305" w:rsidRDefault="008670C5" w:rsidP="00DC2DB0">
      <w:pPr>
        <w:pStyle w:val="a2"/>
        <w:numPr>
          <w:ilvl w:val="0"/>
          <w:numId w:val="31"/>
        </w:numPr>
        <w:spacing w:line="360" w:lineRule="auto"/>
      </w:pPr>
      <w:r w:rsidRPr="001D0305">
        <w:rPr>
          <w:rFonts w:asciiTheme="majorBidi" w:hAnsiTheme="majorBidi"/>
          <w:rtl/>
        </w:rPr>
        <w:t>ביטרמן,</w:t>
      </w:r>
      <w:r w:rsidRPr="001809B4">
        <w:rPr>
          <w:rFonts w:asciiTheme="majorBidi" w:hAnsiTheme="majorBidi"/>
          <w:rtl/>
        </w:rPr>
        <w:t xml:space="preserve"> </w:t>
      </w:r>
      <w:r w:rsidRPr="001D0305">
        <w:rPr>
          <w:rFonts w:asciiTheme="majorBidi" w:hAnsiTheme="majorBidi"/>
          <w:rtl/>
        </w:rPr>
        <w:t>אורלי</w:t>
      </w:r>
      <w:r>
        <w:rPr>
          <w:rFonts w:asciiTheme="majorBidi" w:hAnsiTheme="majorBidi" w:hint="cs"/>
          <w:rtl/>
        </w:rPr>
        <w:t>,</w:t>
      </w:r>
      <w:r w:rsidRPr="001D0305">
        <w:rPr>
          <w:rFonts w:asciiTheme="majorBidi" w:hAnsiTheme="majorBidi"/>
          <w:rtl/>
        </w:rPr>
        <w:t xml:space="preserve"> סגנית מנהלת תחום תקצוב באגף תקציבים שבמשרד הבריאות, שיחת טלפון, 27 אפריל 2015.</w:t>
      </w:r>
    </w:p>
    <w:p w:rsidR="008670C5" w:rsidRPr="001D0305" w:rsidRDefault="008670C5" w:rsidP="00DC2DB0">
      <w:pPr>
        <w:pStyle w:val="a2"/>
        <w:numPr>
          <w:ilvl w:val="0"/>
          <w:numId w:val="31"/>
        </w:numPr>
        <w:spacing w:line="360" w:lineRule="auto"/>
      </w:pPr>
      <w:r w:rsidRPr="001D0305">
        <w:rPr>
          <w:rFonts w:asciiTheme="majorBidi" w:hAnsiTheme="majorBidi"/>
          <w:rtl/>
        </w:rPr>
        <w:t>גולדווג,</w:t>
      </w:r>
      <w:r>
        <w:rPr>
          <w:rFonts w:asciiTheme="majorBidi" w:hAnsiTheme="majorBidi" w:hint="cs"/>
          <w:rtl/>
        </w:rPr>
        <w:t xml:space="preserve"> </w:t>
      </w:r>
      <w:r w:rsidRPr="001D0305">
        <w:rPr>
          <w:rFonts w:asciiTheme="majorBidi" w:hAnsiTheme="majorBidi"/>
          <w:rtl/>
        </w:rPr>
        <w:t>רחל</w:t>
      </w:r>
      <w:r>
        <w:rPr>
          <w:rFonts w:asciiTheme="majorBidi" w:hAnsiTheme="majorBidi" w:hint="cs"/>
          <w:rtl/>
        </w:rPr>
        <w:t>,</w:t>
      </w:r>
      <w:r w:rsidRPr="001D0305">
        <w:rPr>
          <w:rFonts w:asciiTheme="majorBidi" w:hAnsiTheme="majorBidi"/>
          <w:rtl/>
        </w:rPr>
        <w:t xml:space="preserve"> מנהלת אגף המחקר, הרשות הלאומית לבטיחות בדרכים, </w:t>
      </w:r>
      <w:r w:rsidRPr="001D0305">
        <w:rPr>
          <w:rFonts w:asciiTheme="majorBidi" w:hAnsiTheme="majorBidi" w:hint="cs"/>
          <w:rtl/>
        </w:rPr>
        <w:t xml:space="preserve">שיחת טלפון, </w:t>
      </w:r>
      <w:r w:rsidRPr="001D0305">
        <w:rPr>
          <w:rFonts w:asciiTheme="majorBidi" w:hAnsiTheme="majorBidi"/>
          <w:rtl/>
        </w:rPr>
        <w:t>18 מרץ 2015.</w:t>
      </w:r>
    </w:p>
    <w:p w:rsidR="008670C5" w:rsidRPr="001D0305" w:rsidRDefault="008670C5" w:rsidP="00E10DB8">
      <w:pPr>
        <w:pStyle w:val="a2"/>
        <w:numPr>
          <w:ilvl w:val="0"/>
          <w:numId w:val="31"/>
        </w:numPr>
        <w:spacing w:line="360" w:lineRule="auto"/>
      </w:pPr>
      <w:r w:rsidRPr="001D0305">
        <w:rPr>
          <w:rFonts w:asciiTheme="majorBidi" w:hAnsiTheme="majorBidi"/>
          <w:rtl/>
        </w:rPr>
        <w:t>גלעדי</w:t>
      </w:r>
      <w:r>
        <w:rPr>
          <w:rFonts w:asciiTheme="majorBidi" w:hAnsiTheme="majorBidi" w:hint="cs"/>
          <w:rtl/>
        </w:rPr>
        <w:t xml:space="preserve">, </w:t>
      </w:r>
      <w:r w:rsidRPr="001D0305">
        <w:rPr>
          <w:rFonts w:asciiTheme="majorBidi" w:hAnsiTheme="majorBidi"/>
          <w:rtl/>
        </w:rPr>
        <w:t xml:space="preserve">נועם, אגף החשב הכללי במשרד האוצר, </w:t>
      </w:r>
      <w:r w:rsidRPr="001D0305">
        <w:rPr>
          <w:rFonts w:asciiTheme="majorBidi" w:hAnsiTheme="majorBidi" w:hint="cs"/>
          <w:rtl/>
        </w:rPr>
        <w:t>מכתב</w:t>
      </w:r>
      <w:r w:rsidRPr="001D0305">
        <w:rPr>
          <w:rFonts w:asciiTheme="majorBidi" w:hAnsiTheme="majorBidi"/>
          <w:rtl/>
        </w:rPr>
        <w:t>, 9 מרץ 2015.</w:t>
      </w:r>
    </w:p>
    <w:p w:rsidR="008670C5" w:rsidRPr="001D0305" w:rsidRDefault="008670C5" w:rsidP="00DC2DB0">
      <w:pPr>
        <w:pStyle w:val="a2"/>
        <w:numPr>
          <w:ilvl w:val="0"/>
          <w:numId w:val="31"/>
        </w:numPr>
        <w:spacing w:line="360" w:lineRule="auto"/>
      </w:pPr>
      <w:r w:rsidRPr="001D0305">
        <w:rPr>
          <w:rFonts w:asciiTheme="majorBidi" w:hAnsiTheme="majorBidi"/>
          <w:rtl/>
        </w:rPr>
        <w:t>יוגב, איריס ראש אגף תכנון ובקרה שברשות הלאומית למלחמה בסמים ובאלכוהול, שיחת טלפון, 18 מרץ 2015.</w:t>
      </w:r>
    </w:p>
    <w:p w:rsidR="008670C5" w:rsidRPr="001D0305" w:rsidRDefault="008670C5" w:rsidP="001809B4">
      <w:pPr>
        <w:pStyle w:val="a2"/>
        <w:numPr>
          <w:ilvl w:val="0"/>
          <w:numId w:val="31"/>
        </w:numPr>
        <w:spacing w:line="360" w:lineRule="auto"/>
      </w:pPr>
      <w:r w:rsidRPr="001D0305">
        <w:rPr>
          <w:rFonts w:asciiTheme="majorBidi" w:hAnsiTheme="majorBidi"/>
          <w:rtl/>
        </w:rPr>
        <w:t>יונה</w:t>
      </w:r>
      <w:r w:rsidRPr="001D0305">
        <w:rPr>
          <w:rFonts w:asciiTheme="majorBidi" w:hAnsiTheme="majorBidi" w:hint="cs"/>
          <w:rtl/>
        </w:rPr>
        <w:t xml:space="preserve">, </w:t>
      </w:r>
      <w:r w:rsidRPr="001D0305">
        <w:rPr>
          <w:rFonts w:asciiTheme="majorBidi" w:hAnsiTheme="majorBidi"/>
          <w:rtl/>
        </w:rPr>
        <w:t>גל</w:t>
      </w:r>
      <w:r>
        <w:rPr>
          <w:rFonts w:asciiTheme="majorBidi" w:hAnsiTheme="majorBidi" w:hint="cs"/>
          <w:rtl/>
        </w:rPr>
        <w:t xml:space="preserve">, </w:t>
      </w:r>
      <w:r w:rsidRPr="001D0305">
        <w:rPr>
          <w:rFonts w:asciiTheme="majorBidi" w:hAnsiTheme="majorBidi" w:hint="cs"/>
          <w:rtl/>
        </w:rPr>
        <w:t>מתאמת קשר עם הכנסת, לשכת השר לבטחון הפנים, מכתב,</w:t>
      </w:r>
      <w:r w:rsidRPr="001D0305">
        <w:rPr>
          <w:rFonts w:asciiTheme="majorBidi" w:hAnsiTheme="majorBidi"/>
          <w:rtl/>
        </w:rPr>
        <w:t xml:space="preserve"> 15 אפריל 2015.</w:t>
      </w:r>
    </w:p>
    <w:p w:rsidR="00F61129" w:rsidRPr="00462566" w:rsidRDefault="00F61129" w:rsidP="00DC2DB0">
      <w:pPr>
        <w:pStyle w:val="a9"/>
        <w:numPr>
          <w:ilvl w:val="0"/>
          <w:numId w:val="31"/>
        </w:numPr>
        <w:spacing w:line="360" w:lineRule="auto"/>
        <w:rPr>
          <w:rFonts w:asciiTheme="majorBidi" w:hAnsiTheme="majorBidi" w:cs="David"/>
          <w:sz w:val="24"/>
          <w:szCs w:val="24"/>
        </w:rPr>
      </w:pPr>
      <w:r w:rsidRPr="001D0305">
        <w:rPr>
          <w:rFonts w:asciiTheme="majorBidi" w:hAnsiTheme="majorBidi" w:cs="David"/>
          <w:sz w:val="24"/>
          <w:szCs w:val="24"/>
          <w:rtl/>
        </w:rPr>
        <w:t>יעקבי, סתוית</w:t>
      </w:r>
      <w:r>
        <w:rPr>
          <w:rFonts w:asciiTheme="majorBidi" w:hAnsiTheme="majorBidi" w:cs="David" w:hint="cs"/>
          <w:sz w:val="24"/>
          <w:szCs w:val="24"/>
          <w:rtl/>
        </w:rPr>
        <w:t>,</w:t>
      </w:r>
      <w:r w:rsidRPr="001D0305">
        <w:rPr>
          <w:rFonts w:asciiTheme="majorBidi" w:hAnsiTheme="majorBidi" w:cs="David"/>
          <w:sz w:val="24"/>
          <w:szCs w:val="24"/>
          <w:rtl/>
        </w:rPr>
        <w:t xml:space="preserve"> מנהלת ענף מידע במשרד הבריאות, </w:t>
      </w:r>
      <w:r w:rsidRPr="001D0305">
        <w:rPr>
          <w:rFonts w:asciiTheme="majorBidi" w:hAnsiTheme="majorBidi" w:cs="David" w:hint="cs"/>
          <w:sz w:val="24"/>
          <w:szCs w:val="24"/>
          <w:rtl/>
        </w:rPr>
        <w:t>מכתב</w:t>
      </w:r>
      <w:r w:rsidRPr="001D0305">
        <w:rPr>
          <w:rFonts w:asciiTheme="majorBidi" w:hAnsiTheme="majorBidi" w:cs="David"/>
          <w:sz w:val="24"/>
          <w:szCs w:val="24"/>
          <w:rtl/>
        </w:rPr>
        <w:t>, 16 מרץ 2015.</w:t>
      </w:r>
      <w:r w:rsidRPr="001D0305">
        <w:rPr>
          <w:rFonts w:asciiTheme="majorBidi" w:hAnsiTheme="majorBidi" w:cs="David"/>
          <w:sz w:val="24"/>
          <w:szCs w:val="24"/>
          <w:lang w:val="en-US"/>
        </w:rPr>
        <w:t xml:space="preserve"> </w:t>
      </w:r>
    </w:p>
    <w:p w:rsidR="00F61129" w:rsidRPr="001D0305" w:rsidRDefault="00F61129" w:rsidP="00DC2DB0">
      <w:pPr>
        <w:pStyle w:val="a2"/>
        <w:numPr>
          <w:ilvl w:val="0"/>
          <w:numId w:val="31"/>
        </w:numPr>
        <w:spacing w:line="360" w:lineRule="auto"/>
      </w:pPr>
      <w:r w:rsidRPr="001D0305">
        <w:rPr>
          <w:rtl/>
        </w:rPr>
        <w:t>כהן, מירי</w:t>
      </w:r>
      <w:r>
        <w:rPr>
          <w:rFonts w:hint="cs"/>
          <w:rtl/>
        </w:rPr>
        <w:t>,</w:t>
      </w:r>
      <w:r w:rsidRPr="001D0305">
        <w:rPr>
          <w:rtl/>
        </w:rPr>
        <w:t xml:space="preserve"> מנהלת תחום בכיר שירותי הצלה וע"ר, משרד הבריאות, </w:t>
      </w:r>
      <w:r>
        <w:rPr>
          <w:rtl/>
        </w:rPr>
        <w:t>מכתב, 23 באפריל 2014</w:t>
      </w:r>
      <w:r>
        <w:rPr>
          <w:rFonts w:hint="cs"/>
          <w:rtl/>
        </w:rPr>
        <w:t xml:space="preserve">; </w:t>
      </w:r>
      <w:r w:rsidRPr="001D0305">
        <w:rPr>
          <w:rFonts w:hint="cs"/>
          <w:rtl/>
        </w:rPr>
        <w:t>מכתב</w:t>
      </w:r>
      <w:r w:rsidRPr="001D0305">
        <w:rPr>
          <w:rtl/>
        </w:rPr>
        <w:t>, 19 מרץ 2015.</w:t>
      </w:r>
    </w:p>
    <w:p w:rsidR="00F61129" w:rsidRPr="001D0305" w:rsidRDefault="00F61129" w:rsidP="00DC2DB0">
      <w:pPr>
        <w:pStyle w:val="a9"/>
        <w:numPr>
          <w:ilvl w:val="0"/>
          <w:numId w:val="31"/>
        </w:numPr>
        <w:spacing w:line="360" w:lineRule="auto"/>
        <w:rPr>
          <w:rFonts w:asciiTheme="majorBidi" w:hAnsiTheme="majorBidi" w:cs="David"/>
          <w:sz w:val="24"/>
          <w:szCs w:val="24"/>
        </w:rPr>
      </w:pPr>
      <w:r w:rsidRPr="00462566">
        <w:rPr>
          <w:rFonts w:asciiTheme="majorBidi" w:hAnsiTheme="majorBidi" w:cs="David" w:hint="cs"/>
          <w:sz w:val="24"/>
          <w:szCs w:val="24"/>
          <w:rtl/>
        </w:rPr>
        <w:t>כהנא, אתי, ראש אגף אכיפה וחקיקה, הרשות הלאומית למלחמה בסמים ובאלכוהול, שיחת טלפון 15 ביוני 2015.</w:t>
      </w:r>
    </w:p>
    <w:p w:rsidR="008670C5" w:rsidRPr="001D0305" w:rsidRDefault="008670C5" w:rsidP="00E10DB8">
      <w:pPr>
        <w:pStyle w:val="a2"/>
        <w:numPr>
          <w:ilvl w:val="0"/>
          <w:numId w:val="31"/>
        </w:numPr>
        <w:spacing w:line="360" w:lineRule="auto"/>
      </w:pPr>
      <w:r w:rsidRPr="001D0305">
        <w:rPr>
          <w:rFonts w:asciiTheme="majorBidi" w:hAnsiTheme="majorBidi"/>
          <w:rtl/>
        </w:rPr>
        <w:t>לביא</w:t>
      </w:r>
      <w:r>
        <w:rPr>
          <w:rFonts w:asciiTheme="majorBidi" w:hAnsiTheme="majorBidi" w:hint="cs"/>
          <w:rtl/>
        </w:rPr>
        <w:t>,</w:t>
      </w:r>
      <w:r w:rsidRPr="001D0305">
        <w:rPr>
          <w:rFonts w:asciiTheme="majorBidi" w:hAnsiTheme="majorBidi"/>
          <w:rtl/>
        </w:rPr>
        <w:t xml:space="preserve"> טל</w:t>
      </w:r>
      <w:r>
        <w:rPr>
          <w:rFonts w:asciiTheme="majorBidi" w:hAnsiTheme="majorBidi" w:hint="cs"/>
          <w:rtl/>
        </w:rPr>
        <w:t xml:space="preserve"> (</w:t>
      </w:r>
      <w:r w:rsidRPr="001D0305">
        <w:rPr>
          <w:rFonts w:asciiTheme="majorBidi" w:hAnsiTheme="majorBidi"/>
          <w:rtl/>
        </w:rPr>
        <w:t>ד"ר</w:t>
      </w:r>
      <w:r>
        <w:rPr>
          <w:rFonts w:asciiTheme="majorBidi" w:hAnsiTheme="majorBidi" w:hint="cs"/>
          <w:rtl/>
        </w:rPr>
        <w:t>)</w:t>
      </w:r>
      <w:r w:rsidRPr="001D0305">
        <w:rPr>
          <w:rFonts w:asciiTheme="majorBidi" w:hAnsiTheme="majorBidi"/>
          <w:rtl/>
        </w:rPr>
        <w:t>, הרשות המוסמכת לסמים באגף הרוקחות, שיחת טלפון, 26 מרץ 2015.</w:t>
      </w:r>
    </w:p>
    <w:p w:rsidR="008670C5" w:rsidRPr="001D0305" w:rsidRDefault="008670C5" w:rsidP="00E10DB8">
      <w:pPr>
        <w:pStyle w:val="a2"/>
        <w:numPr>
          <w:ilvl w:val="0"/>
          <w:numId w:val="31"/>
        </w:numPr>
        <w:spacing w:line="360" w:lineRule="auto"/>
      </w:pPr>
      <w:r w:rsidRPr="001D0305">
        <w:rPr>
          <w:rFonts w:asciiTheme="majorBidi" w:hAnsiTheme="majorBidi"/>
          <w:rtl/>
        </w:rPr>
        <w:t>מרגוליס</w:t>
      </w:r>
      <w:r>
        <w:rPr>
          <w:rFonts w:asciiTheme="majorBidi" w:hAnsiTheme="majorBidi" w:hint="cs"/>
          <w:rtl/>
        </w:rPr>
        <w:t>,</w:t>
      </w:r>
      <w:r w:rsidRPr="001D0305">
        <w:rPr>
          <w:rFonts w:asciiTheme="majorBidi" w:hAnsiTheme="majorBidi"/>
          <w:rtl/>
        </w:rPr>
        <w:t xml:space="preserve"> אנטולי</w:t>
      </w:r>
      <w:r>
        <w:rPr>
          <w:rFonts w:asciiTheme="majorBidi" w:hAnsiTheme="majorBidi" w:hint="cs"/>
          <w:rtl/>
        </w:rPr>
        <w:t xml:space="preserve"> (ד"ר)</w:t>
      </w:r>
      <w:r w:rsidRPr="001D0305">
        <w:rPr>
          <w:rFonts w:asciiTheme="majorBidi" w:hAnsiTheme="majorBidi"/>
          <w:rtl/>
        </w:rPr>
        <w:t>, מפקח ארצי וסגן מנהלת המחלקה לטיפול בהתמכרויות במשרד הבריאות, מכתב, 27 אפריל 2015</w:t>
      </w:r>
      <w:r w:rsidR="00206DEB">
        <w:rPr>
          <w:rFonts w:asciiTheme="majorBidi" w:hAnsiTheme="majorBidi" w:hint="cs"/>
          <w:rtl/>
        </w:rPr>
        <w:t>; מכתב, 15 ביוני 2015.</w:t>
      </w:r>
    </w:p>
    <w:p w:rsidR="008670C5" w:rsidRPr="001D0305" w:rsidRDefault="008670C5" w:rsidP="00A74BD9">
      <w:pPr>
        <w:pStyle w:val="a2"/>
        <w:numPr>
          <w:ilvl w:val="0"/>
          <w:numId w:val="31"/>
        </w:numPr>
        <w:spacing w:line="360" w:lineRule="auto"/>
      </w:pPr>
      <w:r w:rsidRPr="001D0305">
        <w:rPr>
          <w:rFonts w:hint="cs"/>
          <w:rtl/>
        </w:rPr>
        <w:t>צדוק</w:t>
      </w:r>
      <w:r>
        <w:rPr>
          <w:rFonts w:hint="cs"/>
          <w:rtl/>
        </w:rPr>
        <w:t>,</w:t>
      </w:r>
      <w:r w:rsidRPr="001D0305">
        <w:rPr>
          <w:rFonts w:hint="cs"/>
          <w:rtl/>
        </w:rPr>
        <w:t xml:space="preserve"> יעל, סטטיסטיקאית</w:t>
      </w:r>
      <w:r w:rsidR="00A74BD9">
        <w:rPr>
          <w:rFonts w:hint="cs"/>
          <w:rtl/>
        </w:rPr>
        <w:t xml:space="preserve"> ב</w:t>
      </w:r>
      <w:r w:rsidRPr="001D0305">
        <w:rPr>
          <w:rFonts w:hint="cs"/>
          <w:rtl/>
        </w:rPr>
        <w:t>לשכת המדען הראשי</w:t>
      </w:r>
      <w:r w:rsidR="00A74BD9">
        <w:rPr>
          <w:rFonts w:hint="cs"/>
          <w:rtl/>
        </w:rPr>
        <w:t xml:space="preserve"> ב</w:t>
      </w:r>
      <w:r w:rsidRPr="001D0305">
        <w:rPr>
          <w:rFonts w:hint="cs"/>
          <w:rtl/>
        </w:rPr>
        <w:t>רשות הלאומית למלחמה בסמ</w:t>
      </w:r>
      <w:r>
        <w:rPr>
          <w:rFonts w:hint="cs"/>
          <w:rtl/>
        </w:rPr>
        <w:t xml:space="preserve">ים ובאלכוהול, </w:t>
      </w:r>
      <w:r w:rsidRPr="001D0305">
        <w:rPr>
          <w:rFonts w:asciiTheme="majorBidi" w:hAnsiTheme="majorBidi" w:hint="cs"/>
          <w:rtl/>
        </w:rPr>
        <w:t>שיחת טלפון ,8 מרץ 2015</w:t>
      </w:r>
      <w:r>
        <w:rPr>
          <w:rFonts w:asciiTheme="majorBidi" w:hAnsiTheme="majorBidi" w:hint="cs"/>
          <w:rtl/>
        </w:rPr>
        <w:t xml:space="preserve">; </w:t>
      </w:r>
      <w:r w:rsidRPr="001D0305">
        <w:rPr>
          <w:rFonts w:asciiTheme="majorBidi" w:hAnsiTheme="majorBidi" w:hint="cs"/>
          <w:rtl/>
        </w:rPr>
        <w:t>מכתב</w:t>
      </w:r>
      <w:r w:rsidRPr="001D0305">
        <w:rPr>
          <w:rFonts w:asciiTheme="majorBidi" w:hAnsiTheme="majorBidi"/>
          <w:rtl/>
        </w:rPr>
        <w:t>, 9 מרץ</w:t>
      </w:r>
      <w:r>
        <w:rPr>
          <w:rFonts w:asciiTheme="majorBidi" w:hAnsiTheme="majorBidi"/>
          <w:rtl/>
        </w:rPr>
        <w:t xml:space="preserve"> 2015</w:t>
      </w:r>
      <w:r>
        <w:rPr>
          <w:rFonts w:asciiTheme="majorBidi" w:hAnsiTheme="majorBidi" w:hint="cs"/>
          <w:rtl/>
        </w:rPr>
        <w:t>;</w:t>
      </w:r>
      <w:r w:rsidRPr="001D0305">
        <w:rPr>
          <w:rFonts w:asciiTheme="majorBidi" w:hAnsiTheme="majorBidi" w:hint="cs"/>
          <w:rtl/>
        </w:rPr>
        <w:t xml:space="preserve"> </w:t>
      </w:r>
      <w:r>
        <w:rPr>
          <w:rFonts w:hint="cs"/>
          <w:rtl/>
        </w:rPr>
        <w:t xml:space="preserve">מכתב, 19 מרץ 2015; </w:t>
      </w:r>
      <w:r w:rsidRPr="00FF2475">
        <w:rPr>
          <w:rFonts w:asciiTheme="majorBidi" w:hAnsiTheme="majorBidi" w:hint="cs"/>
          <w:rtl/>
        </w:rPr>
        <w:t>מכתב ושיחת טלפון,</w:t>
      </w:r>
      <w:r w:rsidRPr="00FF2475">
        <w:rPr>
          <w:rFonts w:asciiTheme="majorBidi" w:hAnsiTheme="majorBidi"/>
          <w:rtl/>
        </w:rPr>
        <w:t xml:space="preserve"> 22 מרץ 2015.</w:t>
      </w:r>
    </w:p>
    <w:p w:rsidR="008670C5" w:rsidRPr="001D0305" w:rsidRDefault="008670C5" w:rsidP="00E10DB8">
      <w:pPr>
        <w:pStyle w:val="a2"/>
        <w:numPr>
          <w:ilvl w:val="0"/>
          <w:numId w:val="31"/>
        </w:numPr>
        <w:spacing w:line="360" w:lineRule="auto"/>
      </w:pPr>
      <w:r w:rsidRPr="001D0305">
        <w:rPr>
          <w:rFonts w:asciiTheme="majorBidi" w:hAnsiTheme="majorBidi"/>
          <w:rtl/>
        </w:rPr>
        <w:t>ציגלברג</w:t>
      </w:r>
      <w:r>
        <w:rPr>
          <w:rFonts w:asciiTheme="majorBidi" w:hAnsiTheme="majorBidi" w:hint="cs"/>
          <w:rtl/>
        </w:rPr>
        <w:t>,</w:t>
      </w:r>
      <w:r w:rsidRPr="001D0305">
        <w:rPr>
          <w:rFonts w:asciiTheme="majorBidi" w:hAnsiTheme="majorBidi"/>
          <w:rtl/>
        </w:rPr>
        <w:t xml:space="preserve"> זאב, הממונה על יחידת הסמים והלבנת ההון שברשות המיסים, ואהוד אור-טל, ממונה מדור בכיר מבצעים ביחידת הסמים והלבנת הון שברשות המיסים,</w:t>
      </w:r>
      <w:r w:rsidRPr="001D0305">
        <w:rPr>
          <w:rFonts w:asciiTheme="majorBidi" w:hAnsiTheme="majorBidi" w:hint="cs"/>
          <w:rtl/>
        </w:rPr>
        <w:t xml:space="preserve"> משרד האוצר,</w:t>
      </w:r>
      <w:r w:rsidRPr="001D0305">
        <w:rPr>
          <w:rFonts w:asciiTheme="majorBidi" w:hAnsiTheme="majorBidi"/>
          <w:rtl/>
        </w:rPr>
        <w:t xml:space="preserve"> </w:t>
      </w:r>
      <w:r w:rsidRPr="001D0305">
        <w:rPr>
          <w:rFonts w:asciiTheme="majorBidi" w:hAnsiTheme="majorBidi" w:hint="cs"/>
          <w:rtl/>
        </w:rPr>
        <w:t>מכתב,</w:t>
      </w:r>
      <w:r w:rsidRPr="001D0305">
        <w:rPr>
          <w:rFonts w:asciiTheme="majorBidi" w:hAnsiTheme="majorBidi"/>
          <w:rtl/>
        </w:rPr>
        <w:t xml:space="preserve"> 13 באפריל 2015</w:t>
      </w:r>
      <w:r>
        <w:rPr>
          <w:rFonts w:asciiTheme="majorBidi" w:hAnsiTheme="majorBidi" w:hint="cs"/>
          <w:rtl/>
        </w:rPr>
        <w:t xml:space="preserve">; </w:t>
      </w:r>
      <w:r w:rsidRPr="001D0305">
        <w:rPr>
          <w:rtl/>
        </w:rPr>
        <w:t>שיח</w:t>
      </w:r>
      <w:r w:rsidRPr="001D0305">
        <w:rPr>
          <w:rFonts w:hint="cs"/>
          <w:rtl/>
        </w:rPr>
        <w:t xml:space="preserve">ת טלפון, </w:t>
      </w:r>
      <w:r w:rsidRPr="001D0305">
        <w:rPr>
          <w:rtl/>
        </w:rPr>
        <w:t>19 באפריל 2015</w:t>
      </w:r>
      <w:r w:rsidRPr="001D0305">
        <w:rPr>
          <w:rFonts w:hint="cs"/>
          <w:rtl/>
        </w:rPr>
        <w:t>.</w:t>
      </w:r>
    </w:p>
    <w:p w:rsidR="008670C5" w:rsidRPr="001D0305" w:rsidRDefault="008670C5" w:rsidP="00FF2475">
      <w:pPr>
        <w:pStyle w:val="a2"/>
        <w:numPr>
          <w:ilvl w:val="0"/>
          <w:numId w:val="31"/>
        </w:numPr>
        <w:spacing w:line="360" w:lineRule="auto"/>
      </w:pPr>
      <w:r w:rsidRPr="001D0305">
        <w:rPr>
          <w:rFonts w:hint="cs"/>
          <w:rtl/>
        </w:rPr>
        <w:t>רוט איטח, קרן</w:t>
      </w:r>
      <w:r>
        <w:rPr>
          <w:rFonts w:hint="cs"/>
          <w:rtl/>
        </w:rPr>
        <w:t>,</w:t>
      </w:r>
      <w:r w:rsidRPr="001D0305">
        <w:rPr>
          <w:rFonts w:hint="cs"/>
          <w:rtl/>
        </w:rPr>
        <w:t xml:space="preserve"> מנהלת היחידה למניעת סמים, אלכוהול וטבק, השרות הפסיכולוגי ייעוצי, משרד החינוך, מכתב, </w:t>
      </w:r>
      <w:r w:rsidRPr="001D0305">
        <w:rPr>
          <w:rtl/>
        </w:rPr>
        <w:t>3 מרץ 2015</w:t>
      </w:r>
      <w:r>
        <w:rPr>
          <w:rFonts w:hint="cs"/>
          <w:rtl/>
        </w:rPr>
        <w:t xml:space="preserve">; </w:t>
      </w:r>
      <w:r w:rsidRPr="001D0305">
        <w:rPr>
          <w:rFonts w:asciiTheme="majorBidi" w:hAnsiTheme="majorBidi"/>
          <w:rtl/>
        </w:rPr>
        <w:t>שיחת טלפון, 22 מרץ 2015; שיחת טלפון, 1 אפריל 2015.</w:t>
      </w:r>
    </w:p>
    <w:p w:rsidR="008670C5" w:rsidRPr="001D0305" w:rsidRDefault="008670C5" w:rsidP="00DC2DB0">
      <w:pPr>
        <w:pStyle w:val="a9"/>
        <w:numPr>
          <w:ilvl w:val="0"/>
          <w:numId w:val="31"/>
        </w:numPr>
        <w:spacing w:line="360" w:lineRule="auto"/>
        <w:rPr>
          <w:rFonts w:asciiTheme="majorBidi" w:hAnsiTheme="majorBidi" w:cs="David"/>
          <w:sz w:val="24"/>
          <w:szCs w:val="24"/>
        </w:rPr>
      </w:pPr>
      <w:r w:rsidRPr="001D0305">
        <w:rPr>
          <w:rFonts w:asciiTheme="majorBidi" w:hAnsiTheme="majorBidi" w:cs="David"/>
          <w:sz w:val="24"/>
          <w:szCs w:val="24"/>
          <w:rtl/>
        </w:rPr>
        <w:t xml:space="preserve">רותם, </w:t>
      </w:r>
      <w:r w:rsidRPr="001D0305">
        <w:rPr>
          <w:rFonts w:asciiTheme="majorBidi" w:hAnsiTheme="majorBidi" w:cs="David" w:hint="cs"/>
          <w:sz w:val="24"/>
          <w:szCs w:val="24"/>
          <w:rtl/>
        </w:rPr>
        <w:t>נע</w:t>
      </w:r>
      <w:r w:rsidRPr="001D0305">
        <w:rPr>
          <w:rFonts w:asciiTheme="majorBidi" w:hAnsiTheme="majorBidi" w:cs="David"/>
          <w:sz w:val="24"/>
          <w:szCs w:val="24"/>
          <w:rtl/>
        </w:rPr>
        <w:t xml:space="preserve">מה </w:t>
      </w:r>
      <w:r>
        <w:rPr>
          <w:rFonts w:asciiTheme="majorBidi" w:hAnsiTheme="majorBidi" w:cs="David" w:hint="cs"/>
          <w:sz w:val="24"/>
          <w:szCs w:val="24"/>
          <w:rtl/>
        </w:rPr>
        <w:t>,</w:t>
      </w:r>
      <w:r w:rsidRPr="001D0305">
        <w:rPr>
          <w:rFonts w:asciiTheme="majorBidi" w:hAnsiTheme="majorBidi" w:cs="David"/>
          <w:sz w:val="24"/>
          <w:szCs w:val="24"/>
          <w:rtl/>
        </w:rPr>
        <w:t>ראש תחום בריאות ותנועה טבעית בלשכה המרכזית לסטטיסטיקה, שיחת טלפון, 15 במרץ 2015.</w:t>
      </w:r>
    </w:p>
    <w:p w:rsidR="008670C5" w:rsidRPr="001D0305" w:rsidRDefault="008670C5" w:rsidP="001809B4">
      <w:pPr>
        <w:pStyle w:val="a2"/>
        <w:numPr>
          <w:ilvl w:val="0"/>
          <w:numId w:val="31"/>
        </w:numPr>
        <w:spacing w:line="360" w:lineRule="auto"/>
      </w:pPr>
      <w:r w:rsidRPr="001D0305">
        <w:rPr>
          <w:rFonts w:asciiTheme="majorBidi" w:hAnsiTheme="majorBidi"/>
          <w:rtl/>
        </w:rPr>
        <w:t>שבי,</w:t>
      </w:r>
      <w:r w:rsidRPr="001809B4">
        <w:rPr>
          <w:rFonts w:asciiTheme="majorBidi" w:hAnsiTheme="majorBidi"/>
          <w:rtl/>
        </w:rPr>
        <w:t xml:space="preserve"> </w:t>
      </w:r>
      <w:r w:rsidRPr="001D0305">
        <w:rPr>
          <w:rFonts w:asciiTheme="majorBidi" w:hAnsiTheme="majorBidi"/>
          <w:rtl/>
        </w:rPr>
        <w:t>אהרון</w:t>
      </w:r>
      <w:r>
        <w:rPr>
          <w:rFonts w:asciiTheme="majorBidi" w:hAnsiTheme="majorBidi" w:hint="cs"/>
          <w:rtl/>
        </w:rPr>
        <w:t>,</w:t>
      </w:r>
      <w:r w:rsidRPr="001D0305">
        <w:rPr>
          <w:rFonts w:asciiTheme="majorBidi" w:hAnsiTheme="majorBidi"/>
          <w:rtl/>
        </w:rPr>
        <w:t xml:space="preserve"> מנהל השירות לטיפול בהתמכרויות, אגף </w:t>
      </w:r>
      <w:r w:rsidRPr="001D0305">
        <w:rPr>
          <w:rFonts w:asciiTheme="majorBidi" w:hAnsiTheme="majorBidi" w:hint="cs"/>
          <w:rtl/>
        </w:rPr>
        <w:t xml:space="preserve">לשירותי </w:t>
      </w:r>
      <w:r w:rsidRPr="001D0305">
        <w:rPr>
          <w:rFonts w:asciiTheme="majorBidi" w:hAnsiTheme="majorBidi"/>
          <w:rtl/>
        </w:rPr>
        <w:t xml:space="preserve">תקון </w:t>
      </w:r>
      <w:r w:rsidRPr="001D0305">
        <w:rPr>
          <w:rFonts w:asciiTheme="majorBidi" w:hAnsiTheme="majorBidi" w:hint="cs"/>
          <w:rtl/>
        </w:rPr>
        <w:t xml:space="preserve">ונוער מנותק, </w:t>
      </w:r>
      <w:r w:rsidRPr="001D0305">
        <w:rPr>
          <w:rFonts w:asciiTheme="majorBidi" w:hAnsiTheme="majorBidi"/>
          <w:rtl/>
        </w:rPr>
        <w:t>משרד הרווחה והשירותים החברתיים, שיחת טלפון, 13 אפריל 2015</w:t>
      </w:r>
      <w:r>
        <w:rPr>
          <w:rFonts w:asciiTheme="majorBidi" w:hAnsiTheme="majorBidi" w:hint="cs"/>
          <w:rtl/>
        </w:rPr>
        <w:t xml:space="preserve">; </w:t>
      </w:r>
      <w:r w:rsidRPr="001D0305">
        <w:rPr>
          <w:rFonts w:asciiTheme="majorBidi" w:hAnsiTheme="majorBidi" w:hint="cs"/>
          <w:rtl/>
        </w:rPr>
        <w:t>מכתב</w:t>
      </w:r>
      <w:r w:rsidRPr="001D0305">
        <w:rPr>
          <w:rFonts w:asciiTheme="majorBidi" w:hAnsiTheme="majorBidi"/>
          <w:rtl/>
        </w:rPr>
        <w:t>, 19 אפרי</w:t>
      </w:r>
      <w:r w:rsidRPr="001D0305">
        <w:rPr>
          <w:rFonts w:asciiTheme="majorBidi" w:hAnsiTheme="majorBidi" w:hint="cs"/>
          <w:rtl/>
        </w:rPr>
        <w:t>ל 2015</w:t>
      </w:r>
      <w:r>
        <w:rPr>
          <w:rFonts w:asciiTheme="majorBidi" w:hAnsiTheme="majorBidi" w:hint="cs"/>
          <w:rtl/>
        </w:rPr>
        <w:t xml:space="preserve">; </w:t>
      </w:r>
      <w:r w:rsidRPr="001D0305">
        <w:rPr>
          <w:rFonts w:asciiTheme="majorBidi" w:hAnsiTheme="majorBidi" w:hint="cs"/>
          <w:rtl/>
        </w:rPr>
        <w:t>שיחת טלפון, 31 במאי 2015.</w:t>
      </w:r>
    </w:p>
    <w:p w:rsidR="008670C5" w:rsidRPr="001D0305" w:rsidRDefault="008670C5" w:rsidP="008670C5">
      <w:pPr>
        <w:pStyle w:val="a2"/>
        <w:numPr>
          <w:ilvl w:val="0"/>
          <w:numId w:val="31"/>
        </w:numPr>
        <w:spacing w:line="360" w:lineRule="auto"/>
      </w:pPr>
      <w:r w:rsidRPr="001D0305">
        <w:rPr>
          <w:rFonts w:asciiTheme="majorBidi" w:hAnsiTheme="majorBidi"/>
          <w:rtl/>
        </w:rPr>
        <w:t>שגב</w:t>
      </w:r>
      <w:r>
        <w:rPr>
          <w:rFonts w:asciiTheme="majorBidi" w:hAnsiTheme="majorBidi" w:hint="cs"/>
          <w:rtl/>
        </w:rPr>
        <w:t>,</w:t>
      </w:r>
      <w:r w:rsidRPr="001D0305">
        <w:rPr>
          <w:rFonts w:asciiTheme="majorBidi" w:hAnsiTheme="majorBidi"/>
          <w:rtl/>
        </w:rPr>
        <w:t xml:space="preserve"> ענת, מרכזת הקשר כנסת-ממשלה באגף בכיר למחקר, תכנון והכשרה, משרד הרווחה והשירותים החברתיים, </w:t>
      </w:r>
      <w:r w:rsidRPr="001D0305">
        <w:rPr>
          <w:rFonts w:asciiTheme="majorBidi" w:hAnsiTheme="majorBidi" w:hint="cs"/>
          <w:rtl/>
        </w:rPr>
        <w:t>מכתב</w:t>
      </w:r>
      <w:r>
        <w:rPr>
          <w:rFonts w:asciiTheme="majorBidi" w:hAnsiTheme="majorBidi"/>
          <w:rtl/>
        </w:rPr>
        <w:t>, 18 מרץ 2015</w:t>
      </w:r>
      <w:r>
        <w:rPr>
          <w:rFonts w:asciiTheme="majorBidi" w:hAnsiTheme="majorBidi" w:hint="cs"/>
          <w:rtl/>
        </w:rPr>
        <w:t xml:space="preserve">; </w:t>
      </w:r>
      <w:r w:rsidRPr="001D0305">
        <w:rPr>
          <w:rFonts w:asciiTheme="majorBidi" w:hAnsiTheme="majorBidi"/>
          <w:rtl/>
        </w:rPr>
        <w:t xml:space="preserve">מכתב, </w:t>
      </w:r>
      <w:r w:rsidRPr="001D0305">
        <w:rPr>
          <w:rFonts w:asciiTheme="majorBidi" w:hAnsiTheme="majorBidi" w:hint="cs"/>
          <w:rtl/>
        </w:rPr>
        <w:t>2 ביוני</w:t>
      </w:r>
      <w:r w:rsidRPr="001D0305">
        <w:rPr>
          <w:rFonts w:asciiTheme="majorBidi" w:hAnsiTheme="majorBidi"/>
          <w:rtl/>
        </w:rPr>
        <w:t xml:space="preserve"> 2015</w:t>
      </w:r>
      <w:r w:rsidRPr="001D0305">
        <w:rPr>
          <w:rFonts w:asciiTheme="majorBidi" w:hAnsiTheme="majorBidi" w:hint="cs"/>
          <w:rtl/>
        </w:rPr>
        <w:t>.</w:t>
      </w:r>
    </w:p>
    <w:p w:rsidR="008670C5" w:rsidRPr="006F5B1E" w:rsidRDefault="008670C5" w:rsidP="00DC2DB0">
      <w:pPr>
        <w:pStyle w:val="a9"/>
        <w:numPr>
          <w:ilvl w:val="0"/>
          <w:numId w:val="31"/>
        </w:numPr>
        <w:spacing w:line="360" w:lineRule="auto"/>
        <w:rPr>
          <w:rFonts w:cs="David"/>
          <w:sz w:val="24"/>
          <w:szCs w:val="24"/>
        </w:rPr>
      </w:pPr>
      <w:r w:rsidRPr="001D0305">
        <w:rPr>
          <w:rFonts w:asciiTheme="majorBidi" w:hAnsiTheme="majorBidi" w:cs="David"/>
          <w:sz w:val="24"/>
          <w:szCs w:val="24"/>
          <w:rtl/>
        </w:rPr>
        <w:t>שגיא, גליה</w:t>
      </w:r>
      <w:r>
        <w:rPr>
          <w:rFonts w:asciiTheme="majorBidi" w:hAnsiTheme="majorBidi" w:cs="David" w:hint="cs"/>
          <w:sz w:val="24"/>
          <w:szCs w:val="24"/>
          <w:rtl/>
        </w:rPr>
        <w:t>,</w:t>
      </w:r>
      <w:r w:rsidRPr="001D0305">
        <w:rPr>
          <w:rFonts w:asciiTheme="majorBidi" w:hAnsiTheme="majorBidi" w:cs="David"/>
          <w:sz w:val="24"/>
          <w:szCs w:val="24"/>
          <w:rtl/>
        </w:rPr>
        <w:t xml:space="preserve"> מנהלת איגוד המזון שבהתאחדות התעשיינים בישראל, </w:t>
      </w:r>
      <w:r w:rsidRPr="001D0305">
        <w:rPr>
          <w:rFonts w:asciiTheme="majorBidi" w:hAnsiTheme="majorBidi" w:cs="David" w:hint="cs"/>
          <w:sz w:val="24"/>
          <w:szCs w:val="24"/>
          <w:rtl/>
        </w:rPr>
        <w:t>מכתב</w:t>
      </w:r>
      <w:r w:rsidRPr="001D0305">
        <w:rPr>
          <w:rFonts w:asciiTheme="majorBidi" w:hAnsiTheme="majorBidi" w:cs="David"/>
          <w:sz w:val="24"/>
          <w:szCs w:val="24"/>
          <w:rtl/>
        </w:rPr>
        <w:t>, 16 מרץ 2015.</w:t>
      </w:r>
    </w:p>
    <w:p w:rsidR="00E26220" w:rsidRDefault="00E26220">
      <w:pPr>
        <w:bidi w:val="0"/>
        <w:spacing w:before="0" w:after="0" w:line="240" w:lineRule="auto"/>
        <w:jc w:val="left"/>
        <w:rPr>
          <w:b/>
          <w:bCs/>
          <w:sz w:val="28"/>
          <w:szCs w:val="28"/>
          <w:rtl/>
        </w:rPr>
      </w:pPr>
      <w:bookmarkStart w:id="436" w:name="_Toc353962046"/>
      <w:bookmarkStart w:id="437" w:name="_Toc421694864"/>
      <w:bookmarkStart w:id="438" w:name="_Toc421697088"/>
      <w:r>
        <w:rPr>
          <w:rtl/>
        </w:rPr>
        <w:br w:type="page"/>
      </w:r>
    </w:p>
    <w:p w:rsidR="00C3078A" w:rsidRPr="001D0305" w:rsidRDefault="00C3078A" w:rsidP="004013C4">
      <w:pPr>
        <w:pStyle w:val="2"/>
        <w:rPr>
          <w:rtl/>
        </w:rPr>
      </w:pPr>
      <w:r w:rsidRPr="001D0305">
        <w:rPr>
          <w:rFonts w:hint="cs"/>
          <w:rtl/>
        </w:rPr>
        <w:t>אתרי אינטרנט</w:t>
      </w:r>
      <w:bookmarkEnd w:id="436"/>
      <w:bookmarkEnd w:id="437"/>
      <w:bookmarkEnd w:id="438"/>
    </w:p>
    <w:p w:rsidR="008670C5" w:rsidRPr="001D0305" w:rsidRDefault="008670C5" w:rsidP="00DC2DB0">
      <w:pPr>
        <w:pStyle w:val="a9"/>
        <w:numPr>
          <w:ilvl w:val="0"/>
          <w:numId w:val="32"/>
        </w:numPr>
        <w:spacing w:before="120" w:after="120" w:line="360" w:lineRule="auto"/>
        <w:ind w:left="720" w:hanging="357"/>
        <w:rPr>
          <w:rFonts w:cs="David"/>
          <w:sz w:val="24"/>
          <w:szCs w:val="24"/>
        </w:rPr>
      </w:pPr>
      <w:r w:rsidRPr="001D0305">
        <w:rPr>
          <w:rFonts w:asciiTheme="majorBidi" w:hAnsiTheme="majorBidi" w:cs="David" w:hint="cs"/>
          <w:sz w:val="24"/>
          <w:szCs w:val="24"/>
          <w:rtl/>
        </w:rPr>
        <w:t xml:space="preserve">הכנסת, </w:t>
      </w:r>
      <w:r w:rsidRPr="001D0305">
        <w:rPr>
          <w:rFonts w:asciiTheme="majorBidi" w:hAnsiTheme="majorBidi" w:cs="David"/>
          <w:sz w:val="24"/>
          <w:szCs w:val="24"/>
          <w:rtl/>
        </w:rPr>
        <w:t xml:space="preserve">הוועדה למאבק בנגעי הסמים והאלכוהול, </w:t>
      </w:r>
      <w:hyperlink r:id="rId104" w:history="1">
        <w:r w:rsidRPr="001D0305">
          <w:rPr>
            <w:rStyle w:val="Hyperlink"/>
            <w:rFonts w:asciiTheme="majorBidi" w:hAnsiTheme="majorBidi" w:cs="David"/>
            <w:sz w:val="24"/>
            <w:szCs w:val="24"/>
            <w:rtl/>
          </w:rPr>
          <w:t>תחומי עיסוקה של הוועדה</w:t>
        </w:r>
      </w:hyperlink>
      <w:r w:rsidRPr="001D0305">
        <w:rPr>
          <w:rFonts w:asciiTheme="majorBidi" w:hAnsiTheme="majorBidi" w:cs="David" w:hint="cs"/>
          <w:sz w:val="24"/>
          <w:szCs w:val="24"/>
          <w:rtl/>
        </w:rPr>
        <w:t>.</w:t>
      </w:r>
      <w:r w:rsidRPr="001D0305">
        <w:rPr>
          <w:rFonts w:asciiTheme="majorBidi" w:hAnsiTheme="majorBidi" w:cs="David"/>
          <w:sz w:val="24"/>
          <w:szCs w:val="24"/>
          <w:rtl/>
        </w:rPr>
        <w:t xml:space="preserve"> תאריך כניסה: 20 באפריל 2015.</w:t>
      </w:r>
    </w:p>
    <w:p w:rsidR="008670C5" w:rsidRPr="001D0305" w:rsidRDefault="008670C5" w:rsidP="00DC2DB0">
      <w:pPr>
        <w:pStyle w:val="a9"/>
        <w:numPr>
          <w:ilvl w:val="0"/>
          <w:numId w:val="32"/>
        </w:numPr>
        <w:spacing w:before="120" w:after="120" w:line="360" w:lineRule="auto"/>
        <w:ind w:left="720" w:hanging="357"/>
        <w:rPr>
          <w:rFonts w:cs="David"/>
          <w:sz w:val="24"/>
          <w:szCs w:val="24"/>
        </w:rPr>
      </w:pPr>
      <w:r w:rsidRPr="001D0305">
        <w:rPr>
          <w:rFonts w:asciiTheme="majorBidi" w:hAnsiTheme="majorBidi" w:cs="David" w:hint="cs"/>
          <w:sz w:val="24"/>
          <w:szCs w:val="24"/>
          <w:rtl/>
        </w:rPr>
        <w:t xml:space="preserve">המשרד לבטחון הפנים, </w:t>
      </w:r>
      <w:r w:rsidRPr="001D0305">
        <w:rPr>
          <w:rFonts w:asciiTheme="majorBidi" w:hAnsiTheme="majorBidi" w:cs="David"/>
          <w:sz w:val="24"/>
          <w:szCs w:val="24"/>
          <w:rtl/>
        </w:rPr>
        <w:t xml:space="preserve">עיר ללא אלימות, </w:t>
      </w:r>
      <w:hyperlink r:id="rId105" w:history="1">
        <w:r w:rsidRPr="001D0305">
          <w:rPr>
            <w:rStyle w:val="Hyperlink"/>
            <w:rFonts w:asciiTheme="majorBidi" w:hAnsiTheme="majorBidi" w:cs="David"/>
            <w:sz w:val="24"/>
            <w:szCs w:val="24"/>
            <w:rtl/>
          </w:rPr>
          <w:t>חזון ומטרה</w:t>
        </w:r>
      </w:hyperlink>
      <w:r w:rsidRPr="001D0305">
        <w:rPr>
          <w:rFonts w:asciiTheme="majorBidi" w:hAnsiTheme="majorBidi" w:cs="David" w:hint="cs"/>
          <w:sz w:val="24"/>
          <w:szCs w:val="24"/>
          <w:rtl/>
        </w:rPr>
        <w:t>.</w:t>
      </w:r>
      <w:r w:rsidRPr="001D0305">
        <w:rPr>
          <w:rFonts w:asciiTheme="majorBidi" w:hAnsiTheme="majorBidi" w:cs="David"/>
          <w:sz w:val="24"/>
          <w:szCs w:val="24"/>
          <w:rtl/>
        </w:rPr>
        <w:t xml:space="preserve"> תאריך כניסה: </w:t>
      </w:r>
      <w:r w:rsidRPr="001D0305">
        <w:rPr>
          <w:rFonts w:asciiTheme="majorBidi" w:hAnsiTheme="majorBidi" w:cs="David" w:hint="cs"/>
          <w:sz w:val="24"/>
          <w:szCs w:val="24"/>
          <w:rtl/>
        </w:rPr>
        <w:t>1 ביוני 2015.</w:t>
      </w:r>
    </w:p>
    <w:p w:rsidR="008670C5" w:rsidRPr="001D0305" w:rsidRDefault="008670C5" w:rsidP="00DC2DB0">
      <w:pPr>
        <w:pStyle w:val="a9"/>
        <w:numPr>
          <w:ilvl w:val="0"/>
          <w:numId w:val="32"/>
        </w:numPr>
        <w:spacing w:before="120" w:after="120" w:line="360" w:lineRule="auto"/>
        <w:ind w:left="720" w:hanging="357"/>
        <w:rPr>
          <w:rFonts w:cs="David"/>
          <w:sz w:val="24"/>
          <w:szCs w:val="24"/>
        </w:rPr>
      </w:pPr>
      <w:r>
        <w:rPr>
          <w:rFonts w:asciiTheme="majorBidi" w:hAnsiTheme="majorBidi" w:cs="David" w:hint="cs"/>
          <w:sz w:val="24"/>
          <w:szCs w:val="24"/>
          <w:rtl/>
        </w:rPr>
        <w:t xml:space="preserve">המשרד לביטחון הפנים, </w:t>
      </w:r>
      <w:r w:rsidRPr="001D0305">
        <w:rPr>
          <w:rFonts w:asciiTheme="majorBidi" w:hAnsiTheme="majorBidi" w:cs="David"/>
          <w:sz w:val="24"/>
          <w:szCs w:val="24"/>
          <w:rtl/>
        </w:rPr>
        <w:t xml:space="preserve">עיר ללא אלימות, </w:t>
      </w:r>
      <w:hyperlink r:id="rId106" w:history="1">
        <w:r w:rsidRPr="001D0305">
          <w:rPr>
            <w:rStyle w:val="Hyperlink"/>
            <w:rFonts w:asciiTheme="majorBidi" w:hAnsiTheme="majorBidi" w:cs="David"/>
            <w:sz w:val="24"/>
            <w:szCs w:val="24"/>
            <w:rtl/>
          </w:rPr>
          <w:t>רשימת הרשויות השותפות בתוכנית</w:t>
        </w:r>
      </w:hyperlink>
      <w:r w:rsidRPr="001D0305">
        <w:rPr>
          <w:rFonts w:asciiTheme="majorBidi" w:hAnsiTheme="majorBidi" w:cs="David" w:hint="cs"/>
          <w:sz w:val="24"/>
          <w:szCs w:val="24"/>
          <w:rtl/>
        </w:rPr>
        <w:t>.</w:t>
      </w:r>
      <w:r w:rsidRPr="001D0305">
        <w:rPr>
          <w:rFonts w:asciiTheme="majorBidi" w:hAnsiTheme="majorBidi" w:cs="David"/>
          <w:sz w:val="24"/>
          <w:szCs w:val="24"/>
          <w:rtl/>
        </w:rPr>
        <w:t xml:space="preserve"> תאריך כניסה: 10 באפריל 2015</w:t>
      </w:r>
      <w:r w:rsidRPr="001D0305">
        <w:rPr>
          <w:rFonts w:asciiTheme="majorBidi" w:hAnsiTheme="majorBidi" w:cs="David" w:hint="cs"/>
          <w:sz w:val="24"/>
          <w:szCs w:val="24"/>
          <w:rtl/>
        </w:rPr>
        <w:t>.</w:t>
      </w:r>
    </w:p>
    <w:p w:rsidR="008670C5" w:rsidRPr="001D0305" w:rsidRDefault="008670C5" w:rsidP="00DC2DB0">
      <w:pPr>
        <w:pStyle w:val="a9"/>
        <w:numPr>
          <w:ilvl w:val="0"/>
          <w:numId w:val="32"/>
        </w:numPr>
        <w:spacing w:before="120" w:after="120" w:line="360" w:lineRule="auto"/>
        <w:ind w:left="720" w:hanging="357"/>
        <w:rPr>
          <w:rFonts w:cs="David"/>
          <w:sz w:val="24"/>
          <w:szCs w:val="24"/>
        </w:rPr>
      </w:pPr>
      <w:r w:rsidRPr="001D0305">
        <w:rPr>
          <w:rFonts w:cs="David" w:hint="cs"/>
          <w:sz w:val="24"/>
          <w:szCs w:val="24"/>
          <w:rtl/>
        </w:rPr>
        <w:t xml:space="preserve">הרשות הלאומית למלחמה בסמים ובאלכוהול, </w:t>
      </w:r>
      <w:hyperlink r:id="rId107" w:history="1">
        <w:r w:rsidRPr="001D0305">
          <w:rPr>
            <w:rStyle w:val="Hyperlink"/>
            <w:rFonts w:cs="David" w:hint="cs"/>
            <w:sz w:val="24"/>
            <w:szCs w:val="24"/>
            <w:rtl/>
          </w:rPr>
          <w:t>"סמי פיצוציות" וחומרים מסכנים</w:t>
        </w:r>
      </w:hyperlink>
      <w:r w:rsidRPr="001D0305">
        <w:rPr>
          <w:rFonts w:cs="David" w:hint="cs"/>
          <w:sz w:val="24"/>
          <w:szCs w:val="24"/>
          <w:rtl/>
        </w:rPr>
        <w:t>. תאריך כניסה: 31 במאי 2015.</w:t>
      </w:r>
    </w:p>
    <w:p w:rsidR="008670C5" w:rsidRPr="001D0305" w:rsidRDefault="008670C5" w:rsidP="00DC2DB0">
      <w:pPr>
        <w:pStyle w:val="a9"/>
        <w:numPr>
          <w:ilvl w:val="0"/>
          <w:numId w:val="32"/>
        </w:numPr>
        <w:spacing w:before="120" w:after="120" w:line="360" w:lineRule="auto"/>
        <w:ind w:left="720" w:hanging="357"/>
        <w:rPr>
          <w:rFonts w:cs="David"/>
          <w:sz w:val="24"/>
          <w:szCs w:val="24"/>
        </w:rPr>
      </w:pPr>
      <w:r w:rsidRPr="001D0305">
        <w:rPr>
          <w:rFonts w:asciiTheme="majorBidi" w:hAnsiTheme="majorBidi" w:cs="David"/>
          <w:sz w:val="24"/>
          <w:szCs w:val="24"/>
          <w:rtl/>
        </w:rPr>
        <w:t xml:space="preserve">משרד הבריאות, </w:t>
      </w:r>
      <w:hyperlink r:id="rId108" w:history="1">
        <w:r w:rsidRPr="001D0305">
          <w:rPr>
            <w:rStyle w:val="Hyperlink"/>
            <w:rFonts w:asciiTheme="majorBidi" w:hAnsiTheme="majorBidi" w:cs="David"/>
            <w:sz w:val="24"/>
            <w:szCs w:val="24"/>
            <w:rtl/>
          </w:rPr>
          <w:t>אגף הרוקחות</w:t>
        </w:r>
      </w:hyperlink>
      <w:r w:rsidRPr="001D0305">
        <w:rPr>
          <w:rFonts w:asciiTheme="majorBidi" w:hAnsiTheme="majorBidi" w:cs="David" w:hint="cs"/>
          <w:sz w:val="24"/>
          <w:szCs w:val="24"/>
          <w:rtl/>
        </w:rPr>
        <w:t>.</w:t>
      </w:r>
      <w:r w:rsidRPr="001D0305">
        <w:rPr>
          <w:rFonts w:asciiTheme="majorBidi" w:hAnsiTheme="majorBidi" w:cs="David"/>
          <w:sz w:val="24"/>
          <w:szCs w:val="24"/>
          <w:rtl/>
        </w:rPr>
        <w:t xml:space="preserve"> תאריך כניסה</w:t>
      </w:r>
      <w:r w:rsidRPr="001D0305">
        <w:rPr>
          <w:rFonts w:asciiTheme="majorBidi" w:hAnsiTheme="majorBidi" w:cs="David" w:hint="cs"/>
          <w:sz w:val="24"/>
          <w:szCs w:val="24"/>
          <w:rtl/>
        </w:rPr>
        <w:t>:</w:t>
      </w:r>
      <w:r w:rsidRPr="001D0305">
        <w:rPr>
          <w:rFonts w:asciiTheme="majorBidi" w:hAnsiTheme="majorBidi" w:cs="David"/>
          <w:sz w:val="24"/>
          <w:szCs w:val="24"/>
          <w:rtl/>
        </w:rPr>
        <w:t xml:space="preserve"> 26 מרץ 2015.</w:t>
      </w:r>
    </w:p>
    <w:p w:rsidR="008670C5" w:rsidRPr="001D0305" w:rsidRDefault="008670C5" w:rsidP="00DC2DB0">
      <w:pPr>
        <w:pStyle w:val="a9"/>
        <w:numPr>
          <w:ilvl w:val="0"/>
          <w:numId w:val="32"/>
        </w:numPr>
        <w:spacing w:before="120" w:after="120" w:line="360" w:lineRule="auto"/>
        <w:ind w:left="720" w:hanging="357"/>
        <w:rPr>
          <w:rFonts w:cs="David"/>
          <w:sz w:val="24"/>
          <w:szCs w:val="24"/>
        </w:rPr>
      </w:pPr>
      <w:r w:rsidRPr="001D0305">
        <w:rPr>
          <w:rFonts w:asciiTheme="majorBidi" w:hAnsiTheme="majorBidi" w:cs="David"/>
          <w:sz w:val="24"/>
          <w:szCs w:val="24"/>
          <w:rtl/>
        </w:rPr>
        <w:t xml:space="preserve">משרד הבריאות, </w:t>
      </w:r>
      <w:hyperlink r:id="rId109" w:history="1">
        <w:r w:rsidRPr="001D0305">
          <w:rPr>
            <w:rStyle w:val="Hyperlink"/>
            <w:rFonts w:asciiTheme="majorBidi" w:hAnsiTheme="majorBidi" w:cs="David"/>
            <w:sz w:val="24"/>
            <w:szCs w:val="24"/>
            <w:rtl/>
          </w:rPr>
          <w:t>היחידה לקנביס רפואי (יק"ר)</w:t>
        </w:r>
      </w:hyperlink>
      <w:r w:rsidRPr="001D0305">
        <w:rPr>
          <w:rFonts w:asciiTheme="majorBidi" w:hAnsiTheme="majorBidi" w:cs="David"/>
          <w:sz w:val="24"/>
          <w:szCs w:val="24"/>
          <w:rtl/>
        </w:rPr>
        <w:t>. תאריך כניסה: 25 מאי 2015.</w:t>
      </w:r>
    </w:p>
    <w:p w:rsidR="008670C5" w:rsidRPr="001D0305" w:rsidRDefault="008670C5" w:rsidP="00DC2DB0">
      <w:pPr>
        <w:pStyle w:val="a9"/>
        <w:numPr>
          <w:ilvl w:val="0"/>
          <w:numId w:val="32"/>
        </w:numPr>
        <w:spacing w:before="120" w:after="120" w:line="360" w:lineRule="auto"/>
        <w:ind w:left="720" w:hanging="357"/>
        <w:rPr>
          <w:rFonts w:cs="David"/>
          <w:sz w:val="24"/>
          <w:szCs w:val="24"/>
        </w:rPr>
      </w:pPr>
      <w:r w:rsidRPr="001D0305">
        <w:rPr>
          <w:rFonts w:asciiTheme="majorBidi" w:hAnsiTheme="majorBidi" w:cs="David"/>
          <w:sz w:val="24"/>
          <w:szCs w:val="24"/>
          <w:rtl/>
        </w:rPr>
        <w:t xml:space="preserve">משרד הבריאות, </w:t>
      </w:r>
      <w:hyperlink r:id="rId110" w:history="1">
        <w:r w:rsidRPr="001D0305">
          <w:rPr>
            <w:rStyle w:val="Hyperlink"/>
            <w:rFonts w:asciiTheme="majorBidi" w:hAnsiTheme="majorBidi" w:cs="David"/>
            <w:sz w:val="24"/>
            <w:szCs w:val="24"/>
            <w:rtl/>
          </w:rPr>
          <w:t>המחלקה לטיפול בהתמכרויות</w:t>
        </w:r>
      </w:hyperlink>
      <w:r w:rsidRPr="001D0305">
        <w:rPr>
          <w:rFonts w:asciiTheme="majorBidi" w:hAnsiTheme="majorBidi" w:cs="David"/>
          <w:sz w:val="24"/>
          <w:szCs w:val="24"/>
          <w:rtl/>
        </w:rPr>
        <w:t>. תאריך כניסה:</w:t>
      </w:r>
      <w:r w:rsidRPr="001D0305">
        <w:rPr>
          <w:rFonts w:asciiTheme="majorBidi" w:hAnsiTheme="majorBidi" w:cs="David" w:hint="cs"/>
          <w:sz w:val="24"/>
          <w:szCs w:val="24"/>
          <w:rtl/>
        </w:rPr>
        <w:t xml:space="preserve"> </w:t>
      </w:r>
      <w:r w:rsidRPr="001D0305">
        <w:rPr>
          <w:rFonts w:asciiTheme="majorBidi" w:hAnsiTheme="majorBidi" w:cs="David"/>
          <w:sz w:val="24"/>
          <w:szCs w:val="24"/>
          <w:rtl/>
        </w:rPr>
        <w:t>23 מרץ 2015.</w:t>
      </w:r>
    </w:p>
    <w:p w:rsidR="008670C5" w:rsidRPr="001D0305" w:rsidRDefault="008670C5" w:rsidP="00DC2DB0">
      <w:pPr>
        <w:pStyle w:val="a9"/>
        <w:numPr>
          <w:ilvl w:val="0"/>
          <w:numId w:val="32"/>
        </w:numPr>
        <w:spacing w:before="120" w:after="120" w:line="360" w:lineRule="auto"/>
        <w:ind w:left="720" w:hanging="357"/>
        <w:rPr>
          <w:rFonts w:cs="David"/>
          <w:sz w:val="24"/>
          <w:szCs w:val="24"/>
        </w:rPr>
      </w:pPr>
      <w:r w:rsidRPr="001D0305">
        <w:rPr>
          <w:rFonts w:cs="David" w:hint="cs"/>
          <w:sz w:val="24"/>
          <w:szCs w:val="24"/>
          <w:rtl/>
        </w:rPr>
        <w:t xml:space="preserve">משרד הבריאות, </w:t>
      </w:r>
      <w:hyperlink r:id="rId111" w:history="1">
        <w:r w:rsidRPr="001D0305">
          <w:rPr>
            <w:rStyle w:val="Hyperlink"/>
            <w:rFonts w:cs="David" w:hint="cs"/>
            <w:sz w:val="24"/>
            <w:szCs w:val="24"/>
            <w:rtl/>
          </w:rPr>
          <w:t>סמים – חומרים פסיכואקטיביים</w:t>
        </w:r>
      </w:hyperlink>
      <w:r w:rsidRPr="001D0305">
        <w:rPr>
          <w:rFonts w:cs="David" w:hint="cs"/>
          <w:sz w:val="24"/>
          <w:szCs w:val="24"/>
          <w:rtl/>
        </w:rPr>
        <w:t>. תאריך כניסה: 9 יוני 2015.</w:t>
      </w:r>
    </w:p>
    <w:p w:rsidR="008670C5" w:rsidRPr="001D0305" w:rsidRDefault="008670C5" w:rsidP="00DC2DB0">
      <w:pPr>
        <w:pStyle w:val="a9"/>
        <w:numPr>
          <w:ilvl w:val="0"/>
          <w:numId w:val="32"/>
        </w:numPr>
        <w:spacing w:before="120" w:after="120" w:line="360" w:lineRule="auto"/>
        <w:ind w:left="720" w:hanging="357"/>
        <w:rPr>
          <w:rFonts w:cs="David"/>
          <w:sz w:val="24"/>
          <w:szCs w:val="24"/>
        </w:rPr>
      </w:pPr>
      <w:r w:rsidRPr="001D0305">
        <w:rPr>
          <w:rFonts w:asciiTheme="majorBidi" w:hAnsiTheme="majorBidi" w:cs="David"/>
          <w:sz w:val="24"/>
          <w:szCs w:val="24"/>
          <w:rtl/>
        </w:rPr>
        <w:t xml:space="preserve">משרד הבריאות, </w:t>
      </w:r>
      <w:hyperlink r:id="rId112" w:history="1">
        <w:r w:rsidRPr="001D0305">
          <w:rPr>
            <w:rStyle w:val="Hyperlink"/>
            <w:rFonts w:asciiTheme="majorBidi" w:hAnsiTheme="majorBidi" w:cs="David"/>
            <w:sz w:val="24"/>
            <w:szCs w:val="24"/>
            <w:rtl/>
          </w:rPr>
          <w:t>רישוי מוסדות לטיפול במשתמשים בסמים</w:t>
        </w:r>
      </w:hyperlink>
      <w:r w:rsidRPr="001D0305">
        <w:rPr>
          <w:rFonts w:asciiTheme="majorBidi" w:hAnsiTheme="majorBidi" w:cs="David"/>
          <w:sz w:val="24"/>
          <w:szCs w:val="24"/>
          <w:rtl/>
        </w:rPr>
        <w:t>. תאריך כניסה: 19 במאי 2015.</w:t>
      </w:r>
    </w:p>
    <w:p w:rsidR="008670C5" w:rsidRPr="001D0305" w:rsidRDefault="008670C5" w:rsidP="00DC2DB0">
      <w:pPr>
        <w:pStyle w:val="a9"/>
        <w:numPr>
          <w:ilvl w:val="0"/>
          <w:numId w:val="32"/>
        </w:numPr>
        <w:spacing w:before="120" w:after="120" w:line="360" w:lineRule="auto"/>
        <w:ind w:left="720" w:hanging="357"/>
        <w:rPr>
          <w:rFonts w:cs="David"/>
          <w:sz w:val="24"/>
          <w:szCs w:val="24"/>
        </w:rPr>
      </w:pPr>
      <w:r w:rsidRPr="001D0305">
        <w:rPr>
          <w:rFonts w:asciiTheme="majorBidi" w:hAnsiTheme="majorBidi" w:cs="David"/>
          <w:sz w:val="24"/>
          <w:szCs w:val="24"/>
          <w:rtl/>
        </w:rPr>
        <w:t xml:space="preserve">משרד הרווחה והשירותים החברתיים, </w:t>
      </w:r>
      <w:hyperlink r:id="rId113" w:history="1">
        <w:r w:rsidRPr="001D0305">
          <w:rPr>
            <w:rStyle w:val="Hyperlink"/>
            <w:rFonts w:asciiTheme="majorBidi" w:hAnsiTheme="majorBidi" w:cs="David"/>
            <w:sz w:val="24"/>
            <w:szCs w:val="24"/>
            <w:rtl/>
          </w:rPr>
          <w:t>האגף לשירותי תקון ונוער מנותק</w:t>
        </w:r>
        <w:r w:rsidRPr="001D0305">
          <w:rPr>
            <w:rStyle w:val="Hyperlink"/>
            <w:rFonts w:asciiTheme="majorBidi" w:hAnsiTheme="majorBidi" w:cs="David" w:hint="cs"/>
            <w:sz w:val="24"/>
            <w:szCs w:val="24"/>
            <w:rtl/>
          </w:rPr>
          <w:t>:</w:t>
        </w:r>
        <w:r w:rsidRPr="001D0305">
          <w:rPr>
            <w:rStyle w:val="Hyperlink"/>
            <w:rFonts w:asciiTheme="majorBidi" w:hAnsiTheme="majorBidi" w:cs="David"/>
            <w:sz w:val="24"/>
            <w:szCs w:val="24"/>
            <w:rtl/>
          </w:rPr>
          <w:t xml:space="preserve"> השירות לטיפול בהתמכרויות</w:t>
        </w:r>
      </w:hyperlink>
      <w:r w:rsidRPr="001D0305">
        <w:rPr>
          <w:rFonts w:asciiTheme="majorBidi" w:hAnsiTheme="majorBidi" w:cs="David" w:hint="cs"/>
          <w:sz w:val="24"/>
          <w:szCs w:val="24"/>
          <w:rtl/>
        </w:rPr>
        <w:t>.</w:t>
      </w:r>
      <w:r w:rsidRPr="001D0305">
        <w:rPr>
          <w:rFonts w:asciiTheme="majorBidi" w:hAnsiTheme="majorBidi" w:cs="David"/>
          <w:sz w:val="24"/>
          <w:szCs w:val="24"/>
          <w:rtl/>
        </w:rPr>
        <w:t xml:space="preserve"> תאריך כניסה: 24 מרץ 2015.</w:t>
      </w:r>
    </w:p>
    <w:p w:rsidR="008670C5" w:rsidRPr="001D0305" w:rsidRDefault="008670C5" w:rsidP="00DC2DB0">
      <w:pPr>
        <w:pStyle w:val="a9"/>
        <w:numPr>
          <w:ilvl w:val="0"/>
          <w:numId w:val="32"/>
        </w:numPr>
        <w:spacing w:before="120" w:after="120" w:line="360" w:lineRule="auto"/>
        <w:ind w:left="720" w:hanging="357"/>
        <w:rPr>
          <w:rFonts w:cs="David"/>
          <w:sz w:val="24"/>
          <w:szCs w:val="24"/>
        </w:rPr>
      </w:pPr>
      <w:r w:rsidRPr="001D0305">
        <w:rPr>
          <w:rFonts w:asciiTheme="majorBidi" w:hAnsiTheme="majorBidi" w:cs="David"/>
          <w:sz w:val="24"/>
          <w:szCs w:val="24"/>
          <w:rtl/>
        </w:rPr>
        <w:t xml:space="preserve">משרד הרווחה והשירותים החברתיים, </w:t>
      </w:r>
      <w:hyperlink r:id="rId114" w:history="1">
        <w:r w:rsidRPr="001D0305">
          <w:rPr>
            <w:rStyle w:val="Hyperlink"/>
            <w:rFonts w:asciiTheme="majorBidi" w:hAnsiTheme="majorBidi" w:cs="David"/>
            <w:sz w:val="24"/>
            <w:szCs w:val="24"/>
            <w:rtl/>
          </w:rPr>
          <w:t>הגדרת הסיכון והמצוקה מתוך "דין וחשבון הועדה הציבורית לבדיקת מצבם של ילדים ובני נוער בסיכון ובסכנה" בראשות פרופ' הלל שמיד, מרס 2006</w:t>
        </w:r>
      </w:hyperlink>
      <w:r w:rsidRPr="001D0305">
        <w:rPr>
          <w:rFonts w:asciiTheme="majorBidi" w:hAnsiTheme="majorBidi" w:cs="David" w:hint="cs"/>
          <w:sz w:val="24"/>
          <w:szCs w:val="24"/>
          <w:rtl/>
        </w:rPr>
        <w:t>.</w:t>
      </w:r>
      <w:r w:rsidRPr="001D0305">
        <w:rPr>
          <w:rFonts w:asciiTheme="majorBidi" w:hAnsiTheme="majorBidi" w:cs="David"/>
          <w:sz w:val="24"/>
          <w:szCs w:val="24"/>
          <w:rtl/>
        </w:rPr>
        <w:t xml:space="preserve"> תאריך כניסה: 1 באפריל 2015.</w:t>
      </w:r>
    </w:p>
    <w:p w:rsidR="008670C5" w:rsidRPr="001D0305" w:rsidRDefault="008670C5" w:rsidP="00DC2DB0">
      <w:pPr>
        <w:pStyle w:val="a9"/>
        <w:numPr>
          <w:ilvl w:val="0"/>
          <w:numId w:val="32"/>
        </w:numPr>
        <w:spacing w:before="120" w:after="120" w:line="360" w:lineRule="auto"/>
        <w:ind w:left="720" w:hanging="357"/>
        <w:rPr>
          <w:rFonts w:cs="David"/>
          <w:sz w:val="24"/>
          <w:szCs w:val="24"/>
        </w:rPr>
      </w:pPr>
      <w:r w:rsidRPr="001D0305">
        <w:rPr>
          <w:rFonts w:asciiTheme="majorBidi" w:hAnsiTheme="majorBidi" w:cs="David"/>
          <w:sz w:val="24"/>
          <w:szCs w:val="24"/>
          <w:rtl/>
        </w:rPr>
        <w:t xml:space="preserve">משרד הרווחה והשירותים החברתיים, </w:t>
      </w:r>
      <w:hyperlink r:id="rId115" w:history="1">
        <w:r w:rsidRPr="001D0305">
          <w:rPr>
            <w:rStyle w:val="Hyperlink"/>
            <w:rFonts w:asciiTheme="majorBidi" w:hAnsiTheme="majorBidi" w:cs="David"/>
            <w:sz w:val="24"/>
            <w:szCs w:val="24"/>
            <w:rtl/>
          </w:rPr>
          <w:t>התוכנית הלאומית לילדים ובני-נוער בסיכון</w:t>
        </w:r>
      </w:hyperlink>
      <w:r w:rsidRPr="001D0305">
        <w:rPr>
          <w:rFonts w:asciiTheme="majorBidi" w:hAnsiTheme="majorBidi" w:cs="David"/>
          <w:sz w:val="24"/>
          <w:szCs w:val="24"/>
          <w:rtl/>
        </w:rPr>
        <w:t>, תאריך כניסה: 31 במרץ 2015.</w:t>
      </w:r>
    </w:p>
    <w:p w:rsidR="008670C5" w:rsidRPr="001D0305" w:rsidRDefault="008670C5" w:rsidP="00DC2DB0">
      <w:pPr>
        <w:pStyle w:val="a9"/>
        <w:numPr>
          <w:ilvl w:val="0"/>
          <w:numId w:val="32"/>
        </w:numPr>
        <w:spacing w:before="120" w:after="120" w:line="360" w:lineRule="auto"/>
        <w:ind w:left="720" w:hanging="357"/>
        <w:rPr>
          <w:rFonts w:cs="David"/>
          <w:sz w:val="24"/>
          <w:szCs w:val="24"/>
        </w:rPr>
      </w:pPr>
      <w:r w:rsidRPr="001D0305">
        <w:rPr>
          <w:rFonts w:asciiTheme="majorBidi" w:hAnsiTheme="majorBidi" w:cs="David"/>
          <w:sz w:val="24"/>
          <w:szCs w:val="24"/>
          <w:rtl/>
        </w:rPr>
        <w:t xml:space="preserve">משרד הרווחה והשירותים החברתיים, </w:t>
      </w:r>
      <w:hyperlink r:id="rId116" w:history="1">
        <w:r w:rsidRPr="001D0305">
          <w:rPr>
            <w:rStyle w:val="Hyperlink"/>
            <w:rFonts w:asciiTheme="majorBidi" w:hAnsiTheme="majorBidi" w:cs="David"/>
            <w:sz w:val="24"/>
            <w:szCs w:val="24"/>
            <w:rtl/>
          </w:rPr>
          <w:t>התוכנית הלאומית לילדים ובני-נוער בסיכון: היישובים המשתתפים בתוכנית</w:t>
        </w:r>
      </w:hyperlink>
      <w:r w:rsidRPr="001D0305">
        <w:rPr>
          <w:rFonts w:asciiTheme="majorBidi" w:hAnsiTheme="majorBidi" w:cs="David"/>
          <w:sz w:val="24"/>
          <w:szCs w:val="24"/>
          <w:rtl/>
        </w:rPr>
        <w:t>, תאריך כניסה: 31 במרץ 2015.</w:t>
      </w:r>
    </w:p>
    <w:p w:rsidR="00C3078A" w:rsidRPr="001D0305" w:rsidRDefault="00C3078A" w:rsidP="00C3078A">
      <w:pPr>
        <w:pStyle w:val="a9"/>
        <w:spacing w:before="120" w:after="120" w:line="360" w:lineRule="auto"/>
        <w:rPr>
          <w:rFonts w:cs="David"/>
          <w:sz w:val="24"/>
          <w:szCs w:val="24"/>
        </w:rPr>
      </w:pPr>
    </w:p>
    <w:p w:rsidR="00C3078A" w:rsidRPr="001D0305" w:rsidRDefault="00C3078A" w:rsidP="00DC2DB0">
      <w:pPr>
        <w:pStyle w:val="a2"/>
        <w:numPr>
          <w:ilvl w:val="0"/>
          <w:numId w:val="32"/>
        </w:numPr>
        <w:bidi w:val="0"/>
        <w:spacing w:line="360" w:lineRule="auto"/>
      </w:pPr>
      <w:r w:rsidRPr="001D0305">
        <w:rPr>
          <w:rFonts w:asciiTheme="majorBidi" w:hAnsiTheme="majorBidi"/>
        </w:rPr>
        <w:t xml:space="preserve">United Nations Office on Drugs and Crime, </w:t>
      </w:r>
      <w:hyperlink r:id="rId117" w:history="1">
        <w:r w:rsidRPr="001D0305">
          <w:rPr>
            <w:rStyle w:val="Hyperlink"/>
            <w:rFonts w:asciiTheme="majorBidi" w:hAnsiTheme="majorBidi"/>
          </w:rPr>
          <w:t>Information about drugs</w:t>
        </w:r>
      </w:hyperlink>
      <w:r w:rsidRPr="001D0305">
        <w:rPr>
          <w:rFonts w:asciiTheme="majorBidi" w:hAnsiTheme="majorBidi"/>
        </w:rPr>
        <w:t>. Accessed: February 3rd, 2015.</w:t>
      </w:r>
    </w:p>
    <w:p w:rsidR="00C3078A" w:rsidRDefault="00C3078A" w:rsidP="00DC2DB0">
      <w:pPr>
        <w:pStyle w:val="a9"/>
        <w:numPr>
          <w:ilvl w:val="0"/>
          <w:numId w:val="32"/>
        </w:numPr>
        <w:bidi w:val="0"/>
        <w:spacing w:before="120" w:after="120" w:line="360" w:lineRule="auto"/>
        <w:rPr>
          <w:rFonts w:cs="David"/>
          <w:sz w:val="24"/>
          <w:szCs w:val="24"/>
        </w:rPr>
      </w:pPr>
      <w:r w:rsidRPr="001D0305">
        <w:rPr>
          <w:rFonts w:asciiTheme="majorBidi" w:hAnsiTheme="majorBidi" w:cs="David"/>
          <w:sz w:val="24"/>
          <w:szCs w:val="24"/>
        </w:rPr>
        <w:t xml:space="preserve">World Health Organization, </w:t>
      </w:r>
      <w:hyperlink r:id="rId118" w:history="1">
        <w:r w:rsidRPr="001D0305">
          <w:rPr>
            <w:rStyle w:val="Hyperlink"/>
            <w:rFonts w:cs="David"/>
            <w:sz w:val="24"/>
            <w:szCs w:val="24"/>
          </w:rPr>
          <w:t>Recorded alcohol per capita consumption, from 2000</w:t>
        </w:r>
      </w:hyperlink>
      <w:r w:rsidRPr="001D0305">
        <w:rPr>
          <w:rFonts w:cs="David"/>
          <w:sz w:val="24"/>
          <w:szCs w:val="24"/>
        </w:rPr>
        <w:t>. Accessed: 31 May 2015.</w:t>
      </w:r>
    </w:p>
    <w:p w:rsidR="006F5B1E" w:rsidRPr="001D0305" w:rsidRDefault="006F5B1E" w:rsidP="006F5B1E">
      <w:pPr>
        <w:pStyle w:val="a9"/>
        <w:bidi w:val="0"/>
        <w:spacing w:before="120" w:after="120" w:line="360" w:lineRule="auto"/>
        <w:rPr>
          <w:rFonts w:cs="David"/>
          <w:sz w:val="24"/>
          <w:szCs w:val="24"/>
        </w:rPr>
      </w:pPr>
    </w:p>
    <w:p w:rsidR="00C3078A" w:rsidRPr="001D0305" w:rsidRDefault="00C3078A" w:rsidP="004013C4">
      <w:pPr>
        <w:pStyle w:val="2"/>
        <w:rPr>
          <w:rtl/>
        </w:rPr>
      </w:pPr>
      <w:bookmarkStart w:id="439" w:name="_Toc421694865"/>
      <w:bookmarkStart w:id="440" w:name="_Toc421697089"/>
      <w:r w:rsidRPr="001D0305">
        <w:rPr>
          <w:rFonts w:hint="cs"/>
          <w:rtl/>
        </w:rPr>
        <w:t>מידע ממאגרי נתונים</w:t>
      </w:r>
      <w:bookmarkEnd w:id="439"/>
      <w:bookmarkEnd w:id="440"/>
    </w:p>
    <w:p w:rsidR="00C3078A" w:rsidRPr="001D0305" w:rsidRDefault="00C3078A" w:rsidP="00DC2DB0">
      <w:pPr>
        <w:pStyle w:val="a2"/>
        <w:numPr>
          <w:ilvl w:val="0"/>
          <w:numId w:val="35"/>
        </w:numPr>
        <w:spacing w:before="100" w:beforeAutospacing="1" w:line="360" w:lineRule="auto"/>
      </w:pPr>
      <w:r w:rsidRPr="001D0305">
        <w:rPr>
          <w:rFonts w:hint="cs"/>
          <w:rtl/>
        </w:rPr>
        <w:t xml:space="preserve">משטרת ישראל, </w:t>
      </w:r>
      <w:hyperlink r:id="rId119" w:history="1">
        <w:r w:rsidRPr="001D0305">
          <w:rPr>
            <w:rStyle w:val="Hyperlink"/>
            <w:rFonts w:hint="cs"/>
            <w:rtl/>
          </w:rPr>
          <w:t>נתונים כלליים – משטרת ישראל</w:t>
        </w:r>
      </w:hyperlink>
      <w:r w:rsidRPr="001D0305">
        <w:rPr>
          <w:rFonts w:hint="cs"/>
          <w:rtl/>
        </w:rPr>
        <w:t>. תאריך אחזור הנתונים: 8 יוני 2015.</w:t>
      </w:r>
    </w:p>
    <w:p w:rsidR="00C3078A" w:rsidRPr="002D3B45" w:rsidRDefault="00C3078A" w:rsidP="002D3B45">
      <w:pPr>
        <w:pStyle w:val="a9"/>
        <w:numPr>
          <w:ilvl w:val="0"/>
          <w:numId w:val="35"/>
        </w:numPr>
        <w:spacing w:before="120" w:after="120" w:line="360" w:lineRule="auto"/>
        <w:rPr>
          <w:rFonts w:cs="David"/>
          <w:sz w:val="24"/>
          <w:szCs w:val="24"/>
        </w:rPr>
      </w:pPr>
      <w:r w:rsidRPr="002D3B45">
        <w:rPr>
          <w:rFonts w:asciiTheme="majorBidi" w:hAnsiTheme="majorBidi" w:cs="David"/>
          <w:sz w:val="24"/>
          <w:szCs w:val="24"/>
          <w:rtl/>
        </w:rPr>
        <w:t xml:space="preserve">משרד האוצר – החשב הכללי, </w:t>
      </w:r>
      <w:r w:rsidRPr="002D3B45">
        <w:rPr>
          <w:rFonts w:asciiTheme="majorBidi" w:hAnsiTheme="majorBidi" w:cs="David"/>
          <w:sz w:val="24"/>
          <w:szCs w:val="24"/>
          <w:u w:val="single"/>
          <w:rtl/>
        </w:rPr>
        <w:t>ספר התקציב</w:t>
      </w:r>
      <w:r w:rsidRPr="002D3B45">
        <w:rPr>
          <w:rFonts w:asciiTheme="majorBidi" w:hAnsiTheme="majorBidi" w:cs="David"/>
          <w:sz w:val="24"/>
          <w:szCs w:val="24"/>
          <w:rtl/>
        </w:rPr>
        <w:t xml:space="preserve">, </w:t>
      </w:r>
      <w:hyperlink r:id="rId120" w:history="1">
        <w:r w:rsidR="00AA761E" w:rsidRPr="002D3B45">
          <w:rPr>
            <w:rStyle w:val="Hyperlink"/>
            <w:rFonts w:asciiTheme="majorBidi" w:hAnsiTheme="majorBidi" w:cs="David"/>
            <w:sz w:val="24"/>
            <w:szCs w:val="24"/>
            <w:rtl/>
          </w:rPr>
          <w:t>ביצוע תקציב מפורט לפי תקנות לשנים 2013-2004</w:t>
        </w:r>
      </w:hyperlink>
      <w:r w:rsidRPr="002D3B45">
        <w:rPr>
          <w:rFonts w:asciiTheme="majorBidi" w:hAnsiTheme="majorBidi" w:cs="David"/>
          <w:sz w:val="24"/>
          <w:szCs w:val="24"/>
          <w:rtl/>
        </w:rPr>
        <w:t>, סעיפים</w:t>
      </w:r>
      <w:r w:rsidR="00AA761E" w:rsidRPr="002D3B45">
        <w:rPr>
          <w:rFonts w:asciiTheme="majorBidi" w:hAnsiTheme="majorBidi" w:cs="David" w:hint="cs"/>
          <w:sz w:val="24"/>
          <w:szCs w:val="24"/>
          <w:rtl/>
        </w:rPr>
        <w:t>:</w:t>
      </w:r>
      <w:r w:rsidRPr="002D3B45">
        <w:rPr>
          <w:rFonts w:asciiTheme="majorBidi" w:hAnsiTheme="majorBidi" w:cs="David"/>
          <w:sz w:val="24"/>
          <w:szCs w:val="24"/>
          <w:rtl/>
        </w:rPr>
        <w:t xml:space="preserve"> 0004017802 (</w:t>
      </w:r>
      <w:r w:rsidR="00AA761E" w:rsidRPr="002D3B45">
        <w:rPr>
          <w:rFonts w:asciiTheme="majorBidi" w:hAnsiTheme="majorBidi" w:cs="David" w:hint="cs"/>
          <w:sz w:val="24"/>
          <w:szCs w:val="24"/>
          <w:rtl/>
        </w:rPr>
        <w:t>2009-2008</w:t>
      </w:r>
      <w:r w:rsidRPr="002D3B45">
        <w:rPr>
          <w:rFonts w:asciiTheme="majorBidi" w:hAnsiTheme="majorBidi" w:cs="David"/>
          <w:sz w:val="24"/>
          <w:szCs w:val="24"/>
          <w:rtl/>
        </w:rPr>
        <w:t>) ו-  00070106 (</w:t>
      </w:r>
      <w:r w:rsidR="002D3B45" w:rsidRPr="002D3B45">
        <w:rPr>
          <w:rFonts w:asciiTheme="majorBidi" w:hAnsiTheme="majorBidi" w:cs="David" w:hint="cs"/>
          <w:sz w:val="24"/>
          <w:szCs w:val="24"/>
          <w:rtl/>
        </w:rPr>
        <w:t>2013-2009</w:t>
      </w:r>
      <w:r w:rsidRPr="002D3B45">
        <w:rPr>
          <w:rFonts w:asciiTheme="majorBidi" w:hAnsiTheme="majorBidi" w:cs="David"/>
          <w:sz w:val="24"/>
          <w:szCs w:val="24"/>
          <w:rtl/>
        </w:rPr>
        <w:t>)</w:t>
      </w:r>
      <w:r w:rsidR="00AA761E" w:rsidRPr="002D3B45">
        <w:rPr>
          <w:rFonts w:asciiTheme="majorBidi" w:hAnsiTheme="majorBidi" w:cs="David" w:hint="cs"/>
          <w:sz w:val="24"/>
          <w:szCs w:val="24"/>
          <w:rtl/>
        </w:rPr>
        <w:t xml:space="preserve">; </w:t>
      </w:r>
      <w:r w:rsidRPr="002D3B45">
        <w:rPr>
          <w:rFonts w:asciiTheme="majorBidi" w:hAnsiTheme="majorBidi" w:cs="David"/>
          <w:sz w:val="24"/>
          <w:szCs w:val="24"/>
          <w:rtl/>
        </w:rPr>
        <w:t xml:space="preserve">0024130365 ו – 0024130366 </w:t>
      </w:r>
      <w:r w:rsidR="00AA761E" w:rsidRPr="002D3B45">
        <w:rPr>
          <w:rFonts w:asciiTheme="majorBidi" w:hAnsiTheme="majorBidi" w:cs="David" w:hint="cs"/>
          <w:sz w:val="24"/>
          <w:szCs w:val="24"/>
          <w:rtl/>
        </w:rPr>
        <w:t>(2010-2008)</w:t>
      </w:r>
      <w:r w:rsidRPr="002D3B45">
        <w:rPr>
          <w:rFonts w:asciiTheme="majorBidi" w:hAnsiTheme="majorBidi" w:cs="David"/>
          <w:sz w:val="24"/>
          <w:szCs w:val="24"/>
          <w:rtl/>
        </w:rPr>
        <w:t>, ו</w:t>
      </w:r>
      <w:r w:rsidR="00AA761E" w:rsidRPr="002D3B45">
        <w:rPr>
          <w:rFonts w:asciiTheme="majorBidi" w:hAnsiTheme="majorBidi" w:cs="David" w:hint="cs"/>
          <w:sz w:val="24"/>
          <w:szCs w:val="24"/>
          <w:rtl/>
        </w:rPr>
        <w:t xml:space="preserve">- </w:t>
      </w:r>
      <w:r w:rsidRPr="002D3B45">
        <w:rPr>
          <w:rFonts w:asciiTheme="majorBidi" w:hAnsiTheme="majorBidi" w:cs="David"/>
          <w:sz w:val="24"/>
          <w:szCs w:val="24"/>
          <w:rtl/>
        </w:rPr>
        <w:t xml:space="preserve">0024071365 ו-0024071366 </w:t>
      </w:r>
      <w:r w:rsidR="00AA761E" w:rsidRPr="002D3B45">
        <w:rPr>
          <w:rFonts w:asciiTheme="majorBidi" w:hAnsiTheme="majorBidi" w:cs="David" w:hint="cs"/>
          <w:sz w:val="24"/>
          <w:szCs w:val="24"/>
          <w:rtl/>
        </w:rPr>
        <w:t>(2014-2011)</w:t>
      </w:r>
      <w:r w:rsidR="002D3B45" w:rsidRPr="002D3B45">
        <w:rPr>
          <w:rFonts w:asciiTheme="majorBidi" w:hAnsiTheme="majorBidi" w:cs="David" w:hint="cs"/>
          <w:sz w:val="24"/>
          <w:szCs w:val="24"/>
          <w:rtl/>
        </w:rPr>
        <w:t xml:space="preserve"> (נתונים אוחזרו ב- </w:t>
      </w:r>
      <w:r w:rsidRPr="002D3B45">
        <w:rPr>
          <w:rFonts w:asciiTheme="majorBidi" w:hAnsiTheme="majorBidi" w:cs="David"/>
          <w:sz w:val="24"/>
          <w:szCs w:val="24"/>
          <w:rtl/>
        </w:rPr>
        <w:t>18 פברואר 2015</w:t>
      </w:r>
      <w:r w:rsidR="002D3B45" w:rsidRPr="002D3B45">
        <w:rPr>
          <w:rFonts w:asciiTheme="majorBidi" w:hAnsiTheme="majorBidi" w:cs="David" w:hint="cs"/>
          <w:sz w:val="24"/>
          <w:szCs w:val="24"/>
          <w:rtl/>
        </w:rPr>
        <w:t xml:space="preserve">); </w:t>
      </w:r>
      <w:r w:rsidR="002D3B45" w:rsidRPr="002D3B45">
        <w:rPr>
          <w:rFonts w:asciiTheme="majorBidi" w:hAnsiTheme="majorBidi" w:cs="David"/>
          <w:sz w:val="24"/>
          <w:szCs w:val="24"/>
          <w:rtl/>
        </w:rPr>
        <w:t xml:space="preserve">0024012250 </w:t>
      </w:r>
      <w:r w:rsidR="002D3B45" w:rsidRPr="002D3B45">
        <w:rPr>
          <w:rFonts w:asciiTheme="majorBidi" w:hAnsiTheme="majorBidi" w:cs="David" w:hint="cs"/>
          <w:sz w:val="24"/>
          <w:szCs w:val="24"/>
          <w:rtl/>
        </w:rPr>
        <w:t xml:space="preserve">(2010-2008) ו- </w:t>
      </w:r>
      <w:r w:rsidRPr="002D3B45">
        <w:rPr>
          <w:rFonts w:asciiTheme="majorBidi" w:hAnsiTheme="majorBidi" w:cs="David"/>
          <w:sz w:val="24"/>
          <w:szCs w:val="24"/>
          <w:rtl/>
        </w:rPr>
        <w:t xml:space="preserve">0024020118 </w:t>
      </w:r>
      <w:r w:rsidR="002D3B45" w:rsidRPr="002D3B45">
        <w:rPr>
          <w:rFonts w:asciiTheme="majorBidi" w:hAnsiTheme="majorBidi" w:cs="David" w:hint="cs"/>
          <w:sz w:val="24"/>
          <w:szCs w:val="24"/>
          <w:rtl/>
        </w:rPr>
        <w:t>(2012-2011)</w:t>
      </w:r>
      <w:r w:rsidRPr="002D3B45">
        <w:rPr>
          <w:rFonts w:asciiTheme="majorBidi" w:hAnsiTheme="majorBidi" w:cs="David"/>
          <w:sz w:val="24"/>
          <w:szCs w:val="24"/>
          <w:rtl/>
        </w:rPr>
        <w:t xml:space="preserve"> </w:t>
      </w:r>
      <w:r w:rsidR="002D3B45" w:rsidRPr="002D3B45">
        <w:rPr>
          <w:rFonts w:asciiTheme="majorBidi" w:hAnsiTheme="majorBidi" w:cs="David" w:hint="cs"/>
          <w:sz w:val="24"/>
          <w:szCs w:val="24"/>
          <w:rtl/>
        </w:rPr>
        <w:t>(נתונים אוחזרו ב- 18 בפברואר 2015);</w:t>
      </w:r>
      <w:r w:rsidRPr="002D3B45">
        <w:rPr>
          <w:rFonts w:asciiTheme="majorBidi" w:hAnsiTheme="majorBidi" w:cs="David"/>
          <w:sz w:val="24"/>
          <w:szCs w:val="24"/>
          <w:rtl/>
        </w:rPr>
        <w:t xml:space="preserve"> 00231125</w:t>
      </w:r>
      <w:r w:rsidR="002D3B45">
        <w:rPr>
          <w:rFonts w:asciiTheme="majorBidi" w:hAnsiTheme="majorBidi" w:cs="David" w:hint="cs"/>
          <w:sz w:val="24"/>
          <w:szCs w:val="24"/>
          <w:rtl/>
        </w:rPr>
        <w:t xml:space="preserve"> (נתונים אוחזרו ב- </w:t>
      </w:r>
      <w:r w:rsidRPr="002D3B45">
        <w:rPr>
          <w:rFonts w:asciiTheme="majorBidi" w:hAnsiTheme="majorBidi" w:cs="David"/>
          <w:sz w:val="24"/>
          <w:szCs w:val="24"/>
          <w:rtl/>
        </w:rPr>
        <w:t>3 מאי 2015</w:t>
      </w:r>
      <w:r w:rsidR="002D3B45">
        <w:rPr>
          <w:rFonts w:asciiTheme="majorBidi" w:hAnsiTheme="majorBidi" w:cs="David" w:hint="cs"/>
          <w:sz w:val="24"/>
          <w:szCs w:val="24"/>
          <w:rtl/>
        </w:rPr>
        <w:t>).</w:t>
      </w:r>
    </w:p>
    <w:p w:rsidR="00C3078A" w:rsidRPr="001D0305" w:rsidRDefault="00C3078A" w:rsidP="00DC2DB0">
      <w:pPr>
        <w:pStyle w:val="a2"/>
        <w:numPr>
          <w:ilvl w:val="0"/>
          <w:numId w:val="35"/>
        </w:numPr>
        <w:bidi w:val="0"/>
        <w:spacing w:line="360" w:lineRule="auto"/>
      </w:pPr>
      <w:r w:rsidRPr="001D0305">
        <w:rPr>
          <w:rFonts w:asciiTheme="majorBidi" w:hAnsiTheme="majorBidi"/>
          <w:shd w:val="clear" w:color="auto" w:fill="FFFFFF"/>
        </w:rPr>
        <w:t xml:space="preserve">OECD, </w:t>
      </w:r>
      <w:hyperlink r:id="rId121" w:history="1">
        <w:r w:rsidRPr="001D0305">
          <w:rPr>
            <w:rStyle w:val="Hyperlink"/>
            <w:rFonts w:asciiTheme="majorBidi" w:hAnsiTheme="majorBidi"/>
            <w:color w:val="auto"/>
            <w:shd w:val="clear" w:color="auto" w:fill="FFFFFF"/>
          </w:rPr>
          <w:t>OECD Health Statistics 2014: Definitions, Sources and Methods, Alcohol consumption in liters per capita (age 15+)</w:t>
        </w:r>
      </w:hyperlink>
      <w:r w:rsidRPr="001D0305">
        <w:rPr>
          <w:rStyle w:val="Hyperlink"/>
          <w:rFonts w:asciiTheme="majorBidi" w:hAnsiTheme="majorBidi"/>
          <w:shd w:val="clear" w:color="auto" w:fill="FFFFFF"/>
        </w:rPr>
        <w:t>. Data Retrieved: May 31</w:t>
      </w:r>
      <w:r w:rsidRPr="001D0305">
        <w:rPr>
          <w:rStyle w:val="Hyperlink"/>
          <w:rFonts w:asciiTheme="majorBidi" w:hAnsiTheme="majorBidi"/>
          <w:shd w:val="clear" w:color="auto" w:fill="FFFFFF"/>
          <w:vertAlign w:val="superscript"/>
        </w:rPr>
        <w:t>st</w:t>
      </w:r>
      <w:r w:rsidRPr="001D0305">
        <w:rPr>
          <w:rStyle w:val="Hyperlink"/>
          <w:rFonts w:asciiTheme="majorBidi" w:hAnsiTheme="majorBidi"/>
          <w:shd w:val="clear" w:color="auto" w:fill="FFFFFF"/>
        </w:rPr>
        <w:t>, 2015.</w:t>
      </w:r>
    </w:p>
    <w:p w:rsidR="00C3078A" w:rsidRPr="00BB6388" w:rsidRDefault="00C3078A" w:rsidP="00C3078A">
      <w:pPr>
        <w:pStyle w:val="a2"/>
        <w:spacing w:line="360" w:lineRule="auto"/>
      </w:pPr>
    </w:p>
    <w:sectPr w:rsidR="00C3078A" w:rsidRPr="00BB6388" w:rsidSect="00DA289E">
      <w:headerReference w:type="even" r:id="rId122"/>
      <w:headerReference w:type="default" r:id="rId123"/>
      <w:footerReference w:type="even" r:id="rId124"/>
      <w:footerReference w:type="default" r:id="rId125"/>
      <w:headerReference w:type="first" r:id="rId126"/>
      <w:footerReference w:type="first" r:id="rId127"/>
      <w:pgSz w:w="11906" w:h="16838" w:code="9"/>
      <w:pgMar w:top="1440" w:right="1758" w:bottom="1440" w:left="1259" w:header="709" w:footer="397" w:gutter="0"/>
      <w:pgNumType w:start="1"/>
      <w:cols w:space="708"/>
      <w:formProt w:val="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0C37" w:rsidRDefault="00140C37">
      <w:r>
        <w:separator/>
      </w:r>
    </w:p>
  </w:endnote>
  <w:endnote w:type="continuationSeparator" w:id="0">
    <w:p w:rsidR="00140C37" w:rsidRDefault="00140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adasaMFOMedium">
    <w:panose1 w:val="00000000000000000000"/>
    <w:charset w:val="B1"/>
    <w:family w:val="auto"/>
    <w:notTrueType/>
    <w:pitch w:val="default"/>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2909" w:rsidRDefault="00FE2909" w:rsidP="00D50559">
    <w:pPr>
      <w:pStyle w:val="ae"/>
      <w:framePr w:wrap="around" w:vAnchor="text" w:hAnchor="text" w:y="1"/>
      <w:rPr>
        <w:rStyle w:val="ad"/>
      </w:rPr>
    </w:pPr>
    <w:r>
      <w:rPr>
        <w:rStyle w:val="ad"/>
        <w:rtl/>
      </w:rPr>
      <w:fldChar w:fldCharType="begin"/>
    </w:r>
    <w:r>
      <w:rPr>
        <w:rStyle w:val="ad"/>
      </w:rPr>
      <w:instrText xml:space="preserve">PAGE  </w:instrText>
    </w:r>
    <w:r>
      <w:rPr>
        <w:rStyle w:val="ad"/>
        <w:rtl/>
      </w:rPr>
      <w:fldChar w:fldCharType="end"/>
    </w:r>
  </w:p>
  <w:p w:rsidR="00FE2909" w:rsidRDefault="00FE2909" w:rsidP="00DA289E">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2909" w:rsidRDefault="00FE2909" w:rsidP="00DA289E">
    <w:pPr>
      <w:pStyle w:val="ac"/>
      <w:spacing w:before="240" w:after="0" w:line="240" w:lineRule="auto"/>
      <w:ind w:right="360"/>
      <w:jc w:val="center"/>
      <w:rPr>
        <w:color w:val="3366FF"/>
        <w:szCs w:val="16"/>
        <w:rtl/>
        <w:lang w:eastAsia="en-US"/>
      </w:rPr>
    </w:pPr>
    <w:r>
      <w:rPr>
        <w:noProof/>
        <w:sz w:val="20"/>
        <w:lang w:eastAsia="en-US"/>
      </w:rPr>
      <w:drawing>
        <wp:anchor distT="0" distB="0" distL="114300" distR="114300" simplePos="0" relativeHeight="251657216" behindDoc="0" locked="0" layoutInCell="1" allowOverlap="1" wp14:anchorId="543AC551" wp14:editId="6DB09AA0">
          <wp:simplePos x="0" y="0"/>
          <wp:positionH relativeFrom="column">
            <wp:posOffset>2734945</wp:posOffset>
          </wp:positionH>
          <wp:positionV relativeFrom="paragraph">
            <wp:posOffset>8255</wp:posOffset>
          </wp:positionV>
          <wp:extent cx="196215" cy="243840"/>
          <wp:effectExtent l="0" t="0" r="0" b="3810"/>
          <wp:wrapNone/>
          <wp:docPr id="103" name="תמונה 103" descr="לוגו סמל המדינה כחול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לוגו סמל המדינה כחול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215" cy="243840"/>
                  </a:xfrm>
                  <a:prstGeom prst="rect">
                    <a:avLst/>
                  </a:prstGeom>
                  <a:noFill/>
                  <a:ln>
                    <a:noFill/>
                  </a:ln>
                </pic:spPr>
              </pic:pic>
            </a:graphicData>
          </a:graphic>
        </wp:anchor>
      </w:drawing>
    </w:r>
    <w:r>
      <w:rPr>
        <w:noProof/>
        <w:sz w:val="20"/>
        <w:szCs w:val="16"/>
        <w:rtl/>
        <w:lang w:eastAsia="en-US"/>
      </w:rPr>
      <mc:AlternateContent>
        <mc:Choice Requires="wps">
          <w:drawing>
            <wp:anchor distT="0" distB="0" distL="114300" distR="114300" simplePos="0" relativeHeight="251658240" behindDoc="0" locked="0" layoutInCell="1" allowOverlap="1" wp14:anchorId="2B28E30A" wp14:editId="5A9AB44C">
              <wp:simplePos x="0" y="0"/>
              <wp:positionH relativeFrom="column">
                <wp:posOffset>1974850</wp:posOffset>
              </wp:positionH>
              <wp:positionV relativeFrom="paragraph">
                <wp:posOffset>219710</wp:posOffset>
              </wp:positionV>
              <wp:extent cx="1714500" cy="367030"/>
              <wp:effectExtent l="0" t="0" r="0" b="0"/>
              <wp:wrapNone/>
              <wp:docPr id="1"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670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E2909" w:rsidRDefault="00FE2909">
                          <w:pPr>
                            <w:spacing w:before="0" w:after="0" w:line="240" w:lineRule="auto"/>
                            <w:jc w:val="center"/>
                            <w:rPr>
                              <w:sz w:val="16"/>
                              <w:szCs w:val="16"/>
                              <w:rtl/>
                            </w:rPr>
                          </w:pPr>
                          <w:r>
                            <w:rPr>
                              <w:rFonts w:hint="cs"/>
                              <w:sz w:val="16"/>
                              <w:szCs w:val="16"/>
                              <w:rtl/>
                            </w:rPr>
                            <w:t xml:space="preserve">הכנסת </w:t>
                          </w:r>
                        </w:p>
                        <w:p w:rsidR="00FE2909" w:rsidRPr="00EF7C96" w:rsidRDefault="00FE2909">
                          <w:pPr>
                            <w:spacing w:before="40" w:after="0" w:line="240" w:lineRule="auto"/>
                            <w:jc w:val="center"/>
                            <w:rPr>
                              <w:sz w:val="16"/>
                              <w:szCs w:val="16"/>
                              <w:rtl/>
                            </w:rPr>
                          </w:pPr>
                          <w:r w:rsidRPr="00EF7C96">
                            <w:rPr>
                              <w:rFonts w:hint="cs"/>
                              <w:b/>
                              <w:bCs/>
                              <w:sz w:val="16"/>
                              <w:szCs w:val="16"/>
                              <w:rtl/>
                            </w:rPr>
                            <w:t>מרכז המחקר והמידע</w:t>
                          </w:r>
                        </w:p>
                      </w:txbxContent>
                    </wps:txbx>
                    <wps:bodyPr rot="0" vert="horz" wrap="square" lIns="91440" tIns="45720" rIns="9144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28E30A" id="_x0000_t202" coordsize="21600,21600" o:spt="202" path="m,l,21600r21600,l21600,xe">
              <v:stroke joinstyle="miter"/>
              <v:path gradientshapeok="t" o:connecttype="rect"/>
            </v:shapetype>
            <v:shape id="Text Box 104" o:spid="_x0000_s1032" type="#_x0000_t202" style="position:absolute;left:0;text-align:left;margin-left:155.5pt;margin-top:17.3pt;width:135pt;height:28.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" filled="f" stroked="f">
              <v:textbox inset=",,,1mm">
                <w:txbxContent>
                  <w:p w:rsidR="00FE2909" w:rsidRDefault="00FE2909">
                    <w:pPr>
                      <w:spacing w:before="0" w:after="0" w:line="240" w:lineRule="auto"/>
                      <w:jc w:val="center"/>
                      <w:rPr>
                        <w:sz w:val="16"/>
                        <w:szCs w:val="16"/>
                        <w:rtl/>
                      </w:rPr>
                    </w:pPr>
                    <w:r>
                      <w:rPr>
                        <w:rFonts w:hint="cs"/>
                        <w:sz w:val="16"/>
                        <w:szCs w:val="16"/>
                        <w:rtl/>
                      </w:rPr>
                      <w:t xml:space="preserve">הכנסת </w:t>
                    </w:r>
                  </w:p>
                  <w:p w:rsidR="00FE2909" w:rsidRPr="00EF7C96" w:rsidRDefault="00FE2909">
                    <w:pPr>
                      <w:spacing w:before="40" w:after="0" w:line="240" w:lineRule="auto"/>
                      <w:jc w:val="center"/>
                      <w:rPr>
                        <w:sz w:val="16"/>
                        <w:szCs w:val="16"/>
                        <w:rtl/>
                      </w:rPr>
                    </w:pPr>
                    <w:r w:rsidRPr="00EF7C96">
                      <w:rPr>
                        <w:rFonts w:hint="cs"/>
                        <w:b/>
                        <w:bCs/>
                        <w:sz w:val="16"/>
                        <w:szCs w:val="16"/>
                        <w:rtl/>
                      </w:rPr>
                      <w:t>מרכז המחקר והמידע</w:t>
                    </w:r>
                  </w:p>
                </w:txbxContent>
              </v:textbox>
            </v:shape>
          </w:pict>
        </mc:Fallback>
      </mc:AlternateContent>
    </w:r>
  </w:p>
  <w:tbl>
    <w:tblPr>
      <w:bidiVisual/>
      <w:tblW w:w="0" w:type="auto"/>
      <w:tblLook w:val="0000" w:firstRow="0" w:lastRow="0" w:firstColumn="0" w:lastColumn="0" w:noHBand="0" w:noVBand="0"/>
    </w:tblPr>
    <w:tblGrid>
      <w:gridCol w:w="4137"/>
      <w:gridCol w:w="720"/>
      <w:gridCol w:w="4248"/>
    </w:tblGrid>
    <w:tr w:rsidR="00FE2909">
      <w:tc>
        <w:tcPr>
          <w:tcW w:w="4137" w:type="dxa"/>
          <w:tcBorders>
            <w:top w:val="single" w:sz="4" w:space="0" w:color="auto"/>
          </w:tcBorders>
        </w:tcPr>
        <w:p w:rsidR="0065686F" w:rsidRDefault="0065686F" w:rsidP="00286B44">
          <w:pPr>
            <w:spacing w:before="0" w:after="0" w:line="240" w:lineRule="auto"/>
            <w:jc w:val="left"/>
            <w:rPr>
              <w:sz w:val="16"/>
              <w:szCs w:val="16"/>
              <w:rtl/>
              <w:lang w:eastAsia="en-US"/>
            </w:rPr>
          </w:pPr>
        </w:p>
        <w:p w:rsidR="00FE2909" w:rsidRDefault="00FE2909" w:rsidP="00286B44">
          <w:pPr>
            <w:spacing w:before="0" w:after="0" w:line="240" w:lineRule="auto"/>
            <w:jc w:val="left"/>
            <w:rPr>
              <w:sz w:val="16"/>
              <w:szCs w:val="16"/>
              <w:lang w:eastAsia="en-US"/>
            </w:rPr>
          </w:pPr>
          <w:r>
            <w:rPr>
              <w:rFonts w:hint="cs"/>
              <w:sz w:val="16"/>
              <w:szCs w:val="16"/>
              <w:rtl/>
              <w:lang w:eastAsia="en-US"/>
            </w:rPr>
            <w:t>סמים ואלכוהול בישראל: רקע, חקיקה וגופי מדינה</w:t>
          </w:r>
        </w:p>
      </w:tc>
      <w:tc>
        <w:tcPr>
          <w:tcW w:w="720" w:type="dxa"/>
        </w:tcPr>
        <w:p w:rsidR="00FE2909" w:rsidRDefault="00FE2909">
          <w:pPr>
            <w:spacing w:before="0" w:after="0" w:line="240" w:lineRule="auto"/>
            <w:jc w:val="left"/>
            <w:rPr>
              <w:sz w:val="16"/>
              <w:szCs w:val="16"/>
              <w:lang w:eastAsia="en-US"/>
            </w:rPr>
          </w:pPr>
        </w:p>
      </w:tc>
      <w:tc>
        <w:tcPr>
          <w:tcW w:w="4248" w:type="dxa"/>
          <w:tcBorders>
            <w:top w:val="single" w:sz="4" w:space="0" w:color="auto"/>
          </w:tcBorders>
        </w:tcPr>
        <w:p w:rsidR="00FE2909" w:rsidRDefault="00FE2909">
          <w:pPr>
            <w:spacing w:before="0" w:after="0" w:line="240" w:lineRule="auto"/>
            <w:jc w:val="right"/>
            <w:rPr>
              <w:sz w:val="16"/>
              <w:szCs w:val="16"/>
              <w:rtl/>
              <w:lang w:eastAsia="en-US"/>
            </w:rPr>
          </w:pPr>
        </w:p>
      </w:tc>
    </w:tr>
    <w:tr w:rsidR="00FE2909">
      <w:tc>
        <w:tcPr>
          <w:tcW w:w="4137" w:type="dxa"/>
        </w:tcPr>
        <w:p w:rsidR="00FE2909" w:rsidRDefault="00FE2909">
          <w:pPr>
            <w:spacing w:before="0" w:after="0" w:line="240" w:lineRule="auto"/>
            <w:jc w:val="left"/>
            <w:rPr>
              <w:sz w:val="16"/>
              <w:szCs w:val="16"/>
              <w:lang w:eastAsia="en-US"/>
            </w:rPr>
          </w:pPr>
          <w:r>
            <w:rPr>
              <w:rFonts w:hint="cs"/>
              <w:sz w:val="16"/>
              <w:szCs w:val="16"/>
              <w:rtl/>
              <w:lang w:eastAsia="en-US"/>
            </w:rPr>
            <w:t>יוני 2015</w:t>
          </w:r>
        </w:p>
      </w:tc>
      <w:tc>
        <w:tcPr>
          <w:tcW w:w="720" w:type="dxa"/>
        </w:tcPr>
        <w:p w:rsidR="00FE2909" w:rsidRDefault="00FE2909">
          <w:pPr>
            <w:spacing w:before="0" w:after="0" w:line="240" w:lineRule="auto"/>
            <w:jc w:val="left"/>
            <w:rPr>
              <w:sz w:val="16"/>
              <w:szCs w:val="16"/>
              <w:lang w:eastAsia="en-US"/>
            </w:rPr>
          </w:pPr>
        </w:p>
      </w:tc>
      <w:tc>
        <w:tcPr>
          <w:tcW w:w="4248" w:type="dxa"/>
        </w:tcPr>
        <w:p w:rsidR="00FE2909" w:rsidRDefault="00FE2909" w:rsidP="00DA289E">
          <w:pPr>
            <w:spacing w:before="0" w:after="0" w:line="240" w:lineRule="auto"/>
            <w:jc w:val="right"/>
            <w:rPr>
              <w:sz w:val="16"/>
              <w:szCs w:val="16"/>
              <w:lang w:eastAsia="en-US"/>
            </w:rPr>
          </w:pPr>
          <w:r w:rsidRPr="00DA289E">
            <w:rPr>
              <w:sz w:val="16"/>
              <w:szCs w:val="16"/>
              <w:rtl/>
              <w:lang w:eastAsia="en-US"/>
            </w:rPr>
            <w:t>עמוד</w:t>
          </w:r>
          <w:r w:rsidRPr="00DA289E">
            <w:rPr>
              <w:sz w:val="16"/>
              <w:szCs w:val="16"/>
              <w:lang w:eastAsia="en-US"/>
            </w:rPr>
            <w:t xml:space="preserve"> </w:t>
          </w:r>
          <w:r w:rsidRPr="00DA289E">
            <w:rPr>
              <w:sz w:val="16"/>
              <w:szCs w:val="16"/>
              <w:lang w:eastAsia="en-US"/>
            </w:rPr>
            <w:fldChar w:fldCharType="begin"/>
          </w:r>
          <w:r w:rsidRPr="00DA289E">
            <w:rPr>
              <w:sz w:val="16"/>
              <w:szCs w:val="16"/>
              <w:lang w:eastAsia="en-US"/>
            </w:rPr>
            <w:instrText xml:space="preserve"> PAGE </w:instrText>
          </w:r>
          <w:r w:rsidRPr="00DA289E">
            <w:rPr>
              <w:sz w:val="16"/>
              <w:szCs w:val="16"/>
              <w:lang w:eastAsia="en-US"/>
            </w:rPr>
            <w:fldChar w:fldCharType="separate"/>
          </w:r>
          <w:r w:rsidR="002113EA">
            <w:rPr>
              <w:noProof/>
              <w:sz w:val="16"/>
              <w:szCs w:val="16"/>
              <w:rtl/>
              <w:lang w:eastAsia="en-US"/>
            </w:rPr>
            <w:t>2</w:t>
          </w:r>
          <w:r w:rsidRPr="00DA289E">
            <w:rPr>
              <w:sz w:val="16"/>
              <w:szCs w:val="16"/>
              <w:lang w:eastAsia="en-US"/>
            </w:rPr>
            <w:fldChar w:fldCharType="end"/>
          </w:r>
          <w:r w:rsidRPr="00DA289E">
            <w:rPr>
              <w:sz w:val="16"/>
              <w:szCs w:val="16"/>
              <w:lang w:eastAsia="en-US"/>
            </w:rPr>
            <w:t xml:space="preserve"> </w:t>
          </w:r>
          <w:r w:rsidRPr="00DA289E">
            <w:rPr>
              <w:sz w:val="16"/>
              <w:szCs w:val="16"/>
              <w:rtl/>
              <w:lang w:eastAsia="en-US"/>
            </w:rPr>
            <w:t>מתוך</w:t>
          </w:r>
          <w:r w:rsidRPr="00DA289E">
            <w:rPr>
              <w:sz w:val="16"/>
              <w:szCs w:val="16"/>
              <w:lang w:eastAsia="en-US"/>
            </w:rPr>
            <w:t xml:space="preserve"> </w:t>
          </w:r>
          <w:r w:rsidRPr="00DA289E">
            <w:rPr>
              <w:sz w:val="16"/>
              <w:szCs w:val="16"/>
              <w:lang w:eastAsia="en-US"/>
            </w:rPr>
            <w:fldChar w:fldCharType="begin"/>
          </w:r>
          <w:r w:rsidRPr="00DA289E">
            <w:rPr>
              <w:sz w:val="16"/>
              <w:szCs w:val="16"/>
              <w:lang w:eastAsia="en-US"/>
            </w:rPr>
            <w:instrText xml:space="preserve"> NUMPAGES </w:instrText>
          </w:r>
          <w:r w:rsidRPr="00DA289E">
            <w:rPr>
              <w:sz w:val="16"/>
              <w:szCs w:val="16"/>
              <w:lang w:eastAsia="en-US"/>
            </w:rPr>
            <w:fldChar w:fldCharType="separate"/>
          </w:r>
          <w:r w:rsidR="002113EA">
            <w:rPr>
              <w:noProof/>
              <w:sz w:val="16"/>
              <w:szCs w:val="16"/>
              <w:rtl/>
              <w:lang w:eastAsia="en-US"/>
            </w:rPr>
            <w:t>6</w:t>
          </w:r>
          <w:r w:rsidRPr="00DA289E">
            <w:rPr>
              <w:sz w:val="16"/>
              <w:szCs w:val="16"/>
              <w:lang w:eastAsia="en-US"/>
            </w:rPr>
            <w:fldChar w:fldCharType="end"/>
          </w:r>
        </w:p>
      </w:tc>
    </w:tr>
  </w:tbl>
  <w:p w:rsidR="00FE2909" w:rsidRDefault="00FE2909" w:rsidP="009D00C4">
    <w:pPr>
      <w:spacing w:before="0" w:after="0" w:line="240" w:lineRule="auto"/>
      <w:jc w:val="left"/>
      <w:rPr>
        <w:rtl/>
        <w:lang w:eastAsia="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36AC" w:rsidRDefault="00B836AC">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0C37" w:rsidRDefault="00140C37">
      <w:r>
        <w:separator/>
      </w:r>
    </w:p>
  </w:footnote>
  <w:footnote w:type="continuationSeparator" w:id="0">
    <w:p w:rsidR="00140C37" w:rsidRDefault="00140C37">
      <w:r>
        <w:continuationSeparator/>
      </w:r>
    </w:p>
  </w:footnote>
  <w:footnote w:id="1">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 xml:space="preserve">משרד הבריאות, </w:t>
      </w:r>
      <w:hyperlink r:id="rId1" w:history="1">
        <w:r w:rsidRPr="009B7F64">
          <w:rPr>
            <w:rStyle w:val="Hyperlink"/>
            <w:rFonts w:cs="David" w:hint="cs"/>
            <w:rtl/>
          </w:rPr>
          <w:t>סמים – חומרים פסיכואקטיביים</w:t>
        </w:r>
      </w:hyperlink>
      <w:r w:rsidRPr="009B7F64">
        <w:rPr>
          <w:rFonts w:cs="David" w:hint="cs"/>
          <w:rtl/>
        </w:rPr>
        <w:t>. תאריך כניסה: 9 יוני 2015.</w:t>
      </w:r>
    </w:p>
  </w:footnote>
  <w:footnote w:id="2">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שם.</w:t>
      </w:r>
    </w:p>
  </w:footnote>
  <w:footnote w:id="3">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הרשות הלאומית למלחמה בסמים ובאלכוהול, </w:t>
      </w:r>
      <w:hyperlink r:id="rId2" w:history="1">
        <w:r w:rsidRPr="009B7F64">
          <w:rPr>
            <w:rStyle w:val="Hyperlink"/>
            <w:rFonts w:cs="David" w:hint="cs"/>
            <w:rtl/>
          </w:rPr>
          <w:t>"סמי פיצוציות" וחומרים מסכנים</w:t>
        </w:r>
      </w:hyperlink>
      <w:r w:rsidRPr="009B7F64">
        <w:rPr>
          <w:rFonts w:cs="David" w:hint="cs"/>
          <w:rtl/>
        </w:rPr>
        <w:t>. תאריך כניסה: 31 במאי 2015.</w:t>
      </w:r>
    </w:p>
  </w:footnote>
  <w:footnote w:id="4">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hyperlink r:id="rId3" w:history="1">
        <w:r w:rsidRPr="009B7F64">
          <w:rPr>
            <w:rStyle w:val="Hyperlink"/>
            <w:rFonts w:asciiTheme="majorBidi" w:hAnsiTheme="majorBidi" w:cs="David"/>
            <w:rtl/>
          </w:rPr>
          <w:t>פקודת הסמים המסוכנים [נוסח חדש], התשל"ג-1973</w:t>
        </w:r>
      </w:hyperlink>
      <w:r w:rsidRPr="009B7F64">
        <w:rPr>
          <w:rStyle w:val="Hyperlink"/>
          <w:rFonts w:asciiTheme="majorBidi" w:hAnsiTheme="majorBidi" w:cs="David" w:hint="cs"/>
          <w:u w:val="none"/>
          <w:rtl/>
        </w:rPr>
        <w:t>.</w:t>
      </w:r>
    </w:p>
  </w:footnote>
  <w:footnote w:id="5">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asciiTheme="majorBidi" w:hAnsiTheme="majorBidi" w:cs="David"/>
          <w:rtl/>
        </w:rPr>
        <w:t>זאב ציגלברג, הממונה על יחידת הסמים והלבנת ההון שברשות המיסים, ואהוד אור-טל, ממונה מדור בכיר מבצעים ביחידת הסמים והלבנת הון שברשות המיסים,</w:t>
      </w:r>
      <w:r w:rsidRPr="009B7F64">
        <w:rPr>
          <w:rFonts w:asciiTheme="majorBidi" w:hAnsiTheme="majorBidi" w:cs="David" w:hint="cs"/>
          <w:rtl/>
        </w:rPr>
        <w:t xml:space="preserve"> משרד האוצר,</w:t>
      </w:r>
      <w:r w:rsidRPr="009B7F64">
        <w:rPr>
          <w:rFonts w:asciiTheme="majorBidi" w:hAnsiTheme="majorBidi" w:cs="David"/>
          <w:rtl/>
        </w:rPr>
        <w:t xml:space="preserve"> </w:t>
      </w:r>
      <w:r w:rsidRPr="009B7F64">
        <w:rPr>
          <w:rFonts w:asciiTheme="majorBidi" w:hAnsiTheme="majorBidi" w:cs="David" w:hint="cs"/>
          <w:rtl/>
        </w:rPr>
        <w:t>מכתב,</w:t>
      </w:r>
      <w:r w:rsidRPr="009B7F64">
        <w:rPr>
          <w:rFonts w:asciiTheme="majorBidi" w:hAnsiTheme="majorBidi" w:cs="David"/>
          <w:rtl/>
        </w:rPr>
        <w:t xml:space="preserve"> 13 באפריל 2015.</w:t>
      </w:r>
    </w:p>
  </w:footnote>
  <w:footnote w:id="6">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ראו פרק 1.1 במסמך זה.</w:t>
      </w:r>
    </w:p>
  </w:footnote>
  <w:footnote w:id="7">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עוד בדבר נתוני שימוש בישראל בתחום הסמים ראו בפרק 1.1.2 ובתחום האלכוהול בפרק 1.2.2 במסמך זה.</w:t>
      </w:r>
    </w:p>
  </w:footnote>
  <w:footnote w:id="8">
    <w:p w:rsidR="00FE2909" w:rsidRPr="009B7F64" w:rsidRDefault="00FE2909" w:rsidP="00CD1DB5">
      <w:pPr>
        <w:pStyle w:val="a9"/>
        <w:spacing w:after="0" w:line="276" w:lineRule="auto"/>
        <w:rPr>
          <w:rFonts w:cs="David"/>
          <w:rtl/>
        </w:rPr>
      </w:pPr>
      <w:r w:rsidRPr="009B7F64">
        <w:rPr>
          <w:rStyle w:val="ab"/>
          <w:rFonts w:cs="David"/>
        </w:rPr>
        <w:footnoteRef/>
      </w:r>
      <w:r w:rsidRPr="009B7F64">
        <w:rPr>
          <w:rFonts w:cs="David"/>
          <w:rtl/>
        </w:rPr>
        <w:t xml:space="preserve"> </w:t>
      </w:r>
      <w:r w:rsidRPr="009B7F64">
        <w:rPr>
          <w:rFonts w:cs="David" w:hint="cs"/>
          <w:rtl/>
        </w:rPr>
        <w:t xml:space="preserve">הרשות הלאומית למלחמה בסמים ואלכוהול, </w:t>
      </w:r>
      <w:hyperlink r:id="rId4" w:history="1">
        <w:r w:rsidRPr="009B7F64">
          <w:rPr>
            <w:rStyle w:val="Hyperlink"/>
            <w:rFonts w:cs="David" w:hint="cs"/>
            <w:rtl/>
          </w:rPr>
          <w:t>השימוש בחומרים פסיכואקטיביים בקרב תושבי מדינת ישראל 2009</w:t>
        </w:r>
      </w:hyperlink>
      <w:r w:rsidRPr="009B7F64">
        <w:rPr>
          <w:rFonts w:cs="David" w:hint="cs"/>
          <w:rtl/>
        </w:rPr>
        <w:t>, מחקר אפידמיולוגי מס' 7, דצמבר 2009, עמ' 50-49.</w:t>
      </w:r>
    </w:p>
  </w:footnote>
  <w:footnote w:id="9">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ראו פרק 1.1.2 במסמך זה.</w:t>
      </w:r>
    </w:p>
  </w:footnote>
  <w:footnote w:id="10">
    <w:p w:rsidR="00FE2909" w:rsidRPr="009B7F64" w:rsidRDefault="00FE2909" w:rsidP="00CD1DB5">
      <w:pPr>
        <w:pStyle w:val="a2"/>
        <w:spacing w:after="0"/>
        <w:rPr>
          <w:sz w:val="20"/>
          <w:szCs w:val="20"/>
        </w:rPr>
      </w:pPr>
      <w:r w:rsidRPr="009B7F64">
        <w:rPr>
          <w:rStyle w:val="ab"/>
          <w:sz w:val="20"/>
          <w:szCs w:val="20"/>
        </w:rPr>
        <w:footnoteRef/>
      </w:r>
      <w:r w:rsidRPr="009B7F64">
        <w:rPr>
          <w:sz w:val="20"/>
          <w:szCs w:val="20"/>
          <w:rtl/>
        </w:rPr>
        <w:t xml:space="preserve"> </w:t>
      </w:r>
      <w:r w:rsidRPr="009B7F64">
        <w:rPr>
          <w:rFonts w:hint="cs"/>
          <w:sz w:val="20"/>
          <w:szCs w:val="20"/>
          <w:rtl/>
          <w:lang w:val="x-none" w:eastAsia="he-IL"/>
        </w:rPr>
        <w:t xml:space="preserve">ראו פרק 1.2.2 במסמך זה. בנתוני צריכת האלכוהול אין הבחנה בין צריכה 'נורמטיבית' (כגון </w:t>
      </w:r>
      <w:r w:rsidRPr="009B7F64">
        <w:rPr>
          <w:sz w:val="20"/>
          <w:szCs w:val="20"/>
          <w:rtl/>
          <w:lang w:val="x-none" w:eastAsia="he-IL"/>
        </w:rPr>
        <w:t>–</w:t>
      </w:r>
      <w:r w:rsidRPr="009B7F64">
        <w:rPr>
          <w:rFonts w:hint="cs"/>
          <w:sz w:val="20"/>
          <w:szCs w:val="20"/>
          <w:rtl/>
          <w:lang w:val="x-none" w:eastAsia="he-IL"/>
        </w:rPr>
        <w:t xml:space="preserve"> כוס יין עם הארוחה) או בין צריכה 'לא נורמטיבית', או בין צריכה ש'אינה מהווה סכנה לבריאות' לבין צריכה 'מסוכנת לבריאות'.</w:t>
      </w:r>
      <w:r w:rsidRPr="009B7F64">
        <w:rPr>
          <w:rFonts w:hint="cs"/>
          <w:b/>
          <w:bCs/>
          <w:sz w:val="20"/>
          <w:szCs w:val="20"/>
          <w:rtl/>
        </w:rPr>
        <w:t xml:space="preserve"> </w:t>
      </w:r>
    </w:p>
  </w:footnote>
  <w:footnote w:id="11">
    <w:p w:rsidR="00FE2909" w:rsidRPr="009B7F64" w:rsidRDefault="00FE2909" w:rsidP="00CD1DB5">
      <w:pPr>
        <w:pStyle w:val="a9"/>
        <w:spacing w:after="0" w:line="276" w:lineRule="auto"/>
        <w:rPr>
          <w:rFonts w:cs="David"/>
          <w:rtl/>
        </w:rPr>
      </w:pPr>
      <w:r w:rsidRPr="009B7F64">
        <w:rPr>
          <w:rStyle w:val="ab"/>
          <w:rFonts w:cs="David"/>
        </w:rPr>
        <w:footnoteRef/>
      </w:r>
      <w:r w:rsidRPr="009B7F64">
        <w:rPr>
          <w:rFonts w:cs="David"/>
          <w:rtl/>
        </w:rPr>
        <w:t xml:space="preserve"> </w:t>
      </w:r>
      <w:r w:rsidRPr="009B7F64">
        <w:rPr>
          <w:rFonts w:cs="David" w:hint="cs"/>
          <w:rtl/>
        </w:rPr>
        <w:t xml:space="preserve">תכנית המחקר הבינלאומי על רווחתם ובריאותם של בני הנוער, בית הספר לחינוך אוניברסיטת בר-אילן, </w:t>
      </w:r>
      <w:hyperlink r:id="rId5" w:history="1">
        <w:r w:rsidRPr="009B7F64">
          <w:rPr>
            <w:rStyle w:val="Hyperlink"/>
            <w:rFonts w:cs="David" w:hint="cs"/>
            <w:rtl/>
          </w:rPr>
          <w:t>נוער בישראל: דפוסי שימוש והתייחסות לחומרים ממכרים בהשוואה בינלאומית, 1994-2011</w:t>
        </w:r>
      </w:hyperlink>
      <w:r w:rsidRPr="009B7F64">
        <w:rPr>
          <w:rFonts w:cs="David" w:hint="cs"/>
          <w:rtl/>
        </w:rPr>
        <w:t xml:space="preserve">, 2013. </w:t>
      </w:r>
    </w:p>
  </w:footnote>
  <w:footnote w:id="12">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ראו פרק 1.1.2 במסמך זה.</w:t>
      </w:r>
    </w:p>
  </w:footnote>
  <w:footnote w:id="13">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ראו פרק 1.2.2 במסמך זה.</w:t>
      </w:r>
    </w:p>
  </w:footnote>
  <w:footnote w:id="14">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יעל צדוק, סטטיסטיקאית בלשכת המדען הראשי ברשות הלאומית למלחמה בסמים ובאלכוהול, מכתב, 19 מרץ 2015.</w:t>
      </w:r>
    </w:p>
  </w:footnote>
  <w:footnote w:id="15">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קרן רוט איטח, מנהלת היחידה למניעת סמים, אלכוהול וטבק, השרות הפסיכולוגי ייעוצי, משרד החינוך, מכתב, </w:t>
      </w:r>
      <w:r w:rsidRPr="009B7F64">
        <w:rPr>
          <w:rFonts w:cs="David"/>
          <w:rtl/>
        </w:rPr>
        <w:t>3 מרץ 2015</w:t>
      </w:r>
      <w:r w:rsidRPr="009B7F64">
        <w:rPr>
          <w:rFonts w:cs="David" w:hint="cs"/>
          <w:rtl/>
        </w:rPr>
        <w:t>.</w:t>
      </w:r>
    </w:p>
  </w:footnote>
  <w:footnote w:id="16">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שם.</w:t>
      </w:r>
    </w:p>
  </w:footnote>
  <w:footnote w:id="17">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מירי כהן, מנהלת תחום בכיר שירותי הצלה וע"ר, משרד הבריאות, </w:t>
      </w:r>
      <w:r w:rsidRPr="009B7F64">
        <w:rPr>
          <w:rFonts w:cs="David" w:hint="cs"/>
          <w:rtl/>
        </w:rPr>
        <w:t>מכתב</w:t>
      </w:r>
      <w:r w:rsidRPr="009B7F64">
        <w:rPr>
          <w:rFonts w:cs="David"/>
          <w:rtl/>
        </w:rPr>
        <w:t>, 19 מרץ 2015.</w:t>
      </w:r>
    </w:p>
  </w:footnote>
  <w:footnote w:id="18">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lang w:val="en-US"/>
        </w:rPr>
        <w:t>שם</w:t>
      </w:r>
      <w:r w:rsidRPr="009B7F64">
        <w:rPr>
          <w:rFonts w:cs="David"/>
          <w:rtl/>
        </w:rPr>
        <w:t>.</w:t>
      </w:r>
    </w:p>
  </w:footnote>
  <w:footnote w:id="19">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ראו פרק 1.3.2 במסמך זה.</w:t>
      </w:r>
    </w:p>
  </w:footnote>
  <w:footnote w:id="20">
    <w:p w:rsidR="00FE2909" w:rsidRPr="009B7F64" w:rsidRDefault="00FE2909" w:rsidP="00CD1DB5">
      <w:pPr>
        <w:pStyle w:val="a9"/>
        <w:spacing w:after="0" w:line="276" w:lineRule="auto"/>
        <w:rPr>
          <w:rFonts w:cs="David"/>
          <w:rtl/>
        </w:rPr>
      </w:pPr>
      <w:r w:rsidRPr="009B7F64">
        <w:rPr>
          <w:rStyle w:val="ab"/>
          <w:rFonts w:cs="David"/>
        </w:rPr>
        <w:footnoteRef/>
      </w:r>
      <w:r w:rsidRPr="009B7F64">
        <w:rPr>
          <w:rFonts w:cs="David"/>
          <w:rtl/>
        </w:rPr>
        <w:t xml:space="preserve"> החלטת ממשלה מס' 4611,</w:t>
      </w:r>
      <w:r w:rsidRPr="009B7F64">
        <w:rPr>
          <w:rFonts w:cs="David" w:hint="cs"/>
          <w:rtl/>
        </w:rPr>
        <w:t xml:space="preserve"> </w:t>
      </w:r>
      <w:hyperlink r:id="rId6" w:history="1">
        <w:r w:rsidRPr="009B7F64">
          <w:rPr>
            <w:rStyle w:val="Hyperlink"/>
            <w:rFonts w:cs="David" w:hint="cs"/>
            <w:rtl/>
          </w:rPr>
          <w:t>העברת מלוא האחריות הביטוחית בתחום בריאות הנפש מם המדינה לקופות החולים</w:t>
        </w:r>
      </w:hyperlink>
      <w:r w:rsidRPr="009B7F64">
        <w:rPr>
          <w:rFonts w:cs="David" w:hint="cs"/>
          <w:rtl/>
        </w:rPr>
        <w:t xml:space="preserve">, </w:t>
      </w:r>
      <w:r w:rsidRPr="009B7F64">
        <w:rPr>
          <w:rFonts w:cs="David"/>
          <w:rtl/>
        </w:rPr>
        <w:t xml:space="preserve">10 מאי 2012; </w:t>
      </w:r>
      <w:hyperlink r:id="rId7" w:anchor="xml=http://www.nevo.co.il/Handlers/Highlighter/PdfHighlighter.ashx?index=4&amp;type=Main" w:history="1">
        <w:r w:rsidRPr="009B7F64">
          <w:rPr>
            <w:rStyle w:val="Hyperlink"/>
            <w:rFonts w:cs="David"/>
            <w:rtl/>
          </w:rPr>
          <w:t>צו ביטוח בריאות ממלכתי (שינוי התוספת השנייה והשלישית לחוק), התשע"ב-2012</w:t>
        </w:r>
      </w:hyperlink>
      <w:r w:rsidRPr="009B7F64">
        <w:rPr>
          <w:rFonts w:cs="David"/>
          <w:rtl/>
        </w:rPr>
        <w:t xml:space="preserve">, </w:t>
      </w:r>
      <w:r w:rsidRPr="009B7F64">
        <w:rPr>
          <w:rFonts w:cs="David" w:hint="cs"/>
          <w:rtl/>
        </w:rPr>
        <w:t>7 אוגוסט</w:t>
      </w:r>
      <w:r w:rsidRPr="009B7F64">
        <w:rPr>
          <w:rFonts w:cs="David"/>
          <w:rtl/>
        </w:rPr>
        <w:t xml:space="preserve"> 2012; </w:t>
      </w:r>
      <w:r w:rsidRPr="009B7F64">
        <w:rPr>
          <w:rFonts w:cs="David"/>
          <w:u w:val="single"/>
          <w:rtl/>
        </w:rPr>
        <w:t>סיכום בין משרדי הבריאות והאוצר לבין שירותי בריאות כללית בנושא העברת שירותי בריאות נפש מהתוספת השלישית לתוספת השניה לחוק ביטוח בריאות ממלכתי</w:t>
      </w:r>
      <w:r w:rsidRPr="009B7F64">
        <w:rPr>
          <w:rFonts w:cs="David"/>
          <w:rtl/>
        </w:rPr>
        <w:t>, 31 במאי 2012</w:t>
      </w:r>
      <w:r w:rsidRPr="009B7F64">
        <w:rPr>
          <w:rFonts w:cs="David" w:hint="cs"/>
          <w:rtl/>
        </w:rPr>
        <w:t xml:space="preserve">; </w:t>
      </w:r>
      <w:r w:rsidRPr="009B7F64">
        <w:rPr>
          <w:rFonts w:cs="David"/>
          <w:rtl/>
        </w:rPr>
        <w:t xml:space="preserve">מירי כהן, מנהלת תחום בכיר שירותי הצלה וע"ר, </w:t>
      </w:r>
      <w:r w:rsidRPr="009B7F64">
        <w:rPr>
          <w:rFonts w:cs="David" w:hint="cs"/>
          <w:rtl/>
        </w:rPr>
        <w:t xml:space="preserve">משרד הבריאות, </w:t>
      </w:r>
      <w:r w:rsidRPr="009B7F64">
        <w:rPr>
          <w:rFonts w:cs="David"/>
          <w:rtl/>
        </w:rPr>
        <w:t>מכתב, 23 באפריל 2014.</w:t>
      </w:r>
    </w:p>
  </w:footnote>
  <w:footnote w:id="21">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פלורה קוך-דוידוביץ', "</w:t>
      </w:r>
      <w:hyperlink r:id="rId8" w:history="1">
        <w:r w:rsidRPr="009B7F64">
          <w:rPr>
            <w:rStyle w:val="Hyperlink"/>
            <w:rFonts w:cs="David"/>
            <w:rtl/>
          </w:rPr>
          <w:t>הטיפול במכורים לסמים הסובלים ממחלת נפש לאחר העברת שירותי בריאות הנפש מאחריות משרד הבריאות לאחריות קופות-החולים</w:t>
        </w:r>
      </w:hyperlink>
      <w:r w:rsidRPr="009B7F64">
        <w:rPr>
          <w:rFonts w:cs="David"/>
          <w:rtl/>
        </w:rPr>
        <w:t>", מרכז המחקר והמידע של הכנסת, 2 יולי 2014.</w:t>
      </w:r>
    </w:p>
  </w:footnote>
  <w:footnote w:id="22">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asciiTheme="majorBidi" w:hAnsiTheme="majorBidi" w:cs="David" w:hint="cs"/>
          <w:rtl/>
        </w:rPr>
        <w:t xml:space="preserve">ד"ר אנטולי מרגוליס, רופא מפקח ארצי וסגן מנהל המחלקה לטיפול בהתמכרויות, משרד הבריאות, מכתב, 15 ביוני 2015. </w:t>
      </w:r>
      <w:r w:rsidRPr="009B7F64">
        <w:rPr>
          <w:rFonts w:cs="David" w:hint="cs"/>
          <w:rtl/>
        </w:rPr>
        <w:t>ראו גם פרק 3.4.1 במסמך זה.</w:t>
      </w:r>
    </w:p>
  </w:footnote>
  <w:footnote w:id="23">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עיבוד הנתונים נעשה באגף מחקר, תכנון והכשרה, משרד הרווחה והשירותים החברתיים.</w:t>
      </w:r>
      <w:r w:rsidRPr="009B7F64">
        <w:rPr>
          <w:rFonts w:asciiTheme="majorBidi" w:hAnsiTheme="majorBidi" w:cs="David" w:hint="cs"/>
          <w:rtl/>
        </w:rPr>
        <w:t xml:space="preserve"> </w:t>
      </w:r>
      <w:r w:rsidRPr="009B7F64">
        <w:rPr>
          <w:rFonts w:asciiTheme="majorBidi" w:hAnsiTheme="majorBidi" w:cs="David"/>
          <w:rtl/>
        </w:rPr>
        <w:t xml:space="preserve">אהרון שבי, מנהל השירות לטיפול בהתמכרויות, אגף התקון במשרד הרווחה, </w:t>
      </w:r>
      <w:r w:rsidRPr="009B7F64">
        <w:rPr>
          <w:rFonts w:asciiTheme="majorBidi" w:hAnsiTheme="majorBidi" w:cs="David" w:hint="cs"/>
          <w:rtl/>
        </w:rPr>
        <w:t>מכתב</w:t>
      </w:r>
      <w:r w:rsidRPr="009B7F64">
        <w:rPr>
          <w:rFonts w:asciiTheme="majorBidi" w:hAnsiTheme="majorBidi" w:cs="David"/>
          <w:rtl/>
        </w:rPr>
        <w:t xml:space="preserve">, 19 אפריל 2014. </w:t>
      </w:r>
    </w:p>
  </w:footnote>
  <w:footnote w:id="24">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asciiTheme="majorBidi" w:hAnsiTheme="majorBidi" w:cs="David"/>
          <w:rtl/>
        </w:rPr>
        <w:t>אהרון שבי, מנהל השירות לטיפול בהתמכרויות, אגף התקון שבמשרד הרווחה</w:t>
      </w:r>
      <w:r w:rsidRPr="009B7F64">
        <w:rPr>
          <w:rFonts w:asciiTheme="majorBidi" w:hAnsiTheme="majorBidi" w:cs="David" w:hint="cs"/>
          <w:rtl/>
        </w:rPr>
        <w:t xml:space="preserve"> והשירותים החברתיים</w:t>
      </w:r>
      <w:r w:rsidRPr="009B7F64">
        <w:rPr>
          <w:rFonts w:asciiTheme="majorBidi" w:hAnsiTheme="majorBidi" w:cs="David"/>
          <w:rtl/>
        </w:rPr>
        <w:t>, שיחת טלפון, 13 אפריל 201</w:t>
      </w:r>
      <w:r w:rsidRPr="009B7F64">
        <w:rPr>
          <w:rFonts w:asciiTheme="majorBidi" w:hAnsiTheme="majorBidi" w:cs="David" w:hint="cs"/>
          <w:rtl/>
        </w:rPr>
        <w:t>5</w:t>
      </w:r>
      <w:r w:rsidRPr="009B7F64">
        <w:rPr>
          <w:rFonts w:asciiTheme="majorBidi" w:hAnsiTheme="majorBidi" w:cs="David"/>
          <w:rtl/>
        </w:rPr>
        <w:t>.</w:t>
      </w:r>
    </w:p>
  </w:footnote>
  <w:footnote w:id="25">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ראו פרק 3.4.3 במסמך זה.</w:t>
      </w:r>
    </w:p>
  </w:footnote>
  <w:footnote w:id="26">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החלטת ממשלה מס' 3609, </w:t>
      </w:r>
      <w:hyperlink r:id="rId9" w:history="1">
        <w:r w:rsidRPr="009B7F64">
          <w:rPr>
            <w:rStyle w:val="Hyperlink"/>
            <w:rFonts w:cs="David" w:hint="cs"/>
            <w:rtl/>
          </w:rPr>
          <w:t>פיקוח והסדרת מקור לאספקת קנביס למטרות רפואיות ולמחקר,</w:t>
        </w:r>
      </w:hyperlink>
      <w:r w:rsidRPr="009B7F64">
        <w:rPr>
          <w:rFonts w:cs="David" w:hint="cs"/>
          <w:rtl/>
        </w:rPr>
        <w:t xml:space="preserve"> 7 באוגוסט 2011.</w:t>
      </w:r>
    </w:p>
  </w:footnote>
  <w:footnote w:id="27">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יובל בוגייסקי, </w:t>
      </w:r>
      <w:hyperlink r:id="rId10" w:history="1">
        <w:r w:rsidRPr="009B7F64">
          <w:rPr>
            <w:rStyle w:val="Hyperlink"/>
            <w:rFonts w:cs="David" w:hint="cs"/>
            <w:rtl/>
          </w:rPr>
          <w:t>הגופים המופקדים על הסדרת השימוש בקנביס למטרות רפואיות במדינות שונות בעולם</w:t>
        </w:r>
      </w:hyperlink>
      <w:r w:rsidRPr="009B7F64">
        <w:rPr>
          <w:rFonts w:cs="David" w:hint="cs"/>
          <w:rtl/>
        </w:rPr>
        <w:t>, מרכז המחקר והמידע של הכנסת, 20 באוקטובר 2013.</w:t>
      </w:r>
    </w:p>
  </w:footnote>
  <w:footnote w:id="28">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מירי כהן, מנהלת תחום בכיר שירותי הצלה וע"ר, משרד הבריאות, </w:t>
      </w:r>
      <w:r w:rsidRPr="009B7F64">
        <w:rPr>
          <w:rFonts w:cs="David" w:hint="cs"/>
          <w:rtl/>
        </w:rPr>
        <w:t>מכתב</w:t>
      </w:r>
      <w:r w:rsidRPr="009B7F64">
        <w:rPr>
          <w:rFonts w:cs="David"/>
          <w:rtl/>
        </w:rPr>
        <w:t>, 19 מרץ 2015.</w:t>
      </w:r>
    </w:p>
  </w:footnote>
  <w:footnote w:id="29">
    <w:p w:rsidR="00FE2909" w:rsidRPr="009B7F64" w:rsidRDefault="00FE2909" w:rsidP="00CD1DB5">
      <w:pPr>
        <w:pStyle w:val="a9"/>
        <w:spacing w:after="0" w:line="276" w:lineRule="auto"/>
        <w:rPr>
          <w:rFonts w:cs="David"/>
          <w:rtl/>
        </w:rPr>
      </w:pPr>
      <w:r w:rsidRPr="009B7F64">
        <w:rPr>
          <w:rStyle w:val="ab"/>
          <w:rFonts w:cs="David"/>
        </w:rPr>
        <w:footnoteRef/>
      </w:r>
      <w:r w:rsidRPr="009B7F64">
        <w:rPr>
          <w:rFonts w:cs="David"/>
          <w:rtl/>
        </w:rPr>
        <w:t xml:space="preserve"> </w:t>
      </w:r>
      <w:r w:rsidR="00013DA5">
        <w:rPr>
          <w:rFonts w:cs="David" w:hint="cs"/>
          <w:rtl/>
        </w:rPr>
        <w:t>שם.</w:t>
      </w:r>
    </w:p>
  </w:footnote>
  <w:footnote w:id="30">
    <w:p w:rsidR="00FE2909" w:rsidRPr="009B7F64" w:rsidRDefault="00FE2909" w:rsidP="00CD1DB5">
      <w:pPr>
        <w:pStyle w:val="a9"/>
        <w:spacing w:after="0" w:line="276" w:lineRule="auto"/>
        <w:rPr>
          <w:rFonts w:cs="David"/>
        </w:rPr>
      </w:pPr>
      <w:r w:rsidRPr="009B7F64">
        <w:rPr>
          <w:rStyle w:val="ab"/>
          <w:rFonts w:cs="David"/>
        </w:rPr>
        <w:footnoteRef/>
      </w:r>
      <w:r w:rsidR="00CD1DB5">
        <w:rPr>
          <w:rFonts w:cs="David" w:hint="cs"/>
          <w:rtl/>
        </w:rPr>
        <w:t xml:space="preserve"> שם</w:t>
      </w:r>
      <w:r w:rsidRPr="009B7F64">
        <w:rPr>
          <w:rFonts w:cs="David"/>
          <w:rtl/>
        </w:rPr>
        <w:t>.</w:t>
      </w:r>
    </w:p>
  </w:footnote>
  <w:footnote w:id="31">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00CD1DB5" w:rsidRPr="009B7F64">
        <w:rPr>
          <w:rFonts w:cs="David"/>
          <w:rtl/>
        </w:rPr>
        <w:t xml:space="preserve">מירי כהן, מנהלת תחום בכיר שירותי הצלה וע"ר, משרד הבריאות, </w:t>
      </w:r>
      <w:r w:rsidR="00CD1DB5" w:rsidRPr="009B7F64">
        <w:rPr>
          <w:rFonts w:cs="David" w:hint="cs"/>
          <w:rtl/>
        </w:rPr>
        <w:t>מכתב</w:t>
      </w:r>
      <w:r w:rsidR="00CD1DB5" w:rsidRPr="009B7F64">
        <w:rPr>
          <w:rFonts w:cs="David"/>
          <w:rtl/>
        </w:rPr>
        <w:t>, 19 מרץ 2015</w:t>
      </w:r>
      <w:r w:rsidRPr="009B7F64">
        <w:rPr>
          <w:rFonts w:cs="David"/>
          <w:rtl/>
        </w:rPr>
        <w:t>.</w:t>
      </w:r>
    </w:p>
  </w:footnote>
  <w:footnote w:id="32">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cs="David" w:hint="cs"/>
          <w:rtl/>
        </w:rPr>
        <w:t>שם</w:t>
      </w:r>
      <w:r w:rsidRPr="009B7F64">
        <w:rPr>
          <w:rFonts w:cs="David"/>
          <w:rtl/>
        </w:rPr>
        <w:t>.</w:t>
      </w:r>
    </w:p>
  </w:footnote>
  <w:footnote w:id="33">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hint="cs"/>
          <w:rtl/>
        </w:rPr>
        <w:t xml:space="preserve"> הרשות הלאומית למלחמה בסמים ובאלכוהול, </w:t>
      </w:r>
      <w:hyperlink r:id="rId11" w:history="1">
        <w:r w:rsidRPr="009B7F64">
          <w:rPr>
            <w:rStyle w:val="Hyperlink"/>
            <w:rFonts w:cs="David" w:hint="cs"/>
            <w:rtl/>
          </w:rPr>
          <w:t>"סמי פיצוציות" וחומרים מסכנים</w:t>
        </w:r>
      </w:hyperlink>
      <w:r w:rsidRPr="009B7F64">
        <w:rPr>
          <w:rFonts w:cs="David" w:hint="cs"/>
          <w:rtl/>
        </w:rPr>
        <w:t>. תאריך כניסה: 31 במאי 2015.</w:t>
      </w:r>
    </w:p>
  </w:footnote>
  <w:footnote w:id="34">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12" w:history="1">
        <w:r w:rsidRPr="009B7F64">
          <w:rPr>
            <w:rStyle w:val="Hyperlink"/>
            <w:rFonts w:cs="David" w:hint="cs"/>
            <w:rtl/>
          </w:rPr>
          <w:t>חוק המאבק בתופעת השימוש בחומרים מסכנים, התשע"ג-2013</w:t>
        </w:r>
      </w:hyperlink>
      <w:r w:rsidRPr="009B7F64">
        <w:rPr>
          <w:rFonts w:cs="David" w:hint="cs"/>
          <w:rtl/>
        </w:rPr>
        <w:t>. ראו גם פרק 2.2.2 במסמך זה.</w:t>
      </w:r>
    </w:p>
  </w:footnote>
  <w:footnote w:id="35">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הצעת חוק הממשלה </w:t>
      </w:r>
      <w:r w:rsidRPr="009B7F64">
        <w:rPr>
          <w:rFonts w:cs="David"/>
          <w:rtl/>
        </w:rPr>
        <w:t>–</w:t>
      </w:r>
      <w:r w:rsidRPr="009B7F64">
        <w:rPr>
          <w:rFonts w:cs="David" w:hint="cs"/>
          <w:rtl/>
        </w:rPr>
        <w:t xml:space="preserve"> 783, </w:t>
      </w:r>
      <w:hyperlink r:id="rId13" w:history="1">
        <w:r w:rsidRPr="009B7F64">
          <w:rPr>
            <w:rStyle w:val="Hyperlink"/>
            <w:rFonts w:cs="David" w:hint="cs"/>
            <w:rtl/>
          </w:rPr>
          <w:t>הצעת חוק המאבק בתופעת השימוש בחומרים מסכנים, התשע"ג-2013</w:t>
        </w:r>
      </w:hyperlink>
      <w:r w:rsidRPr="009B7F64">
        <w:rPr>
          <w:rFonts w:cs="David" w:hint="cs"/>
          <w:rtl/>
        </w:rPr>
        <w:t>, 3 יולי 2013.</w:t>
      </w:r>
    </w:p>
  </w:footnote>
  <w:footnote w:id="36">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סעיפים 5. ו- 6., </w:t>
      </w:r>
      <w:hyperlink r:id="rId14" w:history="1">
        <w:r w:rsidRPr="009B7F64">
          <w:rPr>
            <w:rStyle w:val="Hyperlink"/>
            <w:rFonts w:cs="David" w:hint="cs"/>
            <w:rtl/>
          </w:rPr>
          <w:t>חוק המאבק בתופעת השימוש בחומרים מסכנים, התשע"ג-2013</w:t>
        </w:r>
      </w:hyperlink>
      <w:r w:rsidRPr="009B7F64">
        <w:rPr>
          <w:rFonts w:cs="David" w:hint="cs"/>
          <w:rtl/>
        </w:rPr>
        <w:t>. ראו גם פרק 2.2.2 במסמך זה.</w:t>
      </w:r>
    </w:p>
  </w:footnote>
  <w:footnote w:id="37">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שם.</w:t>
      </w:r>
    </w:p>
  </w:footnote>
  <w:footnote w:id="38">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15" w:history="1">
        <w:r w:rsidRPr="009B7F64">
          <w:rPr>
            <w:rStyle w:val="Hyperlink"/>
            <w:rFonts w:asciiTheme="majorBidi" w:hAnsiTheme="majorBidi" w:cs="David"/>
            <w:rtl/>
          </w:rPr>
          <w:t>פקודת הסמים המסוכנים [נוסח חדש], התשל"ג-1973</w:t>
        </w:r>
      </w:hyperlink>
      <w:r w:rsidRPr="009B7F64">
        <w:rPr>
          <w:rStyle w:val="Hyperlink"/>
          <w:rFonts w:asciiTheme="majorBidi" w:hAnsiTheme="majorBidi" w:cs="David" w:hint="cs"/>
          <w:u w:val="none"/>
          <w:rtl/>
        </w:rPr>
        <w:t xml:space="preserve">. </w:t>
      </w:r>
      <w:r w:rsidRPr="009B7F64">
        <w:rPr>
          <w:rFonts w:cs="David"/>
          <w:rtl/>
        </w:rPr>
        <w:t xml:space="preserve">מירי כהן, מנהלת תחום בכיר שירותי הצלה וע"ר, משרד הבריאות, </w:t>
      </w:r>
      <w:r w:rsidRPr="009B7F64">
        <w:rPr>
          <w:rFonts w:cs="David" w:hint="cs"/>
          <w:rtl/>
        </w:rPr>
        <w:t>מכתב</w:t>
      </w:r>
      <w:r w:rsidRPr="009B7F64">
        <w:rPr>
          <w:rFonts w:cs="David"/>
          <w:rtl/>
        </w:rPr>
        <w:t>, 19 מרץ 2015.</w:t>
      </w:r>
    </w:p>
  </w:footnote>
  <w:footnote w:id="39">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מירי כהן, מנהלת תחום בכיר שירותי הצלה וע"ר, משרד הבריאות, </w:t>
      </w:r>
      <w:r w:rsidRPr="009B7F64">
        <w:rPr>
          <w:rFonts w:asciiTheme="majorBidi" w:hAnsiTheme="majorBidi" w:cs="David" w:hint="cs"/>
          <w:rtl/>
        </w:rPr>
        <w:t>מכתב,</w:t>
      </w:r>
      <w:r w:rsidRPr="009B7F64">
        <w:rPr>
          <w:rFonts w:asciiTheme="majorBidi" w:hAnsiTheme="majorBidi" w:cs="David"/>
          <w:rtl/>
        </w:rPr>
        <w:t xml:space="preserve"> 19 מרץ 2015.</w:t>
      </w:r>
      <w:r w:rsidRPr="009B7F64">
        <w:rPr>
          <w:rFonts w:asciiTheme="majorBidi" w:hAnsiTheme="majorBidi" w:cs="David" w:hint="cs"/>
          <w:rtl/>
        </w:rPr>
        <w:t xml:space="preserve"> </w:t>
      </w:r>
    </w:p>
  </w:footnote>
  <w:footnote w:id="40">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גל יונה</w:t>
      </w:r>
      <w:r w:rsidRPr="009B7F64">
        <w:rPr>
          <w:rFonts w:asciiTheme="majorBidi" w:hAnsiTheme="majorBidi" w:cs="David" w:hint="cs"/>
          <w:rtl/>
        </w:rPr>
        <w:t>, מתאמת קשר עם הכנסת, לשכת השר לבטחון הפנים, מכתב,</w:t>
      </w:r>
      <w:r w:rsidRPr="009B7F64">
        <w:rPr>
          <w:rFonts w:asciiTheme="majorBidi" w:hAnsiTheme="majorBidi" w:cs="David"/>
          <w:rtl/>
        </w:rPr>
        <w:t xml:space="preserve"> 15 אפריל 2015. </w:t>
      </w:r>
      <w:r w:rsidRPr="009B7F64">
        <w:rPr>
          <w:rFonts w:cs="David" w:hint="cs"/>
          <w:rtl/>
        </w:rPr>
        <w:t>ראו פרק 3.2.3 במסמך זה.</w:t>
      </w:r>
    </w:p>
  </w:footnote>
  <w:footnote w:id="41">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 xml:space="preserve">סעיפים 3. ו- 4., </w:t>
      </w:r>
      <w:hyperlink r:id="rId16" w:history="1">
        <w:r w:rsidRPr="009B7F64">
          <w:rPr>
            <w:rStyle w:val="Hyperlink"/>
            <w:rFonts w:cs="David" w:hint="cs"/>
            <w:rtl/>
          </w:rPr>
          <w:t>חוק המאבק בתופעת השימוש בחומרים מסכנים, התשע"ג-2013</w:t>
        </w:r>
      </w:hyperlink>
      <w:r w:rsidRPr="009B7F64">
        <w:rPr>
          <w:rFonts w:cs="David" w:hint="cs"/>
          <w:rtl/>
        </w:rPr>
        <w:t>.</w:t>
      </w:r>
    </w:p>
  </w:footnote>
  <w:footnote w:id="42">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asciiTheme="majorBidi" w:hAnsiTheme="majorBidi" w:cs="David"/>
          <w:rtl/>
        </w:rPr>
        <w:t>גל יונה</w:t>
      </w:r>
      <w:r w:rsidRPr="009B7F64">
        <w:rPr>
          <w:rFonts w:asciiTheme="majorBidi" w:hAnsiTheme="majorBidi" w:cs="David" w:hint="cs"/>
          <w:rtl/>
        </w:rPr>
        <w:t>, מתאמת קשר עם הכנסת, לשכת השר לבטחון הפנים, מכתב,</w:t>
      </w:r>
      <w:r w:rsidRPr="009B7F64">
        <w:rPr>
          <w:rFonts w:asciiTheme="majorBidi" w:hAnsiTheme="majorBidi" w:cs="David"/>
          <w:rtl/>
        </w:rPr>
        <w:t xml:space="preserve"> 15 אפריל 2015.</w:t>
      </w:r>
    </w:p>
  </w:footnote>
  <w:footnote w:id="43">
    <w:p w:rsidR="00FE2909" w:rsidRPr="009B7F64" w:rsidRDefault="00FE2909" w:rsidP="00E26220">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00E26220" w:rsidRPr="009B7F64">
        <w:rPr>
          <w:rFonts w:asciiTheme="majorBidi" w:hAnsiTheme="majorBidi" w:cs="David"/>
          <w:rtl/>
        </w:rPr>
        <w:t>גל יונה</w:t>
      </w:r>
      <w:r w:rsidR="00E26220" w:rsidRPr="009B7F64">
        <w:rPr>
          <w:rFonts w:asciiTheme="majorBidi" w:hAnsiTheme="majorBidi" w:cs="David" w:hint="cs"/>
          <w:rtl/>
        </w:rPr>
        <w:t>, מתאמת קשר עם הכנסת, לשכת השר לבטחון הפנים, מכתב,</w:t>
      </w:r>
      <w:r w:rsidR="00E26220" w:rsidRPr="009B7F64">
        <w:rPr>
          <w:rFonts w:asciiTheme="majorBidi" w:hAnsiTheme="majorBidi" w:cs="David"/>
          <w:rtl/>
        </w:rPr>
        <w:t xml:space="preserve"> 15 אפריל 2015.</w:t>
      </w:r>
    </w:p>
  </w:footnote>
  <w:footnote w:id="44">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ס</w:t>
      </w:r>
      <w:r w:rsidRPr="009B7F64">
        <w:rPr>
          <w:rFonts w:cs="David" w:hint="cs"/>
          <w:rtl/>
        </w:rPr>
        <w:t xml:space="preserve">עיף </w:t>
      </w:r>
      <w:r w:rsidRPr="009B7F64">
        <w:rPr>
          <w:rFonts w:cs="David"/>
          <w:rtl/>
        </w:rPr>
        <w:t xml:space="preserve">12(ב) </w:t>
      </w:r>
      <w:hyperlink r:id="rId17" w:history="1">
        <w:r w:rsidRPr="009B7F64">
          <w:rPr>
            <w:rStyle w:val="Hyperlink"/>
            <w:rFonts w:cs="David" w:hint="cs"/>
            <w:rtl/>
          </w:rPr>
          <w:t>חוק המאבק בתופעת השימוש בחומרים מסכנים, התשע"ג-2013</w:t>
        </w:r>
      </w:hyperlink>
      <w:r w:rsidRPr="009B7F64">
        <w:rPr>
          <w:rFonts w:cs="David" w:hint="cs"/>
          <w:rtl/>
        </w:rPr>
        <w:t>. ראו גם פרק 2.2.2 במסמך זה.</w:t>
      </w:r>
    </w:p>
  </w:footnote>
  <w:footnote w:id="45">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גל יונה</w:t>
      </w:r>
      <w:r w:rsidRPr="009B7F64">
        <w:rPr>
          <w:rFonts w:asciiTheme="majorBidi" w:hAnsiTheme="majorBidi" w:cs="David" w:hint="cs"/>
          <w:rtl/>
        </w:rPr>
        <w:t>, מתאמת קשר עם הכנסת, לשכת השר לבטחון הפנים, מכתב,</w:t>
      </w:r>
      <w:r w:rsidRPr="009B7F64">
        <w:rPr>
          <w:rFonts w:asciiTheme="majorBidi" w:hAnsiTheme="majorBidi" w:cs="David"/>
          <w:rtl/>
        </w:rPr>
        <w:t xml:space="preserve"> 15 אפריל 2015.</w:t>
      </w:r>
    </w:p>
  </w:footnote>
  <w:footnote w:id="46">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החלטת ממשלה מס' 698, </w:t>
      </w:r>
      <w:hyperlink r:id="rId18" w:history="1">
        <w:r w:rsidRPr="009B7F64">
          <w:rPr>
            <w:rStyle w:val="Hyperlink"/>
            <w:rFonts w:cs="David" w:hint="cs"/>
            <w:rtl/>
          </w:rPr>
          <w:t>המשך יישום התוכנית הלאומית לצמצום הצריכה הבלתי אחראית של אלכוהול</w:t>
        </w:r>
      </w:hyperlink>
      <w:r w:rsidRPr="009B7F64">
        <w:rPr>
          <w:rFonts w:cs="David" w:hint="cs"/>
          <w:rtl/>
        </w:rPr>
        <w:t>, 21 אוגוסט 2013.</w:t>
      </w:r>
    </w:p>
  </w:footnote>
  <w:footnote w:id="47">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יעל צדוק, סטטיסטיקאית</w:t>
      </w:r>
      <w:r w:rsidRPr="009B7F64">
        <w:rPr>
          <w:rFonts w:asciiTheme="majorBidi" w:hAnsiTheme="majorBidi" w:cs="David" w:hint="cs"/>
          <w:rtl/>
        </w:rPr>
        <w:t xml:space="preserve"> ב</w:t>
      </w:r>
      <w:r w:rsidRPr="009B7F64">
        <w:rPr>
          <w:rFonts w:asciiTheme="majorBidi" w:hAnsiTheme="majorBidi" w:cs="David"/>
          <w:rtl/>
        </w:rPr>
        <w:t>לשכת המדען הראשי</w:t>
      </w:r>
      <w:r w:rsidRPr="009B7F64">
        <w:rPr>
          <w:rFonts w:asciiTheme="majorBidi" w:hAnsiTheme="majorBidi" w:cs="David" w:hint="cs"/>
          <w:rtl/>
        </w:rPr>
        <w:t xml:space="preserve"> ב</w:t>
      </w:r>
      <w:r w:rsidRPr="009B7F64">
        <w:rPr>
          <w:rFonts w:asciiTheme="majorBidi" w:hAnsiTheme="majorBidi" w:cs="David"/>
          <w:rtl/>
        </w:rPr>
        <w:t>רשות הלאומית למלחמה בסמים ובאלכוהול, מכתב, 19 מרץ 2015.</w:t>
      </w:r>
    </w:p>
  </w:footnote>
  <w:footnote w:id="48">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ראו פרק 3.2.2 במסמך זה.</w:t>
      </w:r>
    </w:p>
  </w:footnote>
  <w:footnote w:id="49">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19" w:history="1">
        <w:r w:rsidRPr="009B7F64">
          <w:rPr>
            <w:rStyle w:val="Hyperlink"/>
            <w:rFonts w:cs="David" w:hint="cs"/>
            <w:rtl/>
          </w:rPr>
          <w:t>חוק המאבק בתופעת השכרות, התש"ע-2010</w:t>
        </w:r>
      </w:hyperlink>
      <w:r w:rsidRPr="009B7F64">
        <w:rPr>
          <w:rFonts w:cs="David" w:hint="cs"/>
          <w:rtl/>
        </w:rPr>
        <w:t>. ראו פרק 2.3.1 במסמך זה.</w:t>
      </w:r>
    </w:p>
  </w:footnote>
  <w:footnote w:id="50">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20" w:history="1">
        <w:r w:rsidRPr="009B7F64">
          <w:rPr>
            <w:rStyle w:val="Hyperlink"/>
            <w:rFonts w:cs="David"/>
            <w:rtl/>
          </w:rPr>
          <w:t>חוק הגבלת הפרסומת והשיווק של משקאות אלכוהוליים, התשע"ב</w:t>
        </w:r>
        <w:r w:rsidRPr="009B7F64">
          <w:rPr>
            <w:rStyle w:val="Hyperlink"/>
            <w:rFonts w:cs="David" w:hint="cs"/>
            <w:rtl/>
          </w:rPr>
          <w:t>-</w:t>
        </w:r>
        <w:r w:rsidRPr="009B7F64">
          <w:rPr>
            <w:rStyle w:val="Hyperlink"/>
            <w:rFonts w:cs="David"/>
            <w:rtl/>
          </w:rPr>
          <w:t>2012</w:t>
        </w:r>
      </w:hyperlink>
      <w:r w:rsidRPr="009B7F64">
        <w:rPr>
          <w:rFonts w:cs="David" w:hint="cs"/>
          <w:rtl/>
        </w:rPr>
        <w:t>. ראו פרק 2.3.2 במסמך זה.</w:t>
      </w:r>
    </w:p>
  </w:footnote>
  <w:footnote w:id="51">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גל יונה</w:t>
      </w:r>
      <w:r w:rsidRPr="009B7F64">
        <w:rPr>
          <w:rFonts w:asciiTheme="majorBidi" w:hAnsiTheme="majorBidi" w:cs="David" w:hint="cs"/>
          <w:rtl/>
        </w:rPr>
        <w:t>, מתאמת קשר עם הכנסת, לשכת השר לבטחון הפנים, מכתב,</w:t>
      </w:r>
      <w:r w:rsidRPr="009B7F64">
        <w:rPr>
          <w:rFonts w:asciiTheme="majorBidi" w:hAnsiTheme="majorBidi" w:cs="David"/>
          <w:rtl/>
        </w:rPr>
        <w:t xml:space="preserve"> 15 אפריל 2015.</w:t>
      </w:r>
    </w:p>
  </w:footnote>
  <w:footnote w:id="52">
    <w:p w:rsidR="00FE2909" w:rsidRPr="009B7F64" w:rsidRDefault="00FE2909" w:rsidP="00CD1DB5">
      <w:pPr>
        <w:pStyle w:val="a9"/>
        <w:spacing w:after="0" w:line="276" w:lineRule="auto"/>
        <w:rPr>
          <w:rFonts w:cs="David"/>
          <w:rtl/>
        </w:rPr>
      </w:pPr>
      <w:r w:rsidRPr="009B7F64">
        <w:rPr>
          <w:rStyle w:val="ab"/>
          <w:rFonts w:cs="David"/>
        </w:rPr>
        <w:footnoteRef/>
      </w:r>
      <w:r w:rsidRPr="009B7F64">
        <w:rPr>
          <w:rFonts w:cs="David"/>
          <w:rtl/>
        </w:rPr>
        <w:t xml:space="preserve"> החלטת ממשלה מס' 3328, </w:t>
      </w:r>
      <w:r w:rsidRPr="009B7F64">
        <w:rPr>
          <w:rFonts w:cs="David" w:hint="cs"/>
          <w:u w:val="single"/>
          <w:rtl/>
        </w:rPr>
        <w:t>עקרונות מסגרת להקמת יחידה למניעת הברחת סמים במכס</w:t>
      </w:r>
      <w:r w:rsidRPr="009B7F64">
        <w:rPr>
          <w:rFonts w:cs="David"/>
          <w:rtl/>
        </w:rPr>
        <w:t xml:space="preserve">, </w:t>
      </w:r>
      <w:r w:rsidRPr="009B7F64">
        <w:rPr>
          <w:rFonts w:cs="David" w:hint="cs"/>
          <w:rtl/>
        </w:rPr>
        <w:t xml:space="preserve">12 </w:t>
      </w:r>
      <w:r w:rsidRPr="009B7F64">
        <w:rPr>
          <w:rFonts w:cs="David"/>
          <w:rtl/>
        </w:rPr>
        <w:t>יוני 1994.</w:t>
      </w:r>
    </w:p>
  </w:footnote>
  <w:footnote w:id="53">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מבקר המדינה, </w:t>
      </w:r>
      <w:r w:rsidRPr="009B7F64">
        <w:rPr>
          <w:rFonts w:cs="David" w:hint="cs"/>
          <w:u w:val="single"/>
          <w:rtl/>
        </w:rPr>
        <w:t>רשות המיסים בישראל: פעולות למניעת הברחות של טובין</w:t>
      </w:r>
      <w:r w:rsidRPr="009B7F64">
        <w:rPr>
          <w:rFonts w:cs="David" w:hint="cs"/>
          <w:rtl/>
        </w:rPr>
        <w:t xml:space="preserve">, דו"ח 59ב', 2009, עמ' 241-249; מבקר המדינה, </w:t>
      </w:r>
      <w:r w:rsidRPr="009B7F64">
        <w:rPr>
          <w:rFonts w:cs="David" w:hint="cs"/>
          <w:u w:val="single"/>
          <w:rtl/>
        </w:rPr>
        <w:t>משרד האוצר: פעילות בית המכס בנמל התעופה בן גוריון למניעת הברחות</w:t>
      </w:r>
      <w:r w:rsidRPr="009B7F64">
        <w:rPr>
          <w:rFonts w:cs="David" w:hint="cs"/>
          <w:rtl/>
        </w:rPr>
        <w:t>, דו"ח 64א', 2013, עמ' 207-215.</w:t>
      </w:r>
    </w:p>
  </w:footnote>
  <w:footnote w:id="54">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זאב ציגלברג, הממונה על יחידת הסמים והלבנת ההון שברשות המיסים, ואהוד אור-טל, ממונה מדור בכיר מבצעים ביחידת הסמים והלבנת הון שברשות המיסים, </w:t>
      </w:r>
      <w:r w:rsidRPr="009B7F64">
        <w:rPr>
          <w:rFonts w:cs="David" w:hint="cs"/>
          <w:rtl/>
        </w:rPr>
        <w:t xml:space="preserve">מכתב, </w:t>
      </w:r>
      <w:r w:rsidRPr="009B7F64">
        <w:rPr>
          <w:rFonts w:cs="David"/>
          <w:rtl/>
        </w:rPr>
        <w:t>13 באפריל 2015</w:t>
      </w:r>
      <w:r w:rsidRPr="009B7F64">
        <w:rPr>
          <w:rFonts w:cs="David" w:hint="cs"/>
          <w:rtl/>
        </w:rPr>
        <w:t xml:space="preserve">; </w:t>
      </w:r>
      <w:r w:rsidRPr="009B7F64">
        <w:rPr>
          <w:rFonts w:cs="David"/>
          <w:rtl/>
        </w:rPr>
        <w:t>שיח</w:t>
      </w:r>
      <w:r w:rsidRPr="009B7F64">
        <w:rPr>
          <w:rFonts w:cs="David" w:hint="cs"/>
          <w:rtl/>
        </w:rPr>
        <w:t xml:space="preserve">ת טלפון, </w:t>
      </w:r>
      <w:r w:rsidRPr="009B7F64">
        <w:rPr>
          <w:rFonts w:cs="David"/>
          <w:rtl/>
        </w:rPr>
        <w:t>19 באפריל 2015</w:t>
      </w:r>
      <w:r w:rsidRPr="009B7F64">
        <w:rPr>
          <w:rFonts w:cs="David" w:hint="cs"/>
          <w:rtl/>
        </w:rPr>
        <w:t xml:space="preserve">. </w:t>
      </w:r>
    </w:p>
  </w:footnote>
  <w:footnote w:id="55">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asciiTheme="majorBidi" w:hAnsiTheme="majorBidi" w:cs="David" w:hint="cs"/>
          <w:rtl/>
        </w:rPr>
        <w:t xml:space="preserve">שם. </w:t>
      </w:r>
      <w:r w:rsidRPr="009B7F64">
        <w:rPr>
          <w:rFonts w:cs="David" w:hint="cs"/>
          <w:rtl/>
        </w:rPr>
        <w:t>ראו גם פרק 3.3 של מסמך זה.</w:t>
      </w:r>
    </w:p>
  </w:footnote>
  <w:footnote w:id="56">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משרד האו"ם לנושאי סמים ופשיעה אינו מבדיל בין סם חוקי (</w:t>
      </w:r>
      <w:r w:rsidRPr="009B7F64">
        <w:rPr>
          <w:rFonts w:asciiTheme="majorBidi" w:hAnsiTheme="majorBidi" w:cs="David"/>
        </w:rPr>
        <w:t>Licit drug</w:t>
      </w:r>
      <w:r w:rsidRPr="009B7F64">
        <w:rPr>
          <w:rFonts w:asciiTheme="majorBidi" w:hAnsiTheme="majorBidi" w:cs="David"/>
          <w:rtl/>
        </w:rPr>
        <w:t>) לסם לא חוקי (</w:t>
      </w:r>
      <w:r w:rsidRPr="009B7F64">
        <w:rPr>
          <w:rFonts w:asciiTheme="majorBidi" w:hAnsiTheme="majorBidi" w:cs="David"/>
        </w:rPr>
        <w:t>Illicit drug</w:t>
      </w:r>
      <w:r w:rsidRPr="009B7F64">
        <w:rPr>
          <w:rFonts w:asciiTheme="majorBidi" w:hAnsiTheme="majorBidi" w:cs="David"/>
          <w:rtl/>
        </w:rPr>
        <w:t>) אלא מאמץ את הגדרת אמנות האו"ם בדבר הבחנה "בין שימוש חוקי לשימוש לא חוקי בסם".  ראו:</w:t>
      </w:r>
    </w:p>
    <w:p w:rsidR="00FE2909" w:rsidRPr="009B7F64" w:rsidRDefault="00FE2909" w:rsidP="00CD1DB5">
      <w:pPr>
        <w:pStyle w:val="a9"/>
        <w:bidi w:val="0"/>
        <w:spacing w:after="0" w:line="276" w:lineRule="auto"/>
        <w:rPr>
          <w:rFonts w:asciiTheme="majorBidi" w:hAnsiTheme="majorBidi" w:cs="David"/>
        </w:rPr>
      </w:pPr>
      <w:r w:rsidRPr="009B7F64">
        <w:rPr>
          <w:rFonts w:asciiTheme="majorBidi" w:hAnsiTheme="majorBidi" w:cs="David"/>
        </w:rPr>
        <w:t>United Nations Office on Drugs and Crime, "</w:t>
      </w:r>
      <w:hyperlink r:id="rId21" w:history="1">
        <w:r w:rsidRPr="009B7F64">
          <w:rPr>
            <w:rStyle w:val="Hyperlink"/>
            <w:rFonts w:asciiTheme="majorBidi" w:hAnsiTheme="majorBidi" w:cs="David"/>
          </w:rPr>
          <w:t>Information about drugs</w:t>
        </w:r>
      </w:hyperlink>
      <w:r w:rsidRPr="009B7F64">
        <w:rPr>
          <w:rFonts w:asciiTheme="majorBidi" w:hAnsiTheme="majorBidi" w:cs="David"/>
        </w:rPr>
        <w:t>". Accessed: February 3rd, 2015.</w:t>
      </w:r>
    </w:p>
    <w:p w:rsidR="00FE2909" w:rsidRPr="009B7F64" w:rsidRDefault="00FE2909" w:rsidP="00CD1DB5">
      <w:pPr>
        <w:pStyle w:val="a9"/>
        <w:spacing w:after="0" w:line="276" w:lineRule="auto"/>
        <w:rPr>
          <w:rFonts w:asciiTheme="majorBidi" w:hAnsiTheme="majorBidi" w:cs="David"/>
          <w:rtl/>
        </w:rPr>
      </w:pPr>
      <w:r w:rsidRPr="009B7F64">
        <w:rPr>
          <w:rFonts w:asciiTheme="majorBidi" w:hAnsiTheme="majorBidi" w:cs="David"/>
          <w:rtl/>
        </w:rPr>
        <w:t>יצוין גם כי "האמנה היחידה לסמים נרקוטיים" של האו"ם משנת 1961 (</w:t>
      </w:r>
      <w:r w:rsidRPr="009B7F64">
        <w:rPr>
          <w:rFonts w:asciiTheme="majorBidi" w:hAnsiTheme="majorBidi" w:cs="David"/>
        </w:rPr>
        <w:t>Single Convention on Narcotic Drugs</w:t>
      </w:r>
      <w:r w:rsidRPr="009B7F64">
        <w:rPr>
          <w:rFonts w:asciiTheme="majorBidi" w:hAnsiTheme="majorBidi" w:cs="David"/>
          <w:rtl/>
        </w:rPr>
        <w:t>), שישראל צד לה, אינה מגדירה מהו סם לא חוקי אלא מהו סחר לא חוקי בסם. ראו:</w:t>
      </w:r>
    </w:p>
    <w:p w:rsidR="00FE2909" w:rsidRPr="009B7F64" w:rsidRDefault="00FE2909" w:rsidP="00CD1DB5">
      <w:pPr>
        <w:pStyle w:val="a9"/>
        <w:bidi w:val="0"/>
        <w:spacing w:after="0" w:line="276" w:lineRule="auto"/>
        <w:rPr>
          <w:rFonts w:asciiTheme="majorBidi" w:hAnsiTheme="majorBidi" w:cs="David"/>
        </w:rPr>
      </w:pPr>
      <w:r w:rsidRPr="009B7F64">
        <w:rPr>
          <w:rFonts w:asciiTheme="majorBidi" w:hAnsiTheme="majorBidi" w:cs="David"/>
          <w:rtl/>
        </w:rPr>
        <w:t xml:space="preserve"> </w:t>
      </w:r>
      <w:r w:rsidRPr="009B7F64">
        <w:rPr>
          <w:rFonts w:asciiTheme="majorBidi" w:hAnsiTheme="majorBidi" w:cs="David"/>
        </w:rPr>
        <w:t xml:space="preserve">Article 1 "Definitions", in </w:t>
      </w:r>
      <w:hyperlink r:id="rId22" w:history="1">
        <w:r w:rsidRPr="009B7F64">
          <w:rPr>
            <w:rStyle w:val="Hyperlink"/>
            <w:rFonts w:asciiTheme="majorBidi" w:hAnsiTheme="majorBidi" w:cs="David"/>
          </w:rPr>
          <w:t>Single Convention on Narcotic Drugs</w:t>
        </w:r>
      </w:hyperlink>
      <w:r w:rsidRPr="009B7F64">
        <w:rPr>
          <w:rFonts w:asciiTheme="majorBidi" w:hAnsiTheme="majorBidi" w:cs="David"/>
        </w:rPr>
        <w:t xml:space="preserve">, 1961. </w:t>
      </w:r>
    </w:p>
  </w:footnote>
  <w:footnote w:id="57">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rPr>
        <w:t xml:space="preserve">United Nations Office on Drugs and Crime, </w:t>
      </w:r>
      <w:hyperlink r:id="rId23" w:history="1">
        <w:r w:rsidRPr="009B7F64">
          <w:rPr>
            <w:rStyle w:val="Hyperlink"/>
            <w:rFonts w:asciiTheme="majorBidi" w:hAnsiTheme="majorBidi" w:cs="David"/>
          </w:rPr>
          <w:t>World Drug Report 2014 – Full Report</w:t>
        </w:r>
      </w:hyperlink>
      <w:r w:rsidRPr="009B7F64">
        <w:rPr>
          <w:rFonts w:asciiTheme="majorBidi" w:hAnsiTheme="majorBidi" w:cs="David"/>
        </w:rPr>
        <w:t xml:space="preserve">, June, </w:t>
      </w:r>
      <w:r w:rsidRPr="009B7F64">
        <w:rPr>
          <w:rFonts w:asciiTheme="majorBidi" w:hAnsiTheme="majorBidi" w:cs="David"/>
          <w:vertAlign w:val="superscript"/>
        </w:rPr>
        <w:t xml:space="preserve"> </w:t>
      </w:r>
      <w:r w:rsidRPr="009B7F64">
        <w:rPr>
          <w:rFonts w:asciiTheme="majorBidi" w:hAnsiTheme="majorBidi" w:cs="David"/>
        </w:rPr>
        <w:t>2014, p. ix</w:t>
      </w:r>
      <w:r w:rsidRPr="009B7F64">
        <w:rPr>
          <w:rFonts w:asciiTheme="majorBidi" w:hAnsiTheme="majorBidi" w:cs="David"/>
          <w:rtl/>
        </w:rPr>
        <w:t>. נתוני הדו"ח מבוססים על דו"חות לאומיים שנתיים של המדינות ה</w:t>
      </w:r>
      <w:r w:rsidRPr="009B7F64">
        <w:rPr>
          <w:rFonts w:asciiTheme="majorBidi" w:hAnsiTheme="majorBidi" w:cs="David" w:hint="cs"/>
          <w:rtl/>
        </w:rPr>
        <w:t xml:space="preserve">חתומות על </w:t>
      </w:r>
      <w:r w:rsidRPr="009B7F64">
        <w:rPr>
          <w:rFonts w:asciiTheme="majorBidi" w:hAnsiTheme="majorBidi" w:cs="David"/>
          <w:rtl/>
        </w:rPr>
        <w:t>אמנת האו"ם בתחום הסמים (</w:t>
      </w:r>
      <w:r w:rsidRPr="009B7F64">
        <w:rPr>
          <w:rFonts w:asciiTheme="majorBidi" w:hAnsiTheme="majorBidi" w:cs="David"/>
        </w:rPr>
        <w:t>International Drug Conventions</w:t>
      </w:r>
      <w:r w:rsidRPr="009B7F64">
        <w:rPr>
          <w:rFonts w:asciiTheme="majorBidi" w:hAnsiTheme="majorBidi" w:cs="David"/>
          <w:rtl/>
        </w:rPr>
        <w:t xml:space="preserve">). </w:t>
      </w:r>
    </w:p>
  </w:footnote>
  <w:footnote w:id="58">
    <w:p w:rsidR="00FE2909" w:rsidRPr="009B7F64" w:rsidRDefault="00FE2909" w:rsidP="007B5846">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Pr>
        <w:t xml:space="preserve"> </w:t>
      </w:r>
      <w:r w:rsidRPr="009B7F64">
        <w:rPr>
          <w:rFonts w:asciiTheme="majorBidi" w:hAnsiTheme="majorBidi" w:cs="David"/>
          <w:rtl/>
        </w:rPr>
        <w:t xml:space="preserve"> </w:t>
      </w:r>
      <w:r w:rsidR="007B5846">
        <w:rPr>
          <w:rFonts w:asciiTheme="majorBidi" w:hAnsiTheme="majorBidi" w:cs="David" w:hint="cs"/>
          <w:rtl/>
        </w:rPr>
        <w:t xml:space="preserve">שם, </w:t>
      </w:r>
      <w:r w:rsidRPr="009B7F64">
        <w:rPr>
          <w:rFonts w:asciiTheme="majorBidi" w:hAnsiTheme="majorBidi" w:cs="David"/>
          <w:rtl/>
        </w:rPr>
        <w:t>מעובד מתוך טבלה מס' 1 "</w:t>
      </w:r>
      <w:r w:rsidRPr="009B7F64">
        <w:rPr>
          <w:rFonts w:asciiTheme="majorBidi" w:hAnsiTheme="majorBidi" w:cs="David"/>
        </w:rPr>
        <w:t>Global estimates of users of different drugs, 2012</w:t>
      </w:r>
      <w:r w:rsidRPr="009B7F64">
        <w:rPr>
          <w:rFonts w:asciiTheme="majorBidi" w:hAnsiTheme="majorBidi" w:cs="David"/>
          <w:rtl/>
        </w:rPr>
        <w:t>", עמ' 2.</w:t>
      </w:r>
    </w:p>
  </w:footnote>
  <w:footnote w:id="59">
    <w:p w:rsidR="00FE2909" w:rsidRPr="009B7F64" w:rsidRDefault="00FE2909" w:rsidP="00CD1DB5">
      <w:pPr>
        <w:pStyle w:val="a9"/>
        <w:bidi w:val="0"/>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rPr>
        <w:t xml:space="preserve">United Nations Office on Drugs and Crime, </w:t>
      </w:r>
      <w:hyperlink r:id="rId24" w:history="1">
        <w:r w:rsidRPr="009B7F64">
          <w:rPr>
            <w:rStyle w:val="Hyperlink"/>
            <w:rFonts w:asciiTheme="majorBidi" w:hAnsiTheme="majorBidi" w:cs="David"/>
          </w:rPr>
          <w:t>World Drug Report 2014 – Methodology</w:t>
        </w:r>
      </w:hyperlink>
      <w:r w:rsidRPr="009B7F64">
        <w:rPr>
          <w:rFonts w:asciiTheme="majorBidi" w:hAnsiTheme="majorBidi" w:cs="David"/>
        </w:rPr>
        <w:t xml:space="preserve">, June 2014. </w:t>
      </w:r>
    </w:p>
  </w:footnote>
  <w:footnote w:id="60">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cs="David" w:hint="cs"/>
          <w:rtl/>
        </w:rPr>
        <w:t xml:space="preserve">'סמי פיצוציות' הוא הכינוי בישראל </w:t>
      </w:r>
      <w:r w:rsidRPr="009B7F64">
        <w:rPr>
          <w:rFonts w:cs="David"/>
          <w:rtl/>
        </w:rPr>
        <w:t>לסמים סינתטיים (כימיים) אשר נמכרים לעתים בפיצוציות בתור "סמים חוקיים" או "תחליפי סם"</w:t>
      </w:r>
      <w:r w:rsidRPr="009B7F64">
        <w:rPr>
          <w:rFonts w:cs="David" w:hint="cs"/>
          <w:rtl/>
        </w:rPr>
        <w:t xml:space="preserve">. הרשות הלאומית למלחמה בסמים ובאלכוהול, </w:t>
      </w:r>
      <w:hyperlink r:id="rId25" w:history="1">
        <w:r w:rsidRPr="009B7F64">
          <w:rPr>
            <w:rStyle w:val="Hyperlink"/>
            <w:rFonts w:cs="David" w:hint="cs"/>
            <w:rtl/>
          </w:rPr>
          <w:t>"סמי פיצוציות" וחומרים מסכנים</w:t>
        </w:r>
      </w:hyperlink>
      <w:r w:rsidRPr="009B7F64">
        <w:rPr>
          <w:rFonts w:cs="David" w:hint="cs"/>
          <w:rtl/>
        </w:rPr>
        <w:t>. תאריך כניסה: 31 במאי 2015.</w:t>
      </w:r>
      <w:r w:rsidRPr="009B7F64">
        <w:rPr>
          <w:rFonts w:asciiTheme="majorBidi" w:hAnsiTheme="majorBidi" w:cs="David"/>
          <w:rtl/>
        </w:rPr>
        <w:t xml:space="preserve"> </w:t>
      </w:r>
    </w:p>
  </w:footnote>
  <w:footnote w:id="61">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הדוח מתייחס למדינות האיחוד האירופי, ולמועמדות לחברות טורקיה ונורבגיה. </w:t>
      </w:r>
    </w:p>
  </w:footnote>
  <w:footnote w:id="62">
    <w:p w:rsidR="00FE2909" w:rsidRPr="009B7F64" w:rsidRDefault="00FE2909" w:rsidP="00CD1DB5">
      <w:pPr>
        <w:pStyle w:val="a9"/>
        <w:bidi w:val="0"/>
        <w:spacing w:after="0" w:line="276" w:lineRule="auto"/>
        <w:rPr>
          <w:rFonts w:asciiTheme="majorBidi" w:hAnsiTheme="majorBidi" w:cs="David"/>
          <w:lang w:val="en-US"/>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rPr>
        <w:t xml:space="preserve">European Monitoring Center for Drugs and Drug Addiction, </w:t>
      </w:r>
      <w:hyperlink r:id="rId26" w:history="1">
        <w:r w:rsidRPr="009B7F64">
          <w:rPr>
            <w:rStyle w:val="Hyperlink"/>
            <w:rFonts w:asciiTheme="majorBidi" w:hAnsiTheme="majorBidi" w:cs="David"/>
          </w:rPr>
          <w:t>European Drug Report 2014: Trends and Developments</w:t>
        </w:r>
      </w:hyperlink>
      <w:r w:rsidRPr="009B7F64">
        <w:rPr>
          <w:rFonts w:asciiTheme="majorBidi" w:hAnsiTheme="majorBidi" w:cs="David"/>
          <w:lang w:val="en-US"/>
        </w:rPr>
        <w:t>,</w:t>
      </w:r>
      <w:r w:rsidRPr="009B7F64">
        <w:rPr>
          <w:rFonts w:asciiTheme="majorBidi" w:hAnsiTheme="majorBidi" w:cs="David"/>
        </w:rPr>
        <w:t xml:space="preserve"> </w:t>
      </w:r>
      <w:r w:rsidRPr="009B7F64">
        <w:rPr>
          <w:rFonts w:asciiTheme="majorBidi" w:hAnsiTheme="majorBidi" w:cs="David"/>
          <w:lang w:val="en-US"/>
        </w:rPr>
        <w:t xml:space="preserve">May </w:t>
      </w:r>
      <w:r w:rsidRPr="009B7F64">
        <w:rPr>
          <w:rFonts w:asciiTheme="majorBidi" w:hAnsiTheme="majorBidi" w:cs="David"/>
        </w:rPr>
        <w:t xml:space="preserve">2014, p.33 . </w:t>
      </w:r>
    </w:p>
  </w:footnote>
  <w:footnote w:id="63">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שם.</w:t>
      </w:r>
    </w:p>
  </w:footnote>
  <w:footnote w:id="64">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הרשות הלאומית למלחמה בסמים ואלכוהול, </w:t>
      </w:r>
      <w:hyperlink r:id="rId27" w:history="1">
        <w:r w:rsidRPr="009B7F64">
          <w:rPr>
            <w:rStyle w:val="Hyperlink"/>
            <w:rFonts w:asciiTheme="majorBidi" w:hAnsiTheme="majorBidi" w:cs="David"/>
            <w:rtl/>
          </w:rPr>
          <w:t>השימוש בחומרים פסיכואקטיביים בקרב תושבי מדינת ישראל 2009</w:t>
        </w:r>
      </w:hyperlink>
      <w:r w:rsidRPr="009B7F64">
        <w:rPr>
          <w:rFonts w:asciiTheme="majorBidi" w:hAnsiTheme="majorBidi" w:cs="David"/>
          <w:rtl/>
        </w:rPr>
        <w:t xml:space="preserve">, מחקר אפידמיולוגי מס' 7, דצמבר 2009, עמ' </w:t>
      </w:r>
      <w:r w:rsidRPr="009B7F64">
        <w:rPr>
          <w:rFonts w:asciiTheme="majorBidi" w:hAnsiTheme="majorBidi" w:cs="David"/>
          <w:lang w:val="en-US"/>
        </w:rPr>
        <w:t>50-49</w:t>
      </w:r>
      <w:r w:rsidRPr="009B7F64">
        <w:rPr>
          <w:rFonts w:asciiTheme="majorBidi" w:hAnsiTheme="majorBidi" w:cs="David"/>
          <w:rtl/>
        </w:rPr>
        <w:t>.</w:t>
      </w:r>
      <w:r w:rsidRPr="009B7F64">
        <w:rPr>
          <w:rFonts w:asciiTheme="majorBidi" w:hAnsiTheme="majorBidi" w:cs="David" w:hint="cs"/>
          <w:rtl/>
        </w:rPr>
        <w:t xml:space="preserve"> </w:t>
      </w:r>
      <w:r w:rsidRPr="009B7F64">
        <w:rPr>
          <w:rFonts w:cs="David" w:hint="cs"/>
          <w:rtl/>
        </w:rPr>
        <w:t>הסקר נערך באמצעות מילוי עצמי של שאלונים אנונימיים במשקי בית ברחבי הארץ (</w:t>
      </w:r>
      <w:r w:rsidRPr="009B7F64">
        <w:rPr>
          <w:rFonts w:asciiTheme="majorBidi" w:hAnsiTheme="majorBidi" w:cs="David"/>
          <w:rtl/>
        </w:rPr>
        <w:t>מלבד דיירי ישובים מוסדיים והשכונות הערביות של מזרח ירושלים</w:t>
      </w:r>
      <w:r w:rsidRPr="009B7F64">
        <w:rPr>
          <w:rFonts w:asciiTheme="majorBidi" w:hAnsiTheme="majorBidi" w:cs="David" w:hint="cs"/>
          <w:rtl/>
        </w:rPr>
        <w:t>)</w:t>
      </w:r>
      <w:r w:rsidRPr="009B7F64">
        <w:rPr>
          <w:rFonts w:cs="David" w:hint="cs"/>
          <w:rtl/>
        </w:rPr>
        <w:t xml:space="preserve"> בשפות העברית, הערבית והרוסית. שיעור הענות עמד על 62%, וגודל המדגם הסופי עליו התבססו הניתוחים עומד על 4,657 משיבים. הנתונים המוצגים מבוססים על תשובות שנתנו מרואיינים שהסכימו לשתף פעולה עם הסוקרים ולענות על כל השאלון.</w:t>
      </w:r>
    </w:p>
  </w:footnote>
  <w:footnote w:id="65">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מעובד מתוך טבלה מס' 16, הרשות הלאומית למלחמה בסמים ואלכוהול, </w:t>
      </w:r>
      <w:hyperlink r:id="rId28" w:history="1">
        <w:r w:rsidRPr="009B7F64">
          <w:rPr>
            <w:rStyle w:val="Hyperlink"/>
            <w:rFonts w:asciiTheme="majorBidi" w:hAnsiTheme="majorBidi" w:cs="David"/>
            <w:rtl/>
          </w:rPr>
          <w:t>השימוש בחומרים פסיכואקטיביים בקרב תושבי מדינת ישראל 2009</w:t>
        </w:r>
      </w:hyperlink>
      <w:r w:rsidRPr="009B7F64">
        <w:rPr>
          <w:rFonts w:asciiTheme="majorBidi" w:hAnsiTheme="majorBidi" w:cs="David"/>
          <w:rtl/>
        </w:rPr>
        <w:t>, מחקר אפידמיולוגי מס' 7, דצמבר 2009</w:t>
      </w:r>
      <w:r w:rsidRPr="009B7F64">
        <w:rPr>
          <w:rFonts w:asciiTheme="majorBidi" w:hAnsiTheme="majorBidi" w:cs="David" w:hint="cs"/>
          <w:rtl/>
        </w:rPr>
        <w:t xml:space="preserve">, </w:t>
      </w:r>
      <w:r w:rsidRPr="009B7F64">
        <w:rPr>
          <w:rFonts w:asciiTheme="majorBidi" w:hAnsiTheme="majorBidi" w:cs="David"/>
          <w:rtl/>
        </w:rPr>
        <w:t>עמ' 48.</w:t>
      </w:r>
      <w:r w:rsidRPr="009B7F64">
        <w:rPr>
          <w:rFonts w:asciiTheme="majorBidi" w:hAnsiTheme="majorBidi" w:cs="David" w:hint="cs"/>
          <w:rtl/>
        </w:rPr>
        <w:t xml:space="preserve"> אומדן כלל האוכלוסייה בגילאי 40-18 , על-פי מחקר זה, הוא 2,287,600 נפשות.</w:t>
      </w:r>
    </w:p>
  </w:footnote>
  <w:footnote w:id="66">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הרשות הלאומית למלחמה בסמים ובאלכוהול, </w:t>
      </w:r>
      <w:hyperlink r:id="rId29" w:history="1">
        <w:r w:rsidRPr="009B7F64">
          <w:rPr>
            <w:rStyle w:val="Hyperlink"/>
            <w:rFonts w:asciiTheme="majorBidi" w:hAnsiTheme="majorBidi" w:cs="David"/>
            <w:rtl/>
          </w:rPr>
          <w:t>סקר יד-על-הדופק 5</w:t>
        </w:r>
      </w:hyperlink>
      <w:r w:rsidRPr="009B7F64">
        <w:rPr>
          <w:rFonts w:asciiTheme="majorBidi" w:hAnsiTheme="majorBidi" w:cs="David"/>
          <w:rtl/>
        </w:rPr>
        <w:t xml:space="preserve">, יוני 2014. </w:t>
      </w:r>
    </w:p>
  </w:footnote>
  <w:footnote w:id="67">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נתונים אלו אינם נסכמים ל- 100%. כך במקור.</w:t>
      </w:r>
    </w:p>
  </w:footnote>
  <w:footnote w:id="68">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הרשות הלאומית למלחמה בסמים ובאלכוהול ו</w:t>
      </w:r>
      <w:r w:rsidRPr="009B7F64">
        <w:rPr>
          <w:rFonts w:asciiTheme="majorBidi" w:hAnsiTheme="majorBidi" w:cs="David"/>
          <w:rtl/>
        </w:rPr>
        <w:t xml:space="preserve">תכנית המחקר הבינלאומי על רווחתם ובריאותם של בני הנוער, בית הספר לחינוך אוניברסיטת בר-אילן, </w:t>
      </w:r>
      <w:hyperlink r:id="rId30" w:history="1">
        <w:r w:rsidRPr="009B7F64">
          <w:rPr>
            <w:rStyle w:val="Hyperlink"/>
            <w:rFonts w:asciiTheme="majorBidi" w:hAnsiTheme="majorBidi" w:cs="David"/>
            <w:rtl/>
          </w:rPr>
          <w:t>נוער בישראל: דפוסי שימוש והתייחסות לחומרים ממכרים בהשוואה בינלאומית, 1994-2011</w:t>
        </w:r>
      </w:hyperlink>
      <w:r w:rsidRPr="009B7F64">
        <w:rPr>
          <w:rFonts w:asciiTheme="majorBidi" w:hAnsiTheme="majorBidi" w:cs="David"/>
          <w:rtl/>
        </w:rPr>
        <w:t>, 2013. המחקר מתבסס על שאלונים אנונימיים למילוי עצמי שהועברו בחדרי הכיתות, בזמן הלימודים, על-ידי צוות המחקר. סך הכל השיבו לשאלונים 7,483 תלמידים מבתי ספר ממלכתיים, ממלכתיים-דתיים, ומהמגזר הערבי.</w:t>
      </w:r>
    </w:p>
  </w:footnote>
  <w:footnote w:id="69">
    <w:p w:rsidR="00FE2909" w:rsidRPr="009B7F64" w:rsidRDefault="00FE2909" w:rsidP="00CD1DB5">
      <w:pPr>
        <w:pStyle w:val="afff1"/>
        <w:bidi w:val="0"/>
        <w:spacing w:after="0" w:line="276" w:lineRule="auto"/>
        <w:ind w:left="360"/>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rPr>
        <w:t xml:space="preserve">Guttmacher, S., et. al. (2002), </w:t>
      </w:r>
      <w:hyperlink r:id="rId31" w:history="1">
        <w:r w:rsidRPr="009B7F64">
          <w:rPr>
            <w:rStyle w:val="Hyperlink"/>
            <w:rFonts w:asciiTheme="majorBidi" w:hAnsiTheme="majorBidi" w:cs="David"/>
          </w:rPr>
          <w:t>Classroom-Based Surveys of Adolescent Risk-Taking Behaviors: Reducing the Bias of Absenteeism</w:t>
        </w:r>
      </w:hyperlink>
      <w:r w:rsidRPr="009B7F64">
        <w:rPr>
          <w:rFonts w:asciiTheme="majorBidi" w:hAnsiTheme="majorBidi" w:cs="David"/>
        </w:rPr>
        <w:t xml:space="preserve">, American Journal of Public Health, 92(2):235-237. </w:t>
      </w:r>
    </w:p>
  </w:footnote>
  <w:footnote w:id="70">
    <w:p w:rsidR="00FE2909" w:rsidRPr="009B7F64" w:rsidRDefault="00FE2909" w:rsidP="00CD1DB5">
      <w:pPr>
        <w:pStyle w:val="a9"/>
        <w:spacing w:after="0" w:line="276" w:lineRule="auto"/>
        <w:rPr>
          <w:rFonts w:asciiTheme="majorBidi" w:hAnsiTheme="majorBidi" w:cs="David"/>
          <w:rtl/>
        </w:rPr>
      </w:pPr>
      <w:r w:rsidRPr="009B7F64">
        <w:rPr>
          <w:rFonts w:asciiTheme="majorBidi" w:hAnsiTheme="majorBidi" w:cs="David" w:hint="cs"/>
          <w:rtl/>
        </w:rPr>
        <w:t xml:space="preserve"> </w:t>
      </w:r>
      <w:r w:rsidRPr="009B7F64">
        <w:rPr>
          <w:rStyle w:val="ab"/>
          <w:rFonts w:asciiTheme="majorBidi" w:hAnsiTheme="majorBidi" w:cs="David"/>
        </w:rPr>
        <w:footnoteRef/>
      </w:r>
      <w:r w:rsidRPr="009B7F64">
        <w:rPr>
          <w:rFonts w:asciiTheme="majorBidi" w:hAnsiTheme="majorBidi" w:cs="David" w:hint="cs"/>
          <w:rtl/>
        </w:rPr>
        <w:t xml:space="preserve"> </w:t>
      </w:r>
      <w:r w:rsidRPr="009B7F64">
        <w:rPr>
          <w:rFonts w:asciiTheme="majorBidi" w:hAnsiTheme="majorBidi" w:cs="David"/>
          <w:rtl/>
        </w:rPr>
        <w:t xml:space="preserve"> </w:t>
      </w:r>
      <w:r w:rsidRPr="009B7F64">
        <w:rPr>
          <w:rFonts w:asciiTheme="majorBidi" w:hAnsiTheme="majorBidi" w:cs="David" w:hint="cs"/>
          <w:rtl/>
        </w:rPr>
        <w:t xml:space="preserve">על-פי הגב' יעל צדוק, </w:t>
      </w:r>
      <w:r w:rsidRPr="009B7F64">
        <w:rPr>
          <w:rFonts w:asciiTheme="majorBidi" w:hAnsiTheme="majorBidi" w:cs="David"/>
          <w:rtl/>
        </w:rPr>
        <w:t xml:space="preserve">סטטיסטיקאית </w:t>
      </w:r>
      <w:r w:rsidRPr="009B7F64">
        <w:rPr>
          <w:rFonts w:asciiTheme="majorBidi" w:hAnsiTheme="majorBidi" w:cs="David" w:hint="cs"/>
          <w:rtl/>
        </w:rPr>
        <w:t>ב</w:t>
      </w:r>
      <w:r w:rsidRPr="009B7F64">
        <w:rPr>
          <w:rFonts w:asciiTheme="majorBidi" w:hAnsiTheme="majorBidi" w:cs="David"/>
          <w:rtl/>
        </w:rPr>
        <w:t>רשות הלאומית למלחמה בסמים ובאלכוהול</w:t>
      </w:r>
      <w:r w:rsidRPr="009B7F64">
        <w:rPr>
          <w:rFonts w:asciiTheme="majorBidi" w:hAnsiTheme="majorBidi" w:cs="David" w:hint="cs"/>
          <w:rtl/>
        </w:rPr>
        <w:t>, נתוני שכיחות השימוש של סמים בקרב נוער לומד, כפי שהם מוצגים במסמך המחקר המקורי המפורסם באתר הרשות, אינם מדוייקים (שיחת טלפון, מרץ 2015). לאור זאת, וב</w:t>
      </w:r>
      <w:r w:rsidRPr="009B7F64">
        <w:rPr>
          <w:rFonts w:asciiTheme="majorBidi" w:hAnsiTheme="majorBidi" w:cs="David"/>
          <w:rtl/>
        </w:rPr>
        <w:t>התייעצות עם הגב' צדוק</w:t>
      </w:r>
      <w:r w:rsidRPr="009B7F64">
        <w:rPr>
          <w:rFonts w:asciiTheme="majorBidi" w:hAnsiTheme="majorBidi" w:cs="David" w:hint="cs"/>
          <w:rtl/>
        </w:rPr>
        <w:t>, הנתונים המוצגים כאן מובאים מתוך ה</w:t>
      </w:r>
      <w:r w:rsidRPr="009B7F64">
        <w:rPr>
          <w:rFonts w:asciiTheme="majorBidi" w:hAnsiTheme="majorBidi" w:cs="David"/>
          <w:rtl/>
        </w:rPr>
        <w:t>טבלה 'סמים – כיתות י-י"ב'</w:t>
      </w:r>
      <w:r w:rsidRPr="009B7F64">
        <w:rPr>
          <w:rFonts w:asciiTheme="majorBidi" w:hAnsiTheme="majorBidi" w:cs="David" w:hint="cs"/>
          <w:rtl/>
        </w:rPr>
        <w:t xml:space="preserve"> שבמסמך</w:t>
      </w:r>
      <w:r w:rsidRPr="009B7F64">
        <w:rPr>
          <w:rFonts w:asciiTheme="majorBidi" w:hAnsiTheme="majorBidi" w:cs="David"/>
          <w:rtl/>
        </w:rPr>
        <w:t xml:space="preserve"> הרשות הלאומית למלחמה בסמים ובאלכוהול, </w:t>
      </w:r>
      <w:hyperlink r:id="rId32" w:history="1">
        <w:r w:rsidRPr="009B7F64">
          <w:rPr>
            <w:rStyle w:val="Hyperlink"/>
            <w:rFonts w:asciiTheme="majorBidi" w:hAnsiTheme="majorBidi" w:cs="David"/>
            <w:rtl/>
          </w:rPr>
          <w:t>צריכת סמים ואלכוהול בישראל: נתוני מפתח לשנת 2013</w:t>
        </w:r>
      </w:hyperlink>
      <w:r w:rsidRPr="009B7F64">
        <w:rPr>
          <w:rFonts w:asciiTheme="majorBidi" w:hAnsiTheme="majorBidi" w:cs="David"/>
          <w:rtl/>
        </w:rPr>
        <w:t>, יולי 2014</w:t>
      </w:r>
      <w:r w:rsidRPr="009B7F64">
        <w:rPr>
          <w:rFonts w:asciiTheme="majorBidi" w:hAnsiTheme="majorBidi" w:cs="David" w:hint="cs"/>
          <w:rtl/>
        </w:rPr>
        <w:t>, המתבססים גם הם על המחקר האפידמיולוגי שנערך ב- 2011.</w:t>
      </w:r>
    </w:p>
  </w:footnote>
  <w:footnote w:id="71">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כדורי מרץ, הרזייה, שינה או הרגעה</w:t>
      </w:r>
      <w:r w:rsidRPr="009B7F64">
        <w:rPr>
          <w:rFonts w:asciiTheme="majorBidi" w:hAnsiTheme="majorBidi" w:cs="David" w:hint="cs"/>
          <w:rtl/>
        </w:rPr>
        <w:t>.</w:t>
      </w:r>
    </w:p>
  </w:footnote>
  <w:footnote w:id="72">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הרשות הלאומית למלחמה בסמים ואלכוהול, </w:t>
      </w:r>
      <w:hyperlink r:id="rId33" w:history="1">
        <w:r w:rsidRPr="009B7F64">
          <w:rPr>
            <w:rStyle w:val="Hyperlink"/>
            <w:rFonts w:asciiTheme="majorBidi" w:hAnsiTheme="majorBidi" w:cs="David"/>
            <w:rtl/>
          </w:rPr>
          <w:t>השימוש בחומרים פסיכואקטיביים בקרב תושבי מדינת ישראל 2009</w:t>
        </w:r>
      </w:hyperlink>
      <w:r w:rsidRPr="009B7F64">
        <w:rPr>
          <w:rFonts w:asciiTheme="majorBidi" w:hAnsiTheme="majorBidi" w:cs="David"/>
          <w:rtl/>
        </w:rPr>
        <w:t xml:space="preserve">, מחקר אפידמיולוגי מס' 7, דצמבר 2009, עמ' </w:t>
      </w:r>
      <w:r w:rsidRPr="009B7F64">
        <w:rPr>
          <w:rFonts w:asciiTheme="majorBidi" w:hAnsiTheme="majorBidi" w:cs="David" w:hint="cs"/>
          <w:rtl/>
        </w:rPr>
        <w:t>50-49</w:t>
      </w:r>
      <w:r w:rsidRPr="009B7F64">
        <w:rPr>
          <w:rFonts w:asciiTheme="majorBidi" w:hAnsiTheme="majorBidi" w:cs="David"/>
          <w:rtl/>
        </w:rPr>
        <w:t>.</w:t>
      </w:r>
    </w:p>
  </w:footnote>
  <w:footnote w:id="73">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מעובד מתוך</w:t>
      </w:r>
      <w:r w:rsidRPr="009B7F64">
        <w:rPr>
          <w:rFonts w:asciiTheme="majorBidi" w:hAnsiTheme="majorBidi" w:cs="David"/>
          <w:lang w:val="en-US"/>
        </w:rPr>
        <w:t xml:space="preserve"> </w:t>
      </w:r>
      <w:r w:rsidRPr="009B7F64">
        <w:rPr>
          <w:rFonts w:asciiTheme="majorBidi" w:hAnsiTheme="majorBidi" w:cs="David" w:hint="cs"/>
          <w:rtl/>
          <w:lang w:val="en-US"/>
        </w:rPr>
        <w:t xml:space="preserve"> שם,</w:t>
      </w:r>
      <w:r w:rsidRPr="009B7F64">
        <w:rPr>
          <w:rFonts w:asciiTheme="majorBidi" w:hAnsiTheme="majorBidi" w:cs="David"/>
          <w:rtl/>
        </w:rPr>
        <w:t xml:space="preserve"> לוח מס'</w:t>
      </w:r>
      <w:r w:rsidRPr="009B7F64">
        <w:rPr>
          <w:rFonts w:asciiTheme="majorBidi" w:hAnsiTheme="majorBidi" w:cs="David" w:hint="cs"/>
          <w:rtl/>
        </w:rPr>
        <w:t xml:space="preserve"> </w:t>
      </w:r>
      <w:r w:rsidRPr="009B7F64">
        <w:rPr>
          <w:rFonts w:asciiTheme="majorBidi" w:hAnsiTheme="majorBidi" w:cs="David"/>
          <w:rtl/>
        </w:rPr>
        <w:t xml:space="preserve">34, עמ' </w:t>
      </w:r>
      <w:r w:rsidRPr="009B7F64">
        <w:rPr>
          <w:rFonts w:asciiTheme="majorBidi" w:hAnsiTheme="majorBidi" w:cs="David" w:hint="cs"/>
          <w:rtl/>
        </w:rPr>
        <w:t>50-49</w:t>
      </w:r>
      <w:r w:rsidRPr="009B7F64">
        <w:rPr>
          <w:rFonts w:asciiTheme="majorBidi" w:hAnsiTheme="majorBidi" w:cs="David"/>
          <w:rtl/>
        </w:rPr>
        <w:t>.</w:t>
      </w:r>
    </w:p>
  </w:footnote>
  <w:footnote w:id="74">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לא ידוע אם כלל המשתתפים בסקר היו גם תלמידי בית-ספר בעת ביצוע הסקר.</w:t>
      </w:r>
    </w:p>
  </w:footnote>
  <w:footnote w:id="75">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הרשות הלאומית למלחמה בסמים ובאלכוהול, </w:t>
      </w:r>
      <w:hyperlink r:id="rId34" w:history="1">
        <w:r w:rsidRPr="009B7F64">
          <w:rPr>
            <w:rStyle w:val="Hyperlink"/>
            <w:rFonts w:asciiTheme="majorBidi" w:hAnsiTheme="majorBidi" w:cs="David"/>
            <w:rtl/>
          </w:rPr>
          <w:t>סקר יד-על-הדופק 5</w:t>
        </w:r>
      </w:hyperlink>
      <w:r w:rsidRPr="009B7F64">
        <w:rPr>
          <w:rFonts w:asciiTheme="majorBidi" w:hAnsiTheme="majorBidi" w:cs="David"/>
          <w:rtl/>
        </w:rPr>
        <w:t xml:space="preserve">, יוני 2014. </w:t>
      </w:r>
    </w:p>
  </w:footnote>
  <w:footnote w:id="76">
    <w:p w:rsidR="00FE2909" w:rsidRPr="009B7F64" w:rsidRDefault="00FE2909" w:rsidP="00CD1DB5">
      <w:pPr>
        <w:pStyle w:val="a9"/>
        <w:bidi w:val="0"/>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rPr>
        <w:t xml:space="preserve">Box 12, “Total per capita (15+ years) consumption”, World Health Organization, </w:t>
      </w:r>
      <w:hyperlink r:id="rId35" w:history="1">
        <w:r w:rsidRPr="009B7F64">
          <w:rPr>
            <w:rStyle w:val="Hyperlink"/>
            <w:rFonts w:asciiTheme="majorBidi" w:hAnsiTheme="majorBidi" w:cs="David"/>
          </w:rPr>
          <w:t>Global Status Report on Alcohol and Health 2014</w:t>
        </w:r>
      </w:hyperlink>
      <w:r w:rsidRPr="009B7F64">
        <w:rPr>
          <w:rFonts w:asciiTheme="majorBidi" w:hAnsiTheme="majorBidi" w:cs="David"/>
        </w:rPr>
        <w:t>, 2014, p.28.</w:t>
      </w:r>
    </w:p>
  </w:footnote>
  <w:footnote w:id="77">
    <w:p w:rsidR="00FE2909" w:rsidRPr="009B7F64" w:rsidRDefault="00FE2909" w:rsidP="00CD1DB5">
      <w:pPr>
        <w:pStyle w:val="a9"/>
        <w:bidi w:val="0"/>
        <w:spacing w:after="0" w:line="276" w:lineRule="auto"/>
        <w:rPr>
          <w:rFonts w:asciiTheme="majorBidi" w:hAnsiTheme="majorBidi" w:cs="David"/>
          <w:lang w:val="en-US"/>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rPr>
        <w:t xml:space="preserve">Box 12, “Adult per capita consumption”, World Health Organization, </w:t>
      </w:r>
      <w:hyperlink r:id="rId36" w:history="1">
        <w:r w:rsidRPr="009B7F64">
          <w:rPr>
            <w:rStyle w:val="Hyperlink"/>
            <w:rFonts w:asciiTheme="majorBidi" w:hAnsiTheme="majorBidi" w:cs="David"/>
          </w:rPr>
          <w:t>Global Status Report on Alcohol and Health 2014</w:t>
        </w:r>
      </w:hyperlink>
      <w:r w:rsidRPr="009B7F64">
        <w:rPr>
          <w:rFonts w:asciiTheme="majorBidi" w:hAnsiTheme="majorBidi" w:cs="David"/>
        </w:rPr>
        <w:t>, 2014, p.28</w:t>
      </w:r>
      <w:r w:rsidRPr="009B7F64">
        <w:rPr>
          <w:rFonts w:asciiTheme="majorBidi" w:hAnsiTheme="majorBidi" w:cs="David"/>
          <w:rtl/>
        </w:rPr>
        <w:t>.</w:t>
      </w:r>
    </w:p>
  </w:footnote>
  <w:footnote w:id="78">
    <w:p w:rsidR="00FE2909" w:rsidRPr="009B7F64" w:rsidRDefault="00FE2909" w:rsidP="00CD1DB5">
      <w:pPr>
        <w:pStyle w:val="a9"/>
        <w:bidi w:val="0"/>
        <w:spacing w:after="0" w:line="276" w:lineRule="auto"/>
        <w:rPr>
          <w:rFonts w:cs="David"/>
        </w:rPr>
      </w:pPr>
      <w:r w:rsidRPr="009B7F64">
        <w:rPr>
          <w:rStyle w:val="ab"/>
          <w:rFonts w:cs="David"/>
        </w:rPr>
        <w:footnoteRef/>
      </w:r>
      <w:r w:rsidRPr="009B7F64">
        <w:rPr>
          <w:rFonts w:cs="David"/>
          <w:rtl/>
        </w:rPr>
        <w:t xml:space="preserve"> </w:t>
      </w:r>
      <w:r w:rsidRPr="009B7F64">
        <w:rPr>
          <w:rFonts w:cs="David"/>
        </w:rPr>
        <w:t xml:space="preserve">Appendix IV, </w:t>
      </w:r>
      <w:r w:rsidRPr="009B7F64">
        <w:rPr>
          <w:rFonts w:asciiTheme="majorBidi" w:hAnsiTheme="majorBidi" w:cs="David"/>
        </w:rPr>
        <w:t xml:space="preserve">World Health Organization, </w:t>
      </w:r>
      <w:hyperlink r:id="rId37" w:history="1">
        <w:r w:rsidRPr="009B7F64">
          <w:rPr>
            <w:rStyle w:val="Hyperlink"/>
            <w:rFonts w:asciiTheme="majorBidi" w:hAnsiTheme="majorBidi" w:cs="David"/>
          </w:rPr>
          <w:t>Global Status Report on Alcohol and Health 2014</w:t>
        </w:r>
      </w:hyperlink>
      <w:r w:rsidRPr="009B7F64">
        <w:rPr>
          <w:rFonts w:asciiTheme="majorBidi" w:hAnsiTheme="majorBidi" w:cs="David"/>
        </w:rPr>
        <w:t>, 2014, p.345.</w:t>
      </w:r>
    </w:p>
  </w:footnote>
  <w:footnote w:id="79">
    <w:p w:rsidR="00FE2909" w:rsidRPr="009B7F64" w:rsidRDefault="00FE2909" w:rsidP="00CD1DB5">
      <w:pPr>
        <w:pStyle w:val="a9"/>
        <w:bidi w:val="0"/>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rPr>
        <w:t xml:space="preserve">World Health Organization, </w:t>
      </w:r>
      <w:hyperlink r:id="rId38" w:history="1">
        <w:r w:rsidRPr="009B7F64">
          <w:rPr>
            <w:rStyle w:val="Hyperlink"/>
            <w:rFonts w:asciiTheme="majorBidi" w:hAnsiTheme="majorBidi" w:cs="David"/>
          </w:rPr>
          <w:t>Global Status Report on Alcohol and Health 2014</w:t>
        </w:r>
      </w:hyperlink>
      <w:r w:rsidRPr="009B7F64">
        <w:rPr>
          <w:rFonts w:asciiTheme="majorBidi" w:hAnsiTheme="majorBidi" w:cs="David"/>
        </w:rPr>
        <w:t>, 20</w:t>
      </w:r>
      <w:r w:rsidRPr="009B7F64">
        <w:rPr>
          <w:rFonts w:asciiTheme="majorBidi" w:hAnsiTheme="majorBidi" w:cs="David"/>
          <w:rtl/>
        </w:rPr>
        <w:t>14</w:t>
      </w:r>
      <w:r w:rsidRPr="009B7F64">
        <w:rPr>
          <w:rFonts w:asciiTheme="majorBidi" w:hAnsiTheme="majorBidi" w:cs="David"/>
        </w:rPr>
        <w:t xml:space="preserve">, p. </w:t>
      </w:r>
      <w:r w:rsidRPr="009B7F64">
        <w:rPr>
          <w:rFonts w:asciiTheme="majorBidi" w:hAnsiTheme="majorBidi" w:cs="David"/>
          <w:rtl/>
        </w:rPr>
        <w:t>29</w:t>
      </w:r>
      <w:r w:rsidRPr="009B7F64">
        <w:rPr>
          <w:rFonts w:asciiTheme="majorBidi" w:hAnsiTheme="majorBidi" w:cs="David"/>
        </w:rPr>
        <w:t>.</w:t>
      </w:r>
      <w:r w:rsidRPr="009B7F64">
        <w:rPr>
          <w:rFonts w:asciiTheme="majorBidi" w:hAnsiTheme="majorBidi" w:cs="David"/>
          <w:rtl/>
        </w:rPr>
        <w:t xml:space="preserve"> הכוונה היא לכלל סוגי האלכוהול </w:t>
      </w:r>
      <w:r w:rsidRPr="009B7F64">
        <w:rPr>
          <w:rFonts w:asciiTheme="majorBidi" w:hAnsiTheme="majorBidi" w:cs="David"/>
        </w:rPr>
        <w:t>.</w:t>
      </w:r>
    </w:p>
  </w:footnote>
  <w:footnote w:id="80">
    <w:p w:rsidR="00FE2909" w:rsidRPr="009B7F64" w:rsidRDefault="00FE2909" w:rsidP="00CD1DB5">
      <w:pPr>
        <w:pStyle w:val="a9"/>
        <w:bidi w:val="0"/>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rPr>
        <w:t xml:space="preserve">World Health Organization, </w:t>
      </w:r>
      <w:hyperlink r:id="rId39" w:history="1">
        <w:r w:rsidRPr="009B7F64">
          <w:rPr>
            <w:rStyle w:val="Hyperlink"/>
            <w:rFonts w:asciiTheme="majorBidi" w:hAnsiTheme="majorBidi" w:cs="David"/>
          </w:rPr>
          <w:t>Global Status Report on Alcohol and Health 2014</w:t>
        </w:r>
      </w:hyperlink>
      <w:r w:rsidRPr="009B7F64">
        <w:rPr>
          <w:rFonts w:asciiTheme="majorBidi" w:hAnsiTheme="majorBidi" w:cs="David"/>
        </w:rPr>
        <w:t>, 2014, p.30 .</w:t>
      </w:r>
    </w:p>
  </w:footnote>
  <w:footnote w:id="81">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lang w:val="en-US"/>
        </w:rPr>
        <w:t>שם, עמ' 33.</w:t>
      </w:r>
    </w:p>
  </w:footnote>
  <w:footnote w:id="82">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shd w:val="clear" w:color="auto" w:fill="FFFFFF"/>
          <w:rtl/>
        </w:rPr>
        <w:t>הנתו</w:t>
      </w:r>
      <w:r w:rsidRPr="009B7F64">
        <w:rPr>
          <w:rFonts w:asciiTheme="majorBidi" w:hAnsiTheme="majorBidi" w:cs="David" w:hint="cs"/>
          <w:shd w:val="clear" w:color="auto" w:fill="FFFFFF"/>
          <w:rtl/>
        </w:rPr>
        <w:t>נים</w:t>
      </w:r>
      <w:r w:rsidRPr="009B7F64">
        <w:rPr>
          <w:rFonts w:asciiTheme="majorBidi" w:hAnsiTheme="majorBidi" w:cs="David"/>
          <w:shd w:val="clear" w:color="auto" w:fill="FFFFFF"/>
          <w:rtl/>
        </w:rPr>
        <w:t xml:space="preserve"> מתבסס</w:t>
      </w:r>
      <w:r w:rsidRPr="009B7F64">
        <w:rPr>
          <w:rFonts w:asciiTheme="majorBidi" w:hAnsiTheme="majorBidi" w:cs="David" w:hint="cs"/>
          <w:shd w:val="clear" w:color="auto" w:fill="FFFFFF"/>
          <w:rtl/>
        </w:rPr>
        <w:t>ים</w:t>
      </w:r>
      <w:r w:rsidRPr="009B7F64">
        <w:rPr>
          <w:rFonts w:asciiTheme="majorBidi" w:hAnsiTheme="majorBidi" w:cs="David"/>
          <w:shd w:val="clear" w:color="auto" w:fill="FFFFFF"/>
          <w:rtl/>
        </w:rPr>
        <w:t xml:space="preserve"> על</w:t>
      </w:r>
      <w:r w:rsidRPr="009B7F64">
        <w:rPr>
          <w:rFonts w:asciiTheme="majorBidi" w:hAnsiTheme="majorBidi" w:cs="David" w:hint="cs"/>
          <w:shd w:val="clear" w:color="auto" w:fill="FFFFFF"/>
          <w:rtl/>
        </w:rPr>
        <w:t xml:space="preserve"> דיווחי המדינות השונות בדבר</w:t>
      </w:r>
      <w:r w:rsidRPr="009B7F64">
        <w:rPr>
          <w:rFonts w:asciiTheme="majorBidi" w:hAnsiTheme="majorBidi" w:cs="David"/>
          <w:shd w:val="clear" w:color="auto" w:fill="FFFFFF"/>
          <w:rtl/>
        </w:rPr>
        <w:t xml:space="preserve"> הערכת היקף המכירות השנתית, המרה של מוצרים אלכוהוליים שונים (כגון יין ובירה) למושגי אלכוהול טהור, ומספר הנפשות באוכלוסייה מעל גיל 15.</w:t>
      </w:r>
      <w:r w:rsidRPr="009B7F64">
        <w:rPr>
          <w:rFonts w:asciiTheme="majorBidi" w:hAnsiTheme="majorBidi" w:cs="David" w:hint="cs"/>
          <w:shd w:val="clear" w:color="auto" w:fill="FFFFFF"/>
          <w:rtl/>
        </w:rPr>
        <w:t xml:space="preserve"> יש לזכור כי </w:t>
      </w:r>
      <w:r w:rsidRPr="009B7F64">
        <w:rPr>
          <w:rFonts w:asciiTheme="majorBidi" w:hAnsiTheme="majorBidi" w:cs="David"/>
          <w:shd w:val="clear" w:color="auto" w:fill="FFFFFF"/>
          <w:rtl/>
        </w:rPr>
        <w:t xml:space="preserve">דיווח על מכירות </w:t>
      </w:r>
      <w:r w:rsidRPr="009B7F64">
        <w:rPr>
          <w:rFonts w:asciiTheme="majorBidi" w:hAnsiTheme="majorBidi" w:cs="David" w:hint="cs"/>
          <w:shd w:val="clear" w:color="auto" w:fill="FFFFFF"/>
          <w:rtl/>
        </w:rPr>
        <w:t xml:space="preserve">אינו כולל </w:t>
      </w:r>
      <w:r w:rsidRPr="009B7F64">
        <w:rPr>
          <w:rFonts w:asciiTheme="majorBidi" w:hAnsiTheme="majorBidi" w:cs="David"/>
          <w:shd w:val="clear" w:color="auto" w:fill="FFFFFF"/>
          <w:rtl/>
        </w:rPr>
        <w:t>רכישת אלכוהול על-ידי התושבים מחוץ לגבולות המדינה, אלכוהול שנרכש ואינו נצרך וכד'.</w:t>
      </w:r>
      <w:r w:rsidRPr="009B7F64">
        <w:rPr>
          <w:rFonts w:asciiTheme="majorBidi" w:hAnsiTheme="majorBidi" w:cs="David" w:hint="cs"/>
          <w:shd w:val="clear" w:color="auto" w:fill="FFFFFF"/>
          <w:rtl/>
        </w:rPr>
        <w:t xml:space="preserve"> </w:t>
      </w:r>
      <w:r w:rsidRPr="009B7F64">
        <w:rPr>
          <w:rFonts w:asciiTheme="majorBidi" w:hAnsiTheme="majorBidi" w:cs="David"/>
          <w:shd w:val="clear" w:color="auto" w:fill="FFFFFF"/>
          <w:lang w:val="en-US"/>
        </w:rPr>
        <w:t xml:space="preserve">OECD, </w:t>
      </w:r>
      <w:hyperlink r:id="rId40" w:history="1">
        <w:r w:rsidRPr="009B7F64">
          <w:rPr>
            <w:rStyle w:val="Hyperlink"/>
            <w:rFonts w:asciiTheme="majorBidi" w:hAnsiTheme="majorBidi" w:cs="David"/>
            <w:color w:val="auto"/>
            <w:shd w:val="clear" w:color="auto" w:fill="FFFFFF"/>
          </w:rPr>
          <w:t>OECD Health Statistics 2014: Definitions, Sources and Methods, Alcohol consumption in liters per capita (age 15+)</w:t>
        </w:r>
      </w:hyperlink>
      <w:r w:rsidRPr="009B7F64">
        <w:rPr>
          <w:rFonts w:asciiTheme="majorBidi" w:hAnsiTheme="majorBidi" w:cs="David" w:hint="cs"/>
          <w:shd w:val="clear" w:color="auto" w:fill="FFFFFF"/>
          <w:rtl/>
        </w:rPr>
        <w:t>. תאריך כניסה: 31 במאי 2015.</w:t>
      </w:r>
    </w:p>
  </w:footnote>
  <w:footnote w:id="83">
    <w:p w:rsidR="00FE2909" w:rsidRPr="009B7F64" w:rsidRDefault="00FE2909" w:rsidP="00CD1DB5">
      <w:pPr>
        <w:pStyle w:val="a9"/>
        <w:bidi w:val="0"/>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rPr>
        <w:t xml:space="preserve"> OECD, </w:t>
      </w:r>
      <w:hyperlink r:id="rId41" w:history="1">
        <w:r w:rsidRPr="009B7F64">
          <w:rPr>
            <w:rStyle w:val="Hyperlink"/>
            <w:rFonts w:asciiTheme="majorBidi" w:hAnsiTheme="majorBidi" w:cs="David"/>
            <w:color w:val="auto"/>
            <w:shd w:val="clear" w:color="auto" w:fill="FFFFFF"/>
          </w:rPr>
          <w:t>OECD Health Statistics 2014: Definitions, Sources and Methods, Alcohol consumption in liters per capita (age 15+)</w:t>
        </w:r>
      </w:hyperlink>
      <w:r w:rsidRPr="009B7F64">
        <w:rPr>
          <w:rFonts w:asciiTheme="majorBidi" w:hAnsiTheme="majorBidi" w:cs="David" w:hint="cs"/>
          <w:shd w:val="clear" w:color="auto" w:fill="FFFFFF"/>
          <w:rtl/>
        </w:rPr>
        <w:t>.</w:t>
      </w:r>
      <w:r w:rsidRPr="009B7F64">
        <w:rPr>
          <w:rFonts w:asciiTheme="majorBidi" w:hAnsiTheme="majorBidi" w:cs="David"/>
          <w:shd w:val="clear" w:color="auto" w:fill="FFFFFF"/>
        </w:rPr>
        <w:t xml:space="preserve"> Accesed: May 31</w:t>
      </w:r>
      <w:r w:rsidRPr="009B7F64">
        <w:rPr>
          <w:rFonts w:asciiTheme="majorBidi" w:hAnsiTheme="majorBidi" w:cs="David"/>
          <w:shd w:val="clear" w:color="auto" w:fill="FFFFFF"/>
          <w:vertAlign w:val="superscript"/>
        </w:rPr>
        <w:t>st</w:t>
      </w:r>
      <w:r w:rsidRPr="009B7F64">
        <w:rPr>
          <w:rFonts w:asciiTheme="majorBidi" w:hAnsiTheme="majorBidi" w:cs="David"/>
          <w:shd w:val="clear" w:color="auto" w:fill="FFFFFF"/>
        </w:rPr>
        <w:t>, 2015.</w:t>
      </w:r>
    </w:p>
  </w:footnote>
  <w:footnote w:id="84">
    <w:p w:rsidR="00FE2909" w:rsidRPr="009B7F64" w:rsidRDefault="00FE2909" w:rsidP="00CD1DB5">
      <w:pPr>
        <w:spacing w:after="0" w:line="276" w:lineRule="auto"/>
        <w:rPr>
          <w:rFonts w:asciiTheme="majorBidi" w:hAnsiTheme="majorBidi"/>
          <w:sz w:val="20"/>
          <w:szCs w:val="20"/>
          <w:rtl/>
        </w:rPr>
      </w:pPr>
      <w:r w:rsidRPr="009B7F64">
        <w:rPr>
          <w:rStyle w:val="ab"/>
          <w:rFonts w:asciiTheme="majorBidi" w:hAnsiTheme="majorBidi"/>
          <w:sz w:val="20"/>
          <w:szCs w:val="20"/>
        </w:rPr>
        <w:footnoteRef/>
      </w:r>
      <w:r w:rsidRPr="009B7F64">
        <w:rPr>
          <w:rFonts w:asciiTheme="majorBidi" w:hAnsiTheme="majorBidi"/>
          <w:sz w:val="20"/>
          <w:szCs w:val="20"/>
          <w:rtl/>
        </w:rPr>
        <w:t xml:space="preserve"> </w:t>
      </w:r>
      <w:r w:rsidRPr="009B7F64">
        <w:rPr>
          <w:rFonts w:asciiTheme="majorBidi" w:hAnsiTheme="majorBidi" w:hint="cs"/>
          <w:sz w:val="20"/>
          <w:szCs w:val="20"/>
          <w:rtl/>
        </w:rPr>
        <w:t>מעובד מתוך:</w:t>
      </w:r>
      <w:r w:rsidRPr="009B7F64">
        <w:rPr>
          <w:rFonts w:asciiTheme="majorBidi" w:hAnsiTheme="majorBidi"/>
          <w:sz w:val="20"/>
          <w:szCs w:val="20"/>
          <w:rtl/>
        </w:rPr>
        <w:t xml:space="preserve"> </w:t>
      </w:r>
      <w:hyperlink r:id="rId42" w:history="1">
        <w:r w:rsidRPr="009B7F64">
          <w:rPr>
            <w:rStyle w:val="Hyperlink"/>
            <w:rFonts w:asciiTheme="majorBidi" w:hAnsiTheme="majorBidi"/>
            <w:color w:val="auto"/>
            <w:kern w:val="36"/>
            <w:sz w:val="20"/>
            <w:szCs w:val="20"/>
          </w:rPr>
          <w:t>OECD Health Data: Non-medical determinants of health (Alcohol Consumption)</w:t>
        </w:r>
      </w:hyperlink>
      <w:r w:rsidRPr="009B7F64">
        <w:rPr>
          <w:rFonts w:asciiTheme="majorBidi" w:hAnsiTheme="majorBidi"/>
          <w:kern w:val="36"/>
          <w:sz w:val="20"/>
          <w:szCs w:val="20"/>
          <w:rtl/>
        </w:rPr>
        <w:t>. תאריך אחזור הנתונים מהמאגר: 15 במרץ 2015.</w:t>
      </w:r>
      <w:r w:rsidRPr="009B7F64">
        <w:rPr>
          <w:rFonts w:asciiTheme="majorBidi" w:hAnsiTheme="majorBidi"/>
          <w:sz w:val="20"/>
          <w:szCs w:val="20"/>
          <w:highlight w:val="yellow"/>
          <w:rtl/>
        </w:rPr>
        <w:t xml:space="preserve"> </w:t>
      </w:r>
    </w:p>
  </w:footnote>
  <w:footnote w:id="85">
    <w:p w:rsidR="00FE2909" w:rsidRPr="009B7F64" w:rsidRDefault="00FE2909" w:rsidP="00CD1DB5">
      <w:pPr>
        <w:spacing w:after="0" w:line="276" w:lineRule="auto"/>
        <w:rPr>
          <w:rFonts w:asciiTheme="majorBidi" w:hAnsiTheme="majorBidi"/>
          <w:sz w:val="20"/>
          <w:szCs w:val="20"/>
          <w:rtl/>
        </w:rPr>
      </w:pPr>
      <w:r w:rsidRPr="009B7F64">
        <w:rPr>
          <w:rStyle w:val="ab"/>
          <w:rFonts w:asciiTheme="majorBidi" w:hAnsiTheme="majorBidi"/>
          <w:sz w:val="20"/>
          <w:szCs w:val="20"/>
        </w:rPr>
        <w:footnoteRef/>
      </w:r>
      <w:r w:rsidRPr="009B7F64">
        <w:rPr>
          <w:rFonts w:asciiTheme="majorBidi" w:hAnsiTheme="majorBidi"/>
          <w:sz w:val="20"/>
          <w:szCs w:val="20"/>
          <w:rtl/>
        </w:rPr>
        <w:t xml:space="preserve"> </w:t>
      </w:r>
      <w:r w:rsidRPr="009B7F64">
        <w:rPr>
          <w:rFonts w:asciiTheme="majorBidi" w:hAnsiTheme="majorBidi" w:hint="cs"/>
          <w:sz w:val="20"/>
          <w:szCs w:val="20"/>
          <w:rtl/>
        </w:rPr>
        <w:t>מעובד מתוך:</w:t>
      </w:r>
      <w:r w:rsidRPr="009B7F64">
        <w:rPr>
          <w:rFonts w:asciiTheme="majorBidi" w:hAnsiTheme="majorBidi"/>
          <w:sz w:val="20"/>
          <w:szCs w:val="20"/>
          <w:rtl/>
        </w:rPr>
        <w:t xml:space="preserve"> </w:t>
      </w:r>
      <w:hyperlink r:id="rId43" w:history="1">
        <w:r w:rsidRPr="009B7F64">
          <w:rPr>
            <w:rStyle w:val="Hyperlink"/>
            <w:rFonts w:asciiTheme="majorBidi" w:hAnsiTheme="majorBidi"/>
            <w:color w:val="auto"/>
            <w:kern w:val="36"/>
            <w:sz w:val="20"/>
            <w:szCs w:val="20"/>
          </w:rPr>
          <w:t>OECD Health Data: Non-medical determinants of health (Alcohol Consumption)</w:t>
        </w:r>
      </w:hyperlink>
      <w:r w:rsidRPr="009B7F64">
        <w:rPr>
          <w:rFonts w:asciiTheme="majorBidi" w:hAnsiTheme="majorBidi"/>
          <w:kern w:val="36"/>
          <w:sz w:val="20"/>
          <w:szCs w:val="20"/>
          <w:rtl/>
        </w:rPr>
        <w:t>. תאריך אחזור הנתונים מהמאגר: 15 במרץ 2015.</w:t>
      </w:r>
    </w:p>
  </w:footnote>
  <w:footnote w:id="86">
    <w:p w:rsidR="00FE2909" w:rsidRPr="009B7F64" w:rsidRDefault="00FE2909" w:rsidP="00CD1DB5">
      <w:pPr>
        <w:pStyle w:val="a9"/>
        <w:bidi w:val="0"/>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00013DA5">
        <w:rPr>
          <w:rFonts w:asciiTheme="majorBidi" w:hAnsiTheme="majorBidi" w:cs="David"/>
          <w:lang w:val="en-US"/>
        </w:rPr>
        <w:t xml:space="preserve"> OECD, </w:t>
      </w:r>
      <w:hyperlink r:id="rId44" w:history="1">
        <w:r w:rsidRPr="009B7F64">
          <w:rPr>
            <w:rStyle w:val="Hyperlink"/>
            <w:rFonts w:asciiTheme="majorBidi" w:hAnsiTheme="majorBidi" w:cs="David"/>
            <w:color w:val="auto"/>
            <w:shd w:val="clear" w:color="auto" w:fill="FFFFFF"/>
          </w:rPr>
          <w:t>OECD Health Statistics 2014: Definitions, Sources and Methods, Alcohol consumption in liters per capita (age 15+)</w:t>
        </w:r>
      </w:hyperlink>
      <w:r w:rsidRPr="009B7F64">
        <w:rPr>
          <w:rFonts w:asciiTheme="majorBidi" w:hAnsiTheme="majorBidi" w:cs="David" w:hint="cs"/>
          <w:shd w:val="clear" w:color="auto" w:fill="FFFFFF"/>
          <w:rtl/>
        </w:rPr>
        <w:t>.</w:t>
      </w:r>
      <w:r w:rsidRPr="009B7F64">
        <w:rPr>
          <w:rFonts w:asciiTheme="majorBidi" w:hAnsiTheme="majorBidi" w:cs="David"/>
          <w:shd w:val="clear" w:color="auto" w:fill="FFFFFF"/>
        </w:rPr>
        <w:t xml:space="preserve"> Accesed: May 31</w:t>
      </w:r>
      <w:r w:rsidRPr="009B7F64">
        <w:rPr>
          <w:rFonts w:asciiTheme="majorBidi" w:hAnsiTheme="majorBidi" w:cs="David"/>
          <w:shd w:val="clear" w:color="auto" w:fill="FFFFFF"/>
          <w:vertAlign w:val="superscript"/>
        </w:rPr>
        <w:t>st</w:t>
      </w:r>
      <w:r w:rsidRPr="009B7F64">
        <w:rPr>
          <w:rFonts w:asciiTheme="majorBidi" w:hAnsiTheme="majorBidi" w:cs="David"/>
          <w:shd w:val="clear" w:color="auto" w:fill="FFFFFF"/>
        </w:rPr>
        <w:t>, 2015.</w:t>
      </w:r>
    </w:p>
  </w:footnote>
  <w:footnote w:id="87">
    <w:p w:rsidR="00FE2909" w:rsidRPr="009B7F64" w:rsidRDefault="00FE2909" w:rsidP="00CD1DB5">
      <w:pPr>
        <w:autoSpaceDE w:val="0"/>
        <w:autoSpaceDN w:val="0"/>
        <w:bidi w:val="0"/>
        <w:adjustRightInd w:val="0"/>
        <w:spacing w:before="0" w:after="0" w:line="276" w:lineRule="auto"/>
        <w:rPr>
          <w:rFonts w:asciiTheme="majorBidi" w:hAnsiTheme="majorBidi"/>
          <w:sz w:val="20"/>
          <w:szCs w:val="20"/>
        </w:rPr>
      </w:pPr>
      <w:r w:rsidRPr="009B7F64">
        <w:rPr>
          <w:rStyle w:val="ab"/>
          <w:rFonts w:asciiTheme="majorBidi" w:hAnsiTheme="majorBidi"/>
          <w:sz w:val="20"/>
          <w:szCs w:val="20"/>
        </w:rPr>
        <w:footnoteRef/>
      </w:r>
      <w:r w:rsidRPr="009B7F64">
        <w:rPr>
          <w:rFonts w:asciiTheme="majorBidi" w:hAnsiTheme="majorBidi"/>
          <w:sz w:val="20"/>
          <w:szCs w:val="20"/>
          <w:rtl/>
        </w:rPr>
        <w:t xml:space="preserve"> </w:t>
      </w:r>
      <w:r w:rsidRPr="009B7F64">
        <w:rPr>
          <w:rFonts w:asciiTheme="majorBidi" w:hAnsiTheme="majorBidi"/>
          <w:sz w:val="20"/>
          <w:szCs w:val="20"/>
        </w:rPr>
        <w:t xml:space="preserve">World Health Organization, </w:t>
      </w:r>
      <w:hyperlink r:id="rId45" w:history="1">
        <w:r w:rsidRPr="009B7F64">
          <w:rPr>
            <w:rStyle w:val="Hyperlink"/>
            <w:sz w:val="20"/>
            <w:szCs w:val="20"/>
          </w:rPr>
          <w:t>Recorded alcohol per capita consumption, from 2000</w:t>
        </w:r>
      </w:hyperlink>
      <w:r w:rsidRPr="009B7F64">
        <w:rPr>
          <w:sz w:val="20"/>
          <w:szCs w:val="20"/>
        </w:rPr>
        <w:t>. Accesed: 31 May 2015.</w:t>
      </w:r>
    </w:p>
  </w:footnote>
  <w:footnote w:id="88">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סתוית יעקבי, מנהלת ענף מידע במשרד הבריאות, </w:t>
      </w:r>
      <w:r w:rsidRPr="009B7F64">
        <w:rPr>
          <w:rFonts w:asciiTheme="majorBidi" w:hAnsiTheme="majorBidi" w:cs="David" w:hint="cs"/>
          <w:rtl/>
        </w:rPr>
        <w:t>מכתב</w:t>
      </w:r>
      <w:r w:rsidRPr="009B7F64">
        <w:rPr>
          <w:rFonts w:asciiTheme="majorBidi" w:hAnsiTheme="majorBidi" w:cs="David"/>
          <w:rtl/>
        </w:rPr>
        <w:t>, 16 מרץ 2015.</w:t>
      </w:r>
    </w:p>
  </w:footnote>
  <w:footnote w:id="89">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נעמה רותם, ראש תחום בריאות ותנועה טבעית בלשכה המרכזית לסטטיסטיקה, שיחת טלפון, 15 במרץ 2015.</w:t>
      </w:r>
    </w:p>
  </w:footnote>
  <w:footnote w:id="90">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יעל צדוק, סטטיסטיקאית בלשכת המדען הראשי שברשות הלאומית למלחמה בסמים ובאלכוהול, </w:t>
      </w:r>
      <w:r w:rsidRPr="009B7F64">
        <w:rPr>
          <w:rFonts w:asciiTheme="majorBidi" w:hAnsiTheme="majorBidi" w:cs="David" w:hint="cs"/>
          <w:rtl/>
        </w:rPr>
        <w:t>מכתב</w:t>
      </w:r>
      <w:r w:rsidRPr="009B7F64">
        <w:rPr>
          <w:rFonts w:asciiTheme="majorBidi" w:hAnsiTheme="majorBidi" w:cs="David"/>
          <w:rtl/>
        </w:rPr>
        <w:t>, 9 מרץ 2015.</w:t>
      </w:r>
    </w:p>
  </w:footnote>
  <w:footnote w:id="91">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גליה שגיא, מנהלת איגוד המזון שבהתאחדות התעשיינים בישראל, </w:t>
      </w:r>
      <w:r w:rsidRPr="009B7F64">
        <w:rPr>
          <w:rFonts w:asciiTheme="majorBidi" w:hAnsiTheme="majorBidi" w:cs="David" w:hint="cs"/>
          <w:rtl/>
        </w:rPr>
        <w:t>מכתב</w:t>
      </w:r>
      <w:r w:rsidRPr="009B7F64">
        <w:rPr>
          <w:rFonts w:asciiTheme="majorBidi" w:hAnsiTheme="majorBidi" w:cs="David"/>
          <w:rtl/>
        </w:rPr>
        <w:t>, 16 מרץ 2015.</w:t>
      </w:r>
    </w:p>
  </w:footnote>
  <w:footnote w:id="92">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איריס יוגב, ראש אגף תכנון ובקרה שברשות הלאומית למלחמה בסמים ובאלכוהול, שיחת טלפון, 18 מרץ 2015.</w:t>
      </w:r>
    </w:p>
  </w:footnote>
  <w:footnote w:id="93">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הרשות הלאומית למלחמה בסמים ואלכוהול, </w:t>
      </w:r>
      <w:hyperlink r:id="rId46" w:history="1">
        <w:r w:rsidRPr="009B7F64">
          <w:rPr>
            <w:rStyle w:val="Hyperlink"/>
            <w:rFonts w:asciiTheme="majorBidi" w:hAnsiTheme="majorBidi" w:cs="David"/>
            <w:rtl/>
          </w:rPr>
          <w:t>השימוש בחומרים פסיכואקטיביים בקרב תושבי מדינת ישראל 2009</w:t>
        </w:r>
      </w:hyperlink>
      <w:r w:rsidRPr="009B7F64">
        <w:rPr>
          <w:rFonts w:asciiTheme="majorBidi" w:hAnsiTheme="majorBidi" w:cs="David"/>
          <w:rtl/>
        </w:rPr>
        <w:t xml:space="preserve">, מחקר אפידמיולוגי מס' 7, דצמבר 2009, עמ' 50. </w:t>
      </w:r>
      <w:r w:rsidRPr="009B7F64">
        <w:rPr>
          <w:rFonts w:cs="David" w:hint="cs"/>
          <w:rtl/>
        </w:rPr>
        <w:t>הסקר נערך באמצעות מילוי עצמי של שאלונים אנונימיים במשקי בית ברחבי הארץ (</w:t>
      </w:r>
      <w:r w:rsidRPr="009B7F64">
        <w:rPr>
          <w:rFonts w:asciiTheme="majorBidi" w:hAnsiTheme="majorBidi" w:cs="David"/>
          <w:rtl/>
        </w:rPr>
        <w:t>מלבד דיירי ישובים מוסדיים והשכונות הערביות של מזרח ירושלים</w:t>
      </w:r>
      <w:r w:rsidRPr="009B7F64">
        <w:rPr>
          <w:rFonts w:asciiTheme="majorBidi" w:hAnsiTheme="majorBidi" w:cs="David" w:hint="cs"/>
          <w:rtl/>
        </w:rPr>
        <w:t>)</w:t>
      </w:r>
      <w:r w:rsidRPr="009B7F64">
        <w:rPr>
          <w:rFonts w:cs="David" w:hint="cs"/>
          <w:rtl/>
        </w:rPr>
        <w:t xml:space="preserve"> בשפות העברית, הערבית והרוסית. שיעור </w:t>
      </w:r>
      <w:r>
        <w:rPr>
          <w:rFonts w:cs="David" w:hint="cs"/>
          <w:rtl/>
        </w:rPr>
        <w:t>ה</w:t>
      </w:r>
      <w:r w:rsidRPr="009B7F64">
        <w:rPr>
          <w:rFonts w:cs="David" w:hint="cs"/>
          <w:rtl/>
        </w:rPr>
        <w:t xml:space="preserve">הענות עמד על 62%, וגודל המדגם הסופי עליו התבססו הניתוחים עומד על 4,657 משיבים. הנתונים המוצגים מבוססים על תשובות שנתנו מרואיינים שהסכימו לשתף פעולה עם הסוקרים ולענות </w:t>
      </w:r>
      <w:r w:rsidRPr="0065686F">
        <w:rPr>
          <w:rFonts w:cs="David" w:hint="cs"/>
          <w:rtl/>
        </w:rPr>
        <w:t>על כל השאלון.</w:t>
      </w:r>
      <w:r w:rsidRPr="0065686F">
        <w:rPr>
          <w:rFonts w:cs="David"/>
          <w:lang w:val="en-US"/>
        </w:rPr>
        <w:t xml:space="preserve"> </w:t>
      </w:r>
      <w:r w:rsidRPr="0065686F">
        <w:rPr>
          <w:rFonts w:cs="David" w:hint="cs"/>
          <w:rtl/>
          <w:lang w:val="en-US"/>
        </w:rPr>
        <w:t xml:space="preserve">במחקר זה נקבע אומדן של </w:t>
      </w:r>
      <w:r w:rsidRPr="0065686F">
        <w:rPr>
          <w:rFonts w:asciiTheme="majorBidi" w:hAnsiTheme="majorBidi" w:cs="David"/>
          <w:rtl/>
        </w:rPr>
        <w:t>2,287,600</w:t>
      </w:r>
      <w:r w:rsidRPr="0065686F">
        <w:rPr>
          <w:rFonts w:asciiTheme="majorBidi" w:hAnsiTheme="majorBidi" w:cs="David" w:hint="cs"/>
          <w:rtl/>
        </w:rPr>
        <w:t xml:space="preserve"> בעבור </w:t>
      </w:r>
      <w:r w:rsidRPr="0065686F">
        <w:rPr>
          <w:rFonts w:asciiTheme="majorBidi" w:hAnsiTheme="majorBidi" w:cs="David"/>
          <w:rtl/>
        </w:rPr>
        <w:t xml:space="preserve">כלל האוכלוסייה בגילאי 40-18 </w:t>
      </w:r>
      <w:r w:rsidRPr="0065686F">
        <w:rPr>
          <w:rFonts w:asciiTheme="majorBidi" w:hAnsiTheme="majorBidi" w:cs="David" w:hint="cs"/>
          <w:rtl/>
        </w:rPr>
        <w:t>בשנת 2009.</w:t>
      </w:r>
      <w:r w:rsidRPr="009B7F64">
        <w:rPr>
          <w:rFonts w:asciiTheme="majorBidi" w:hAnsiTheme="majorBidi" w:cs="David"/>
          <w:rtl/>
        </w:rPr>
        <w:t xml:space="preserve"> </w:t>
      </w:r>
    </w:p>
  </w:footnote>
  <w:footnote w:id="94">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שם, עמ' 47.</w:t>
      </w:r>
    </w:p>
  </w:footnote>
  <w:footnote w:id="95">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הרשות הלאומית לבטיחות בדרכים, </w:t>
      </w:r>
      <w:hyperlink r:id="rId47" w:history="1">
        <w:r w:rsidRPr="009B7F64">
          <w:rPr>
            <w:rStyle w:val="Hyperlink"/>
            <w:rFonts w:asciiTheme="majorBidi" w:hAnsiTheme="majorBidi" w:cs="David"/>
            <w:rtl/>
          </w:rPr>
          <w:t>נהיגה תחת השפעות אלכוהול: 2012</w:t>
        </w:r>
      </w:hyperlink>
      <w:r w:rsidRPr="009B7F64">
        <w:rPr>
          <w:rFonts w:asciiTheme="majorBidi" w:hAnsiTheme="majorBidi" w:cs="David"/>
          <w:rtl/>
        </w:rPr>
        <w:t>, פברואר 2013. סקר טלפוני בקרב מדגם אקראי ומייצג בן 500 משתתפים של האוכלוסייה היהודית בישראל, בגילאי 17 ומעלה שדיווחו שהם נוהגים לפחות פעם בשבוע וששתו בחודש האחרון משקה אלכוהולי לפחות פעם אחת.</w:t>
      </w:r>
    </w:p>
  </w:footnote>
  <w:footnote w:id="96">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lang w:val="en-US"/>
        </w:rPr>
        <w:t>שם</w:t>
      </w:r>
      <w:r w:rsidRPr="009B7F64">
        <w:rPr>
          <w:rFonts w:asciiTheme="majorBidi" w:hAnsiTheme="majorBidi" w:cs="David"/>
          <w:rtl/>
        </w:rPr>
        <w:t>, עמ' 2</w:t>
      </w:r>
      <w:r w:rsidRPr="009B7F64">
        <w:rPr>
          <w:rFonts w:asciiTheme="majorBidi" w:hAnsiTheme="majorBidi" w:cs="David" w:hint="cs"/>
          <w:rtl/>
        </w:rPr>
        <w:t>. וכן,</w:t>
      </w:r>
      <w:r w:rsidRPr="009B7F64">
        <w:rPr>
          <w:rFonts w:asciiTheme="majorBidi" w:hAnsiTheme="majorBidi" w:cs="David"/>
          <w:rtl/>
        </w:rPr>
        <w:t xml:space="preserve"> רחל גולדווג, מנהלת אגף המחקר, הרשות הלאומית לבטיחות בדרכים, </w:t>
      </w:r>
      <w:r w:rsidRPr="009B7F64">
        <w:rPr>
          <w:rFonts w:asciiTheme="majorBidi" w:hAnsiTheme="majorBidi" w:cs="David" w:hint="cs"/>
          <w:rtl/>
        </w:rPr>
        <w:t xml:space="preserve">שיחת טלפון, </w:t>
      </w:r>
      <w:r w:rsidRPr="009B7F64">
        <w:rPr>
          <w:rFonts w:asciiTheme="majorBidi" w:hAnsiTheme="majorBidi" w:cs="David"/>
          <w:rtl/>
        </w:rPr>
        <w:t>18 מרץ 2015.</w:t>
      </w:r>
    </w:p>
  </w:footnote>
  <w:footnote w:id="97">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ד"ר חיים מהל, ראש אגף טיפול ושיקום ברשות הלאומית למלחמה בסמים ואלכוהול, הרצאה ביום עיון בנושא</w:t>
      </w:r>
      <w:r w:rsidRPr="009B7F64">
        <w:rPr>
          <w:rFonts w:asciiTheme="majorBidi" w:hAnsiTheme="majorBidi" w:cs="David"/>
          <w:u w:val="single"/>
          <w:rtl/>
        </w:rPr>
        <w:t xml:space="preserve"> אלכוהול: מגמות, סיכונים ודרכי התמודדות</w:t>
      </w:r>
      <w:r w:rsidRPr="009B7F64">
        <w:rPr>
          <w:rFonts w:asciiTheme="majorBidi" w:hAnsiTheme="majorBidi" w:cs="David"/>
          <w:rtl/>
        </w:rPr>
        <w:t>, אוניברסיטת חיפה, 11 בפברואר 2013.</w:t>
      </w:r>
    </w:p>
  </w:footnote>
  <w:footnote w:id="98">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גב' שירן בורד, ד"ר ענת גסר-אדלסבורג ופרופ' אורנה בראון-אפל, </w:t>
      </w:r>
      <w:hyperlink r:id="rId48" w:history="1">
        <w:r w:rsidRPr="009B7F64">
          <w:rPr>
            <w:rStyle w:val="Hyperlink"/>
            <w:rFonts w:asciiTheme="majorBidi" w:hAnsiTheme="majorBidi" w:cs="David"/>
            <w:rtl/>
          </w:rPr>
          <w:t>נהיגה תחת השפעת אלכוהול בקרב צעירים בישראל: סקר בקרב מבלים בפאבים</w:t>
        </w:r>
      </w:hyperlink>
      <w:r w:rsidRPr="009B7F64">
        <w:rPr>
          <w:rFonts w:asciiTheme="majorBidi" w:hAnsiTheme="majorBidi" w:cs="David"/>
          <w:rtl/>
        </w:rPr>
        <w:t>, בית הספר לבריאות הציבור, הפקולטה למדעי הרווחה והבריאות, אוניברסיטת חיפה.</w:t>
      </w:r>
    </w:p>
    <w:p w:rsidR="00FE2909" w:rsidRPr="009B7F64" w:rsidRDefault="00FE2909" w:rsidP="00CD1DB5">
      <w:pPr>
        <w:pStyle w:val="a9"/>
        <w:spacing w:after="0" w:line="276" w:lineRule="auto"/>
        <w:rPr>
          <w:rFonts w:asciiTheme="majorBidi" w:hAnsiTheme="majorBidi" w:cs="David"/>
          <w:rtl/>
        </w:rPr>
      </w:pPr>
      <w:r w:rsidRPr="009B7F64">
        <w:rPr>
          <w:rFonts w:asciiTheme="majorBidi" w:hAnsiTheme="majorBidi" w:cs="David"/>
          <w:rtl/>
        </w:rPr>
        <w:tab/>
        <w:t xml:space="preserve">הוצג במסגרת יום עיון בנושא אלכוהול: מגמות, סיכונים ודרכי התמודדות, אוניברסיטת חיפה, 11 בפברואר 2013. </w:t>
      </w:r>
    </w:p>
    <w:p w:rsidR="00FE2909" w:rsidRPr="009B7F64" w:rsidRDefault="00FE2909" w:rsidP="00CD1DB5">
      <w:pPr>
        <w:pStyle w:val="a9"/>
        <w:spacing w:after="0" w:line="276" w:lineRule="auto"/>
        <w:rPr>
          <w:rFonts w:asciiTheme="majorBidi" w:hAnsiTheme="majorBidi" w:cs="David"/>
          <w:rtl/>
        </w:rPr>
      </w:pPr>
      <w:r w:rsidRPr="009B7F64">
        <w:rPr>
          <w:rFonts w:asciiTheme="majorBidi" w:hAnsiTheme="majorBidi" w:cs="David"/>
          <w:rtl/>
        </w:rPr>
        <w:tab/>
        <w:t xml:space="preserve">שיעור ההיענות היה 61.9%. </w:t>
      </w:r>
    </w:p>
  </w:footnote>
  <w:footnote w:id="99">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שתייה מופרזת ("שתיית בולמוס", </w:t>
      </w:r>
      <w:r w:rsidRPr="009B7F64">
        <w:rPr>
          <w:rFonts w:asciiTheme="majorBidi" w:hAnsiTheme="majorBidi" w:cs="David"/>
        </w:rPr>
        <w:t>Binge drinking</w:t>
      </w:r>
      <w:r w:rsidRPr="009B7F64">
        <w:rPr>
          <w:rFonts w:asciiTheme="majorBidi" w:hAnsiTheme="majorBidi" w:cs="David"/>
          <w:rtl/>
        </w:rPr>
        <w:t>) מוגדרת כשתייה של לפחות חמש יחידות של אלכוהול בערב אחד.</w:t>
      </w:r>
    </w:p>
  </w:footnote>
  <w:footnote w:id="100">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הנתונים המוצגים להלן מעובדים מתוך הטבלה 'אחוז המשתמשים בחומרים פסיכו-אקטיביים בקרב תלמידי בתי-ספר בישראל: שתיית אלכוהול – כלל המדגם', הרשות הלאומית למלחמה בסמים ובאלכוהול, </w:t>
      </w:r>
      <w:hyperlink r:id="rId49" w:history="1">
        <w:r w:rsidRPr="009B7F64">
          <w:rPr>
            <w:rStyle w:val="Hyperlink"/>
            <w:rFonts w:asciiTheme="majorBidi" w:hAnsiTheme="majorBidi" w:cs="David"/>
            <w:rtl/>
          </w:rPr>
          <w:t>צריכת סמים ואלכוהול בישראל: נתוני מפתח לשנת 2013</w:t>
        </w:r>
      </w:hyperlink>
      <w:r w:rsidRPr="009B7F64">
        <w:rPr>
          <w:rFonts w:asciiTheme="majorBidi" w:hAnsiTheme="majorBidi" w:cs="David"/>
          <w:rtl/>
        </w:rPr>
        <w:t xml:space="preserve">, יולי 2014, עמ' 4. </w:t>
      </w:r>
      <w:r w:rsidRPr="009B7F64">
        <w:rPr>
          <w:rFonts w:asciiTheme="majorBidi" w:hAnsiTheme="majorBidi" w:cs="David" w:hint="cs"/>
          <w:rtl/>
        </w:rPr>
        <w:t>מסמך 'נתוני מפתח לשנת 2013' הוא עיבוד חדש של נתוני המחקר שנאספו במסגרת המחקר האפידמיולוגי של שנת 2011.</w:t>
      </w:r>
    </w:p>
  </w:footnote>
  <w:footnote w:id="101">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יעל צדוק, סטטיסטיקאית </w:t>
      </w:r>
      <w:r w:rsidRPr="009B7F64">
        <w:rPr>
          <w:rFonts w:asciiTheme="majorBidi" w:hAnsiTheme="majorBidi" w:cs="David" w:hint="cs"/>
          <w:rtl/>
        </w:rPr>
        <w:t>בלשכת המדען הראשי ב</w:t>
      </w:r>
      <w:r w:rsidRPr="009B7F64">
        <w:rPr>
          <w:rFonts w:asciiTheme="majorBidi" w:hAnsiTheme="majorBidi" w:cs="David"/>
          <w:rtl/>
        </w:rPr>
        <w:t>רשות הלאומית למלחמה בסמים ובאלכוהול,</w:t>
      </w:r>
      <w:r w:rsidRPr="009B7F64">
        <w:rPr>
          <w:rFonts w:asciiTheme="majorBidi" w:hAnsiTheme="majorBidi" w:cs="David" w:hint="cs"/>
          <w:rtl/>
        </w:rPr>
        <w:t xml:space="preserve"> מכתב ושיחת טלפון,</w:t>
      </w:r>
      <w:r w:rsidRPr="009B7F64">
        <w:rPr>
          <w:rFonts w:asciiTheme="majorBidi" w:hAnsiTheme="majorBidi" w:cs="David"/>
          <w:rtl/>
        </w:rPr>
        <w:t xml:space="preserve"> 22 מרץ 2015. </w:t>
      </w:r>
    </w:p>
  </w:footnote>
  <w:footnote w:id="102">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בורד שירן ופרופ' אורנה בראון-אפל, "שתיית משקאות אלכוהוליים בקרב בני-נוער בני טובים", </w:t>
      </w:r>
      <w:hyperlink r:id="rId50" w:history="1">
        <w:r w:rsidRPr="009B7F64">
          <w:rPr>
            <w:rStyle w:val="Hyperlink"/>
            <w:rFonts w:asciiTheme="majorBidi" w:hAnsiTheme="majorBidi" w:cs="David"/>
            <w:rtl/>
          </w:rPr>
          <w:t>קידום בריאות בישראל – כתב עת ישראלי לחינוך וקידום בריאות</w:t>
        </w:r>
      </w:hyperlink>
      <w:r w:rsidRPr="009B7F64">
        <w:rPr>
          <w:rFonts w:asciiTheme="majorBidi" w:hAnsiTheme="majorBidi" w:cs="David"/>
          <w:rtl/>
        </w:rPr>
        <w:t>, גיליון מס' 3, אפריל 2010, עמ' 39-32.</w:t>
      </w:r>
    </w:p>
  </w:footnote>
  <w:footnote w:id="103">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שתיית משקה אלכוהולי הוגדרה כשתיית מנת משקה: פחית בירה, כוס יין או כוסית משקה חריף. </w:t>
      </w:r>
    </w:p>
  </w:footnote>
  <w:footnote w:id="104">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 xml:space="preserve"> כולל</w:t>
      </w:r>
      <w:r w:rsidRPr="009B7F64">
        <w:rPr>
          <w:rFonts w:asciiTheme="majorBidi" w:hAnsiTheme="majorBidi" w:cs="David"/>
          <w:rtl/>
        </w:rPr>
        <w:t xml:space="preserve"> מוות כתוצאה ממנת-יתר, </w:t>
      </w:r>
      <w:r w:rsidRPr="009B7F64">
        <w:rPr>
          <w:rFonts w:asciiTheme="majorBidi" w:hAnsiTheme="majorBidi" w:cs="David"/>
        </w:rPr>
        <w:t xml:space="preserve">HIV </w:t>
      </w:r>
      <w:r w:rsidRPr="009B7F64">
        <w:rPr>
          <w:rFonts w:asciiTheme="majorBidi" w:hAnsiTheme="majorBidi" w:cs="David"/>
          <w:rtl/>
        </w:rPr>
        <w:t xml:space="preserve"> בו נדבקו כתוצאה מהזרקת סמים, התאבדות ומוות בלתי-מכוון או טראומה כתוצאה משימוש בסמים. </w:t>
      </w:r>
      <w:r w:rsidRPr="009B7F64">
        <w:rPr>
          <w:rFonts w:asciiTheme="majorBidi" w:hAnsiTheme="majorBidi" w:cs="David"/>
        </w:rPr>
        <w:t xml:space="preserve">United Nations Office on Drugs and Crime, </w:t>
      </w:r>
      <w:hyperlink r:id="rId51" w:history="1">
        <w:r w:rsidRPr="009B7F64">
          <w:rPr>
            <w:rStyle w:val="Hyperlink"/>
            <w:rFonts w:asciiTheme="majorBidi" w:hAnsiTheme="majorBidi" w:cs="David"/>
          </w:rPr>
          <w:t>World Drug Report 2014 – Full Report</w:t>
        </w:r>
      </w:hyperlink>
      <w:r w:rsidRPr="009B7F64">
        <w:rPr>
          <w:rFonts w:asciiTheme="majorBidi" w:hAnsiTheme="majorBidi" w:cs="David"/>
        </w:rPr>
        <w:t xml:space="preserve">, June, </w:t>
      </w:r>
      <w:r w:rsidRPr="009B7F64">
        <w:rPr>
          <w:rFonts w:asciiTheme="majorBidi" w:hAnsiTheme="majorBidi" w:cs="David"/>
          <w:vertAlign w:val="superscript"/>
        </w:rPr>
        <w:t xml:space="preserve"> </w:t>
      </w:r>
      <w:r w:rsidRPr="009B7F64">
        <w:rPr>
          <w:rFonts w:asciiTheme="majorBidi" w:hAnsiTheme="majorBidi" w:cs="David"/>
        </w:rPr>
        <w:t>2014, p. 3</w:t>
      </w:r>
      <w:r w:rsidRPr="009B7F64">
        <w:rPr>
          <w:rFonts w:asciiTheme="majorBidi" w:hAnsiTheme="majorBidi" w:cs="David"/>
          <w:rtl/>
        </w:rPr>
        <w:t>.</w:t>
      </w:r>
      <w:r w:rsidRPr="009B7F64">
        <w:rPr>
          <w:rFonts w:asciiTheme="majorBidi" w:hAnsiTheme="majorBidi" w:cs="David"/>
        </w:rPr>
        <w:t xml:space="preserve"> </w:t>
      </w:r>
    </w:p>
  </w:footnote>
  <w:footnote w:id="105">
    <w:p w:rsidR="00FE2909" w:rsidRPr="0065686F" w:rsidRDefault="00FE2909" w:rsidP="00CD1DB5">
      <w:pPr>
        <w:pStyle w:val="a9"/>
        <w:spacing w:after="0" w:line="276" w:lineRule="auto"/>
        <w:rPr>
          <w:rFonts w:asciiTheme="majorBidi" w:hAnsiTheme="majorBidi" w:cs="David"/>
          <w:rtl/>
          <w:lang w:val="en-US"/>
        </w:rPr>
      </w:pPr>
      <w:r w:rsidRPr="009B7F64">
        <w:rPr>
          <w:rStyle w:val="ab"/>
          <w:rFonts w:asciiTheme="majorBidi" w:hAnsiTheme="majorBidi" w:cs="David"/>
        </w:rPr>
        <w:footnoteRef/>
      </w:r>
      <w:r w:rsidR="00CD1DB5">
        <w:rPr>
          <w:rFonts w:asciiTheme="majorBidi" w:hAnsiTheme="majorBidi" w:cs="David" w:hint="cs"/>
          <w:rtl/>
          <w:lang w:val="en-US"/>
        </w:rPr>
        <w:t xml:space="preserve"> שם</w:t>
      </w:r>
      <w:r w:rsidRPr="009B7F64">
        <w:rPr>
          <w:rFonts w:asciiTheme="majorBidi" w:hAnsiTheme="majorBidi" w:cs="David"/>
          <w:rtl/>
        </w:rPr>
        <w:t>.</w:t>
      </w:r>
      <w:r w:rsidRPr="009B7F64">
        <w:rPr>
          <w:rFonts w:asciiTheme="majorBidi" w:hAnsiTheme="majorBidi" w:cs="David"/>
        </w:rPr>
        <w:t xml:space="preserve"> </w:t>
      </w:r>
    </w:p>
  </w:footnote>
  <w:footnote w:id="106">
    <w:p w:rsidR="00FE2909" w:rsidRPr="009B7F64" w:rsidRDefault="00FE2909" w:rsidP="00CD1DB5">
      <w:pPr>
        <w:pStyle w:val="a9"/>
        <w:spacing w:after="0" w:line="276" w:lineRule="auto"/>
        <w:rPr>
          <w:rFonts w:cs="David"/>
          <w:rtl/>
        </w:rPr>
      </w:pPr>
      <w:r w:rsidRPr="009B7F64">
        <w:rPr>
          <w:rStyle w:val="ab"/>
          <w:rFonts w:cs="David"/>
        </w:rPr>
        <w:footnoteRef/>
      </w:r>
      <w:r w:rsidRPr="009B7F64">
        <w:rPr>
          <w:rFonts w:cs="David"/>
          <w:rtl/>
        </w:rPr>
        <w:t xml:space="preserve"> </w:t>
      </w:r>
      <w:r w:rsidRPr="009B7F64">
        <w:rPr>
          <w:rFonts w:cs="David" w:hint="cs"/>
          <w:rtl/>
        </w:rPr>
        <w:t>שם.</w:t>
      </w:r>
    </w:p>
  </w:footnote>
  <w:footnote w:id="107">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שם.</w:t>
      </w:r>
    </w:p>
  </w:footnote>
  <w:footnote w:id="108">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 xml:space="preserve">שם. </w:t>
      </w:r>
      <w:r w:rsidRPr="009B7F64">
        <w:rPr>
          <w:rFonts w:asciiTheme="majorBidi" w:hAnsiTheme="majorBidi" w:cs="David"/>
          <w:rtl/>
        </w:rPr>
        <w:t xml:space="preserve">הגדרה הכוללת בין השאר צרכני סמים על-בסיס יומי, אלו הצורכים סמים באמצעות הזרקה, אלו המאובחנים בהפרעות בעקבות צריכת סמים ועוד. </w:t>
      </w:r>
    </w:p>
  </w:footnote>
  <w:footnote w:id="109">
    <w:p w:rsidR="00FE2909" w:rsidRPr="009B7F64" w:rsidRDefault="00FE2909" w:rsidP="00CD1DB5">
      <w:pPr>
        <w:pStyle w:val="a9"/>
        <w:spacing w:after="0" w:line="276" w:lineRule="auto"/>
        <w:rPr>
          <w:rFonts w:asciiTheme="majorBidi" w:hAnsiTheme="majorBidi" w:cs="David"/>
          <w:rtl/>
          <w:lang w:val="en-US"/>
        </w:rPr>
      </w:pPr>
      <w:r w:rsidRPr="009B7F64">
        <w:rPr>
          <w:rStyle w:val="ab"/>
          <w:rFonts w:asciiTheme="majorBidi" w:hAnsiTheme="majorBidi" w:cs="David"/>
        </w:rPr>
        <w:footnoteRef/>
      </w:r>
      <w:r w:rsidRPr="009B7F64">
        <w:rPr>
          <w:rFonts w:asciiTheme="majorBidi" w:hAnsiTheme="majorBidi" w:cs="David" w:hint="cs"/>
          <w:rtl/>
          <w:lang w:val="en-US"/>
        </w:rPr>
        <w:t xml:space="preserve"> שם.</w:t>
      </w:r>
    </w:p>
  </w:footnote>
  <w:footnote w:id="110">
    <w:p w:rsidR="00FE2909" w:rsidRPr="009B7F64" w:rsidRDefault="00FE2909" w:rsidP="00CD1DB5">
      <w:pPr>
        <w:pStyle w:val="a9"/>
        <w:bidi w:val="0"/>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rPr>
        <w:t xml:space="preserve">World Health Organization, </w:t>
      </w:r>
      <w:hyperlink r:id="rId52" w:history="1">
        <w:r w:rsidRPr="009B7F64">
          <w:rPr>
            <w:rStyle w:val="Hyperlink"/>
            <w:rFonts w:asciiTheme="majorBidi" w:hAnsiTheme="majorBidi" w:cs="David"/>
          </w:rPr>
          <w:t>Global Status Report on Alcohol and Health 2014</w:t>
        </w:r>
      </w:hyperlink>
      <w:r w:rsidRPr="009B7F64">
        <w:rPr>
          <w:rFonts w:asciiTheme="majorBidi" w:hAnsiTheme="majorBidi" w:cs="David"/>
        </w:rPr>
        <w:t>, 20</w:t>
      </w:r>
      <w:r w:rsidRPr="009B7F64">
        <w:rPr>
          <w:rFonts w:asciiTheme="majorBidi" w:hAnsiTheme="majorBidi" w:cs="David"/>
          <w:rtl/>
        </w:rPr>
        <w:t>14</w:t>
      </w:r>
      <w:r w:rsidRPr="009B7F64">
        <w:rPr>
          <w:rFonts w:asciiTheme="majorBidi" w:hAnsiTheme="majorBidi" w:cs="David"/>
        </w:rPr>
        <w:t>, p. 48.</w:t>
      </w:r>
    </w:p>
  </w:footnote>
  <w:footnote w:id="111">
    <w:p w:rsidR="00FE2909" w:rsidRPr="009B7F64" w:rsidRDefault="00FE2909" w:rsidP="007B5846">
      <w:pPr>
        <w:pStyle w:val="a9"/>
        <w:bidi w:val="0"/>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007B5846" w:rsidRPr="009B7F64">
        <w:rPr>
          <w:rFonts w:asciiTheme="majorBidi" w:hAnsiTheme="majorBidi" w:cs="David"/>
        </w:rPr>
        <w:t xml:space="preserve">World Health Organization, </w:t>
      </w:r>
      <w:hyperlink r:id="rId53" w:history="1">
        <w:r w:rsidR="007B5846" w:rsidRPr="009B7F64">
          <w:rPr>
            <w:rStyle w:val="Hyperlink"/>
            <w:rFonts w:asciiTheme="majorBidi" w:hAnsiTheme="majorBidi" w:cs="David"/>
          </w:rPr>
          <w:t>Global Status Report on Alcohol and Health 2014</w:t>
        </w:r>
      </w:hyperlink>
      <w:r w:rsidR="007B5846" w:rsidRPr="009B7F64">
        <w:rPr>
          <w:rFonts w:asciiTheme="majorBidi" w:hAnsiTheme="majorBidi" w:cs="David"/>
        </w:rPr>
        <w:t>, 20</w:t>
      </w:r>
      <w:r w:rsidR="007B5846" w:rsidRPr="009B7F64">
        <w:rPr>
          <w:rFonts w:asciiTheme="majorBidi" w:hAnsiTheme="majorBidi" w:cs="David"/>
          <w:rtl/>
        </w:rPr>
        <w:t>14</w:t>
      </w:r>
      <w:r w:rsidR="007B5846" w:rsidRPr="009B7F64">
        <w:rPr>
          <w:rFonts w:asciiTheme="majorBidi" w:hAnsiTheme="majorBidi" w:cs="David"/>
        </w:rPr>
        <w:t>, p. 4</w:t>
      </w:r>
      <w:r w:rsidR="007B5846">
        <w:rPr>
          <w:rFonts w:asciiTheme="majorBidi" w:hAnsiTheme="majorBidi" w:cs="David" w:hint="cs"/>
          <w:rtl/>
        </w:rPr>
        <w:t>9</w:t>
      </w:r>
      <w:r w:rsidR="007B5846" w:rsidRPr="009B7F64">
        <w:rPr>
          <w:rFonts w:asciiTheme="majorBidi" w:hAnsiTheme="majorBidi" w:cs="David"/>
        </w:rPr>
        <w:t>.</w:t>
      </w:r>
    </w:p>
  </w:footnote>
  <w:footnote w:id="112">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p>
  </w:footnote>
  <w:footnote w:id="113">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p>
  </w:footnote>
  <w:footnote w:id="114">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p>
  </w:footnote>
  <w:footnote w:id="115">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שם, עמ' 8.</w:t>
      </w:r>
    </w:p>
  </w:footnote>
  <w:footnote w:id="116">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שם.</w:t>
      </w:r>
    </w:p>
  </w:footnote>
  <w:footnote w:id="117">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שם, עמ' 7.</w:t>
      </w:r>
    </w:p>
  </w:footnote>
  <w:footnote w:id="118">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שם, עמ' </w:t>
      </w:r>
      <w:r w:rsidRPr="009B7F64">
        <w:rPr>
          <w:rFonts w:asciiTheme="majorBidi" w:hAnsiTheme="majorBidi" w:cs="David" w:hint="cs"/>
          <w:rtl/>
        </w:rPr>
        <w:t>53-52</w:t>
      </w:r>
      <w:r w:rsidRPr="009B7F64">
        <w:rPr>
          <w:rFonts w:asciiTheme="majorBidi" w:hAnsiTheme="majorBidi" w:cs="David"/>
          <w:rtl/>
        </w:rPr>
        <w:t>.</w:t>
      </w:r>
    </w:p>
  </w:footnote>
  <w:footnote w:id="119">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מירי כהן, מנהלת תחום בכיר שירותי הצלה וע"ר, משרד הבריאות, </w:t>
      </w:r>
      <w:r w:rsidRPr="009B7F64">
        <w:rPr>
          <w:rFonts w:asciiTheme="majorBidi" w:hAnsiTheme="majorBidi" w:cs="David" w:hint="cs"/>
          <w:rtl/>
        </w:rPr>
        <w:t>מכתב</w:t>
      </w:r>
      <w:r w:rsidRPr="009B7F64">
        <w:rPr>
          <w:rFonts w:asciiTheme="majorBidi" w:hAnsiTheme="majorBidi" w:cs="David"/>
          <w:rtl/>
        </w:rPr>
        <w:t>, 19 מרץ 2015.</w:t>
      </w:r>
    </w:p>
  </w:footnote>
  <w:footnote w:id="120">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מירי כהן, מנהלת תחום בכיר שירותי הצלה וע"ר, משרד הבריאות, </w:t>
      </w:r>
      <w:r w:rsidRPr="009B7F64">
        <w:rPr>
          <w:rFonts w:asciiTheme="majorBidi" w:hAnsiTheme="majorBidi" w:cs="David" w:hint="cs"/>
          <w:rtl/>
        </w:rPr>
        <w:t>מכתב</w:t>
      </w:r>
      <w:r w:rsidRPr="009B7F64">
        <w:rPr>
          <w:rFonts w:asciiTheme="majorBidi" w:hAnsiTheme="majorBidi" w:cs="David"/>
          <w:rtl/>
        </w:rPr>
        <w:t>, 19 מרץ 2015.</w:t>
      </w:r>
    </w:p>
  </w:footnote>
  <w:footnote w:id="121">
    <w:p w:rsidR="00FE2909" w:rsidRPr="009B7F64" w:rsidRDefault="00FE2909" w:rsidP="00CD1DB5">
      <w:pPr>
        <w:pStyle w:val="a9"/>
        <w:spacing w:after="0" w:line="276" w:lineRule="auto"/>
        <w:rPr>
          <w:rFonts w:cs="David"/>
        </w:rPr>
      </w:pPr>
      <w:r w:rsidRPr="009B7F64">
        <w:rPr>
          <w:rFonts w:cs="David" w:hint="cs"/>
          <w:rtl/>
        </w:rPr>
        <w:t xml:space="preserve"> </w:t>
      </w:r>
      <w:r w:rsidRPr="009B7F64">
        <w:rPr>
          <w:rStyle w:val="ab"/>
          <w:rFonts w:cs="David"/>
        </w:rPr>
        <w:footnoteRef/>
      </w:r>
      <w:r w:rsidRPr="009B7F64">
        <w:rPr>
          <w:rFonts w:cs="David" w:hint="cs"/>
          <w:rtl/>
        </w:rPr>
        <w:t xml:space="preserve"> "דברי הכנסת" ה- 12, מושב 35, </w:t>
      </w:r>
      <w:r w:rsidRPr="009B7F64">
        <w:rPr>
          <w:rFonts w:cs="David" w:hint="cs"/>
          <w:u w:val="single"/>
          <w:rtl/>
        </w:rPr>
        <w:t>הצעת וועדת הכנסת להקים ועדה למלחמה בנגע הסמים</w:t>
      </w:r>
      <w:r w:rsidRPr="009B7F64">
        <w:rPr>
          <w:rFonts w:cs="David" w:hint="cs"/>
          <w:rtl/>
        </w:rPr>
        <w:t>, 14 בפברואר 1989.</w:t>
      </w:r>
    </w:p>
  </w:footnote>
  <w:footnote w:id="122">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"דינה של ועדה לעניין מסוים כדין ועדה קבועה לכל דבר, פרט לתקופת כהונתה", שהיא למשך כהונתה של הכנסת בה נבחרה. סעיף 108, </w:t>
      </w:r>
      <w:hyperlink r:id="rId54" w:history="1">
        <w:r w:rsidRPr="009B7F64">
          <w:rPr>
            <w:rStyle w:val="Hyperlink"/>
            <w:rFonts w:cs="David" w:hint="cs"/>
            <w:rtl/>
          </w:rPr>
          <w:t>תקנון הכנסת</w:t>
        </w:r>
      </w:hyperlink>
      <w:r w:rsidRPr="009B7F64">
        <w:rPr>
          <w:rFonts w:cs="David" w:hint="cs"/>
          <w:rtl/>
        </w:rPr>
        <w:t>, 4 בפברואר 2015.</w:t>
      </w:r>
    </w:p>
  </w:footnote>
  <w:footnote w:id="123">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ועדת הכנסת, פרוטוקול מס' 58, 23 בדצמבר 2013; "דברי הכנסת" ה- 19, מושב 95, עמ' 25, 24 לדצמבר 2013.</w:t>
      </w:r>
    </w:p>
  </w:footnote>
  <w:footnote w:id="124">
    <w:p w:rsidR="00FE2909" w:rsidRDefault="00FE2909" w:rsidP="00EB1406">
      <w:pPr>
        <w:pStyle w:val="a9"/>
        <w:spacing w:after="0"/>
      </w:pPr>
      <w:r>
        <w:rPr>
          <w:rStyle w:val="ab"/>
        </w:rPr>
        <w:footnoteRef/>
      </w:r>
      <w:r>
        <w:rPr>
          <w:rtl/>
        </w:rPr>
        <w:t xml:space="preserve"> </w:t>
      </w:r>
      <w:r>
        <w:rPr>
          <w:rFonts w:hint="cs"/>
          <w:rtl/>
        </w:rPr>
        <w:t xml:space="preserve">עו"ד ארבל אסטרחן, הלשכה המשפטית של הכנסת, שיחת טלפון, </w:t>
      </w:r>
      <w:r w:rsidR="00EB1406">
        <w:rPr>
          <w:rFonts w:hint="cs"/>
          <w:rtl/>
        </w:rPr>
        <w:t>16 ביוני 2015</w:t>
      </w:r>
      <w:r>
        <w:rPr>
          <w:rFonts w:hint="cs"/>
          <w:rtl/>
        </w:rPr>
        <w:t>.</w:t>
      </w:r>
    </w:p>
  </w:footnote>
  <w:footnote w:id="125">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55" w:history="1">
        <w:r w:rsidRPr="009B7F64">
          <w:rPr>
            <w:rStyle w:val="Hyperlink"/>
            <w:rFonts w:cs="David" w:hint="cs"/>
            <w:rtl/>
          </w:rPr>
          <w:t>חוק הרשות הלאומית למלחמה בסמים ובשימוש לרעה באלכוהול</w:t>
        </w:r>
        <w:r w:rsidRPr="009B7F64">
          <w:rPr>
            <w:rStyle w:val="Hyperlink"/>
            <w:rFonts w:cs="David" w:hint="cs"/>
          </w:rPr>
          <w:t>, </w:t>
        </w:r>
        <w:r w:rsidRPr="009B7F64">
          <w:rPr>
            <w:rStyle w:val="Hyperlink"/>
            <w:rFonts w:cs="David" w:hint="cs"/>
            <w:rtl/>
          </w:rPr>
          <w:t xml:space="preserve"> תשמ"ח-1988</w:t>
        </w:r>
      </w:hyperlink>
      <w:r w:rsidRPr="009B7F64">
        <w:rPr>
          <w:rFonts w:cs="David" w:hint="cs"/>
          <w:color w:val="000000"/>
          <w:rtl/>
        </w:rPr>
        <w:t>.</w:t>
      </w:r>
    </w:p>
  </w:footnote>
  <w:footnote w:id="126">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החלטת ממשלה מס' 3687, </w:t>
      </w:r>
      <w:r w:rsidRPr="009B7F64">
        <w:rPr>
          <w:rFonts w:cs="David" w:hint="cs"/>
          <w:u w:val="single"/>
          <w:rtl/>
        </w:rPr>
        <w:t>תופעת האלימות בחברה הישראלית</w:t>
      </w:r>
      <w:r w:rsidRPr="009B7F64">
        <w:rPr>
          <w:rFonts w:cs="David" w:hint="cs"/>
          <w:rtl/>
        </w:rPr>
        <w:t>, 5 ביוני 2005.</w:t>
      </w:r>
    </w:p>
  </w:footnote>
  <w:footnote w:id="127">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סעיף 1, </w:t>
      </w:r>
      <w:hyperlink r:id="rId56" w:history="1">
        <w:r w:rsidRPr="009B7F64">
          <w:rPr>
            <w:rStyle w:val="Hyperlink"/>
            <w:rFonts w:cs="David" w:hint="cs"/>
            <w:rtl/>
          </w:rPr>
          <w:t>חוק הרשות הלאומית למלחמה בסמים ובשימוש לרעה באלכוהול</w:t>
        </w:r>
        <w:r w:rsidRPr="009B7F64">
          <w:rPr>
            <w:rStyle w:val="Hyperlink"/>
            <w:rFonts w:cs="David" w:hint="cs"/>
          </w:rPr>
          <w:t>, </w:t>
        </w:r>
        <w:r w:rsidRPr="009B7F64">
          <w:rPr>
            <w:rStyle w:val="Hyperlink"/>
            <w:rFonts w:cs="David" w:hint="cs"/>
            <w:rtl/>
          </w:rPr>
          <w:t xml:space="preserve"> תשמ"ח-1988</w:t>
        </w:r>
      </w:hyperlink>
      <w:r w:rsidRPr="009B7F64">
        <w:rPr>
          <w:rFonts w:cs="David" w:hint="cs"/>
          <w:color w:val="000000"/>
          <w:rtl/>
        </w:rPr>
        <w:t>.</w:t>
      </w:r>
    </w:p>
  </w:footnote>
  <w:footnote w:id="128">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החלטת ממשלה מס' 44</w:t>
      </w:r>
      <w:r w:rsidRPr="009B7F64">
        <w:rPr>
          <w:rFonts w:cs="David" w:hint="cs"/>
          <w:rtl/>
        </w:rPr>
        <w:t>,</w:t>
      </w:r>
      <w:r w:rsidRPr="009B7F64">
        <w:rPr>
          <w:rFonts w:cs="David"/>
          <w:rtl/>
        </w:rPr>
        <w:t xml:space="preserve"> </w:t>
      </w:r>
      <w:hyperlink r:id="rId57" w:history="1">
        <w:r w:rsidRPr="009B7F64">
          <w:rPr>
            <w:rStyle w:val="Hyperlink"/>
            <w:rFonts w:cs="David"/>
            <w:rtl/>
          </w:rPr>
          <w:t>הרשות הלאומית למלחמה בסמים - העברת סמכויות</w:t>
        </w:r>
      </w:hyperlink>
      <w:r w:rsidRPr="009B7F64">
        <w:rPr>
          <w:rFonts w:cs="David" w:hint="cs"/>
          <w:rtl/>
        </w:rPr>
        <w:t>, 26 באפריל 2009.</w:t>
      </w:r>
    </w:p>
  </w:footnote>
  <w:footnote w:id="129">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58" w:history="1">
        <w:r w:rsidRPr="009B7F64">
          <w:rPr>
            <w:rStyle w:val="Hyperlink"/>
            <w:rFonts w:cs="David" w:hint="cs"/>
            <w:rtl/>
          </w:rPr>
          <w:t>פקודת הסמים המסוכנים [נוסח חדש], התשל"ג-1973</w:t>
        </w:r>
      </w:hyperlink>
      <w:r w:rsidRPr="009B7F64">
        <w:rPr>
          <w:rStyle w:val="Hyperlink"/>
          <w:rFonts w:cs="David" w:hint="cs"/>
          <w:u w:val="none"/>
          <w:rtl/>
        </w:rPr>
        <w:t xml:space="preserve"> .</w:t>
      </w:r>
    </w:p>
  </w:footnote>
  <w:footnote w:id="130">
    <w:p w:rsidR="00FE2909" w:rsidRPr="009B7F64" w:rsidRDefault="00FE2909" w:rsidP="00CD1DB5">
      <w:pPr>
        <w:pStyle w:val="a9"/>
        <w:spacing w:after="0" w:line="276" w:lineRule="auto"/>
        <w:rPr>
          <w:rFonts w:cs="David"/>
          <w:rtl/>
        </w:rPr>
      </w:pPr>
      <w:r w:rsidRPr="009B7F64">
        <w:rPr>
          <w:rStyle w:val="ab"/>
          <w:rFonts w:cs="David"/>
        </w:rPr>
        <w:footnoteRef/>
      </w:r>
      <w:r w:rsidRPr="009B7F64">
        <w:rPr>
          <w:rFonts w:cs="David"/>
          <w:rtl/>
        </w:rPr>
        <w:t xml:space="preserve"> </w:t>
      </w:r>
      <w:r w:rsidRPr="009B7F64">
        <w:rPr>
          <w:rFonts w:cs="David" w:hint="cs"/>
          <w:rtl/>
        </w:rPr>
        <w:t>סעיף 1 ב</w:t>
      </w:r>
      <w:hyperlink r:id="rId59" w:history="1">
        <w:r w:rsidRPr="009B7F64">
          <w:rPr>
            <w:rStyle w:val="Hyperlink"/>
            <w:rFonts w:cs="David" w:hint="cs"/>
            <w:rtl/>
          </w:rPr>
          <w:t>פקודת הסמים המסוכנים [נוסח חדש], התשל"ג-1973</w:t>
        </w:r>
      </w:hyperlink>
      <w:r w:rsidRPr="009B7F64">
        <w:rPr>
          <w:rFonts w:cs="David" w:hint="cs"/>
          <w:rtl/>
        </w:rPr>
        <w:t xml:space="preserve"> קובע כי המנהל הוא "</w:t>
      </w:r>
      <w:r w:rsidRPr="009B7F64">
        <w:rPr>
          <w:rFonts w:cs="David"/>
          <w:rtl/>
        </w:rPr>
        <w:t>המנהל הכללי של משרד הבריאות או מי שהמנהל הסמיכו לעני</w:t>
      </w:r>
      <w:r w:rsidRPr="009B7F64">
        <w:rPr>
          <w:rFonts w:cs="David" w:hint="cs"/>
          <w:rtl/>
        </w:rPr>
        <w:t>י</w:t>
      </w:r>
      <w:r w:rsidRPr="009B7F64">
        <w:rPr>
          <w:rFonts w:cs="David"/>
          <w:rtl/>
        </w:rPr>
        <w:t>ן הנדון</w:t>
      </w:r>
      <w:r w:rsidRPr="009B7F64">
        <w:rPr>
          <w:rFonts w:cs="David" w:hint="cs"/>
          <w:rtl/>
        </w:rPr>
        <w:t>".</w:t>
      </w:r>
    </w:p>
  </w:footnote>
  <w:footnote w:id="131">
    <w:p w:rsidR="00FE2909" w:rsidRPr="009B7F64" w:rsidRDefault="00FE2909" w:rsidP="00CD1DB5">
      <w:pPr>
        <w:pStyle w:val="a9"/>
        <w:spacing w:after="0" w:line="276" w:lineRule="auto"/>
        <w:rPr>
          <w:rFonts w:cs="David"/>
          <w:rtl/>
        </w:rPr>
      </w:pPr>
      <w:r w:rsidRPr="009B7F64">
        <w:rPr>
          <w:rStyle w:val="ab"/>
          <w:rFonts w:cs="David"/>
        </w:rPr>
        <w:footnoteRef/>
      </w:r>
      <w:r w:rsidRPr="009B7F64">
        <w:rPr>
          <w:rFonts w:cs="David"/>
          <w:rtl/>
        </w:rPr>
        <w:t xml:space="preserve"> </w:t>
      </w:r>
      <w:hyperlink r:id="rId60" w:history="1">
        <w:r w:rsidRPr="009B7F64">
          <w:rPr>
            <w:rStyle w:val="Hyperlink"/>
            <w:rFonts w:cs="David" w:hint="cs"/>
            <w:rtl/>
          </w:rPr>
          <w:t>פקודת הסמים המסוכנים [נוסח חדש], התשל"ג-1973</w:t>
        </w:r>
      </w:hyperlink>
      <w:r w:rsidRPr="009B7F64">
        <w:rPr>
          <w:rStyle w:val="Hyperlink"/>
          <w:rFonts w:cs="David" w:hint="cs"/>
          <w:u w:val="none"/>
          <w:rtl/>
        </w:rPr>
        <w:t xml:space="preserve"> .</w:t>
      </w:r>
    </w:p>
  </w:footnote>
  <w:footnote w:id="132">
    <w:p w:rsidR="00FE2909" w:rsidRPr="009B7F64" w:rsidRDefault="00FE2909" w:rsidP="00CD1DB5">
      <w:pPr>
        <w:pStyle w:val="a9"/>
        <w:spacing w:after="0" w:line="276" w:lineRule="auto"/>
        <w:rPr>
          <w:rFonts w:cs="David"/>
          <w:rtl/>
        </w:rPr>
      </w:pPr>
      <w:r w:rsidRPr="009B7F64">
        <w:rPr>
          <w:rStyle w:val="ab"/>
          <w:rFonts w:cs="David"/>
        </w:rPr>
        <w:footnoteRef/>
      </w:r>
      <w:r w:rsidRPr="009B7F64">
        <w:rPr>
          <w:rFonts w:cs="David"/>
          <w:rtl/>
        </w:rPr>
        <w:t xml:space="preserve"> </w:t>
      </w:r>
      <w:r w:rsidRPr="009B7F64">
        <w:rPr>
          <w:rFonts w:cs="David" w:hint="cs"/>
          <w:rtl/>
        </w:rPr>
        <w:t xml:space="preserve">התוספת השנייה, </w:t>
      </w:r>
      <w:hyperlink r:id="rId61" w:history="1">
        <w:r w:rsidRPr="009B7F64">
          <w:rPr>
            <w:rStyle w:val="Hyperlink"/>
            <w:rFonts w:cs="David" w:hint="cs"/>
            <w:rtl/>
          </w:rPr>
          <w:t>פקודת הסמים המסוכנים [נוסח חדש], התשל"ג-1973</w:t>
        </w:r>
      </w:hyperlink>
      <w:r w:rsidRPr="009B7F64">
        <w:rPr>
          <w:rStyle w:val="Hyperlink"/>
          <w:rFonts w:cs="David" w:hint="cs"/>
          <w:u w:val="none"/>
          <w:rtl/>
        </w:rPr>
        <w:t xml:space="preserve"> .</w:t>
      </w:r>
    </w:p>
  </w:footnote>
  <w:footnote w:id="133">
    <w:p w:rsidR="00FE2909" w:rsidRPr="009B7F64" w:rsidRDefault="00FE2909" w:rsidP="00CD1DB5">
      <w:pPr>
        <w:pStyle w:val="a9"/>
        <w:spacing w:after="0" w:line="276" w:lineRule="auto"/>
        <w:rPr>
          <w:rFonts w:cs="David"/>
          <w:rtl/>
        </w:rPr>
      </w:pPr>
      <w:r w:rsidRPr="009B7F64">
        <w:rPr>
          <w:rStyle w:val="ab"/>
          <w:rFonts w:cs="David"/>
        </w:rPr>
        <w:footnoteRef/>
      </w:r>
      <w:r w:rsidRPr="009B7F64">
        <w:rPr>
          <w:rFonts w:cs="David"/>
          <w:rtl/>
        </w:rPr>
        <w:t xml:space="preserve"> </w:t>
      </w:r>
      <w:r w:rsidRPr="009B7F64">
        <w:rPr>
          <w:rFonts w:cs="David" w:hint="cs"/>
          <w:rtl/>
        </w:rPr>
        <w:t>המתדון ניתן כטיפול למכורים להרואין בתחנות חלוקה ברחבי הארץ.</w:t>
      </w:r>
    </w:p>
  </w:footnote>
  <w:footnote w:id="134">
    <w:p w:rsidR="00FE2909" w:rsidRPr="009B7F64" w:rsidRDefault="00FE2909" w:rsidP="00CD1DB5">
      <w:pPr>
        <w:pStyle w:val="a9"/>
        <w:spacing w:after="0" w:line="276" w:lineRule="auto"/>
        <w:rPr>
          <w:rFonts w:cs="David"/>
          <w:rtl/>
        </w:rPr>
      </w:pPr>
      <w:r w:rsidRPr="009B7F64">
        <w:rPr>
          <w:rStyle w:val="ab"/>
          <w:rFonts w:cs="David"/>
        </w:rPr>
        <w:footnoteRef/>
      </w:r>
      <w:r w:rsidRPr="009B7F64">
        <w:rPr>
          <w:rFonts w:cs="David"/>
          <w:rtl/>
        </w:rPr>
        <w:t xml:space="preserve"> </w:t>
      </w:r>
      <w:r w:rsidRPr="009B7F64">
        <w:rPr>
          <w:rFonts w:cs="David" w:hint="cs"/>
          <w:rtl/>
        </w:rPr>
        <w:t xml:space="preserve">"גרם נטו" </w:t>
      </w:r>
      <w:r w:rsidRPr="009B7F64">
        <w:rPr>
          <w:rFonts w:cs="David"/>
          <w:rtl/>
        </w:rPr>
        <w:t>–</w:t>
      </w:r>
      <w:r w:rsidRPr="009B7F64">
        <w:rPr>
          <w:rFonts w:cs="David" w:hint="cs"/>
          <w:rtl/>
        </w:rPr>
        <w:t xml:space="preserve"> "משקל הסם המסוכן נטו מתוך כלל משקל התכשיר, התרכובת, התערובת או התמיסה". ראו </w:t>
      </w:r>
      <w:hyperlink r:id="rId62" w:history="1">
        <w:r w:rsidRPr="009B7F64">
          <w:rPr>
            <w:rStyle w:val="Hyperlink"/>
            <w:rFonts w:cs="David" w:hint="cs"/>
            <w:rtl/>
          </w:rPr>
          <w:t>פקודת הסמים המסוכנים [נוסח חדש], התשל"ג-1973</w:t>
        </w:r>
      </w:hyperlink>
      <w:r w:rsidRPr="009B7F64">
        <w:rPr>
          <w:rStyle w:val="Hyperlink"/>
          <w:rFonts w:cs="David" w:hint="cs"/>
          <w:u w:val="none"/>
          <w:rtl/>
        </w:rPr>
        <w:t xml:space="preserve"> .</w:t>
      </w:r>
    </w:p>
  </w:footnote>
  <w:footnote w:id="135">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63" w:history="1">
        <w:r w:rsidRPr="009B7F64">
          <w:rPr>
            <w:rStyle w:val="Hyperlink"/>
            <w:rFonts w:cs="David" w:hint="cs"/>
            <w:rtl/>
          </w:rPr>
          <w:t>חוק המאבק בתופעת השימוש בחומרים מסכנים, התשע"ג-2013</w:t>
        </w:r>
      </w:hyperlink>
      <w:r w:rsidRPr="009B7F64">
        <w:rPr>
          <w:rFonts w:cs="David" w:hint="cs"/>
          <w:rtl/>
        </w:rPr>
        <w:t>.</w:t>
      </w:r>
    </w:p>
  </w:footnote>
  <w:footnote w:id="136">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הצעת חוק הממשלה </w:t>
      </w:r>
      <w:r w:rsidRPr="009B7F64">
        <w:rPr>
          <w:rFonts w:cs="David"/>
          <w:rtl/>
        </w:rPr>
        <w:t>–</w:t>
      </w:r>
      <w:r w:rsidRPr="009B7F64">
        <w:rPr>
          <w:rFonts w:cs="David" w:hint="cs"/>
          <w:rtl/>
        </w:rPr>
        <w:t xml:space="preserve"> 783, </w:t>
      </w:r>
      <w:hyperlink r:id="rId64" w:history="1">
        <w:r w:rsidRPr="009B7F64">
          <w:rPr>
            <w:rStyle w:val="Hyperlink"/>
            <w:rFonts w:cs="David" w:hint="cs"/>
            <w:rtl/>
          </w:rPr>
          <w:t>הצעת חוק המאבק בתופעת השימוש בחומרים מסכנים, התשע"ג-2013</w:t>
        </w:r>
      </w:hyperlink>
      <w:r w:rsidRPr="009B7F64">
        <w:rPr>
          <w:rFonts w:cs="David" w:hint="cs"/>
          <w:rtl/>
        </w:rPr>
        <w:t>, 3 יולי 2013.</w:t>
      </w:r>
    </w:p>
  </w:footnote>
  <w:footnote w:id="137">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סעיף 2(א)(1) ו- 2(א)(2), </w:t>
      </w:r>
      <w:hyperlink r:id="rId65" w:history="1">
        <w:r w:rsidRPr="009B7F64">
          <w:rPr>
            <w:rStyle w:val="Hyperlink"/>
            <w:rFonts w:cs="David" w:hint="cs"/>
            <w:rtl/>
          </w:rPr>
          <w:t>חוק המאבק בתופעת השימוש בחומרים מסכנים, התשע"ג-2013</w:t>
        </w:r>
      </w:hyperlink>
      <w:r w:rsidRPr="009B7F64">
        <w:rPr>
          <w:rFonts w:cs="David" w:hint="cs"/>
          <w:rtl/>
        </w:rPr>
        <w:t>.</w:t>
      </w:r>
    </w:p>
  </w:footnote>
  <w:footnote w:id="138">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ניתן להאריך את תוקפה של ההכרזה פעם אחת בלבד וזאת למשך שלושה חודשים. </w:t>
      </w:r>
    </w:p>
  </w:footnote>
  <w:footnote w:id="139">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פרק ג', סעיפים 5.(א)(ב), 6.(א)(ב)(ג)(ד), </w:t>
      </w:r>
      <w:hyperlink r:id="rId66" w:history="1">
        <w:r w:rsidRPr="009B7F64">
          <w:rPr>
            <w:rStyle w:val="Hyperlink"/>
            <w:rFonts w:cs="David" w:hint="cs"/>
            <w:rtl/>
          </w:rPr>
          <w:t>חוק המאבק בתופעת השימוש בחומרים מסכנים, התשע"ג-2013</w:t>
        </w:r>
      </w:hyperlink>
      <w:r w:rsidRPr="009B7F64">
        <w:rPr>
          <w:rFonts w:cs="David" w:hint="cs"/>
          <w:rtl/>
        </w:rPr>
        <w:t>.</w:t>
      </w:r>
    </w:p>
  </w:footnote>
  <w:footnote w:id="140">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סעיף </w:t>
      </w:r>
      <w:r w:rsidRPr="009B7F64">
        <w:rPr>
          <w:rFonts w:cs="David"/>
          <w:rtl/>
        </w:rPr>
        <w:t>12(ב)</w:t>
      </w:r>
      <w:r w:rsidRPr="009B7F64">
        <w:rPr>
          <w:rFonts w:cs="David" w:hint="cs"/>
          <w:rtl/>
        </w:rPr>
        <w:t xml:space="preserve">, </w:t>
      </w:r>
      <w:hyperlink r:id="rId67" w:history="1">
        <w:r w:rsidRPr="009B7F64">
          <w:rPr>
            <w:rStyle w:val="Hyperlink"/>
            <w:rFonts w:cs="David" w:hint="cs"/>
            <w:rtl/>
          </w:rPr>
          <w:t>חוק המאבק בתופעת השימוש בחומרים מסכנים, התשע"ג-2013</w:t>
        </w:r>
      </w:hyperlink>
      <w:r w:rsidRPr="009B7F64">
        <w:rPr>
          <w:rFonts w:cs="David" w:hint="cs"/>
          <w:rtl/>
        </w:rPr>
        <w:t>.</w:t>
      </w:r>
    </w:p>
  </w:footnote>
  <w:footnote w:id="141">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סימן ג', </w:t>
      </w:r>
      <w:hyperlink r:id="rId68" w:history="1">
        <w:r w:rsidRPr="009B7F64">
          <w:rPr>
            <w:rStyle w:val="Hyperlink"/>
            <w:rFonts w:cs="David" w:hint="cs"/>
            <w:rtl/>
          </w:rPr>
          <w:t>פקודת הסמים המסוכנים [נוסח חדש], התשל"ג-1973</w:t>
        </w:r>
      </w:hyperlink>
      <w:r w:rsidRPr="009B7F64">
        <w:rPr>
          <w:rStyle w:val="Hyperlink"/>
          <w:rFonts w:cs="David" w:hint="cs"/>
          <w:u w:val="none"/>
          <w:rtl/>
        </w:rPr>
        <w:t xml:space="preserve"> .</w:t>
      </w:r>
    </w:p>
  </w:footnote>
  <w:footnote w:id="142">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פרק ד', סעיפים 11(א)(ב) ו- 13(1)(2), </w:t>
      </w:r>
      <w:hyperlink r:id="rId69" w:history="1">
        <w:r w:rsidRPr="009B7F64">
          <w:rPr>
            <w:rStyle w:val="Hyperlink"/>
            <w:rFonts w:cs="David" w:hint="cs"/>
            <w:rtl/>
          </w:rPr>
          <w:t>חוק המאבק בתופעת השימוש בחומרים מסכנים, התשע"ג-2013</w:t>
        </w:r>
      </w:hyperlink>
      <w:r w:rsidRPr="009B7F64">
        <w:rPr>
          <w:rFonts w:cs="David" w:hint="cs"/>
          <w:rtl/>
        </w:rPr>
        <w:t>.</w:t>
      </w:r>
    </w:p>
  </w:footnote>
  <w:footnote w:id="143">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70" w:history="1">
        <w:r w:rsidRPr="009B7F64">
          <w:rPr>
            <w:rStyle w:val="Hyperlink"/>
            <w:rFonts w:cs="David" w:hint="cs"/>
            <w:rtl/>
          </w:rPr>
          <w:t>חוק הפיקוח על מוסדות לטיפול במשתמשים בסמים, התשנ"ג-1993</w:t>
        </w:r>
      </w:hyperlink>
      <w:r w:rsidRPr="009B7F64">
        <w:rPr>
          <w:rFonts w:cs="David" w:hint="cs"/>
          <w:rtl/>
        </w:rPr>
        <w:t>.</w:t>
      </w:r>
    </w:p>
  </w:footnote>
  <w:footnote w:id="144">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ד"ר אנטולי מרגוליס, מפקח ארצי וסגן מנהלת המחלקה לטיפול בהתמכרויות, משרד הבריאות, מכתב, 30 באפריל 2015.</w:t>
      </w:r>
    </w:p>
  </w:footnote>
  <w:footnote w:id="145">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71" w:history="1">
        <w:r w:rsidRPr="009B7F64">
          <w:rPr>
            <w:rStyle w:val="Hyperlink"/>
            <w:rFonts w:cs="David" w:hint="cs"/>
            <w:rtl/>
          </w:rPr>
          <w:t>חוק המאבק בתופעת השכרות, התש"ע-2010</w:t>
        </w:r>
      </w:hyperlink>
      <w:r w:rsidRPr="009B7F64">
        <w:rPr>
          <w:rFonts w:cs="David" w:hint="cs"/>
          <w:rtl/>
        </w:rPr>
        <w:t>.</w:t>
      </w:r>
    </w:p>
  </w:footnote>
  <w:footnote w:id="146">
    <w:p w:rsidR="00FE2909" w:rsidRPr="009B7F64" w:rsidRDefault="00FE2909" w:rsidP="00CD1DB5">
      <w:pPr>
        <w:pStyle w:val="a9"/>
        <w:spacing w:after="0" w:line="276" w:lineRule="auto"/>
        <w:rPr>
          <w:rFonts w:cs="David"/>
          <w:highlight w:val="yellow"/>
        </w:rPr>
      </w:pPr>
      <w:r w:rsidRPr="009B7F64">
        <w:rPr>
          <w:rStyle w:val="ab"/>
          <w:rFonts w:cs="David"/>
        </w:rPr>
        <w:footnoteRef/>
      </w:r>
      <w:hyperlink r:id="rId72" w:history="1">
        <w:r w:rsidRPr="009B7F64">
          <w:rPr>
            <w:rStyle w:val="Hyperlink"/>
            <w:rFonts w:cs="David" w:hint="cs"/>
            <w:rtl/>
          </w:rPr>
          <w:t>חוק המאבק בתופעת השכרות (הוראת שעה ותיקון חקיקה) (תיקון), התשע"ג-2013</w:t>
        </w:r>
      </w:hyperlink>
      <w:r w:rsidRPr="009B7F64">
        <w:rPr>
          <w:rFonts w:cs="David" w:hint="cs"/>
          <w:rtl/>
        </w:rPr>
        <w:t>.</w:t>
      </w:r>
    </w:p>
  </w:footnote>
  <w:footnote w:id="147">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סעיפים 7.(א) ו- 7.(ב) ב</w:t>
      </w:r>
      <w:hyperlink r:id="rId73" w:history="1">
        <w:r w:rsidRPr="009B7F64">
          <w:rPr>
            <w:rStyle w:val="Hyperlink"/>
            <w:rFonts w:cs="David" w:hint="cs"/>
            <w:rtl/>
          </w:rPr>
          <w:t>חוק המאבק בתופעת השכרות, התש"ע-2010</w:t>
        </w:r>
      </w:hyperlink>
      <w:r w:rsidRPr="009B7F64">
        <w:rPr>
          <w:rFonts w:cs="David" w:hint="cs"/>
          <w:rtl/>
        </w:rPr>
        <w:t>.</w:t>
      </w:r>
    </w:p>
  </w:footnote>
  <w:footnote w:id="148">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74" w:history="1">
        <w:r w:rsidRPr="009B7F64">
          <w:rPr>
            <w:rStyle w:val="Hyperlink"/>
            <w:rFonts w:cs="David"/>
            <w:rtl/>
          </w:rPr>
          <w:t>חוק הגבלת הפרסומת והשיווק של משקאות אלכוהוליים, התשע"ב</w:t>
        </w:r>
        <w:r w:rsidRPr="009B7F64">
          <w:rPr>
            <w:rStyle w:val="Hyperlink"/>
            <w:rFonts w:cs="David" w:hint="cs"/>
            <w:rtl/>
          </w:rPr>
          <w:t>-</w:t>
        </w:r>
        <w:r w:rsidRPr="009B7F64">
          <w:rPr>
            <w:rStyle w:val="Hyperlink"/>
            <w:rFonts w:cs="David"/>
            <w:rtl/>
          </w:rPr>
          <w:t>2012</w:t>
        </w:r>
      </w:hyperlink>
      <w:r w:rsidRPr="009B7F64">
        <w:rPr>
          <w:rFonts w:cs="David" w:hint="cs"/>
          <w:rtl/>
        </w:rPr>
        <w:t>.</w:t>
      </w:r>
    </w:p>
  </w:footnote>
  <w:footnote w:id="149">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ועדת הכלכלה , פרוטוקול מס' 909, </w:t>
      </w:r>
      <w:hyperlink r:id="rId75" w:history="1">
        <w:r w:rsidRPr="009B7F64">
          <w:rPr>
            <w:rStyle w:val="Hyperlink"/>
            <w:rFonts w:cs="David" w:hint="cs"/>
            <w:rtl/>
          </w:rPr>
          <w:t>תקנות הגבלת הפרסומת והשיווק של משקאות אלכוהוליים (סימון אזהרה), התשע"ב 2012</w:t>
        </w:r>
      </w:hyperlink>
      <w:r w:rsidRPr="009B7F64">
        <w:rPr>
          <w:rFonts w:cs="David" w:hint="cs"/>
          <w:rtl/>
        </w:rPr>
        <w:t>, 9 ביולי 2012.</w:t>
      </w:r>
    </w:p>
  </w:footnote>
  <w:footnote w:id="150">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ועדת הכלכלה, פרוטוקול מס' 71, </w:t>
      </w:r>
      <w:hyperlink r:id="rId76" w:history="1">
        <w:r w:rsidRPr="009B7F64">
          <w:rPr>
            <w:rStyle w:val="Hyperlink"/>
            <w:rFonts w:cs="David" w:hint="cs"/>
            <w:rtl/>
          </w:rPr>
          <w:t>תקנות הגבלת הפרסומת והשיווק של משקאות אלכוהוליים (סימון אזהרה), התשע"ג-2013</w:t>
        </w:r>
      </w:hyperlink>
      <w:r w:rsidRPr="009B7F64">
        <w:rPr>
          <w:rFonts w:cs="David" w:hint="cs"/>
          <w:rtl/>
        </w:rPr>
        <w:t>, 30 ביולי 2013.</w:t>
      </w:r>
    </w:p>
  </w:footnote>
  <w:footnote w:id="151">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סעיף 13(א), </w:t>
      </w:r>
      <w:hyperlink r:id="rId77" w:history="1">
        <w:r w:rsidRPr="009B7F64">
          <w:rPr>
            <w:rStyle w:val="Hyperlink"/>
            <w:rFonts w:cs="David"/>
            <w:rtl/>
          </w:rPr>
          <w:t>חוק הגבלת הפרסומת והשיווק של משקאות אלכוהוליים, התשע"ב</w:t>
        </w:r>
        <w:r w:rsidRPr="009B7F64">
          <w:rPr>
            <w:rStyle w:val="Hyperlink"/>
            <w:rFonts w:cs="David" w:hint="cs"/>
            <w:rtl/>
          </w:rPr>
          <w:t>-</w:t>
        </w:r>
        <w:r w:rsidRPr="009B7F64">
          <w:rPr>
            <w:rStyle w:val="Hyperlink"/>
            <w:rFonts w:cs="David"/>
            <w:rtl/>
          </w:rPr>
          <w:t>2012</w:t>
        </w:r>
      </w:hyperlink>
      <w:r w:rsidRPr="009B7F64">
        <w:rPr>
          <w:rFonts w:cs="David" w:hint="cs"/>
          <w:rtl/>
        </w:rPr>
        <w:t>.</w:t>
      </w:r>
    </w:p>
  </w:footnote>
  <w:footnote w:id="152">
    <w:p w:rsidR="00FE2909" w:rsidRPr="009B7F64" w:rsidRDefault="00FE2909" w:rsidP="00CD1DB5">
      <w:pPr>
        <w:pStyle w:val="a9"/>
        <w:spacing w:after="0" w:line="276" w:lineRule="auto"/>
        <w:rPr>
          <w:rFonts w:cs="David"/>
          <w:rtl/>
        </w:rPr>
      </w:pPr>
      <w:r w:rsidRPr="009B7F64">
        <w:rPr>
          <w:rStyle w:val="ab"/>
          <w:rFonts w:cs="David"/>
        </w:rPr>
        <w:footnoteRef/>
      </w:r>
      <w:r w:rsidRPr="009B7F64">
        <w:rPr>
          <w:rFonts w:cs="David"/>
          <w:rtl/>
        </w:rPr>
        <w:t xml:space="preserve"> </w:t>
      </w:r>
      <w:r w:rsidRPr="009B7F64">
        <w:rPr>
          <w:rFonts w:cs="David" w:hint="cs"/>
          <w:rtl/>
        </w:rPr>
        <w:t xml:space="preserve">וזאת למעט סמים ותרופות הנמכרים על-ידי רוקח באופן חוקי. סעיף 2.(ב), </w:t>
      </w:r>
      <w:hyperlink r:id="rId78" w:history="1">
        <w:r w:rsidRPr="009B7F64">
          <w:rPr>
            <w:rStyle w:val="Hyperlink"/>
            <w:rFonts w:cs="David" w:hint="cs"/>
            <w:rtl/>
          </w:rPr>
          <w:t>חוק רישוי עסקים, תשכ"ח-1968</w:t>
        </w:r>
      </w:hyperlink>
      <w:r w:rsidRPr="009B7F64">
        <w:rPr>
          <w:rFonts w:cs="David" w:hint="cs"/>
          <w:rtl/>
        </w:rPr>
        <w:t>.</w:t>
      </w:r>
    </w:p>
  </w:footnote>
  <w:footnote w:id="153">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סעיף 1., </w:t>
      </w:r>
      <w:hyperlink r:id="rId79" w:history="1">
        <w:r w:rsidRPr="009B7F64">
          <w:rPr>
            <w:rStyle w:val="Hyperlink"/>
            <w:rFonts w:cs="David"/>
            <w:rtl/>
          </w:rPr>
          <w:t>חוק הגבלת הפרסומת והשיווק של משקאות אלכוהוליים, התשע"ב</w:t>
        </w:r>
        <w:r w:rsidRPr="009B7F64">
          <w:rPr>
            <w:rStyle w:val="Hyperlink"/>
            <w:rFonts w:cs="David" w:hint="cs"/>
            <w:rtl/>
          </w:rPr>
          <w:t>-</w:t>
        </w:r>
        <w:r w:rsidRPr="009B7F64">
          <w:rPr>
            <w:rStyle w:val="Hyperlink"/>
            <w:rFonts w:cs="David"/>
            <w:rtl/>
          </w:rPr>
          <w:t>2012</w:t>
        </w:r>
      </w:hyperlink>
      <w:r w:rsidRPr="009B7F64">
        <w:rPr>
          <w:rFonts w:cs="David" w:hint="cs"/>
          <w:rtl/>
        </w:rPr>
        <w:t>.</w:t>
      </w:r>
    </w:p>
  </w:footnote>
  <w:footnote w:id="154">
    <w:p w:rsidR="00FE2909" w:rsidRPr="009B7F64" w:rsidRDefault="00FE2909" w:rsidP="00CD1DB5">
      <w:pPr>
        <w:pStyle w:val="a9"/>
        <w:spacing w:after="0" w:line="276" w:lineRule="auto"/>
        <w:rPr>
          <w:rFonts w:cs="David"/>
          <w:b/>
          <w:bCs/>
        </w:rPr>
      </w:pPr>
      <w:r w:rsidRPr="009B7F64">
        <w:rPr>
          <w:rStyle w:val="ab"/>
          <w:rFonts w:cs="David"/>
        </w:rPr>
        <w:footnoteRef/>
      </w:r>
      <w:r w:rsidRPr="009B7F64">
        <w:rPr>
          <w:rFonts w:cs="David"/>
          <w:rtl/>
        </w:rPr>
        <w:t xml:space="preserve"> </w:t>
      </w:r>
      <w:hyperlink r:id="rId80" w:anchor="xml=http://www.nevo.co.il/Handlers/Highlighter/PdfHighlighter.ashx?index=2&amp;type=Main" w:history="1">
        <w:r w:rsidRPr="009B7F64">
          <w:rPr>
            <w:rStyle w:val="Hyperlink"/>
            <w:rFonts w:cs="David" w:hint="cs"/>
            <w:rtl/>
          </w:rPr>
          <w:t>תקנות הגבלת הפרסומת והשיווק של משקאות אלכוהוליים (סימן אזהרה), התשע"ג-2013</w:t>
        </w:r>
      </w:hyperlink>
      <w:r w:rsidRPr="009B7F64">
        <w:rPr>
          <w:rFonts w:cs="David" w:hint="cs"/>
          <w:rtl/>
        </w:rPr>
        <w:t>.</w:t>
      </w:r>
    </w:p>
  </w:footnote>
  <w:footnote w:id="155">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סעיף 11., </w:t>
      </w:r>
      <w:hyperlink r:id="rId81" w:history="1">
        <w:r w:rsidRPr="009B7F64">
          <w:rPr>
            <w:rStyle w:val="Hyperlink"/>
            <w:rFonts w:cs="David"/>
            <w:rtl/>
          </w:rPr>
          <w:t>חוק הגבלת הפרסומת והשיווק של משקאות אלכוהוליים, התשע"ב</w:t>
        </w:r>
        <w:r w:rsidRPr="009B7F64">
          <w:rPr>
            <w:rStyle w:val="Hyperlink"/>
            <w:rFonts w:cs="David" w:hint="cs"/>
            <w:rtl/>
          </w:rPr>
          <w:t>-</w:t>
        </w:r>
        <w:r w:rsidRPr="009B7F64">
          <w:rPr>
            <w:rStyle w:val="Hyperlink"/>
            <w:rFonts w:cs="David"/>
            <w:rtl/>
          </w:rPr>
          <w:t>2012</w:t>
        </w:r>
      </w:hyperlink>
      <w:r w:rsidRPr="009B7F64">
        <w:rPr>
          <w:rFonts w:cs="David" w:hint="cs"/>
          <w:rtl/>
        </w:rPr>
        <w:t>.</w:t>
      </w:r>
    </w:p>
  </w:footnote>
  <w:footnote w:id="156">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סעיף 11.(ז), </w:t>
      </w:r>
      <w:hyperlink r:id="rId82" w:history="1">
        <w:r w:rsidRPr="009B7F64">
          <w:rPr>
            <w:rStyle w:val="Hyperlink"/>
            <w:rFonts w:cs="David"/>
            <w:rtl/>
          </w:rPr>
          <w:t>חוק הגבלת הפרסומת והשיווק של משקאות אלכוהוליים, התשע"ב</w:t>
        </w:r>
        <w:r w:rsidRPr="009B7F64">
          <w:rPr>
            <w:rStyle w:val="Hyperlink"/>
            <w:rFonts w:cs="David" w:hint="cs"/>
            <w:rtl/>
          </w:rPr>
          <w:t>-</w:t>
        </w:r>
        <w:r w:rsidRPr="009B7F64">
          <w:rPr>
            <w:rStyle w:val="Hyperlink"/>
            <w:rFonts w:cs="David"/>
            <w:rtl/>
          </w:rPr>
          <w:t>2012</w:t>
        </w:r>
      </w:hyperlink>
      <w:r w:rsidRPr="009B7F64">
        <w:rPr>
          <w:rFonts w:cs="David" w:hint="cs"/>
          <w:rtl/>
        </w:rPr>
        <w:t>.</w:t>
      </w:r>
    </w:p>
  </w:footnote>
  <w:footnote w:id="157">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83" w:history="1">
        <w:r w:rsidRPr="009B7F64">
          <w:rPr>
            <w:rStyle w:val="Hyperlink"/>
            <w:rFonts w:cs="David" w:hint="cs"/>
            <w:rtl/>
          </w:rPr>
          <w:t>חוק העונשין, התשל"ז-1977</w:t>
        </w:r>
      </w:hyperlink>
      <w:r w:rsidRPr="009B7F64">
        <w:rPr>
          <w:rFonts w:cs="David" w:hint="cs"/>
          <w:rtl/>
        </w:rPr>
        <w:t>.</w:t>
      </w:r>
    </w:p>
  </w:footnote>
  <w:footnote w:id="158">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84" w:anchor="Seif348" w:history="1">
        <w:r w:rsidRPr="009B7F64">
          <w:rPr>
            <w:rStyle w:val="Hyperlink"/>
            <w:rFonts w:cs="David" w:hint="cs"/>
            <w:rtl/>
          </w:rPr>
          <w:t>פקודת העיריות [נוסח חדש]</w:t>
        </w:r>
      </w:hyperlink>
      <w:r w:rsidRPr="009B7F64">
        <w:rPr>
          <w:rStyle w:val="Hyperlink"/>
          <w:rFonts w:cs="David" w:hint="cs"/>
          <w:u w:val="none"/>
          <w:rtl/>
        </w:rPr>
        <w:t>.</w:t>
      </w:r>
    </w:p>
  </w:footnote>
  <w:footnote w:id="159">
    <w:p w:rsidR="00FE2909" w:rsidRPr="009B7F64" w:rsidRDefault="00FE2909" w:rsidP="00CD1DB5">
      <w:pPr>
        <w:pStyle w:val="a9"/>
        <w:spacing w:after="0" w:line="276" w:lineRule="auto"/>
        <w:rPr>
          <w:rFonts w:cs="David"/>
          <w:rtl/>
        </w:rPr>
      </w:pPr>
      <w:r w:rsidRPr="009B7F64">
        <w:rPr>
          <w:rStyle w:val="ab"/>
          <w:rFonts w:cs="David"/>
        </w:rPr>
        <w:footnoteRef/>
      </w:r>
      <w:hyperlink r:id="rId85" w:history="1">
        <w:r w:rsidRPr="009B7F64">
          <w:rPr>
            <w:rStyle w:val="Hyperlink"/>
            <w:rFonts w:cs="David" w:hint="cs"/>
            <w:rtl/>
          </w:rPr>
          <w:t>פקודת התעבורה [נוסח חדש].</w:t>
        </w:r>
      </w:hyperlink>
    </w:p>
  </w:footnote>
  <w:footnote w:id="160">
    <w:p w:rsidR="00FE2909" w:rsidRPr="009B7F64" w:rsidRDefault="00FE2909" w:rsidP="00CD1DB5">
      <w:pPr>
        <w:pStyle w:val="a9"/>
        <w:spacing w:after="0" w:line="276" w:lineRule="auto"/>
        <w:rPr>
          <w:rFonts w:cs="David"/>
          <w:rtl/>
        </w:rPr>
      </w:pPr>
      <w:r w:rsidRPr="009B7F64">
        <w:rPr>
          <w:rStyle w:val="ab"/>
          <w:rFonts w:cs="David"/>
        </w:rPr>
        <w:footnoteRef/>
      </w:r>
      <w:r w:rsidRPr="009B7F64">
        <w:rPr>
          <w:rFonts w:cs="David"/>
          <w:rtl/>
        </w:rPr>
        <w:t xml:space="preserve"> </w:t>
      </w:r>
      <w:hyperlink r:id="rId86" w:history="1">
        <w:r w:rsidRPr="009B7F64">
          <w:rPr>
            <w:rStyle w:val="Hyperlink"/>
            <w:rFonts w:cs="David" w:hint="cs"/>
            <w:rtl/>
          </w:rPr>
          <w:t>חוק המרשם הפלילי ותקנת השבים, התשמ"א-1981</w:t>
        </w:r>
      </w:hyperlink>
      <w:r w:rsidRPr="009B7F64">
        <w:rPr>
          <w:rStyle w:val="Hyperlink"/>
          <w:rFonts w:cs="David" w:hint="cs"/>
          <w:u w:val="none"/>
          <w:rtl/>
        </w:rPr>
        <w:t>.</w:t>
      </w:r>
    </w:p>
  </w:footnote>
  <w:footnote w:id="161">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87" w:history="1">
        <w:r w:rsidRPr="009B7F64">
          <w:rPr>
            <w:rStyle w:val="Hyperlink"/>
            <w:rFonts w:cs="David" w:hint="cs"/>
            <w:rtl/>
          </w:rPr>
          <w:t>פקודת הרוקחים [נוסח חדש], התשמ"א-1981</w:t>
        </w:r>
      </w:hyperlink>
      <w:r w:rsidRPr="009B7F64">
        <w:rPr>
          <w:rStyle w:val="Hyperlink"/>
          <w:rFonts w:cs="David" w:hint="cs"/>
          <w:u w:val="none"/>
          <w:rtl/>
        </w:rPr>
        <w:t>.</w:t>
      </w:r>
    </w:p>
  </w:footnote>
  <w:footnote w:id="162">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סעיף 2.(א1), </w:t>
      </w:r>
      <w:hyperlink r:id="rId88" w:history="1">
        <w:r w:rsidRPr="009B7F64">
          <w:rPr>
            <w:rStyle w:val="Hyperlink"/>
            <w:rFonts w:cs="David" w:hint="cs"/>
            <w:rtl/>
          </w:rPr>
          <w:t>חוק רישוי עסקים, התשכ"ח-1968</w:t>
        </w:r>
      </w:hyperlink>
      <w:r w:rsidRPr="009B7F64">
        <w:rPr>
          <w:rFonts w:cs="David" w:hint="cs"/>
          <w:rtl/>
        </w:rPr>
        <w:t>.</w:t>
      </w:r>
    </w:p>
  </w:footnote>
  <w:footnote w:id="163">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89" w:history="1">
        <w:r w:rsidRPr="009B7F64">
          <w:rPr>
            <w:rStyle w:val="Hyperlink"/>
            <w:rFonts w:ascii="HadasaMFOMedium" w:cs="David" w:hint="cs"/>
            <w:rtl/>
            <w:lang w:eastAsia="en-US"/>
          </w:rPr>
          <w:t>חוק רישוי עסקים (תיקון מס' 26 – הוראת שעה), התש"ע-2010</w:t>
        </w:r>
      </w:hyperlink>
      <w:r w:rsidRPr="009B7F64">
        <w:rPr>
          <w:rFonts w:ascii="HadasaMFOMedium" w:cs="David" w:hint="cs"/>
          <w:rtl/>
          <w:lang w:eastAsia="en-US"/>
        </w:rPr>
        <w:t>.</w:t>
      </w:r>
    </w:p>
  </w:footnote>
  <w:footnote w:id="164">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ascii="David" w:cs="David" w:hint="cs"/>
          <w:color w:val="000000"/>
          <w:rtl/>
          <w:lang w:eastAsia="en-US"/>
        </w:rPr>
        <w:t xml:space="preserve">משרד האוצר, </w:t>
      </w:r>
      <w:hyperlink r:id="rId90" w:history="1">
        <w:r w:rsidRPr="009B7F64">
          <w:rPr>
            <w:rStyle w:val="Hyperlink"/>
            <w:rFonts w:ascii="David" w:cs="David" w:hint="cs"/>
            <w:rtl/>
            <w:lang w:eastAsia="en-US"/>
          </w:rPr>
          <w:t>דו"ח מינהל הכנסות המדינה 2011-2012</w:t>
        </w:r>
      </w:hyperlink>
      <w:r w:rsidRPr="009B7F64">
        <w:rPr>
          <w:rFonts w:ascii="David" w:cs="David" w:hint="cs"/>
          <w:color w:val="000000"/>
          <w:rtl/>
          <w:lang w:eastAsia="en-US"/>
        </w:rPr>
        <w:t xml:space="preserve">, פרק י"ב </w:t>
      </w:r>
      <w:r w:rsidRPr="009B7F64">
        <w:rPr>
          <w:rFonts w:ascii="David" w:cs="David"/>
          <w:color w:val="000000"/>
          <w:rtl/>
          <w:lang w:eastAsia="en-US"/>
        </w:rPr>
        <w:t>–</w:t>
      </w:r>
      <w:r w:rsidRPr="009B7F64">
        <w:rPr>
          <w:rFonts w:ascii="David" w:cs="David" w:hint="cs"/>
          <w:color w:val="000000"/>
          <w:rtl/>
          <w:lang w:eastAsia="en-US"/>
        </w:rPr>
        <w:t xml:space="preserve"> מס קניה, דצמבר 2013, עמ' 282. ראו גם: איל קופמן, </w:t>
      </w:r>
      <w:hyperlink r:id="rId91" w:history="1">
        <w:r w:rsidRPr="009B7F64">
          <w:rPr>
            <w:rStyle w:val="Hyperlink"/>
            <w:rFonts w:ascii="David" w:cs="David" w:hint="cs"/>
            <w:rtl/>
            <w:lang w:eastAsia="en-US"/>
          </w:rPr>
          <w:t xml:space="preserve">הטלת מס קנייה קצוב על מוצרי אלכוהול </w:t>
        </w:r>
        <w:r w:rsidRPr="009B7F64">
          <w:rPr>
            <w:rStyle w:val="Hyperlink"/>
            <w:rFonts w:ascii="David" w:cs="David"/>
            <w:rtl/>
            <w:lang w:eastAsia="en-US"/>
          </w:rPr>
          <w:t>–</w:t>
        </w:r>
        <w:r w:rsidRPr="009B7F64">
          <w:rPr>
            <w:rStyle w:val="Hyperlink"/>
            <w:rFonts w:ascii="David" w:cs="David" w:hint="cs"/>
            <w:rtl/>
            <w:lang w:eastAsia="en-US"/>
          </w:rPr>
          <w:t xml:space="preserve"> תיאור וניתוח</w:t>
        </w:r>
      </w:hyperlink>
      <w:r w:rsidRPr="009B7F64">
        <w:rPr>
          <w:rFonts w:ascii="David" w:cs="David" w:hint="cs"/>
          <w:color w:val="000000"/>
          <w:rtl/>
          <w:lang w:eastAsia="en-US"/>
        </w:rPr>
        <w:t>, מרכז המחקר והמידע של הכנסת, 29 באוקטובר 2013.</w:t>
      </w:r>
    </w:p>
  </w:footnote>
  <w:footnote w:id="165">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הוועדה למאבק בנגעי הסמים והאלכוהול, </w:t>
      </w:r>
      <w:hyperlink r:id="rId92" w:history="1">
        <w:r w:rsidRPr="009B7F64">
          <w:rPr>
            <w:rStyle w:val="Hyperlink"/>
            <w:rFonts w:asciiTheme="majorBidi" w:hAnsiTheme="majorBidi" w:cs="David"/>
            <w:rtl/>
          </w:rPr>
          <w:t>תחומי עיסוקה של הוועדה</w:t>
        </w:r>
      </w:hyperlink>
      <w:r w:rsidRPr="009B7F64">
        <w:rPr>
          <w:rFonts w:asciiTheme="majorBidi" w:hAnsiTheme="majorBidi" w:cs="David" w:hint="cs"/>
          <w:rtl/>
        </w:rPr>
        <w:t>.</w:t>
      </w:r>
      <w:r w:rsidRPr="009B7F64">
        <w:rPr>
          <w:rFonts w:asciiTheme="majorBidi" w:hAnsiTheme="majorBidi" w:cs="David"/>
          <w:rtl/>
        </w:rPr>
        <w:t xml:space="preserve"> תאריך כניסה: 20 באפריל 2015.</w:t>
      </w:r>
    </w:p>
  </w:footnote>
  <w:footnote w:id="166">
    <w:p w:rsidR="00FE2909" w:rsidRPr="009B7F64" w:rsidRDefault="00FE2909" w:rsidP="00CD1DB5">
      <w:pPr>
        <w:spacing w:after="0" w:line="276" w:lineRule="auto"/>
        <w:rPr>
          <w:rFonts w:asciiTheme="majorBidi" w:hAnsiTheme="majorBidi"/>
          <w:sz w:val="20"/>
          <w:szCs w:val="20"/>
          <w:rtl/>
        </w:rPr>
      </w:pPr>
      <w:r w:rsidRPr="009B7F64">
        <w:rPr>
          <w:rStyle w:val="ab"/>
          <w:rFonts w:asciiTheme="majorBidi" w:hAnsiTheme="majorBidi"/>
          <w:sz w:val="20"/>
          <w:szCs w:val="20"/>
        </w:rPr>
        <w:footnoteRef/>
      </w:r>
      <w:r w:rsidRPr="009B7F64">
        <w:rPr>
          <w:rFonts w:asciiTheme="majorBidi" w:hAnsiTheme="majorBidi"/>
          <w:sz w:val="20"/>
          <w:szCs w:val="20"/>
          <w:rtl/>
        </w:rPr>
        <w:t xml:space="preserve"> פרוטוקול מס' 17, </w:t>
      </w:r>
      <w:hyperlink r:id="rId93" w:history="1">
        <w:r w:rsidRPr="009B7F64">
          <w:rPr>
            <w:rStyle w:val="Hyperlink"/>
            <w:rFonts w:asciiTheme="majorBidi" w:hAnsiTheme="majorBidi"/>
            <w:sz w:val="20"/>
            <w:szCs w:val="20"/>
            <w:rtl/>
          </w:rPr>
          <w:t>הגשת כתבי אישום בגין עבירות סמים המוגדרות בחוק 'שימוש עצמי</w:t>
        </w:r>
      </w:hyperlink>
      <w:r w:rsidRPr="009B7F64">
        <w:rPr>
          <w:rFonts w:asciiTheme="majorBidi" w:hAnsiTheme="majorBidi"/>
          <w:sz w:val="20"/>
          <w:szCs w:val="20"/>
          <w:rtl/>
        </w:rPr>
        <w:t xml:space="preserve">, 25 בפברואר 2014; פרוטוקול מס' 13, </w:t>
      </w:r>
      <w:hyperlink r:id="rId94" w:history="1">
        <w:r w:rsidRPr="009B7F64">
          <w:rPr>
            <w:rStyle w:val="Hyperlink"/>
            <w:rFonts w:asciiTheme="majorBidi" w:hAnsiTheme="majorBidi"/>
            <w:sz w:val="20"/>
            <w:szCs w:val="20"/>
            <w:rtl/>
          </w:rPr>
          <w:t>האסטרטגיה הגלובלית לצמצום נזקי האלכוהול</w:t>
        </w:r>
      </w:hyperlink>
      <w:r w:rsidRPr="009B7F64">
        <w:rPr>
          <w:rFonts w:asciiTheme="majorBidi" w:hAnsiTheme="majorBidi"/>
          <w:sz w:val="20"/>
          <w:szCs w:val="20"/>
          <w:rtl/>
        </w:rPr>
        <w:t xml:space="preserve">, 28 בינואר 2014; פרוטוקול מס' 12, </w:t>
      </w:r>
      <w:hyperlink r:id="rId95" w:history="1">
        <w:r w:rsidRPr="009B7F64">
          <w:rPr>
            <w:rStyle w:val="Hyperlink"/>
            <w:rFonts w:asciiTheme="majorBidi" w:hAnsiTheme="majorBidi"/>
            <w:sz w:val="20"/>
            <w:szCs w:val="20"/>
            <w:rtl/>
          </w:rPr>
          <w:t>סקירת המשטרה: סיכום שנת 2013 ומגמות בתחום המאבק בסמים</w:t>
        </w:r>
      </w:hyperlink>
      <w:r w:rsidRPr="009B7F64">
        <w:rPr>
          <w:rFonts w:asciiTheme="majorBidi" w:hAnsiTheme="majorBidi"/>
          <w:sz w:val="20"/>
          <w:szCs w:val="20"/>
          <w:rtl/>
        </w:rPr>
        <w:t xml:space="preserve">, 20 בינואר 2014; פרוטוקול מס' 8, </w:t>
      </w:r>
      <w:hyperlink r:id="rId96" w:history="1">
        <w:r w:rsidRPr="009B7F64">
          <w:rPr>
            <w:rStyle w:val="Hyperlink"/>
            <w:rFonts w:asciiTheme="majorBidi" w:hAnsiTheme="majorBidi"/>
            <w:sz w:val="20"/>
            <w:szCs w:val="20"/>
            <w:rtl/>
          </w:rPr>
          <w:t xml:space="preserve">הצגת המלצות לחיזוק שיתוף הפעולה הבינלאומי בתחום הסחר והפצת סמים באמצעות רשת האינטרנט – בהשתתפות נציג הארגון </w:t>
        </w:r>
        <w:r w:rsidRPr="009B7F64">
          <w:rPr>
            <w:rStyle w:val="Hyperlink"/>
            <w:rFonts w:asciiTheme="majorBidi" w:hAnsiTheme="majorBidi"/>
            <w:sz w:val="20"/>
            <w:szCs w:val="20"/>
          </w:rPr>
          <w:t>UNODC</w:t>
        </w:r>
        <w:r w:rsidRPr="009B7F64">
          <w:rPr>
            <w:rStyle w:val="Hyperlink"/>
            <w:rFonts w:asciiTheme="majorBidi" w:hAnsiTheme="majorBidi"/>
            <w:sz w:val="20"/>
            <w:szCs w:val="20"/>
            <w:rtl/>
          </w:rPr>
          <w:t xml:space="preserve"> בווינה, ד"ר ג'ילברטו ג'רה</w:t>
        </w:r>
      </w:hyperlink>
      <w:r w:rsidRPr="009B7F64">
        <w:rPr>
          <w:rFonts w:asciiTheme="majorBidi" w:hAnsiTheme="majorBidi"/>
          <w:sz w:val="20"/>
          <w:szCs w:val="20"/>
          <w:rtl/>
        </w:rPr>
        <w:t>, 11 בדצמבר 2013; פרוטוקול</w:t>
      </w:r>
      <w:r w:rsidRPr="009B7F64">
        <w:rPr>
          <w:rFonts w:asciiTheme="majorBidi" w:hAnsiTheme="majorBidi" w:hint="cs"/>
          <w:sz w:val="20"/>
          <w:szCs w:val="20"/>
          <w:rtl/>
        </w:rPr>
        <w:t xml:space="preserve">, </w:t>
      </w:r>
      <w:r w:rsidRPr="009B7F64">
        <w:rPr>
          <w:rFonts w:asciiTheme="majorBidi" w:hAnsiTheme="majorBidi"/>
          <w:sz w:val="20"/>
          <w:szCs w:val="20"/>
          <w:rtl/>
        </w:rPr>
        <w:t xml:space="preserve"> </w:t>
      </w:r>
      <w:hyperlink r:id="rId97" w:history="1">
        <w:r w:rsidRPr="009B7F64">
          <w:rPr>
            <w:rStyle w:val="Hyperlink"/>
            <w:rFonts w:asciiTheme="majorBidi" w:hAnsiTheme="majorBidi"/>
            <w:sz w:val="20"/>
            <w:szCs w:val="20"/>
            <w:rtl/>
          </w:rPr>
          <w:t>תיאום פעילות ושיתוף פעולה בינלאומי למאבק בסחר והפצת סמים באמצעות רשת האינטרנט</w:t>
        </w:r>
      </w:hyperlink>
      <w:r w:rsidRPr="009B7F64">
        <w:rPr>
          <w:rFonts w:asciiTheme="majorBidi" w:hAnsiTheme="majorBidi"/>
          <w:sz w:val="20"/>
          <w:szCs w:val="20"/>
          <w:rtl/>
        </w:rPr>
        <w:t xml:space="preserve">, 26 בנובמבר 2013; פרוטוקול מס' 6, </w:t>
      </w:r>
      <w:hyperlink r:id="rId98" w:history="1">
        <w:r w:rsidRPr="009B7F64">
          <w:rPr>
            <w:rStyle w:val="Hyperlink"/>
            <w:rFonts w:asciiTheme="majorBidi" w:hAnsiTheme="majorBidi"/>
            <w:sz w:val="20"/>
            <w:szCs w:val="20"/>
            <w:rtl/>
          </w:rPr>
          <w:t>כלים להתמודדות יעילה עם תופעת סחר והפצת סמים באמצעות רשת האינטרנט</w:t>
        </w:r>
      </w:hyperlink>
      <w:r w:rsidRPr="009B7F64">
        <w:rPr>
          <w:rFonts w:asciiTheme="majorBidi" w:hAnsiTheme="majorBidi"/>
          <w:sz w:val="20"/>
          <w:szCs w:val="20"/>
          <w:rtl/>
        </w:rPr>
        <w:t xml:space="preserve">, 20 בנובמבר 2013; פרוטוקול מס' 5, </w:t>
      </w:r>
      <w:hyperlink r:id="rId99" w:history="1">
        <w:r w:rsidRPr="009B7F64">
          <w:rPr>
            <w:rStyle w:val="Hyperlink"/>
            <w:rFonts w:asciiTheme="majorBidi" w:hAnsiTheme="majorBidi"/>
            <w:sz w:val="20"/>
            <w:szCs w:val="20"/>
            <w:rtl/>
          </w:rPr>
          <w:t>סחר והפצת סמים באמצעות רשת האינטרנט</w:t>
        </w:r>
      </w:hyperlink>
      <w:r w:rsidRPr="009B7F64">
        <w:rPr>
          <w:rFonts w:asciiTheme="majorBidi" w:hAnsiTheme="majorBidi"/>
          <w:sz w:val="20"/>
          <w:szCs w:val="20"/>
          <w:rtl/>
        </w:rPr>
        <w:t>, 5 בנובמבר 2013</w:t>
      </w:r>
      <w:r w:rsidRPr="009B7F64">
        <w:rPr>
          <w:rFonts w:asciiTheme="majorBidi" w:hAnsiTheme="majorBidi" w:hint="cs"/>
          <w:sz w:val="20"/>
          <w:szCs w:val="20"/>
          <w:rtl/>
        </w:rPr>
        <w:t>.</w:t>
      </w:r>
      <w:r w:rsidRPr="009B7F64">
        <w:rPr>
          <w:rFonts w:asciiTheme="majorBidi" w:hAnsiTheme="majorBidi"/>
          <w:sz w:val="20"/>
          <w:szCs w:val="20"/>
          <w:rtl/>
        </w:rPr>
        <w:t xml:space="preserve"> </w:t>
      </w:r>
    </w:p>
  </w:footnote>
  <w:footnote w:id="167">
    <w:p w:rsidR="00FE2909" w:rsidRPr="009B7F64" w:rsidRDefault="00FE2909" w:rsidP="00CD1DB5">
      <w:pPr>
        <w:spacing w:after="0" w:line="276" w:lineRule="auto"/>
        <w:rPr>
          <w:rFonts w:asciiTheme="majorBidi" w:hAnsiTheme="majorBidi"/>
          <w:sz w:val="20"/>
          <w:szCs w:val="20"/>
        </w:rPr>
      </w:pPr>
      <w:r w:rsidRPr="009B7F64">
        <w:rPr>
          <w:rStyle w:val="ab"/>
          <w:rFonts w:asciiTheme="majorBidi" w:hAnsiTheme="majorBidi"/>
          <w:sz w:val="20"/>
          <w:szCs w:val="20"/>
        </w:rPr>
        <w:footnoteRef/>
      </w:r>
      <w:r w:rsidRPr="009B7F64">
        <w:rPr>
          <w:rFonts w:asciiTheme="majorBidi" w:hAnsiTheme="majorBidi"/>
          <w:sz w:val="20"/>
          <w:szCs w:val="20"/>
          <w:rtl/>
        </w:rPr>
        <w:t xml:space="preserve"> פרוטוקול מס' 25, </w:t>
      </w:r>
      <w:hyperlink r:id="rId100" w:history="1">
        <w:r w:rsidRPr="009B7F64">
          <w:rPr>
            <w:rStyle w:val="Hyperlink"/>
            <w:rFonts w:asciiTheme="majorBidi" w:hAnsiTheme="majorBidi"/>
            <w:sz w:val="20"/>
            <w:szCs w:val="20"/>
            <w:rtl/>
          </w:rPr>
          <w:t>תקציב הרשות הלאומית למלחמה בסמים ובאלכוהול לשנת 2015</w:t>
        </w:r>
      </w:hyperlink>
      <w:r w:rsidRPr="009B7F64">
        <w:rPr>
          <w:rFonts w:asciiTheme="majorBidi" w:hAnsiTheme="majorBidi"/>
          <w:sz w:val="20"/>
          <w:szCs w:val="20"/>
          <w:rtl/>
        </w:rPr>
        <w:t xml:space="preserve">, 24 בנובמבר 2014; פרוטוקול מס' 3, </w:t>
      </w:r>
      <w:r w:rsidRPr="009B7F64">
        <w:rPr>
          <w:rFonts w:asciiTheme="majorBidi" w:hAnsiTheme="majorBidi"/>
          <w:sz w:val="20"/>
          <w:szCs w:val="20"/>
          <w:u w:val="single"/>
          <w:rtl/>
        </w:rPr>
        <w:t>התקציב לשנת 2013-2014 לרשות הלאומית למלחמה בסמים ובאלכוהול ולמשרדי הממשלה העוסקים בתחום</w:t>
      </w:r>
      <w:r w:rsidRPr="009B7F64">
        <w:rPr>
          <w:rFonts w:asciiTheme="majorBidi" w:hAnsiTheme="majorBidi"/>
          <w:sz w:val="20"/>
          <w:szCs w:val="20"/>
          <w:rtl/>
        </w:rPr>
        <w:t>, 9 ביולי 2013.</w:t>
      </w:r>
    </w:p>
  </w:footnote>
  <w:footnote w:id="168">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תחלואה כפולה בהקשר הנוכחי </w:t>
      </w:r>
      <w:r w:rsidRPr="009B7F64">
        <w:rPr>
          <w:rFonts w:asciiTheme="majorBidi" w:hAnsiTheme="majorBidi" w:cs="David" w:hint="cs"/>
          <w:rtl/>
        </w:rPr>
        <w:t>מוגדרת כמטופל הסובל בו-זמנית הן מ</w:t>
      </w:r>
      <w:r w:rsidRPr="009B7F64">
        <w:rPr>
          <w:rFonts w:asciiTheme="majorBidi" w:hAnsiTheme="majorBidi" w:cs="David"/>
          <w:rtl/>
        </w:rPr>
        <w:t>התמכרות ו</w:t>
      </w:r>
      <w:r w:rsidRPr="009B7F64">
        <w:rPr>
          <w:rFonts w:asciiTheme="majorBidi" w:hAnsiTheme="majorBidi" w:cs="David" w:hint="cs"/>
          <w:rtl/>
        </w:rPr>
        <w:t>הן מ</w:t>
      </w:r>
      <w:r w:rsidRPr="009B7F64">
        <w:rPr>
          <w:rFonts w:asciiTheme="majorBidi" w:hAnsiTheme="majorBidi" w:cs="David"/>
          <w:rtl/>
        </w:rPr>
        <w:t>מחל</w:t>
      </w:r>
      <w:r w:rsidRPr="009B7F64">
        <w:rPr>
          <w:rFonts w:asciiTheme="majorBidi" w:hAnsiTheme="majorBidi" w:cs="David" w:hint="cs"/>
          <w:rtl/>
        </w:rPr>
        <w:t>ת</w:t>
      </w:r>
      <w:r w:rsidRPr="009B7F64">
        <w:rPr>
          <w:rFonts w:asciiTheme="majorBidi" w:hAnsiTheme="majorBidi" w:cs="David"/>
          <w:rtl/>
        </w:rPr>
        <w:t xml:space="preserve"> נפש. דיוני הוועדה בנושא:</w:t>
      </w:r>
      <w:r w:rsidRPr="009B7F64">
        <w:rPr>
          <w:rFonts w:asciiTheme="majorBidi" w:hAnsiTheme="majorBidi" w:cs="David" w:hint="cs"/>
          <w:rtl/>
        </w:rPr>
        <w:t xml:space="preserve"> </w:t>
      </w:r>
      <w:r w:rsidRPr="009B7F64">
        <w:rPr>
          <w:rFonts w:asciiTheme="majorBidi" w:hAnsiTheme="majorBidi" w:cs="David"/>
          <w:rtl/>
        </w:rPr>
        <w:t xml:space="preserve">פרוטוקול מס' 23, </w:t>
      </w:r>
      <w:hyperlink r:id="rId101" w:history="1">
        <w:r w:rsidRPr="009B7F64">
          <w:rPr>
            <w:rStyle w:val="Hyperlink"/>
            <w:rFonts w:asciiTheme="majorBidi" w:hAnsiTheme="majorBidi" w:cs="David"/>
            <w:rtl/>
          </w:rPr>
          <w:t>תחלואה כפולה – צורכי הטיפול ומציאות בשטח – מעקב מיום 18/2/2014</w:t>
        </w:r>
      </w:hyperlink>
      <w:r w:rsidRPr="009B7F64">
        <w:rPr>
          <w:rFonts w:asciiTheme="majorBidi" w:hAnsiTheme="majorBidi" w:cs="David"/>
          <w:rtl/>
        </w:rPr>
        <w:t xml:space="preserve">, 14 ביולי 2014; פרוטוקול מס' 16, </w:t>
      </w:r>
      <w:hyperlink r:id="rId102" w:history="1">
        <w:r w:rsidRPr="009B7F64">
          <w:rPr>
            <w:rStyle w:val="Hyperlink"/>
            <w:rFonts w:asciiTheme="majorBidi" w:hAnsiTheme="majorBidi" w:cs="David"/>
            <w:rtl/>
          </w:rPr>
          <w:t>תחלואה כפולה – צורכי הטיפול ומציאות בשטח</w:t>
        </w:r>
      </w:hyperlink>
      <w:r w:rsidRPr="009B7F64">
        <w:rPr>
          <w:rFonts w:asciiTheme="majorBidi" w:hAnsiTheme="majorBidi" w:cs="David"/>
          <w:rtl/>
        </w:rPr>
        <w:t xml:space="preserve">, 18 בפברואר 2014. ראו גם פלורה קוך דוידוביץ', </w:t>
      </w:r>
      <w:hyperlink r:id="rId103" w:history="1">
        <w:r w:rsidRPr="009B7F64">
          <w:rPr>
            <w:rStyle w:val="Hyperlink"/>
            <w:rFonts w:asciiTheme="majorBidi" w:hAnsiTheme="majorBidi" w:cs="David"/>
            <w:rtl/>
          </w:rPr>
          <w:t>הטיפול במכורים לסמים הסובלים ממחלת נפש לאחר העברת שירותי בריאות הנפש מאחריות משרד הבריאות לאחריות קופות החולים</w:t>
        </w:r>
      </w:hyperlink>
      <w:r w:rsidRPr="009B7F64">
        <w:rPr>
          <w:rFonts w:asciiTheme="majorBidi" w:hAnsiTheme="majorBidi" w:cs="David"/>
          <w:rtl/>
        </w:rPr>
        <w:t>, מרכז המחקר והמידע של הכנסת, 2 ביולי 2014.</w:t>
      </w:r>
    </w:p>
  </w:footnote>
  <w:footnote w:id="169">
    <w:p w:rsidR="00FE2909" w:rsidRPr="009B7F64" w:rsidRDefault="00FE2909" w:rsidP="00CD1DB5">
      <w:pPr>
        <w:spacing w:after="0" w:line="276" w:lineRule="auto"/>
        <w:rPr>
          <w:rFonts w:asciiTheme="majorBidi" w:hAnsiTheme="majorBidi"/>
          <w:sz w:val="20"/>
          <w:szCs w:val="20"/>
        </w:rPr>
      </w:pPr>
      <w:r w:rsidRPr="009B7F64">
        <w:rPr>
          <w:rStyle w:val="ab"/>
          <w:rFonts w:asciiTheme="majorBidi" w:hAnsiTheme="majorBidi"/>
          <w:sz w:val="20"/>
          <w:szCs w:val="20"/>
        </w:rPr>
        <w:footnoteRef/>
      </w:r>
      <w:r w:rsidRPr="009B7F64">
        <w:rPr>
          <w:rFonts w:asciiTheme="majorBidi" w:hAnsiTheme="majorBidi"/>
          <w:sz w:val="20"/>
          <w:szCs w:val="20"/>
          <w:rtl/>
        </w:rPr>
        <w:t xml:space="preserve"> הוועדה המיוחדת למאבק בנגעי הסמים והאלכוהול, פרוטוקול מס' 21, </w:t>
      </w:r>
      <w:hyperlink r:id="rId104" w:history="1">
        <w:r w:rsidRPr="009B7F64">
          <w:rPr>
            <w:rStyle w:val="Hyperlink"/>
            <w:rFonts w:asciiTheme="majorBidi" w:hAnsiTheme="majorBidi"/>
            <w:sz w:val="20"/>
            <w:szCs w:val="20"/>
            <w:rtl/>
          </w:rPr>
          <w:t>תופעת השימוש בנרגילות כשער לצריכת חומרים ממכרים – לציון יום הנוער והצעירים בכנסת</w:t>
        </w:r>
      </w:hyperlink>
      <w:r w:rsidRPr="009B7F64">
        <w:rPr>
          <w:rFonts w:asciiTheme="majorBidi" w:hAnsiTheme="majorBidi"/>
          <w:sz w:val="20"/>
          <w:szCs w:val="20"/>
          <w:rtl/>
        </w:rPr>
        <w:t xml:space="preserve">,  17 ביוני 2014; פרוטוקול מס' 20, </w:t>
      </w:r>
      <w:hyperlink r:id="rId105" w:history="1">
        <w:r w:rsidRPr="009B7F64">
          <w:rPr>
            <w:rStyle w:val="Hyperlink"/>
            <w:rFonts w:asciiTheme="majorBidi" w:hAnsiTheme="majorBidi"/>
            <w:sz w:val="20"/>
            <w:szCs w:val="20"/>
            <w:rtl/>
          </w:rPr>
          <w:t>תופעת והיקף השימוש לרעה בתרופות מרשם בקרב ילדים ונוער</w:t>
        </w:r>
      </w:hyperlink>
      <w:r w:rsidRPr="009B7F64">
        <w:rPr>
          <w:rFonts w:asciiTheme="majorBidi" w:hAnsiTheme="majorBidi"/>
          <w:sz w:val="20"/>
          <w:szCs w:val="20"/>
          <w:rtl/>
        </w:rPr>
        <w:t xml:space="preserve">, 9 ביוני 2014; פרוטוקול מס' 19, </w:t>
      </w:r>
      <w:hyperlink r:id="rId106" w:history="1">
        <w:r w:rsidRPr="009B7F64">
          <w:rPr>
            <w:rStyle w:val="Hyperlink"/>
            <w:rFonts w:asciiTheme="majorBidi" w:hAnsiTheme="majorBidi"/>
            <w:sz w:val="20"/>
            <w:szCs w:val="20"/>
            <w:rtl/>
          </w:rPr>
          <w:t>החופש הגדול טומן בחובו סכנות רבות – סמים ואלכוהול</w:t>
        </w:r>
      </w:hyperlink>
      <w:r w:rsidRPr="009B7F64">
        <w:rPr>
          <w:rFonts w:asciiTheme="majorBidi" w:hAnsiTheme="majorBidi"/>
          <w:sz w:val="20"/>
          <w:szCs w:val="20"/>
          <w:rtl/>
        </w:rPr>
        <w:t xml:space="preserve">, 2 ביוני 2014; פרוטוקול מס' 15, </w:t>
      </w:r>
      <w:hyperlink r:id="rId107" w:history="1">
        <w:r w:rsidRPr="009B7F64">
          <w:rPr>
            <w:rStyle w:val="Hyperlink"/>
            <w:rFonts w:asciiTheme="majorBidi" w:hAnsiTheme="majorBidi"/>
            <w:sz w:val="20"/>
            <w:szCs w:val="20"/>
            <w:rtl/>
          </w:rPr>
          <w:t>עולמם של בני הנוער 2014 - תפקיד הרשויות המקומיות ביצירת תרבות בילוי ופנאי כפתרון לנגעי הסמים והאלכוהול במוקדי בילוי</w:t>
        </w:r>
      </w:hyperlink>
      <w:r w:rsidRPr="009B7F64">
        <w:rPr>
          <w:rFonts w:asciiTheme="majorBidi" w:hAnsiTheme="majorBidi"/>
          <w:sz w:val="20"/>
          <w:szCs w:val="20"/>
          <w:rtl/>
        </w:rPr>
        <w:t xml:space="preserve">, 11 בפברואר 2014; פרוטוקול מס' 11, </w:t>
      </w:r>
      <w:hyperlink r:id="rId108" w:history="1">
        <w:r w:rsidRPr="009B7F64">
          <w:rPr>
            <w:rStyle w:val="Hyperlink"/>
            <w:rFonts w:asciiTheme="majorBidi" w:hAnsiTheme="majorBidi"/>
            <w:sz w:val="20"/>
            <w:szCs w:val="20"/>
            <w:rtl/>
          </w:rPr>
          <w:t>דפוסי השתייה הבעייתית של אלכוהול בקרב בני נוער וצעירים - הצורך באסטרטגיות חדשות לצמצום התופעה</w:t>
        </w:r>
      </w:hyperlink>
      <w:r w:rsidRPr="009B7F64">
        <w:rPr>
          <w:rFonts w:asciiTheme="majorBidi" w:hAnsiTheme="majorBidi"/>
          <w:sz w:val="20"/>
          <w:szCs w:val="20"/>
          <w:rtl/>
        </w:rPr>
        <w:t xml:space="preserve">, 30 דצמבר 2013; פרוטוקול מס' 10, </w:t>
      </w:r>
      <w:hyperlink r:id="rId109" w:history="1">
        <w:r w:rsidRPr="009B7F64">
          <w:rPr>
            <w:rStyle w:val="Hyperlink"/>
            <w:rFonts w:asciiTheme="majorBidi" w:hAnsiTheme="majorBidi"/>
            <w:sz w:val="20"/>
            <w:szCs w:val="20"/>
            <w:rtl/>
          </w:rPr>
          <w:t>היקף השימוש בריטלין בקרב צעירים וסטודנטים</w:t>
        </w:r>
      </w:hyperlink>
      <w:r w:rsidRPr="009B7F64">
        <w:rPr>
          <w:rFonts w:asciiTheme="majorBidi" w:hAnsiTheme="majorBidi"/>
          <w:sz w:val="20"/>
          <w:szCs w:val="20"/>
          <w:rtl/>
        </w:rPr>
        <w:t xml:space="preserve">, 24 בדצמבר 2013; פרוטוקול מס' 7, </w:t>
      </w:r>
      <w:hyperlink r:id="rId110" w:history="1">
        <w:r w:rsidRPr="009B7F64">
          <w:rPr>
            <w:rStyle w:val="Hyperlink"/>
            <w:rFonts w:asciiTheme="majorBidi" w:hAnsiTheme="majorBidi"/>
            <w:sz w:val="20"/>
            <w:szCs w:val="20"/>
            <w:rtl/>
          </w:rPr>
          <w:t>התמכרויות לא מרפאות דיפרסיה לבני נוער, על הסיבה לשימוש בסמים, התוצאה, המוצא - הצעות לפתרון. לציון שבוע הסמים הלאומי</w:t>
        </w:r>
      </w:hyperlink>
      <w:r w:rsidRPr="009B7F64">
        <w:rPr>
          <w:rFonts w:asciiTheme="majorBidi" w:hAnsiTheme="majorBidi"/>
          <w:sz w:val="20"/>
          <w:szCs w:val="20"/>
          <w:rtl/>
        </w:rPr>
        <w:t xml:space="preserve">, 10 בדצמבר 2013; פרוטוקול מס' 2, </w:t>
      </w:r>
      <w:hyperlink r:id="rId111" w:history="1">
        <w:r w:rsidRPr="009B7F64">
          <w:rPr>
            <w:rStyle w:val="Hyperlink"/>
            <w:rFonts w:asciiTheme="majorBidi" w:hAnsiTheme="majorBidi"/>
            <w:sz w:val="20"/>
            <w:szCs w:val="20"/>
            <w:rtl/>
          </w:rPr>
          <w:t>הערכות הרשות הלאומית למלחמה בסמים ובאלכוהול ומשרדי החינוך והרווחה לקראת אתגרי הקיץ בכלל והחופש הגדול בפרט</w:t>
        </w:r>
      </w:hyperlink>
      <w:r w:rsidRPr="009B7F64">
        <w:rPr>
          <w:rFonts w:asciiTheme="majorBidi" w:hAnsiTheme="majorBidi"/>
          <w:sz w:val="20"/>
          <w:szCs w:val="20"/>
          <w:rtl/>
        </w:rPr>
        <w:t>, 2 ביולי 2012.</w:t>
      </w:r>
    </w:p>
  </w:footnote>
  <w:footnote w:id="170">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פרוטוקול מס' 24, </w:t>
      </w:r>
      <w:hyperlink r:id="rId112" w:history="1">
        <w:r w:rsidRPr="009B7F64">
          <w:rPr>
            <w:rStyle w:val="Hyperlink"/>
            <w:rFonts w:asciiTheme="majorBidi" w:hAnsiTheme="majorBidi" w:cs="David"/>
            <w:rtl/>
          </w:rPr>
          <w:t>ספורט ככלי ומענה לפתרון בעיית הסמים והאלכוהול</w:t>
        </w:r>
      </w:hyperlink>
      <w:r w:rsidRPr="009B7F64">
        <w:rPr>
          <w:rFonts w:asciiTheme="majorBidi" w:hAnsiTheme="majorBidi" w:cs="David"/>
          <w:rtl/>
        </w:rPr>
        <w:t>, 3 בנובמבר 2014.</w:t>
      </w:r>
    </w:p>
  </w:footnote>
  <w:footnote w:id="171">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פרוטוקול מס' 22, </w:t>
      </w:r>
      <w:hyperlink r:id="rId113" w:history="1">
        <w:r w:rsidRPr="009B7F64">
          <w:rPr>
            <w:rStyle w:val="Hyperlink"/>
            <w:rFonts w:asciiTheme="majorBidi" w:hAnsiTheme="majorBidi" w:cs="David"/>
            <w:rtl/>
          </w:rPr>
          <w:t>זמני המעצר הנפסקים בבתי המשפט בנושא סמי פיצוציות מול יכולות זיהוי מדעיות</w:t>
        </w:r>
      </w:hyperlink>
      <w:r w:rsidRPr="009B7F64">
        <w:rPr>
          <w:rFonts w:asciiTheme="majorBidi" w:hAnsiTheme="majorBidi" w:cs="David"/>
          <w:rtl/>
        </w:rPr>
        <w:t>, 8 ביולי 2014.</w:t>
      </w:r>
    </w:p>
  </w:footnote>
  <w:footnote w:id="172">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פרוטוקול, </w:t>
      </w:r>
      <w:hyperlink r:id="rId114" w:history="1">
        <w:r w:rsidRPr="009B7F64">
          <w:rPr>
            <w:rStyle w:val="Hyperlink"/>
            <w:rFonts w:asciiTheme="majorBidi" w:hAnsiTheme="majorBidi" w:cs="David"/>
            <w:rtl/>
          </w:rPr>
          <w:t>סמים במגזר הערבי</w:t>
        </w:r>
      </w:hyperlink>
      <w:r w:rsidRPr="009B7F64">
        <w:rPr>
          <w:rFonts w:asciiTheme="majorBidi" w:hAnsiTheme="majorBidi" w:cs="David"/>
          <w:rtl/>
        </w:rPr>
        <w:t xml:space="preserve">, 20 במאי 2014. ראו גם אורי טל-ספירו, </w:t>
      </w:r>
      <w:hyperlink r:id="rId115" w:history="1">
        <w:r w:rsidRPr="009B7F64">
          <w:rPr>
            <w:rStyle w:val="Hyperlink"/>
            <w:rFonts w:asciiTheme="majorBidi" w:hAnsiTheme="majorBidi" w:cs="David"/>
            <w:rtl/>
          </w:rPr>
          <w:t>שימוש בסמים במגזר הערבי</w:t>
        </w:r>
      </w:hyperlink>
      <w:r w:rsidRPr="009B7F64">
        <w:rPr>
          <w:rFonts w:asciiTheme="majorBidi" w:hAnsiTheme="majorBidi" w:cs="David"/>
          <w:rtl/>
        </w:rPr>
        <w:t>, מרכז המחקר והמידע של הכנסת, 8 במאי 2014.</w:t>
      </w:r>
    </w:p>
  </w:footnote>
  <w:footnote w:id="173">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פרוטוקול מס' 14, </w:t>
      </w:r>
      <w:hyperlink r:id="rId116" w:history="1">
        <w:r w:rsidRPr="009B7F64">
          <w:rPr>
            <w:rStyle w:val="Hyperlink"/>
            <w:rFonts w:asciiTheme="majorBidi" w:hAnsiTheme="majorBidi" w:cs="David"/>
            <w:rtl/>
          </w:rPr>
          <w:t>חידושים בנושא שתיית אלכוהול במהלך ההיריון ובתקופת ההנקה ונגישות המידע</w:t>
        </w:r>
      </w:hyperlink>
      <w:r w:rsidRPr="009B7F64">
        <w:rPr>
          <w:rFonts w:asciiTheme="majorBidi" w:hAnsiTheme="majorBidi" w:cs="David"/>
          <w:rtl/>
        </w:rPr>
        <w:t>, 4 בפברואר 2014.</w:t>
      </w:r>
    </w:p>
  </w:footnote>
  <w:footnote w:id="174">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פרוטוקול מס' 4, </w:t>
      </w:r>
      <w:hyperlink r:id="rId117" w:history="1">
        <w:r w:rsidRPr="009B7F64">
          <w:rPr>
            <w:rStyle w:val="Hyperlink"/>
            <w:rFonts w:asciiTheme="majorBidi" w:hAnsiTheme="majorBidi" w:cs="David"/>
            <w:rtl/>
          </w:rPr>
          <w:t>סיור בנמל חיפה</w:t>
        </w:r>
      </w:hyperlink>
      <w:r w:rsidRPr="009B7F64">
        <w:rPr>
          <w:rFonts w:asciiTheme="majorBidi" w:hAnsiTheme="majorBidi" w:cs="David"/>
          <w:rtl/>
        </w:rPr>
        <w:t>, 18 ביולי 2013.</w:t>
      </w:r>
    </w:p>
  </w:footnote>
  <w:footnote w:id="175">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ראו גם מתן שחק, </w:t>
      </w:r>
      <w:r w:rsidRPr="009B7F64">
        <w:rPr>
          <w:rFonts w:asciiTheme="majorBidi" w:hAnsiTheme="majorBidi" w:cs="David"/>
          <w:u w:val="single"/>
          <w:rtl/>
        </w:rPr>
        <w:t>הרשות הלאומית למלחמה בסמים ובאלכוהול – מבנה, תפקידים ותקציב</w:t>
      </w:r>
      <w:r w:rsidRPr="009B7F64">
        <w:rPr>
          <w:rFonts w:asciiTheme="majorBidi" w:hAnsiTheme="majorBidi" w:cs="David" w:hint="cs"/>
          <w:rtl/>
        </w:rPr>
        <w:t xml:space="preserve">, </w:t>
      </w:r>
      <w:r w:rsidRPr="009B7F64">
        <w:rPr>
          <w:rFonts w:asciiTheme="majorBidi" w:hAnsiTheme="majorBidi" w:cs="David"/>
          <w:rtl/>
        </w:rPr>
        <w:t>מרכז המחקר והמידע של הכנסת</w:t>
      </w:r>
      <w:r w:rsidRPr="009B7F64">
        <w:rPr>
          <w:rFonts w:asciiTheme="majorBidi" w:hAnsiTheme="majorBidi" w:cs="David" w:hint="cs"/>
          <w:rtl/>
        </w:rPr>
        <w:t>,</w:t>
      </w:r>
      <w:r w:rsidRPr="009B7F64">
        <w:rPr>
          <w:rFonts w:asciiTheme="majorBidi" w:hAnsiTheme="majorBidi" w:cs="David"/>
          <w:rtl/>
        </w:rPr>
        <w:t xml:space="preserve"> 23 בנובמבר 2014</w:t>
      </w:r>
      <w:r w:rsidRPr="009B7F64">
        <w:rPr>
          <w:rFonts w:asciiTheme="majorBidi" w:hAnsiTheme="majorBidi" w:cs="David" w:hint="cs"/>
          <w:rtl/>
        </w:rPr>
        <w:t>.</w:t>
      </w:r>
    </w:p>
  </w:footnote>
  <w:footnote w:id="176">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החלטת ממשלה מס' 3687, </w:t>
      </w:r>
      <w:hyperlink r:id="rId118" w:history="1">
        <w:r w:rsidRPr="009B7F64">
          <w:rPr>
            <w:rStyle w:val="Hyperlink"/>
            <w:rFonts w:asciiTheme="majorBidi" w:hAnsiTheme="majorBidi" w:cs="David"/>
            <w:rtl/>
          </w:rPr>
          <w:t>תופעת האלימות בחברה הישראלית</w:t>
        </w:r>
      </w:hyperlink>
      <w:r w:rsidRPr="009B7F64">
        <w:rPr>
          <w:rFonts w:asciiTheme="majorBidi" w:hAnsiTheme="majorBidi" w:cs="David"/>
          <w:rtl/>
        </w:rPr>
        <w:t xml:space="preserve">, 5 ביוני 2005. </w:t>
      </w:r>
    </w:p>
  </w:footnote>
  <w:footnote w:id="177">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סעיף 1</w:t>
      </w:r>
      <w:r w:rsidRPr="009B7F64">
        <w:rPr>
          <w:rFonts w:asciiTheme="majorBidi" w:hAnsiTheme="majorBidi" w:cs="David" w:hint="cs"/>
          <w:rtl/>
        </w:rPr>
        <w:t>,</w:t>
      </w:r>
      <w:r w:rsidRPr="009B7F64">
        <w:rPr>
          <w:rFonts w:asciiTheme="majorBidi" w:hAnsiTheme="majorBidi" w:cs="David"/>
          <w:rtl/>
        </w:rPr>
        <w:t xml:space="preserve"> </w:t>
      </w:r>
      <w:hyperlink r:id="rId119" w:history="1">
        <w:r w:rsidRPr="009B7F64">
          <w:rPr>
            <w:rStyle w:val="Hyperlink"/>
            <w:rFonts w:asciiTheme="majorBidi" w:hAnsiTheme="majorBidi" w:cs="David"/>
            <w:rtl/>
          </w:rPr>
          <w:t>חוק הרשות הלאומית למלחמה בסמים (תיקון מס' 3), התשע"ב-2012</w:t>
        </w:r>
      </w:hyperlink>
      <w:r w:rsidRPr="009B7F64">
        <w:rPr>
          <w:rFonts w:asciiTheme="majorBidi" w:hAnsiTheme="majorBidi" w:cs="David"/>
          <w:rtl/>
        </w:rPr>
        <w:t>.</w:t>
      </w:r>
    </w:p>
  </w:footnote>
  <w:footnote w:id="178">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החלטת ממשלה מס' 44, </w:t>
      </w:r>
      <w:hyperlink r:id="rId120" w:history="1">
        <w:r w:rsidRPr="009B7F64">
          <w:rPr>
            <w:rStyle w:val="Hyperlink"/>
            <w:rFonts w:asciiTheme="majorBidi" w:hAnsiTheme="majorBidi" w:cs="David"/>
            <w:rtl/>
          </w:rPr>
          <w:t>הרשות הלאומית למלחמה בסמים – העברת סמכויות</w:t>
        </w:r>
      </w:hyperlink>
      <w:r w:rsidRPr="009B7F64">
        <w:rPr>
          <w:rFonts w:asciiTheme="majorBidi" w:hAnsiTheme="majorBidi" w:cs="David"/>
          <w:rtl/>
        </w:rPr>
        <w:t>, 26 באפריל 2009.</w:t>
      </w:r>
    </w:p>
  </w:footnote>
  <w:footnote w:id="179">
    <w:p w:rsidR="00FE2909" w:rsidRPr="009B7F64" w:rsidRDefault="00FE2909" w:rsidP="00CD1DB5">
      <w:pPr>
        <w:pStyle w:val="a9"/>
        <w:spacing w:after="0" w:line="276" w:lineRule="auto"/>
        <w:rPr>
          <w:rFonts w:cs="David"/>
          <w:rtl/>
        </w:rPr>
      </w:pPr>
      <w:r w:rsidRPr="009B7F64">
        <w:rPr>
          <w:rStyle w:val="ab"/>
          <w:rFonts w:cs="David"/>
        </w:rPr>
        <w:footnoteRef/>
      </w:r>
      <w:r w:rsidRPr="009B7F64">
        <w:rPr>
          <w:rFonts w:cs="David"/>
          <w:rtl/>
        </w:rPr>
        <w:t xml:space="preserve"> </w:t>
      </w:r>
      <w:r w:rsidRPr="009B7F64">
        <w:rPr>
          <w:rFonts w:cs="David" w:hint="cs"/>
          <w:rtl/>
        </w:rPr>
        <w:t>הרכב מועצת הרשות, על-פי סעיף 6 ל</w:t>
      </w:r>
      <w:hyperlink r:id="rId121" w:history="1">
        <w:r w:rsidRPr="009B7F64">
          <w:rPr>
            <w:rStyle w:val="Hyperlink"/>
            <w:rFonts w:asciiTheme="majorBidi" w:hAnsiTheme="majorBidi" w:cs="David"/>
            <w:rtl/>
          </w:rPr>
          <w:t>חוק הרשות הלאומית למלחמה בסמים ובשימוש לרעה באלכוהול, התשמ"ח-1988</w:t>
        </w:r>
      </w:hyperlink>
      <w:r w:rsidRPr="009B7F64">
        <w:rPr>
          <w:rFonts w:cs="David" w:hint="cs"/>
          <w:rtl/>
        </w:rPr>
        <w:t xml:space="preserve"> הוא כדלהלן: חמישה נציגים ממשרד הבריאות (</w:t>
      </w:r>
      <w:r w:rsidRPr="009B7F64">
        <w:rPr>
          <w:rFonts w:asciiTheme="majorBidi" w:hAnsiTheme="majorBidi" w:cs="David"/>
          <w:rtl/>
        </w:rPr>
        <w:t>ראש שירותי בריאות הנפש, המתאם הארצי לנפגעי סמים ואלכוהול, מנהל מרכז שיקום לנפגעי סמים שקבע ראש שירותי בריאות הנפש, מנהל אגף הרוקחות וראש שירותי בריאות הציבור</w:t>
      </w:r>
      <w:r w:rsidRPr="009B7F64">
        <w:rPr>
          <w:rFonts w:asciiTheme="majorBidi" w:hAnsiTheme="majorBidi" w:cs="David" w:hint="cs"/>
          <w:rtl/>
        </w:rPr>
        <w:t xml:space="preserve">); </w:t>
      </w:r>
      <w:r w:rsidRPr="009B7F64">
        <w:rPr>
          <w:rFonts w:cs="David" w:hint="cs"/>
          <w:rtl/>
        </w:rPr>
        <w:t>שלושה נציגים מ</w:t>
      </w:r>
      <w:r w:rsidRPr="009B7F64">
        <w:rPr>
          <w:rFonts w:cs="David"/>
          <w:rtl/>
        </w:rPr>
        <w:t xml:space="preserve">משרד </w:t>
      </w:r>
      <w:r w:rsidRPr="009B7F64">
        <w:rPr>
          <w:rFonts w:cs="David" w:hint="cs"/>
          <w:rtl/>
        </w:rPr>
        <w:t>העבודה והרווחה (</w:t>
      </w:r>
      <w:r w:rsidRPr="009B7F64">
        <w:rPr>
          <w:rFonts w:asciiTheme="majorBidi" w:hAnsiTheme="majorBidi" w:cs="David"/>
          <w:rtl/>
        </w:rPr>
        <w:t>מנהל האגף לנוער ולצעירים ושירותי תקון, מנהל האגף לשירותים חברתיים ומפקח האגף להכשרה והשתלמות מקצועית</w:t>
      </w:r>
      <w:r w:rsidRPr="009B7F64">
        <w:rPr>
          <w:rFonts w:asciiTheme="majorBidi" w:hAnsiTheme="majorBidi" w:cs="David" w:hint="cs"/>
          <w:rtl/>
        </w:rPr>
        <w:t xml:space="preserve">); </w:t>
      </w:r>
      <w:r w:rsidRPr="009B7F64">
        <w:rPr>
          <w:rFonts w:cs="David" w:hint="cs"/>
          <w:rtl/>
        </w:rPr>
        <w:t>ארבעה נציגים מ</w:t>
      </w:r>
      <w:r w:rsidRPr="009B7F64">
        <w:rPr>
          <w:rFonts w:cs="David"/>
          <w:rtl/>
        </w:rPr>
        <w:t>משרד החינוך</w:t>
      </w:r>
      <w:r w:rsidRPr="009B7F64">
        <w:rPr>
          <w:rFonts w:cs="David" w:hint="cs"/>
          <w:rtl/>
        </w:rPr>
        <w:t xml:space="preserve"> והתרבות (</w:t>
      </w:r>
      <w:r w:rsidRPr="009B7F64">
        <w:rPr>
          <w:rFonts w:asciiTheme="majorBidi" w:hAnsiTheme="majorBidi" w:cs="David"/>
          <w:rtl/>
        </w:rPr>
        <w:t>סגן מנהל המינהל הפדגוגי, מנהל תחום קידום נוער במינהל חברה ונוער, ממונה על חינוך לבריאות ולמניעת סמים ואלכוהול ומנהל מרכז ההסברה</w:t>
      </w:r>
      <w:r w:rsidRPr="009B7F64">
        <w:rPr>
          <w:rFonts w:asciiTheme="majorBidi" w:hAnsiTheme="majorBidi" w:cs="David" w:hint="cs"/>
          <w:rtl/>
        </w:rPr>
        <w:t xml:space="preserve">); </w:t>
      </w:r>
      <w:r w:rsidRPr="009B7F64">
        <w:rPr>
          <w:rFonts w:cs="David"/>
          <w:rtl/>
        </w:rPr>
        <w:t>ראש מחלקת מודיעין במשטרת ישראל; ראש מינהל האסיר בשירות בתי-הסוהר; ראש מדור פסיכיאטריה במפקדת קצין רפואה ראשי בצבא הגנה לישראל; פרקליט מחוז בפרקליטות המדינה</w:t>
      </w:r>
      <w:r w:rsidRPr="009B7F64">
        <w:rPr>
          <w:rFonts w:cs="David" w:hint="cs"/>
          <w:rtl/>
        </w:rPr>
        <w:t xml:space="preserve">; נציג אחד מכל אחד מהגופים הבאים: </w:t>
      </w:r>
      <w:r w:rsidRPr="009B7F64">
        <w:rPr>
          <w:rFonts w:cs="David"/>
          <w:rtl/>
        </w:rPr>
        <w:t>המוסד לביטוח לאומי</w:t>
      </w:r>
      <w:r w:rsidRPr="009B7F64">
        <w:rPr>
          <w:rFonts w:cs="David" w:hint="cs"/>
          <w:rtl/>
        </w:rPr>
        <w:t>,</w:t>
      </w:r>
      <w:r w:rsidRPr="009B7F64">
        <w:rPr>
          <w:rFonts w:cs="David"/>
          <w:rtl/>
        </w:rPr>
        <w:t xml:space="preserve"> שירות התעסוקה</w:t>
      </w:r>
      <w:r w:rsidRPr="009B7F64">
        <w:rPr>
          <w:rFonts w:cs="David" w:hint="cs"/>
          <w:rtl/>
        </w:rPr>
        <w:t>,</w:t>
      </w:r>
      <w:r w:rsidRPr="009B7F64">
        <w:rPr>
          <w:rFonts w:cs="David"/>
          <w:rtl/>
        </w:rPr>
        <w:t xml:space="preserve"> הרשות לשיקום האסיר</w:t>
      </w:r>
      <w:r w:rsidRPr="009B7F64">
        <w:rPr>
          <w:rFonts w:cs="David" w:hint="cs"/>
          <w:rtl/>
        </w:rPr>
        <w:t>,</w:t>
      </w:r>
      <w:r w:rsidRPr="009B7F64">
        <w:rPr>
          <w:rFonts w:cs="David"/>
          <w:rtl/>
        </w:rPr>
        <w:t xml:space="preserve"> המועצה להשכלה גבוהה</w:t>
      </w:r>
      <w:r w:rsidRPr="009B7F64">
        <w:rPr>
          <w:rFonts w:cs="David" w:hint="cs"/>
          <w:rtl/>
        </w:rPr>
        <w:t>,</w:t>
      </w:r>
      <w:r w:rsidRPr="009B7F64">
        <w:rPr>
          <w:rFonts w:cs="David"/>
          <w:rtl/>
        </w:rPr>
        <w:t xml:space="preserve"> ההסתדרות הרפואית בישראל</w:t>
      </w:r>
      <w:r w:rsidRPr="009B7F64">
        <w:rPr>
          <w:rFonts w:cs="David" w:hint="cs"/>
          <w:rtl/>
        </w:rPr>
        <w:t>,</w:t>
      </w:r>
      <w:r w:rsidRPr="009B7F64">
        <w:rPr>
          <w:rFonts w:cs="David"/>
          <w:rtl/>
        </w:rPr>
        <w:t xml:space="preserve"> הסתדרות הפסיכולוגים</w:t>
      </w:r>
      <w:r w:rsidRPr="009B7F64">
        <w:rPr>
          <w:rFonts w:cs="David" w:hint="cs"/>
          <w:rtl/>
        </w:rPr>
        <w:t>,</w:t>
      </w:r>
      <w:r w:rsidRPr="009B7F64">
        <w:rPr>
          <w:rFonts w:cs="David"/>
          <w:rtl/>
        </w:rPr>
        <w:t xml:space="preserve"> איגוד העובדים הסוציאליים</w:t>
      </w:r>
      <w:r w:rsidRPr="009B7F64">
        <w:rPr>
          <w:rFonts w:cs="David" w:hint="cs"/>
          <w:rtl/>
        </w:rPr>
        <w:t>,</w:t>
      </w:r>
      <w:r w:rsidRPr="009B7F64">
        <w:rPr>
          <w:rFonts w:cs="David"/>
          <w:rtl/>
        </w:rPr>
        <w:t xml:space="preserve"> הסתדרות האחיות</w:t>
      </w:r>
      <w:r w:rsidRPr="009B7F64">
        <w:rPr>
          <w:rFonts w:cs="David" w:hint="cs"/>
          <w:rtl/>
        </w:rPr>
        <w:t>,</w:t>
      </w:r>
      <w:r w:rsidRPr="009B7F64">
        <w:rPr>
          <w:rFonts w:cs="David"/>
          <w:rtl/>
        </w:rPr>
        <w:t xml:space="preserve"> האגודה הישראלית לקרימינולוגיה</w:t>
      </w:r>
      <w:r w:rsidRPr="009B7F64">
        <w:rPr>
          <w:rFonts w:cs="David" w:hint="cs"/>
          <w:rtl/>
        </w:rPr>
        <w:t>,</w:t>
      </w:r>
      <w:r w:rsidRPr="009B7F64">
        <w:rPr>
          <w:rFonts w:cs="David"/>
          <w:rtl/>
        </w:rPr>
        <w:t xml:space="preserve"> מרכז השלטון המקומי</w:t>
      </w:r>
      <w:r w:rsidRPr="009B7F64">
        <w:rPr>
          <w:rFonts w:cs="David" w:hint="cs"/>
          <w:rtl/>
        </w:rPr>
        <w:t>,</w:t>
      </w:r>
      <w:r w:rsidRPr="009B7F64">
        <w:rPr>
          <w:rFonts w:cs="David"/>
          <w:rtl/>
        </w:rPr>
        <w:t xml:space="preserve"> מועצת תנועות הנוער</w:t>
      </w:r>
      <w:r w:rsidRPr="009B7F64">
        <w:rPr>
          <w:rFonts w:cs="David" w:hint="cs"/>
          <w:rtl/>
        </w:rPr>
        <w:t>,</w:t>
      </w:r>
      <w:r w:rsidRPr="009B7F64">
        <w:rPr>
          <w:rFonts w:cs="David"/>
          <w:rtl/>
        </w:rPr>
        <w:t xml:space="preserve"> המועצה הלאומית למחקר ופיתוח</w:t>
      </w:r>
      <w:r w:rsidRPr="009B7F64">
        <w:rPr>
          <w:rFonts w:cs="David" w:hint="cs"/>
          <w:rtl/>
        </w:rPr>
        <w:t>,</w:t>
      </w:r>
      <w:r w:rsidRPr="009B7F64">
        <w:rPr>
          <w:rFonts w:cs="David"/>
          <w:rtl/>
        </w:rPr>
        <w:t xml:space="preserve"> הסתדרות המורים</w:t>
      </w:r>
      <w:r w:rsidRPr="009B7F64">
        <w:rPr>
          <w:rFonts w:cs="David" w:hint="cs"/>
          <w:rtl/>
        </w:rPr>
        <w:t>,</w:t>
      </w:r>
      <w:r w:rsidRPr="009B7F64">
        <w:rPr>
          <w:rFonts w:cs="David"/>
          <w:rtl/>
        </w:rPr>
        <w:t xml:space="preserve"> ארגון המורים העל-יסודיים</w:t>
      </w:r>
      <w:r w:rsidRPr="009B7F64">
        <w:rPr>
          <w:rFonts w:cs="David" w:hint="cs"/>
          <w:rtl/>
        </w:rPr>
        <w:t xml:space="preserve">, </w:t>
      </w:r>
      <w:r w:rsidRPr="009B7F64">
        <w:rPr>
          <w:rFonts w:cs="David"/>
          <w:rtl/>
        </w:rPr>
        <w:t xml:space="preserve">התנועות הקיבוציות, גופים מתנדבים המטפלים במשתמשים בסמים, </w:t>
      </w:r>
      <w:r w:rsidRPr="009B7F64">
        <w:rPr>
          <w:rFonts w:cs="David" w:hint="cs"/>
          <w:rtl/>
        </w:rPr>
        <w:t>ו</w:t>
      </w:r>
      <w:r w:rsidRPr="009B7F64">
        <w:rPr>
          <w:rFonts w:cs="David"/>
          <w:rtl/>
        </w:rPr>
        <w:t>קופות החולים</w:t>
      </w:r>
      <w:r w:rsidRPr="009B7F64">
        <w:rPr>
          <w:rFonts w:cs="David" w:hint="cs"/>
          <w:rtl/>
        </w:rPr>
        <w:t>; וכן ארבעה נציגי ציבור שימונו על-ידי השר.</w:t>
      </w:r>
    </w:p>
  </w:footnote>
  <w:footnote w:id="180">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סעיף 15</w:t>
      </w:r>
      <w:r w:rsidRPr="009B7F64">
        <w:rPr>
          <w:rFonts w:asciiTheme="majorBidi" w:hAnsiTheme="majorBidi" w:cs="David" w:hint="cs"/>
          <w:rtl/>
        </w:rPr>
        <w:t xml:space="preserve">, </w:t>
      </w:r>
      <w:hyperlink r:id="rId122" w:history="1">
        <w:r w:rsidRPr="009B7F64">
          <w:rPr>
            <w:rStyle w:val="Hyperlink"/>
            <w:rFonts w:asciiTheme="majorBidi" w:hAnsiTheme="majorBidi" w:cs="David"/>
            <w:rtl/>
          </w:rPr>
          <w:t>חוק הרשות הלאומית למלחמה בסמים ובשימוש לרעה באלכוהול, התשמ"ח-1988</w:t>
        </w:r>
      </w:hyperlink>
      <w:r w:rsidRPr="009B7F64">
        <w:rPr>
          <w:rFonts w:asciiTheme="majorBidi" w:hAnsiTheme="majorBidi" w:cs="David" w:hint="cs"/>
          <w:rtl/>
        </w:rPr>
        <w:t>.</w:t>
      </w:r>
    </w:p>
  </w:footnote>
  <w:footnote w:id="181">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יעל צדוק, סטטיסטיקאית, לשכת המדען הראשי, הרשות הלאומית למלחמה בסמים ובאלכוהול, מכתב, 19 מרץ 2015.</w:t>
      </w:r>
    </w:p>
  </w:footnote>
  <w:footnote w:id="182">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80 במגזר היהודי (מתוכם 30 במגזר הדתי והחרדי) ו- 50 במגזר הערבי.</w:t>
      </w:r>
    </w:p>
  </w:footnote>
  <w:footnote w:id="183">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4 רכזי מגזר ערבי ביישובים מעורבים, 23 רכזי מגזר חבר המדינות, 11 רכזי מגזר קהילת יוצאי אתיופיה, 2 רכזי עולי צרפת.</w:t>
      </w:r>
    </w:p>
  </w:footnote>
  <w:footnote w:id="184">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יעל צדוק, סטטיסטיקאית</w:t>
      </w:r>
      <w:r w:rsidRPr="009B7F64">
        <w:rPr>
          <w:rFonts w:asciiTheme="majorBidi" w:hAnsiTheme="majorBidi" w:cs="David" w:hint="cs"/>
          <w:rtl/>
        </w:rPr>
        <w:t xml:space="preserve"> ב</w:t>
      </w:r>
      <w:r w:rsidRPr="009B7F64">
        <w:rPr>
          <w:rFonts w:asciiTheme="majorBidi" w:hAnsiTheme="majorBidi" w:cs="David"/>
          <w:rtl/>
        </w:rPr>
        <w:t>לשכת המדען הראשי</w:t>
      </w:r>
      <w:r w:rsidRPr="009B7F64">
        <w:rPr>
          <w:rFonts w:asciiTheme="majorBidi" w:hAnsiTheme="majorBidi" w:cs="David" w:hint="cs"/>
          <w:rtl/>
        </w:rPr>
        <w:t xml:space="preserve"> ב</w:t>
      </w:r>
      <w:r w:rsidRPr="009B7F64">
        <w:rPr>
          <w:rFonts w:asciiTheme="majorBidi" w:hAnsiTheme="majorBidi" w:cs="David"/>
          <w:rtl/>
        </w:rPr>
        <w:t xml:space="preserve">רשות הלאומית למלחמה בסמים ובאלכוהול, מכתב, 19 מרץ 2015. </w:t>
      </w:r>
    </w:p>
  </w:footnote>
  <w:footnote w:id="185">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r w:rsidRPr="009B7F64">
        <w:rPr>
          <w:rFonts w:asciiTheme="majorBidi" w:hAnsiTheme="majorBidi" w:cs="David"/>
          <w:rtl/>
        </w:rPr>
        <w:t>.</w:t>
      </w:r>
      <w:r w:rsidRPr="009B7F64">
        <w:rPr>
          <w:rFonts w:asciiTheme="majorBidi" w:hAnsiTheme="majorBidi" w:cs="David" w:hint="cs"/>
          <w:rtl/>
        </w:rPr>
        <w:t xml:space="preserve"> </w:t>
      </w:r>
      <w:r w:rsidRPr="009B7F64">
        <w:rPr>
          <w:rFonts w:cs="David" w:hint="cs"/>
          <w:rtl/>
        </w:rPr>
        <w:t>סעיף 149יא. ב</w:t>
      </w:r>
      <w:hyperlink r:id="rId123" w:anchor="Seif348" w:history="1">
        <w:r w:rsidRPr="009B7F64">
          <w:rPr>
            <w:rStyle w:val="Hyperlink"/>
            <w:rFonts w:asciiTheme="majorBidi" w:hAnsiTheme="majorBidi" w:cs="David"/>
            <w:rtl/>
          </w:rPr>
          <w:t>פקודת העיריות [נוסח חדש]</w:t>
        </w:r>
      </w:hyperlink>
      <w:r w:rsidRPr="009B7F64">
        <w:rPr>
          <w:rFonts w:cs="David" w:hint="cs"/>
          <w:rtl/>
        </w:rPr>
        <w:t xml:space="preserve"> קובע כי כל עירייה תקים ועדה למאבק בנגע הסמים המסוכנים. ראו פרק 2.4.2 במסמך זה.</w:t>
      </w:r>
    </w:p>
  </w:footnote>
  <w:footnote w:id="186">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124" w:history="1">
        <w:r w:rsidRPr="009B7F64">
          <w:rPr>
            <w:rStyle w:val="Hyperlink"/>
            <w:rFonts w:asciiTheme="majorBidi" w:hAnsiTheme="majorBidi" w:cs="David"/>
            <w:rtl/>
          </w:rPr>
          <w:t>חוק הרשות הלאומית למלחמה בסמים ובשימוש לרעה באלכוהול, התשמ"ח-1988</w:t>
        </w:r>
      </w:hyperlink>
      <w:r w:rsidRPr="009B7F64">
        <w:rPr>
          <w:rFonts w:asciiTheme="majorBidi" w:hAnsiTheme="majorBidi" w:cs="David" w:hint="cs"/>
          <w:rtl/>
        </w:rPr>
        <w:t>.</w:t>
      </w:r>
    </w:p>
  </w:footnote>
  <w:footnote w:id="187">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סעיף 5</w:t>
      </w:r>
      <w:r w:rsidRPr="009B7F64">
        <w:rPr>
          <w:rFonts w:asciiTheme="majorBidi" w:hAnsiTheme="majorBidi" w:cs="David" w:hint="cs"/>
          <w:rtl/>
        </w:rPr>
        <w:t xml:space="preserve">, </w:t>
      </w:r>
      <w:hyperlink r:id="rId125" w:history="1">
        <w:r w:rsidRPr="009B7F64">
          <w:rPr>
            <w:rStyle w:val="Hyperlink"/>
            <w:rFonts w:asciiTheme="majorBidi" w:hAnsiTheme="majorBidi" w:cs="David"/>
            <w:rtl/>
          </w:rPr>
          <w:t>חוק הרשות הלאומית למלחמה בסמים ובשימוש לרעה באלכוהול, התשמ"ח-1988</w:t>
        </w:r>
      </w:hyperlink>
      <w:r w:rsidRPr="009B7F64">
        <w:rPr>
          <w:rFonts w:asciiTheme="majorBidi" w:hAnsiTheme="majorBidi" w:cs="David" w:hint="cs"/>
          <w:rtl/>
        </w:rPr>
        <w:t>.</w:t>
      </w:r>
    </w:p>
  </w:footnote>
  <w:footnote w:id="188">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הרשות הלאומית למלחמה בסמים ובאלכוהול, סיכום שנת העבודה 2013 (דו"ח מס' 25), אפריל 2014, עמ' 17.</w:t>
      </w:r>
    </w:p>
  </w:footnote>
  <w:footnote w:id="189">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סעיף 41</w:t>
      </w:r>
      <w:r w:rsidRPr="009B7F64">
        <w:rPr>
          <w:rFonts w:asciiTheme="majorBidi" w:hAnsiTheme="majorBidi" w:cs="David" w:hint="cs"/>
          <w:rtl/>
        </w:rPr>
        <w:t xml:space="preserve">, </w:t>
      </w:r>
      <w:hyperlink r:id="rId126" w:history="1">
        <w:r w:rsidRPr="009B7F64">
          <w:rPr>
            <w:rStyle w:val="Hyperlink"/>
            <w:rFonts w:asciiTheme="majorBidi" w:hAnsiTheme="majorBidi" w:cs="David"/>
            <w:rtl/>
          </w:rPr>
          <w:t>פקודת הסמים המסוכנים [נוסח חדש], התשל"ג-1973</w:t>
        </w:r>
      </w:hyperlink>
      <w:r w:rsidRPr="009B7F64">
        <w:rPr>
          <w:rStyle w:val="Hyperlink"/>
          <w:rFonts w:asciiTheme="majorBidi" w:hAnsiTheme="majorBidi" w:cs="David" w:hint="cs"/>
          <w:u w:val="none"/>
          <w:rtl/>
        </w:rPr>
        <w:t>.</w:t>
      </w:r>
    </w:p>
  </w:footnote>
  <w:footnote w:id="190">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יעל צדוק, סטטיסטיקאית, לשכת המדען הראשי, הרשות הלאומית למלחמה בסמים ובאלכוהול, מכתב, 19 מרץ 2015.</w:t>
      </w:r>
    </w:p>
  </w:footnote>
  <w:footnote w:id="191">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תקציב </w:t>
      </w:r>
      <w:r w:rsidRPr="009B7F64">
        <w:rPr>
          <w:rFonts w:asciiTheme="majorBidi" w:hAnsiTheme="majorBidi" w:cs="David" w:hint="cs"/>
          <w:rtl/>
        </w:rPr>
        <w:t xml:space="preserve"> </w:t>
      </w:r>
      <w:r w:rsidRPr="009B7F64">
        <w:rPr>
          <w:rFonts w:asciiTheme="majorBidi" w:hAnsiTheme="majorBidi" w:cs="David"/>
          <w:rtl/>
        </w:rPr>
        <w:t xml:space="preserve">הרשות נידון בהרחבה במסמך  </w:t>
      </w:r>
      <w:r w:rsidRPr="009B7F64">
        <w:rPr>
          <w:rFonts w:asciiTheme="majorBidi" w:hAnsiTheme="majorBidi" w:cs="David"/>
          <w:u w:val="single"/>
          <w:rtl/>
        </w:rPr>
        <w:t>הרשות הלאומית למלחמה בסמים ובאלכוהול – מבנה, תפקידים ותקציב</w:t>
      </w:r>
      <w:r w:rsidRPr="009B7F64">
        <w:rPr>
          <w:rFonts w:asciiTheme="majorBidi" w:hAnsiTheme="majorBidi" w:cs="David"/>
          <w:rtl/>
        </w:rPr>
        <w:t xml:space="preserve"> של מרכז המחקר והמידע של הכנסת מתאריך 23 בנובמבר 2014</w:t>
      </w:r>
      <w:r w:rsidRPr="009B7F64">
        <w:rPr>
          <w:rFonts w:asciiTheme="majorBidi" w:hAnsiTheme="majorBidi" w:cs="David" w:hint="cs"/>
          <w:rtl/>
        </w:rPr>
        <w:t>.</w:t>
      </w:r>
      <w:r w:rsidRPr="009B7F64">
        <w:rPr>
          <w:rFonts w:asciiTheme="majorBidi" w:hAnsiTheme="majorBidi" w:cs="David"/>
          <w:rtl/>
        </w:rPr>
        <w:t xml:space="preserve"> כתיבה: מתן שחק. באותו המסמך נעשה שימוש בנתוני התקציב ברמת התקנה, ולא נכללו בהם נתוני תקציב הרזרבות של הרשות. לעומת זאת, במסמך הנוכחי מוצגים נתוני תקציב הרשות ברמת התוכנית הכללית, ומכאן שהם כוללים </w:t>
      </w:r>
      <w:r w:rsidRPr="009B7F64">
        <w:rPr>
          <w:rFonts w:asciiTheme="majorBidi" w:hAnsiTheme="majorBidi" w:cs="David" w:hint="cs"/>
          <w:rtl/>
        </w:rPr>
        <w:t xml:space="preserve">גם </w:t>
      </w:r>
      <w:r w:rsidRPr="009B7F64">
        <w:rPr>
          <w:rFonts w:asciiTheme="majorBidi" w:hAnsiTheme="majorBidi" w:cs="David"/>
          <w:rtl/>
        </w:rPr>
        <w:t xml:space="preserve">את </w:t>
      </w:r>
      <w:r w:rsidRPr="009B7F64">
        <w:rPr>
          <w:rFonts w:asciiTheme="majorBidi" w:hAnsiTheme="majorBidi" w:cs="David" w:hint="cs"/>
          <w:rtl/>
        </w:rPr>
        <w:t>הסכומים הנכללים בתקציב הרזרבות של הרשות.</w:t>
      </w:r>
      <w:r w:rsidRPr="009B7F64">
        <w:rPr>
          <w:rFonts w:asciiTheme="majorBidi" w:hAnsiTheme="majorBidi" w:cs="David"/>
          <w:rtl/>
        </w:rPr>
        <w:t xml:space="preserve"> לאור זאת ישנם פערים בין המספרים המוצגים בשני המסמכים.</w:t>
      </w:r>
    </w:p>
  </w:footnote>
  <w:footnote w:id="192">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סעיף 19</w:t>
      </w:r>
      <w:r w:rsidRPr="009B7F64">
        <w:rPr>
          <w:rFonts w:asciiTheme="majorBidi" w:hAnsiTheme="majorBidi" w:cs="David" w:hint="cs"/>
          <w:rtl/>
        </w:rPr>
        <w:t xml:space="preserve">, </w:t>
      </w:r>
      <w:hyperlink r:id="rId127" w:history="1">
        <w:r w:rsidRPr="009B7F64">
          <w:rPr>
            <w:rStyle w:val="Hyperlink"/>
            <w:rFonts w:cs="David" w:hint="cs"/>
            <w:rtl/>
          </w:rPr>
          <w:t>חוק הרשות הלאומית למלחמה בסמים ובשימוש לרעה באלכוהול</w:t>
        </w:r>
        <w:r w:rsidRPr="009B7F64">
          <w:rPr>
            <w:rStyle w:val="Hyperlink"/>
            <w:rFonts w:cs="David" w:hint="cs"/>
          </w:rPr>
          <w:t>, </w:t>
        </w:r>
        <w:r w:rsidRPr="009B7F64">
          <w:rPr>
            <w:rStyle w:val="Hyperlink"/>
            <w:rFonts w:cs="David" w:hint="cs"/>
            <w:rtl/>
          </w:rPr>
          <w:t xml:space="preserve"> תשמ"ח-1988</w:t>
        </w:r>
      </w:hyperlink>
      <w:r w:rsidRPr="009B7F64">
        <w:rPr>
          <w:rFonts w:cs="David" w:hint="cs"/>
          <w:color w:val="000000"/>
          <w:rtl/>
        </w:rPr>
        <w:t>.</w:t>
      </w:r>
    </w:p>
  </w:footnote>
  <w:footnote w:id="193">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מתן שחק, </w:t>
      </w:r>
      <w:r w:rsidRPr="009B7F64">
        <w:rPr>
          <w:rFonts w:asciiTheme="majorBidi" w:hAnsiTheme="majorBidi" w:cs="David"/>
          <w:u w:val="single"/>
          <w:rtl/>
        </w:rPr>
        <w:t>הרשות הלאומית למלחמה בסמים ובאלכוהול – מבנה, תפקידים ותקציב</w:t>
      </w:r>
      <w:r w:rsidRPr="009B7F64">
        <w:rPr>
          <w:rFonts w:asciiTheme="majorBidi" w:hAnsiTheme="majorBidi" w:cs="David"/>
          <w:rtl/>
        </w:rPr>
        <w:t>, מרכז המחקר והמידע של הכנסת, 23 בנובמבר 2014.</w:t>
      </w:r>
    </w:p>
  </w:footnote>
  <w:footnote w:id="194">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משרד האוצר – החשב הכללי, </w:t>
      </w:r>
      <w:r w:rsidRPr="009B7F64">
        <w:rPr>
          <w:rFonts w:asciiTheme="majorBidi" w:hAnsiTheme="majorBidi" w:cs="David"/>
          <w:u w:val="single"/>
          <w:rtl/>
        </w:rPr>
        <w:t>ספר התקציב</w:t>
      </w:r>
      <w:r w:rsidRPr="009B7F64">
        <w:rPr>
          <w:rFonts w:asciiTheme="majorBidi" w:hAnsiTheme="majorBidi" w:cs="David"/>
          <w:rtl/>
        </w:rPr>
        <w:t xml:space="preserve">, </w:t>
      </w:r>
      <w:hyperlink r:id="rId128" w:history="1">
        <w:r w:rsidRPr="009B7F64">
          <w:rPr>
            <w:rStyle w:val="Hyperlink"/>
            <w:rFonts w:asciiTheme="majorBidi" w:hAnsiTheme="majorBidi" w:cs="David"/>
            <w:rtl/>
          </w:rPr>
          <w:t>ביצוע תקציב מפורט לפי תקנות לשנים 2013-2008</w:t>
        </w:r>
      </w:hyperlink>
      <w:r w:rsidRPr="009B7F64">
        <w:rPr>
          <w:rFonts w:asciiTheme="majorBidi" w:hAnsiTheme="majorBidi" w:cs="David"/>
          <w:rtl/>
        </w:rPr>
        <w:t xml:space="preserve">, סעיפים 0004017802 (2008-2009) ו-  00070106 (2009-2013). תאריך כניסה: 5 אפריל 2015; נתוני 2014 נמסרו מנועם גלעדי, אגף החשב הכללי במשרד האוצר, </w:t>
      </w:r>
      <w:r w:rsidRPr="009B7F64">
        <w:rPr>
          <w:rFonts w:asciiTheme="majorBidi" w:hAnsiTheme="majorBidi" w:cs="David" w:hint="cs"/>
          <w:rtl/>
        </w:rPr>
        <w:t>מכתב</w:t>
      </w:r>
      <w:r w:rsidRPr="009B7F64">
        <w:rPr>
          <w:rFonts w:asciiTheme="majorBidi" w:hAnsiTheme="majorBidi" w:cs="David"/>
          <w:rtl/>
        </w:rPr>
        <w:t>, 9 מרץ 2015.</w:t>
      </w:r>
    </w:p>
  </w:footnote>
  <w:footnote w:id="195">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כאמור, בשנת 2009 העבירה הממשלה לשר לביטחון הפנים את הסמכויות הנתונות לראש הממשלה. לפיכך, בשנה זו קיימים שני סעיפים תקציביים עבור הרשות: 0004017802 תחת משרד ראש הממשלה, סך של 11,704,000 ₪; 00070106, תחת המשרד לביטחון פנים, סך של 10,294,000 ש"ח. הנתונים המופיעים בטבלה מבוססים על סעיף 00070106 בלבד.  </w:t>
      </w:r>
    </w:p>
  </w:footnote>
  <w:footnote w:id="196">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הרשות הלאומית למלחמה בסמים ובאלכוהול, סיכום שנת העבודה 2013 (דו"ח מס' 25), אפריל 2014, עמ' 18.</w:t>
      </w:r>
    </w:p>
  </w:footnote>
  <w:footnote w:id="197">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החלטת ממשלה מס' 907, </w:t>
      </w:r>
      <w:hyperlink r:id="rId129" w:history="1">
        <w:r w:rsidRPr="009B7F64">
          <w:rPr>
            <w:rStyle w:val="Hyperlink"/>
            <w:rFonts w:asciiTheme="majorBidi" w:hAnsiTheme="majorBidi" w:cs="David"/>
            <w:rtl/>
          </w:rPr>
          <w:t>תוכנית לאומית לצמצום הצריכה המופרזת של אלכוהול ולצמצום נזקיו</w:t>
        </w:r>
      </w:hyperlink>
      <w:r w:rsidRPr="009B7F64">
        <w:rPr>
          <w:rFonts w:asciiTheme="majorBidi" w:hAnsiTheme="majorBidi" w:cs="David"/>
          <w:rtl/>
        </w:rPr>
        <w:t>, 15 בנובמבר 2009.</w:t>
      </w:r>
    </w:p>
  </w:footnote>
  <w:footnote w:id="198">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החלטת ממשלה מס' 4686, </w:t>
      </w:r>
      <w:hyperlink r:id="rId130" w:history="1">
        <w:r w:rsidRPr="009B7F64">
          <w:rPr>
            <w:rStyle w:val="Hyperlink"/>
            <w:rFonts w:asciiTheme="majorBidi" w:hAnsiTheme="majorBidi" w:cs="David"/>
            <w:rtl/>
          </w:rPr>
          <w:t>התכנית הלאומית לצמצום צריכה בלתי אחראית של אלכוהול</w:t>
        </w:r>
      </w:hyperlink>
      <w:r w:rsidRPr="009B7F64">
        <w:rPr>
          <w:rFonts w:asciiTheme="majorBidi" w:hAnsiTheme="majorBidi" w:cs="David"/>
          <w:rtl/>
        </w:rPr>
        <w:t>, 31 במאי 2012.</w:t>
      </w:r>
    </w:p>
  </w:footnote>
  <w:footnote w:id="199">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החלטת ממשלה מס' 698, </w:t>
      </w:r>
      <w:hyperlink r:id="rId131" w:history="1">
        <w:r w:rsidRPr="009B7F64">
          <w:rPr>
            <w:rStyle w:val="Hyperlink"/>
            <w:rFonts w:asciiTheme="majorBidi" w:hAnsiTheme="majorBidi" w:cs="David"/>
            <w:rtl/>
          </w:rPr>
          <w:t>המשך יישום התוכנית הלאומית לצמצום הצריכה הבלתי אחראית של אלכוהול</w:t>
        </w:r>
      </w:hyperlink>
      <w:r w:rsidRPr="009B7F64">
        <w:rPr>
          <w:rFonts w:asciiTheme="majorBidi" w:hAnsiTheme="majorBidi" w:cs="David"/>
          <w:rtl/>
        </w:rPr>
        <w:t>, 21 אוגוסט 2013.</w:t>
      </w:r>
    </w:p>
  </w:footnote>
  <w:footnote w:id="200">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132" w:history="1">
        <w:r w:rsidRPr="009B7F64">
          <w:rPr>
            <w:rStyle w:val="Hyperlink"/>
            <w:rFonts w:cs="David" w:hint="cs"/>
            <w:rtl/>
          </w:rPr>
          <w:t xml:space="preserve">חוק רישוי עסקים (תיקון מס' 26 </w:t>
        </w:r>
        <w:r w:rsidRPr="009B7F64">
          <w:rPr>
            <w:rStyle w:val="Hyperlink"/>
            <w:rFonts w:cs="David"/>
            <w:rtl/>
          </w:rPr>
          <w:t>–</w:t>
        </w:r>
        <w:r w:rsidRPr="009B7F64">
          <w:rPr>
            <w:rStyle w:val="Hyperlink"/>
            <w:rFonts w:cs="David" w:hint="cs"/>
            <w:rtl/>
          </w:rPr>
          <w:t xml:space="preserve"> הוראת שעה), התש"ע-2010</w:t>
        </w:r>
      </w:hyperlink>
      <w:r w:rsidRPr="009B7F64">
        <w:rPr>
          <w:rFonts w:cs="David" w:hint="cs"/>
          <w:rtl/>
        </w:rPr>
        <w:t>. ראו גם פרק 2.4.6 במסמך זה.</w:t>
      </w:r>
    </w:p>
  </w:footnote>
  <w:footnote w:id="201">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133" w:history="1">
        <w:r w:rsidRPr="009B7F64">
          <w:rPr>
            <w:rStyle w:val="Hyperlink"/>
            <w:rFonts w:cs="David" w:hint="cs"/>
            <w:rtl/>
          </w:rPr>
          <w:t>חוק המאבק בתופעת השכרות, התש"ע-2010</w:t>
        </w:r>
      </w:hyperlink>
      <w:r w:rsidRPr="009B7F64">
        <w:rPr>
          <w:rFonts w:cs="David" w:hint="cs"/>
          <w:rtl/>
        </w:rPr>
        <w:t>. ראו גם פרק 2.3.1 במסמך זה.</w:t>
      </w:r>
    </w:p>
  </w:footnote>
  <w:footnote w:id="202">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134" w:history="1">
        <w:r w:rsidRPr="009B7F64">
          <w:rPr>
            <w:rStyle w:val="Hyperlink"/>
            <w:rFonts w:asciiTheme="majorBidi" w:hAnsiTheme="majorBidi" w:cs="David"/>
            <w:rtl/>
          </w:rPr>
          <w:t>חוק הגבלת הפרסומת והשיווק של משקאות אלכוהוליים, התשע"ב-2012</w:t>
        </w:r>
      </w:hyperlink>
      <w:r w:rsidRPr="009B7F64">
        <w:rPr>
          <w:rFonts w:asciiTheme="majorBidi" w:hAnsiTheme="majorBidi" w:cs="David"/>
          <w:rtl/>
        </w:rPr>
        <w:t>.</w:t>
      </w:r>
      <w:r w:rsidRPr="009B7F64">
        <w:rPr>
          <w:rFonts w:asciiTheme="majorBidi" w:hAnsiTheme="majorBidi" w:cs="David" w:hint="cs"/>
          <w:rtl/>
        </w:rPr>
        <w:t xml:space="preserve"> ראו גם פרק 2.3.2 במסמך זה.</w:t>
      </w:r>
    </w:p>
  </w:footnote>
  <w:footnote w:id="203">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יעל צדוק, סטטיסטיקאית</w:t>
      </w:r>
      <w:r w:rsidRPr="009B7F64">
        <w:rPr>
          <w:rFonts w:asciiTheme="majorBidi" w:hAnsiTheme="majorBidi" w:cs="David" w:hint="cs"/>
          <w:rtl/>
        </w:rPr>
        <w:t xml:space="preserve"> ב</w:t>
      </w:r>
      <w:r w:rsidRPr="009B7F64">
        <w:rPr>
          <w:rFonts w:asciiTheme="majorBidi" w:hAnsiTheme="majorBidi" w:cs="David"/>
          <w:rtl/>
        </w:rPr>
        <w:t>לשכת המדען הראשי</w:t>
      </w:r>
      <w:r w:rsidRPr="009B7F64">
        <w:rPr>
          <w:rFonts w:asciiTheme="majorBidi" w:hAnsiTheme="majorBidi" w:cs="David" w:hint="cs"/>
          <w:rtl/>
        </w:rPr>
        <w:t xml:space="preserve"> ב</w:t>
      </w:r>
      <w:r w:rsidRPr="009B7F64">
        <w:rPr>
          <w:rFonts w:asciiTheme="majorBidi" w:hAnsiTheme="majorBidi" w:cs="David"/>
          <w:rtl/>
        </w:rPr>
        <w:t>רשות הלאומית למלחמה בסמים ובאלכוהול, מכתב, 19 מרץ 2015.</w:t>
      </w:r>
    </w:p>
  </w:footnote>
  <w:footnote w:id="204">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p>
  </w:footnote>
  <w:footnote w:id="205">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יעל צדוק, סטטיסטיקאית</w:t>
      </w:r>
      <w:r w:rsidRPr="009B7F64">
        <w:rPr>
          <w:rFonts w:asciiTheme="majorBidi" w:hAnsiTheme="majorBidi" w:cs="David" w:hint="cs"/>
          <w:rtl/>
        </w:rPr>
        <w:t xml:space="preserve"> ב</w:t>
      </w:r>
      <w:r w:rsidRPr="009B7F64">
        <w:rPr>
          <w:rFonts w:asciiTheme="majorBidi" w:hAnsiTheme="majorBidi" w:cs="David"/>
          <w:rtl/>
        </w:rPr>
        <w:t xml:space="preserve">לשכת המדען הראשי </w:t>
      </w:r>
      <w:r w:rsidRPr="009B7F64">
        <w:rPr>
          <w:rFonts w:asciiTheme="majorBidi" w:hAnsiTheme="majorBidi" w:cs="David" w:hint="cs"/>
          <w:rtl/>
        </w:rPr>
        <w:t>ב</w:t>
      </w:r>
      <w:r w:rsidRPr="009B7F64">
        <w:rPr>
          <w:rFonts w:asciiTheme="majorBidi" w:hAnsiTheme="majorBidi" w:cs="David"/>
          <w:rtl/>
        </w:rPr>
        <w:t xml:space="preserve">רשות הלאומית למלחמה בסמים ובאלכוהול, </w:t>
      </w:r>
      <w:r w:rsidRPr="009B7F64">
        <w:rPr>
          <w:rFonts w:asciiTheme="majorBidi" w:hAnsiTheme="majorBidi" w:cs="David" w:hint="cs"/>
          <w:rtl/>
        </w:rPr>
        <w:t>שיחת טלפון ,8 מרץ 2015.</w:t>
      </w:r>
    </w:p>
  </w:footnote>
  <w:footnote w:id="206">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 xml:space="preserve">נתוני הסקר האפידמיולוגי לו היתה שותפה הרשות הלאומית למלחמה בסמים ובאלכוהול שנערך בקרב נוער לומד בישראל, התפרסמו ב- 2013 על-ידי </w:t>
      </w:r>
      <w:r w:rsidRPr="009B7F64">
        <w:rPr>
          <w:rFonts w:asciiTheme="majorBidi" w:hAnsiTheme="majorBidi" w:cs="David"/>
          <w:rtl/>
        </w:rPr>
        <w:t>תכנית המחקר הבינלאומי על רווחתם ובריאותם של בני הנוער, בית הספר לחינוך אוניברסיטת בר-אילן,</w:t>
      </w:r>
      <w:r w:rsidRPr="009B7F64">
        <w:rPr>
          <w:rFonts w:asciiTheme="majorBidi" w:hAnsiTheme="majorBidi" w:cs="David" w:hint="cs"/>
          <w:rtl/>
        </w:rPr>
        <w:t xml:space="preserve"> תחת הכותרת</w:t>
      </w:r>
      <w:r w:rsidRPr="009B7F64">
        <w:rPr>
          <w:rFonts w:asciiTheme="majorBidi" w:hAnsiTheme="majorBidi" w:cs="David"/>
          <w:rtl/>
        </w:rPr>
        <w:t xml:space="preserve"> </w:t>
      </w:r>
      <w:hyperlink r:id="rId135" w:history="1">
        <w:r w:rsidRPr="009B7F64">
          <w:rPr>
            <w:rStyle w:val="Hyperlink"/>
            <w:rFonts w:asciiTheme="majorBidi" w:hAnsiTheme="majorBidi" w:cs="David"/>
            <w:rtl/>
          </w:rPr>
          <w:t>נוער בישראל: דפוסי שימוש והתייחסות לחומרים ממכרים בהשוואה בינלאומית, 1994-2011</w:t>
        </w:r>
      </w:hyperlink>
      <w:r w:rsidRPr="009B7F64">
        <w:rPr>
          <w:rFonts w:asciiTheme="majorBidi" w:hAnsiTheme="majorBidi" w:cs="David" w:hint="cs"/>
          <w:rtl/>
        </w:rPr>
        <w:t xml:space="preserve">. בפרסום זה מוצגת </w:t>
      </w:r>
      <w:r w:rsidRPr="009B7F64">
        <w:rPr>
          <w:rFonts w:asciiTheme="majorBidi" w:hAnsiTheme="majorBidi" w:cs="David"/>
          <w:rtl/>
        </w:rPr>
        <w:t xml:space="preserve">השוואה רב-שנתית בנוגע לצריכת אלכוהול בקרב תלמידי בתי-ספר בישראל בין השנים 1998-2011. </w:t>
      </w:r>
      <w:r w:rsidRPr="009B7F64">
        <w:rPr>
          <w:rFonts w:asciiTheme="majorBidi" w:hAnsiTheme="majorBidi" w:cs="David"/>
          <w:b/>
          <w:bCs/>
          <w:rtl/>
        </w:rPr>
        <w:t>ממצאיה של הרשות עצמה מהשוואה רב-שנתית זו היא כי</w:t>
      </w:r>
      <w:r w:rsidRPr="009B7F64">
        <w:rPr>
          <w:rFonts w:asciiTheme="majorBidi" w:hAnsiTheme="majorBidi" w:cs="David"/>
          <w:rtl/>
        </w:rPr>
        <w:t xml:space="preserve"> </w:t>
      </w:r>
      <w:r w:rsidRPr="009B7F64">
        <w:rPr>
          <w:rFonts w:asciiTheme="majorBidi" w:hAnsiTheme="majorBidi" w:cs="David"/>
          <w:b/>
          <w:bCs/>
          <w:rtl/>
        </w:rPr>
        <w:t xml:space="preserve">ניתן לזהות </w:t>
      </w:r>
      <w:r w:rsidRPr="009B7F64">
        <w:rPr>
          <w:rFonts w:asciiTheme="majorBidi" w:hAnsiTheme="majorBidi" w:cs="David"/>
          <w:b/>
          <w:bCs/>
          <w:u w:val="single"/>
          <w:rtl/>
        </w:rPr>
        <w:t>ירידה</w:t>
      </w:r>
      <w:r w:rsidRPr="009B7F64">
        <w:rPr>
          <w:rFonts w:asciiTheme="majorBidi" w:hAnsiTheme="majorBidi" w:cs="David"/>
          <w:b/>
          <w:bCs/>
          <w:rtl/>
        </w:rPr>
        <w:t xml:space="preserve"> עקבית בשתיית אלכוהול ב- 30 הימים שקדמו לעריכת הסקר לאורך השנים בקרב תלמידי-בתי הספר, וזאת החל מ- 1998 </w:t>
      </w:r>
      <w:r w:rsidRPr="009B7F64">
        <w:rPr>
          <w:rFonts w:asciiTheme="majorBidi" w:hAnsiTheme="majorBidi" w:cs="David"/>
          <w:rtl/>
        </w:rPr>
        <w:t>(עמ' 7).</w:t>
      </w:r>
      <w:r w:rsidRPr="009B7F64">
        <w:rPr>
          <w:rFonts w:asciiTheme="majorBidi" w:hAnsiTheme="majorBidi" w:cs="David"/>
          <w:b/>
          <w:bCs/>
          <w:rtl/>
        </w:rPr>
        <w:t xml:space="preserve"> </w:t>
      </w:r>
      <w:r w:rsidRPr="009B7F64">
        <w:rPr>
          <w:rFonts w:asciiTheme="majorBidi" w:hAnsiTheme="majorBidi" w:cs="David"/>
          <w:rtl/>
        </w:rPr>
        <w:t xml:space="preserve">כלומר, </w:t>
      </w:r>
      <w:r w:rsidRPr="009B7F64">
        <w:rPr>
          <w:rFonts w:asciiTheme="majorBidi" w:hAnsiTheme="majorBidi" w:cs="David"/>
          <w:u w:val="single"/>
          <w:rtl/>
        </w:rPr>
        <w:t>טרם</w:t>
      </w:r>
      <w:r w:rsidRPr="009B7F64">
        <w:rPr>
          <w:rFonts w:asciiTheme="majorBidi" w:hAnsiTheme="majorBidi" w:cs="David"/>
          <w:rtl/>
        </w:rPr>
        <w:t xml:space="preserve"> החלת התוכנית הלאומית. ייתכן וכוונתה של הרשות היא לנתוני דפוס </w:t>
      </w:r>
      <w:r w:rsidRPr="009B7F64">
        <w:rPr>
          <w:rFonts w:asciiTheme="majorBidi" w:hAnsiTheme="majorBidi" w:cs="David"/>
          <w:b/>
          <w:bCs/>
          <w:rtl/>
        </w:rPr>
        <w:t>השתייה המופרזת</w:t>
      </w:r>
      <w:r w:rsidRPr="009B7F64">
        <w:rPr>
          <w:rFonts w:asciiTheme="majorBidi" w:hAnsiTheme="majorBidi" w:cs="David"/>
          <w:rtl/>
        </w:rPr>
        <w:t xml:space="preserve"> (שתיה של חמש מנות או יותר של אלכהול תוך שעות ספורות)</w:t>
      </w:r>
      <w:r w:rsidRPr="009B7F64">
        <w:rPr>
          <w:rFonts w:asciiTheme="majorBidi" w:hAnsiTheme="majorBidi" w:cs="David" w:hint="cs"/>
          <w:rtl/>
        </w:rPr>
        <w:t xml:space="preserve">, אך </w:t>
      </w:r>
      <w:r w:rsidRPr="009B7F64">
        <w:rPr>
          <w:rFonts w:asciiTheme="majorBidi" w:hAnsiTheme="majorBidi" w:cs="David" w:hint="cs"/>
          <w:b/>
          <w:bCs/>
          <w:rtl/>
        </w:rPr>
        <w:t>קיימת אי-בהירות לגבי הנתונים הנוגעים לדפוס שתיה זה</w:t>
      </w:r>
      <w:r w:rsidRPr="009B7F64">
        <w:rPr>
          <w:rFonts w:asciiTheme="majorBidi" w:hAnsiTheme="majorBidi" w:cs="David" w:hint="cs"/>
          <w:rtl/>
        </w:rPr>
        <w:t xml:space="preserve">: לוח 15 </w:t>
      </w:r>
      <w:r w:rsidRPr="009B7F64">
        <w:rPr>
          <w:rFonts w:asciiTheme="majorBidi" w:hAnsiTheme="majorBidi" w:cs="David" w:hint="cs"/>
          <w:u w:val="single"/>
          <w:rtl/>
        </w:rPr>
        <w:t xml:space="preserve">בפרסום משנת 2013 מעלה ממוצע של </w:t>
      </w:r>
      <w:r w:rsidRPr="009B7F64">
        <w:rPr>
          <w:rFonts w:asciiTheme="majorBidi" w:hAnsiTheme="majorBidi" w:cs="David"/>
          <w:u w:val="single"/>
          <w:rtl/>
        </w:rPr>
        <w:t xml:space="preserve">15.6% </w:t>
      </w:r>
      <w:r w:rsidRPr="009B7F64">
        <w:rPr>
          <w:rFonts w:asciiTheme="majorBidi" w:hAnsiTheme="majorBidi" w:cs="David"/>
          <w:rtl/>
        </w:rPr>
        <w:t xml:space="preserve">בקרב כלל תלמידי כיתות ו', ח' י', י"א ו- י"ב שנדגמו </w:t>
      </w:r>
      <w:r w:rsidRPr="009B7F64">
        <w:rPr>
          <w:rFonts w:asciiTheme="majorBidi" w:hAnsiTheme="majorBidi" w:cs="David" w:hint="cs"/>
          <w:rtl/>
        </w:rPr>
        <w:t>ב- 2011</w:t>
      </w:r>
      <w:r w:rsidRPr="009B7F64">
        <w:rPr>
          <w:rFonts w:asciiTheme="majorBidi" w:hAnsiTheme="majorBidi" w:cs="David"/>
          <w:rtl/>
        </w:rPr>
        <w:t xml:space="preserve"> ודיווחו על שתייה מופרזת לפחות פעם אחת בשלושים הימים האחרונים</w:t>
      </w:r>
      <w:r w:rsidRPr="009B7F64">
        <w:rPr>
          <w:rFonts w:asciiTheme="majorBidi" w:hAnsiTheme="majorBidi" w:cs="David" w:hint="cs"/>
          <w:rtl/>
        </w:rPr>
        <w:t xml:space="preserve">, בעוד </w:t>
      </w:r>
      <w:r w:rsidRPr="009B7F64">
        <w:rPr>
          <w:rFonts w:asciiTheme="majorBidi" w:hAnsiTheme="majorBidi" w:cs="David" w:hint="cs"/>
          <w:u w:val="single"/>
          <w:rtl/>
        </w:rPr>
        <w:t>שבפרסום אחר של הרשות משנת 2014</w:t>
      </w:r>
      <w:r w:rsidRPr="009B7F64">
        <w:rPr>
          <w:rFonts w:asciiTheme="majorBidi" w:hAnsiTheme="majorBidi" w:cs="David" w:hint="cs"/>
          <w:rtl/>
        </w:rPr>
        <w:t xml:space="preserve">, המסתמך על אותו הסקר, </w:t>
      </w:r>
      <w:r w:rsidRPr="009B7F64">
        <w:rPr>
          <w:rFonts w:asciiTheme="majorBidi" w:hAnsiTheme="majorBidi" w:cs="David" w:hint="cs"/>
          <w:u w:val="single"/>
          <w:rtl/>
        </w:rPr>
        <w:t xml:space="preserve">נקבע כי שעור השתייה המופרזת בקרב נוער לומד עמד ב- 2011 על 20% </w:t>
      </w:r>
      <w:r w:rsidRPr="009B7F64">
        <w:rPr>
          <w:rFonts w:asciiTheme="majorBidi" w:hAnsiTheme="majorBidi" w:cs="David" w:hint="cs"/>
          <w:rtl/>
        </w:rPr>
        <w:t>(</w:t>
      </w:r>
      <w:r w:rsidRPr="009B7F64">
        <w:rPr>
          <w:rFonts w:asciiTheme="majorBidi" w:hAnsiTheme="majorBidi" w:cs="David"/>
          <w:rtl/>
        </w:rPr>
        <w:t xml:space="preserve">הרשות הלאומית למלחמה בסמים ובאלכוהול, </w:t>
      </w:r>
      <w:hyperlink r:id="rId136" w:history="1">
        <w:r w:rsidRPr="009B7F64">
          <w:rPr>
            <w:rStyle w:val="Hyperlink"/>
            <w:rFonts w:asciiTheme="majorBidi" w:hAnsiTheme="majorBidi" w:cs="David"/>
            <w:rtl/>
          </w:rPr>
          <w:t>צריכת סמים ואלכוהול בישראל: נתוני מפתח לשנת 2013</w:t>
        </w:r>
      </w:hyperlink>
      <w:r w:rsidRPr="009B7F64">
        <w:rPr>
          <w:rFonts w:asciiTheme="majorBidi" w:hAnsiTheme="majorBidi" w:cs="David"/>
          <w:rtl/>
        </w:rPr>
        <w:t>, יולי 2014, עמ' 4</w:t>
      </w:r>
      <w:r w:rsidRPr="009B7F64">
        <w:rPr>
          <w:rFonts w:asciiTheme="majorBidi" w:hAnsiTheme="majorBidi" w:cs="David" w:hint="cs"/>
          <w:rtl/>
        </w:rPr>
        <w:t>). בנוסף, ב</w:t>
      </w:r>
      <w:r w:rsidRPr="009B7F64">
        <w:rPr>
          <w:rFonts w:asciiTheme="majorBidi" w:hAnsiTheme="majorBidi" w:cs="David"/>
          <w:rtl/>
        </w:rPr>
        <w:t xml:space="preserve">דיקה של </w:t>
      </w:r>
      <w:r w:rsidRPr="009B7F64">
        <w:rPr>
          <w:rFonts w:asciiTheme="majorBidi" w:hAnsiTheme="majorBidi" w:cs="David" w:hint="cs"/>
          <w:rtl/>
        </w:rPr>
        <w:t xml:space="preserve">נתוני </w:t>
      </w:r>
      <w:r w:rsidRPr="009B7F64">
        <w:rPr>
          <w:rFonts w:asciiTheme="majorBidi" w:hAnsiTheme="majorBidi" w:cs="David"/>
          <w:rtl/>
        </w:rPr>
        <w:t>ההשוואה הרב-שנתית, כפי שפורסמ</w:t>
      </w:r>
      <w:r w:rsidRPr="009B7F64">
        <w:rPr>
          <w:rFonts w:asciiTheme="majorBidi" w:hAnsiTheme="majorBidi" w:cs="David" w:hint="cs"/>
          <w:rtl/>
        </w:rPr>
        <w:t>ו</w:t>
      </w:r>
      <w:r w:rsidRPr="009B7F64">
        <w:rPr>
          <w:rFonts w:asciiTheme="majorBidi" w:hAnsiTheme="majorBidi" w:cs="David"/>
          <w:rtl/>
        </w:rPr>
        <w:t xml:space="preserve"> </w:t>
      </w:r>
      <w:r w:rsidRPr="009B7F64">
        <w:rPr>
          <w:rFonts w:asciiTheme="majorBidi" w:hAnsiTheme="majorBidi" w:cs="David" w:hint="cs"/>
          <w:rtl/>
        </w:rPr>
        <w:t>ב- 2013,</w:t>
      </w:r>
      <w:r w:rsidRPr="009B7F64">
        <w:rPr>
          <w:rFonts w:asciiTheme="majorBidi" w:hAnsiTheme="majorBidi" w:cs="David"/>
          <w:rtl/>
        </w:rPr>
        <w:t xml:space="preserve"> מעלה </w:t>
      </w:r>
      <w:r w:rsidRPr="009B7F64">
        <w:rPr>
          <w:rFonts w:asciiTheme="majorBidi" w:hAnsiTheme="majorBidi" w:cs="David"/>
          <w:b/>
          <w:bCs/>
          <w:u w:val="single"/>
          <w:rtl/>
        </w:rPr>
        <w:t>מגמות מעורבות</w:t>
      </w:r>
      <w:r w:rsidRPr="009B7F64">
        <w:rPr>
          <w:rFonts w:asciiTheme="majorBidi" w:hAnsiTheme="majorBidi" w:cs="David"/>
          <w:b/>
          <w:bCs/>
          <w:rtl/>
        </w:rPr>
        <w:t xml:space="preserve"> בדפוסי השתייה המופרזת עבור כל שכבת גיל שעבורה פורסמו הנתונים, </w:t>
      </w:r>
      <w:r w:rsidRPr="009B7F64">
        <w:rPr>
          <w:rFonts w:asciiTheme="majorBidi" w:hAnsiTheme="majorBidi" w:cs="David" w:hint="cs"/>
          <w:b/>
          <w:bCs/>
          <w:rtl/>
        </w:rPr>
        <w:t xml:space="preserve">מה שמקשה על טענה </w:t>
      </w:r>
      <w:r w:rsidRPr="009B7F64">
        <w:rPr>
          <w:rFonts w:asciiTheme="majorBidi" w:hAnsiTheme="majorBidi" w:cs="David"/>
          <w:b/>
          <w:bCs/>
          <w:rtl/>
        </w:rPr>
        <w:t>בדבר מגמה עקבית ואחידה בצמצום דפוס שתיה זה (</w:t>
      </w:r>
      <w:r w:rsidRPr="009B7F64">
        <w:rPr>
          <w:rFonts w:asciiTheme="majorBidi" w:hAnsiTheme="majorBidi" w:cs="David"/>
          <w:rtl/>
        </w:rPr>
        <w:t>תרשים 15.3</w:t>
      </w:r>
      <w:r w:rsidRPr="009B7F64">
        <w:rPr>
          <w:rFonts w:asciiTheme="majorBidi" w:hAnsiTheme="majorBidi" w:cs="David"/>
        </w:rPr>
        <w:t xml:space="preserve"> </w:t>
      </w:r>
      <w:r w:rsidRPr="009B7F64">
        <w:rPr>
          <w:rFonts w:asciiTheme="majorBidi" w:hAnsiTheme="majorBidi" w:cs="David"/>
          <w:rtl/>
        </w:rPr>
        <w:t xml:space="preserve">, תכנית המחקר הבינלאומי על רווחתם ובריאותם של בני הנוער, בית הספר לחינוך אוניברסיטת בר-אילן, </w:t>
      </w:r>
      <w:hyperlink r:id="rId137" w:history="1">
        <w:r w:rsidRPr="009B7F64">
          <w:rPr>
            <w:rStyle w:val="Hyperlink"/>
            <w:rFonts w:asciiTheme="majorBidi" w:hAnsiTheme="majorBidi" w:cs="David"/>
            <w:rtl/>
          </w:rPr>
          <w:t>נוער בישראל: דפוסי שימוש והתייחסות לחומרים ממכרים בהשוואה בינלאומית, 1994-2011</w:t>
        </w:r>
      </w:hyperlink>
      <w:r w:rsidRPr="009B7F64">
        <w:rPr>
          <w:rFonts w:asciiTheme="majorBidi" w:hAnsiTheme="majorBidi" w:cs="David"/>
          <w:rtl/>
        </w:rPr>
        <w:t>, 2013, עמ' 52)</w:t>
      </w:r>
      <w:r w:rsidRPr="009B7F64">
        <w:rPr>
          <w:rFonts w:asciiTheme="majorBidi" w:hAnsiTheme="majorBidi" w:cs="David"/>
          <w:b/>
          <w:bCs/>
          <w:rtl/>
        </w:rPr>
        <w:t>.</w:t>
      </w:r>
    </w:p>
  </w:footnote>
  <w:footnote w:id="207">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משטרת ישראל, </w:t>
      </w:r>
      <w:hyperlink r:id="rId138" w:history="1">
        <w:r w:rsidRPr="009B7F64">
          <w:rPr>
            <w:rStyle w:val="Hyperlink"/>
            <w:rFonts w:asciiTheme="majorBidi" w:hAnsiTheme="majorBidi" w:cs="David"/>
            <w:rtl/>
          </w:rPr>
          <w:t>השנתון הסטטיסטי של משטרת ישראל 2013</w:t>
        </w:r>
      </w:hyperlink>
      <w:r w:rsidRPr="009B7F64">
        <w:rPr>
          <w:rFonts w:asciiTheme="majorBidi" w:hAnsiTheme="majorBidi" w:cs="David"/>
          <w:rtl/>
        </w:rPr>
        <w:t>, מאי 2014, עמ' 10.</w:t>
      </w:r>
    </w:p>
  </w:footnote>
  <w:footnote w:id="208">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גל יונה, מתאמת הקשר עם הכנסת, </w:t>
      </w:r>
      <w:r w:rsidRPr="009B7F64">
        <w:rPr>
          <w:rFonts w:asciiTheme="majorBidi" w:hAnsiTheme="majorBidi" w:cs="David" w:hint="cs"/>
          <w:rtl/>
        </w:rPr>
        <w:t>לשכת השר</w:t>
      </w:r>
      <w:r w:rsidRPr="009B7F64">
        <w:rPr>
          <w:rFonts w:asciiTheme="majorBidi" w:hAnsiTheme="majorBidi" w:cs="David"/>
          <w:rtl/>
        </w:rPr>
        <w:t xml:space="preserve"> לבטחון </w:t>
      </w:r>
      <w:r w:rsidRPr="009B7F64">
        <w:rPr>
          <w:rFonts w:asciiTheme="majorBidi" w:hAnsiTheme="majorBidi" w:cs="David" w:hint="cs"/>
          <w:rtl/>
        </w:rPr>
        <w:t>ה</w:t>
      </w:r>
      <w:r w:rsidRPr="009B7F64">
        <w:rPr>
          <w:rFonts w:asciiTheme="majorBidi" w:hAnsiTheme="majorBidi" w:cs="David"/>
          <w:rtl/>
        </w:rPr>
        <w:t xml:space="preserve">פנים, </w:t>
      </w:r>
      <w:r w:rsidRPr="009B7F64">
        <w:rPr>
          <w:rFonts w:asciiTheme="majorBidi" w:hAnsiTheme="majorBidi" w:cs="David" w:hint="cs"/>
          <w:rtl/>
        </w:rPr>
        <w:t>מכתב</w:t>
      </w:r>
      <w:r w:rsidRPr="009B7F64">
        <w:rPr>
          <w:rFonts w:asciiTheme="majorBidi" w:hAnsiTheme="majorBidi" w:cs="David"/>
          <w:rtl/>
        </w:rPr>
        <w:t>, 15 באפריל 2015.</w:t>
      </w:r>
    </w:p>
  </w:footnote>
  <w:footnote w:id="209">
    <w:p w:rsidR="00FE2909" w:rsidRPr="009B7F64" w:rsidRDefault="00FE2909" w:rsidP="00CD1DB5">
      <w:pPr>
        <w:pStyle w:val="a9"/>
        <w:spacing w:after="0" w:line="276" w:lineRule="auto"/>
        <w:rPr>
          <w:rFonts w:asciiTheme="majorBidi" w:hAnsiTheme="majorBidi" w:cs="David"/>
          <w:highlight w:val="yellow"/>
          <w:rtl/>
        </w:rPr>
      </w:pPr>
      <w:r w:rsidRPr="009B7F64">
        <w:rPr>
          <w:rStyle w:val="ab"/>
          <w:rFonts w:asciiTheme="majorBidi" w:hAnsiTheme="majorBidi" w:cs="David"/>
        </w:rPr>
        <w:footnoteRef/>
      </w:r>
      <w:r w:rsidRPr="009B7F64">
        <w:rPr>
          <w:rFonts w:asciiTheme="majorBidi" w:hAnsiTheme="majorBidi" w:cs="David"/>
          <w:rtl/>
        </w:rPr>
        <w:t xml:space="preserve"> משטרת ישראל, </w:t>
      </w:r>
      <w:r w:rsidRPr="009B7F64">
        <w:rPr>
          <w:rFonts w:asciiTheme="majorBidi" w:hAnsiTheme="majorBidi" w:cs="David"/>
          <w:u w:val="single"/>
          <w:rtl/>
        </w:rPr>
        <w:t>השנתון הסטטיסטי של משטרת ישראל 2010</w:t>
      </w:r>
      <w:r w:rsidRPr="009B7F64">
        <w:rPr>
          <w:rFonts w:asciiTheme="majorBidi" w:hAnsiTheme="majorBidi" w:cs="David"/>
          <w:rtl/>
        </w:rPr>
        <w:t xml:space="preserve">, פברואר 2011; משטרת ישראל, </w:t>
      </w:r>
      <w:r w:rsidRPr="009B7F64">
        <w:rPr>
          <w:rFonts w:asciiTheme="majorBidi" w:hAnsiTheme="majorBidi" w:cs="David"/>
          <w:u w:val="single"/>
          <w:rtl/>
        </w:rPr>
        <w:t>השנתון הסטטיסטי של משטרת ישראל 2011</w:t>
      </w:r>
      <w:r w:rsidRPr="009B7F64">
        <w:rPr>
          <w:rFonts w:asciiTheme="majorBidi" w:hAnsiTheme="majorBidi" w:cs="David"/>
          <w:rtl/>
        </w:rPr>
        <w:t xml:space="preserve">, מאי 2012; משטרת ישראל, </w:t>
      </w:r>
      <w:hyperlink r:id="rId139" w:history="1">
        <w:r w:rsidRPr="009B7F64">
          <w:rPr>
            <w:rStyle w:val="Hyperlink"/>
            <w:rFonts w:asciiTheme="majorBidi" w:hAnsiTheme="majorBidi" w:cs="David"/>
            <w:rtl/>
          </w:rPr>
          <w:t>השנתון הסטטיסטי של משטרת ישראל 2013</w:t>
        </w:r>
      </w:hyperlink>
      <w:r w:rsidRPr="009B7F64">
        <w:rPr>
          <w:rFonts w:asciiTheme="majorBidi" w:hAnsiTheme="majorBidi" w:cs="David"/>
          <w:rtl/>
        </w:rPr>
        <w:t>, מאי 2014</w:t>
      </w:r>
      <w:r w:rsidRPr="009B7F64">
        <w:rPr>
          <w:rFonts w:asciiTheme="majorBidi" w:hAnsiTheme="majorBidi" w:cs="David" w:hint="cs"/>
          <w:rtl/>
        </w:rPr>
        <w:t xml:space="preserve">; משטרת ישראל, </w:t>
      </w:r>
      <w:hyperlink r:id="rId140" w:history="1">
        <w:r w:rsidRPr="009B7F64">
          <w:rPr>
            <w:rStyle w:val="Hyperlink"/>
            <w:rFonts w:asciiTheme="majorBidi" w:hAnsiTheme="majorBidi" w:cs="David" w:hint="cs"/>
            <w:rtl/>
          </w:rPr>
          <w:t>השנתון הסטטיסטי של משטרת ישראל 2014</w:t>
        </w:r>
      </w:hyperlink>
      <w:r w:rsidRPr="009B7F64">
        <w:rPr>
          <w:rFonts w:asciiTheme="majorBidi" w:hAnsiTheme="majorBidi" w:cs="David" w:hint="cs"/>
          <w:rtl/>
        </w:rPr>
        <w:t>, מאי 2015.</w:t>
      </w:r>
    </w:p>
  </w:footnote>
  <w:footnote w:id="210">
    <w:p w:rsidR="00FE2909" w:rsidRPr="009B7F64" w:rsidRDefault="00FE2909" w:rsidP="00CD1DB5">
      <w:pPr>
        <w:pStyle w:val="a9"/>
        <w:spacing w:after="0"/>
        <w:rPr>
          <w:rFonts w:cs="David"/>
          <w:rtl/>
          <w:lang w:val="en-US"/>
        </w:rPr>
      </w:pPr>
      <w:r w:rsidRPr="009B7F64">
        <w:rPr>
          <w:rStyle w:val="ab"/>
          <w:rFonts w:cs="David"/>
        </w:rPr>
        <w:footnoteRef/>
      </w:r>
      <w:r w:rsidRPr="009B7F64">
        <w:rPr>
          <w:rFonts w:cs="David"/>
          <w:rtl/>
        </w:rPr>
        <w:t xml:space="preserve"> </w:t>
      </w:r>
      <w:r w:rsidRPr="009B7F64">
        <w:rPr>
          <w:rFonts w:cs="David" w:hint="cs"/>
          <w:rtl/>
          <w:lang w:val="en-US"/>
        </w:rPr>
        <w:t xml:space="preserve">הנתונים, כפי שנמסרו מלשכת השר לבטחון הפנים, אינם מציינים האם מדובר במספר התיקים שנפתחו עבור </w:t>
      </w:r>
      <w:r w:rsidRPr="009B7F64">
        <w:rPr>
          <w:rFonts w:cs="David" w:hint="cs"/>
          <w:u w:val="single"/>
          <w:rtl/>
          <w:lang w:val="en-US"/>
        </w:rPr>
        <w:t>כלל</w:t>
      </w:r>
      <w:r w:rsidRPr="009B7F64">
        <w:rPr>
          <w:rFonts w:cs="David" w:hint="cs"/>
          <w:rtl/>
          <w:lang w:val="en-US"/>
        </w:rPr>
        <w:t xml:space="preserve"> האוכלוסייה בגין עבירות סמים או שמא רק בעבור האוכלוסייה </w:t>
      </w:r>
      <w:r w:rsidRPr="009B7F64">
        <w:rPr>
          <w:rFonts w:cs="David" w:hint="cs"/>
          <w:u w:val="single"/>
          <w:rtl/>
          <w:lang w:val="en-US"/>
        </w:rPr>
        <w:t>הבגירה</w:t>
      </w:r>
      <w:r w:rsidRPr="009B7F64">
        <w:rPr>
          <w:rFonts w:cs="David" w:hint="cs"/>
          <w:rtl/>
          <w:lang w:val="en-US"/>
        </w:rPr>
        <w:t>. בקשת מרכז המחקר והמידע של הכנסת להבהרה לא נענתה עד מועד סיום כתיבת המסמך.</w:t>
      </w:r>
    </w:p>
  </w:footnote>
  <w:footnote w:id="211">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גל יונה, מתאמת הקשר עם הכנסת, </w:t>
      </w:r>
      <w:r w:rsidRPr="009B7F64">
        <w:rPr>
          <w:rFonts w:asciiTheme="majorBidi" w:hAnsiTheme="majorBidi" w:cs="David" w:hint="cs"/>
          <w:rtl/>
        </w:rPr>
        <w:t>לשכת השר</w:t>
      </w:r>
      <w:r w:rsidRPr="009B7F64">
        <w:rPr>
          <w:rFonts w:asciiTheme="majorBidi" w:hAnsiTheme="majorBidi" w:cs="David"/>
          <w:rtl/>
        </w:rPr>
        <w:t xml:space="preserve"> לבטחון </w:t>
      </w:r>
      <w:r w:rsidRPr="009B7F64">
        <w:rPr>
          <w:rFonts w:asciiTheme="majorBidi" w:hAnsiTheme="majorBidi" w:cs="David" w:hint="cs"/>
          <w:rtl/>
        </w:rPr>
        <w:t>ה</w:t>
      </w:r>
      <w:r w:rsidRPr="009B7F64">
        <w:rPr>
          <w:rFonts w:asciiTheme="majorBidi" w:hAnsiTheme="majorBidi" w:cs="David"/>
          <w:rtl/>
        </w:rPr>
        <w:t xml:space="preserve">פנים, </w:t>
      </w:r>
      <w:r w:rsidRPr="009B7F64">
        <w:rPr>
          <w:rFonts w:asciiTheme="majorBidi" w:hAnsiTheme="majorBidi" w:cs="David" w:hint="cs"/>
          <w:rtl/>
        </w:rPr>
        <w:t>מכתב</w:t>
      </w:r>
      <w:r w:rsidRPr="009B7F64">
        <w:rPr>
          <w:rFonts w:asciiTheme="majorBidi" w:hAnsiTheme="majorBidi" w:cs="David"/>
          <w:rtl/>
        </w:rPr>
        <w:t>, 15 באפריל 2015.</w:t>
      </w:r>
    </w:p>
  </w:footnote>
  <w:footnote w:id="212">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141" w:history="1">
        <w:r w:rsidRPr="009B7F64">
          <w:rPr>
            <w:rStyle w:val="Hyperlink"/>
            <w:rFonts w:cs="David" w:hint="cs"/>
            <w:rtl/>
          </w:rPr>
          <w:t>חוק המאבק בתופעת השימוש בחומרים מסכנים, התשע"ג-2013</w:t>
        </w:r>
      </w:hyperlink>
      <w:r w:rsidRPr="009B7F64">
        <w:rPr>
          <w:rFonts w:cs="David" w:hint="cs"/>
          <w:rtl/>
        </w:rPr>
        <w:t>. ראו גם פרק 2.2.2 במסמך זה.</w:t>
      </w:r>
    </w:p>
  </w:footnote>
  <w:footnote w:id="213">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 xml:space="preserve">'סמי פיצוציות' הוא הכינוי בישראל </w:t>
      </w:r>
      <w:r w:rsidRPr="009B7F64">
        <w:rPr>
          <w:rFonts w:cs="David"/>
          <w:rtl/>
        </w:rPr>
        <w:t>לסמים סינתטיים (כימיים) אשר נמכרים לעתים בפיצוציות בתור "סמים חוקיים" או "תחליפי סם"</w:t>
      </w:r>
      <w:r w:rsidRPr="009B7F64">
        <w:rPr>
          <w:rFonts w:cs="David" w:hint="cs"/>
          <w:rtl/>
        </w:rPr>
        <w:t xml:space="preserve">. הרשות הלאומית למלחמה בסמים ובאלכוהול, </w:t>
      </w:r>
      <w:hyperlink r:id="rId142" w:history="1">
        <w:r w:rsidRPr="009B7F64">
          <w:rPr>
            <w:rStyle w:val="Hyperlink"/>
            <w:rFonts w:cs="David" w:hint="cs"/>
            <w:rtl/>
          </w:rPr>
          <w:t>"סמי פיצוציות" וחומרים מסכנים</w:t>
        </w:r>
      </w:hyperlink>
      <w:r w:rsidRPr="009B7F64">
        <w:rPr>
          <w:rFonts w:cs="David" w:hint="cs"/>
          <w:rtl/>
        </w:rPr>
        <w:t>. תאריך כניסה: 31 במאי 2015.</w:t>
      </w:r>
    </w:p>
  </w:footnote>
  <w:footnote w:id="214">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הצעת חוק הממשלה </w:t>
      </w:r>
      <w:r w:rsidRPr="009B7F64">
        <w:rPr>
          <w:rFonts w:cs="David"/>
          <w:rtl/>
        </w:rPr>
        <w:t>–</w:t>
      </w:r>
      <w:r w:rsidRPr="009B7F64">
        <w:rPr>
          <w:rFonts w:cs="David" w:hint="cs"/>
          <w:rtl/>
        </w:rPr>
        <w:t xml:space="preserve"> 783, </w:t>
      </w:r>
      <w:hyperlink r:id="rId143" w:history="1">
        <w:r w:rsidRPr="009B7F64">
          <w:rPr>
            <w:rStyle w:val="Hyperlink"/>
            <w:rFonts w:cs="David" w:hint="cs"/>
            <w:rtl/>
          </w:rPr>
          <w:t>הצעת חוק המאבק בתופעת השימוש בחומרים מסכנים, התשע"ג-2013</w:t>
        </w:r>
      </w:hyperlink>
      <w:r w:rsidRPr="009B7F64">
        <w:rPr>
          <w:rFonts w:cs="David" w:hint="cs"/>
          <w:rtl/>
        </w:rPr>
        <w:t>, 3 יולי 2013.</w:t>
      </w:r>
    </w:p>
  </w:footnote>
  <w:footnote w:id="215">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גל יונה, מתאמת הקשר עם הכנסת, </w:t>
      </w:r>
      <w:r w:rsidRPr="009B7F64">
        <w:rPr>
          <w:rFonts w:asciiTheme="majorBidi" w:hAnsiTheme="majorBidi" w:cs="David" w:hint="cs"/>
          <w:rtl/>
        </w:rPr>
        <w:t>לשכת השר</w:t>
      </w:r>
      <w:r w:rsidRPr="009B7F64">
        <w:rPr>
          <w:rFonts w:asciiTheme="majorBidi" w:hAnsiTheme="majorBidi" w:cs="David"/>
          <w:rtl/>
        </w:rPr>
        <w:t xml:space="preserve"> לבטחון </w:t>
      </w:r>
      <w:r w:rsidRPr="009B7F64">
        <w:rPr>
          <w:rFonts w:asciiTheme="majorBidi" w:hAnsiTheme="majorBidi" w:cs="David" w:hint="cs"/>
          <w:rtl/>
        </w:rPr>
        <w:t>ה</w:t>
      </w:r>
      <w:r w:rsidRPr="009B7F64">
        <w:rPr>
          <w:rFonts w:asciiTheme="majorBidi" w:hAnsiTheme="majorBidi" w:cs="David"/>
          <w:rtl/>
        </w:rPr>
        <w:t xml:space="preserve">פנים, </w:t>
      </w:r>
      <w:r w:rsidRPr="009B7F64">
        <w:rPr>
          <w:rFonts w:asciiTheme="majorBidi" w:hAnsiTheme="majorBidi" w:cs="David" w:hint="cs"/>
          <w:rtl/>
        </w:rPr>
        <w:t>מכתב</w:t>
      </w:r>
      <w:r w:rsidRPr="009B7F64">
        <w:rPr>
          <w:rFonts w:asciiTheme="majorBidi" w:hAnsiTheme="majorBidi" w:cs="David"/>
          <w:rtl/>
        </w:rPr>
        <w:t>, 15 באפריל 2015.</w:t>
      </w:r>
    </w:p>
  </w:footnote>
  <w:footnote w:id="216">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144" w:history="1">
        <w:r w:rsidRPr="009B7F64">
          <w:rPr>
            <w:rStyle w:val="Hyperlink"/>
            <w:rFonts w:cs="David" w:hint="cs"/>
            <w:rtl/>
          </w:rPr>
          <w:t>חוק המאבק בתופעת השימוש בחומרים מסכנים, התשע"ג-2013</w:t>
        </w:r>
      </w:hyperlink>
      <w:r w:rsidRPr="009B7F64">
        <w:rPr>
          <w:rFonts w:cs="David" w:hint="cs"/>
          <w:rtl/>
        </w:rPr>
        <w:t>. ראו גם פרק 2.2.2 במסמך זה.</w:t>
      </w:r>
    </w:p>
  </w:footnote>
  <w:footnote w:id="217">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סעיפים 3. ו- 4.</w:t>
      </w:r>
      <w:r w:rsidRPr="009B7F64">
        <w:rPr>
          <w:rFonts w:asciiTheme="majorBidi" w:hAnsiTheme="majorBidi" w:cs="David" w:hint="cs"/>
          <w:rtl/>
        </w:rPr>
        <w:t xml:space="preserve">, </w:t>
      </w:r>
      <w:hyperlink r:id="rId145" w:history="1">
        <w:r w:rsidRPr="009B7F64">
          <w:rPr>
            <w:rStyle w:val="Hyperlink"/>
            <w:rFonts w:cs="David" w:hint="cs"/>
            <w:rtl/>
          </w:rPr>
          <w:t>חוק המאבק בתופעת השימוש בחומרים מסכנים, התשע"ג-2013</w:t>
        </w:r>
      </w:hyperlink>
      <w:r w:rsidRPr="009B7F64">
        <w:rPr>
          <w:rFonts w:cs="David" w:hint="cs"/>
          <w:rtl/>
        </w:rPr>
        <w:t>.</w:t>
      </w:r>
    </w:p>
  </w:footnote>
  <w:footnote w:id="218">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גל יונה, מתאמת הקשר עם הכנסת, </w:t>
      </w:r>
      <w:r w:rsidRPr="009B7F64">
        <w:rPr>
          <w:rFonts w:asciiTheme="majorBidi" w:hAnsiTheme="majorBidi" w:cs="David" w:hint="cs"/>
          <w:rtl/>
        </w:rPr>
        <w:t>לשכת השר</w:t>
      </w:r>
      <w:r w:rsidRPr="009B7F64">
        <w:rPr>
          <w:rFonts w:asciiTheme="majorBidi" w:hAnsiTheme="majorBidi" w:cs="David"/>
          <w:rtl/>
        </w:rPr>
        <w:t xml:space="preserve"> לבטחון </w:t>
      </w:r>
      <w:r w:rsidRPr="009B7F64">
        <w:rPr>
          <w:rFonts w:asciiTheme="majorBidi" w:hAnsiTheme="majorBidi" w:cs="David" w:hint="cs"/>
          <w:rtl/>
        </w:rPr>
        <w:t>ה</w:t>
      </w:r>
      <w:r w:rsidRPr="009B7F64">
        <w:rPr>
          <w:rFonts w:asciiTheme="majorBidi" w:hAnsiTheme="majorBidi" w:cs="David"/>
          <w:rtl/>
        </w:rPr>
        <w:t xml:space="preserve">פנים, </w:t>
      </w:r>
      <w:r w:rsidRPr="009B7F64">
        <w:rPr>
          <w:rFonts w:asciiTheme="majorBidi" w:hAnsiTheme="majorBidi" w:cs="David" w:hint="cs"/>
          <w:rtl/>
        </w:rPr>
        <w:t>מכתב</w:t>
      </w:r>
      <w:r w:rsidRPr="009B7F64">
        <w:rPr>
          <w:rFonts w:asciiTheme="majorBidi" w:hAnsiTheme="majorBidi" w:cs="David"/>
          <w:rtl/>
        </w:rPr>
        <w:t>, 15 באפריל 2015.</w:t>
      </w:r>
    </w:p>
  </w:footnote>
  <w:footnote w:id="219">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r w:rsidRPr="009B7F64">
        <w:rPr>
          <w:rFonts w:asciiTheme="majorBidi" w:hAnsiTheme="majorBidi" w:cs="David"/>
          <w:rtl/>
        </w:rPr>
        <w:t xml:space="preserve"> </w:t>
      </w:r>
    </w:p>
  </w:footnote>
  <w:footnote w:id="220">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p>
  </w:footnote>
  <w:footnote w:id="221">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r w:rsidRPr="009B7F64">
        <w:rPr>
          <w:rFonts w:asciiTheme="majorBidi" w:hAnsiTheme="majorBidi" w:cs="David"/>
          <w:rtl/>
        </w:rPr>
        <w:t>.</w:t>
      </w:r>
    </w:p>
  </w:footnote>
  <w:footnote w:id="222">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p>
  </w:footnote>
  <w:footnote w:id="223">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r w:rsidRPr="009B7F64">
        <w:rPr>
          <w:rFonts w:asciiTheme="majorBidi" w:hAnsiTheme="majorBidi" w:cs="David"/>
          <w:rtl/>
        </w:rPr>
        <w:t>.</w:t>
      </w:r>
    </w:p>
  </w:footnote>
  <w:footnote w:id="224">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p>
  </w:footnote>
  <w:footnote w:id="225">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asciiTheme="majorBidi" w:hAnsiTheme="majorBidi" w:cs="David"/>
          <w:rtl/>
        </w:rPr>
        <w:t xml:space="preserve">גל יונה, מתאמת הקשר עם הכנסת, </w:t>
      </w:r>
      <w:r w:rsidRPr="009B7F64">
        <w:rPr>
          <w:rFonts w:asciiTheme="majorBidi" w:hAnsiTheme="majorBidi" w:cs="David" w:hint="cs"/>
          <w:rtl/>
        </w:rPr>
        <w:t>לשכת השר</w:t>
      </w:r>
      <w:r w:rsidRPr="009B7F64">
        <w:rPr>
          <w:rFonts w:asciiTheme="majorBidi" w:hAnsiTheme="majorBidi" w:cs="David"/>
          <w:rtl/>
        </w:rPr>
        <w:t xml:space="preserve"> לבטחון </w:t>
      </w:r>
      <w:r w:rsidRPr="009B7F64">
        <w:rPr>
          <w:rFonts w:asciiTheme="majorBidi" w:hAnsiTheme="majorBidi" w:cs="David" w:hint="cs"/>
          <w:rtl/>
        </w:rPr>
        <w:t>ה</w:t>
      </w:r>
      <w:r w:rsidRPr="009B7F64">
        <w:rPr>
          <w:rFonts w:asciiTheme="majorBidi" w:hAnsiTheme="majorBidi" w:cs="David"/>
          <w:rtl/>
        </w:rPr>
        <w:t xml:space="preserve">פנים, </w:t>
      </w:r>
      <w:r w:rsidRPr="009B7F64">
        <w:rPr>
          <w:rFonts w:asciiTheme="majorBidi" w:hAnsiTheme="majorBidi" w:cs="David" w:hint="cs"/>
          <w:rtl/>
        </w:rPr>
        <w:t>מכתב</w:t>
      </w:r>
      <w:r w:rsidRPr="009B7F64">
        <w:rPr>
          <w:rFonts w:asciiTheme="majorBidi" w:hAnsiTheme="majorBidi" w:cs="David"/>
          <w:rtl/>
        </w:rPr>
        <w:t>, 15 באפריל 2015.</w:t>
      </w:r>
    </w:p>
  </w:footnote>
  <w:footnote w:id="226">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146" w:history="1">
        <w:r w:rsidRPr="009B7F64">
          <w:rPr>
            <w:rStyle w:val="Hyperlink"/>
            <w:rFonts w:cs="David" w:hint="cs"/>
            <w:rtl/>
          </w:rPr>
          <w:t>חוק המאבק בתופעת השכרות, התש"ע-2010</w:t>
        </w:r>
      </w:hyperlink>
      <w:r w:rsidRPr="009B7F64">
        <w:rPr>
          <w:rFonts w:cs="David" w:hint="cs"/>
          <w:rtl/>
        </w:rPr>
        <w:t>.</w:t>
      </w:r>
    </w:p>
  </w:footnote>
  <w:footnote w:id="227">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147" w:history="1">
        <w:r w:rsidRPr="009B7F64">
          <w:rPr>
            <w:rStyle w:val="Hyperlink"/>
            <w:rFonts w:cs="David" w:hint="cs"/>
            <w:rtl/>
          </w:rPr>
          <w:t>חוק המאבק בתופעת השכרות, התש"ע-2010</w:t>
        </w:r>
      </w:hyperlink>
      <w:r w:rsidRPr="009B7F64">
        <w:rPr>
          <w:rFonts w:cs="David" w:hint="cs"/>
          <w:rtl/>
        </w:rPr>
        <w:t>.</w:t>
      </w:r>
    </w:p>
  </w:footnote>
  <w:footnote w:id="228">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ראו גם פרק 2.3.1 במסמך זה.</w:t>
      </w:r>
    </w:p>
  </w:footnote>
  <w:footnote w:id="229">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גל יונה, מתאמת הקשר עם הכנסת, </w:t>
      </w:r>
      <w:r w:rsidRPr="009B7F64">
        <w:rPr>
          <w:rFonts w:asciiTheme="majorBidi" w:hAnsiTheme="majorBidi" w:cs="David" w:hint="cs"/>
          <w:rtl/>
        </w:rPr>
        <w:t>לשכת השר</w:t>
      </w:r>
      <w:r w:rsidRPr="009B7F64">
        <w:rPr>
          <w:rFonts w:asciiTheme="majorBidi" w:hAnsiTheme="majorBidi" w:cs="David"/>
          <w:rtl/>
        </w:rPr>
        <w:t xml:space="preserve"> לבטחון </w:t>
      </w:r>
      <w:r w:rsidRPr="009B7F64">
        <w:rPr>
          <w:rFonts w:asciiTheme="majorBidi" w:hAnsiTheme="majorBidi" w:cs="David" w:hint="cs"/>
          <w:rtl/>
        </w:rPr>
        <w:t>ה</w:t>
      </w:r>
      <w:r w:rsidRPr="009B7F64">
        <w:rPr>
          <w:rFonts w:asciiTheme="majorBidi" w:hAnsiTheme="majorBidi" w:cs="David"/>
          <w:rtl/>
        </w:rPr>
        <w:t xml:space="preserve">פנים, </w:t>
      </w:r>
      <w:r w:rsidRPr="009B7F64">
        <w:rPr>
          <w:rFonts w:asciiTheme="majorBidi" w:hAnsiTheme="majorBidi" w:cs="David" w:hint="cs"/>
          <w:rtl/>
        </w:rPr>
        <w:t>מכתב</w:t>
      </w:r>
      <w:r w:rsidRPr="009B7F64">
        <w:rPr>
          <w:rFonts w:asciiTheme="majorBidi" w:hAnsiTheme="majorBidi" w:cs="David"/>
          <w:rtl/>
        </w:rPr>
        <w:t>, 15 באפריל 2015.</w:t>
      </w:r>
    </w:p>
  </w:footnote>
  <w:footnote w:id="230">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p>
  </w:footnote>
  <w:footnote w:id="231">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בית המשפט רשאי להגיש סעד בצורת גזר הדין שאינו כולל הרשעה פלילית אלא, למשל, הפניה לטיפול במסגרת גמילה.</w:t>
      </w:r>
    </w:p>
  </w:footnote>
  <w:footnote w:id="232">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גל יונה, מתאמת הקשר עם הכנסת, </w:t>
      </w:r>
      <w:r w:rsidRPr="009B7F64">
        <w:rPr>
          <w:rFonts w:asciiTheme="majorBidi" w:hAnsiTheme="majorBidi" w:cs="David" w:hint="cs"/>
          <w:rtl/>
        </w:rPr>
        <w:t>לשכת השר</w:t>
      </w:r>
      <w:r w:rsidRPr="009B7F64">
        <w:rPr>
          <w:rFonts w:asciiTheme="majorBidi" w:hAnsiTheme="majorBidi" w:cs="David"/>
          <w:rtl/>
        </w:rPr>
        <w:t xml:space="preserve"> לבטחון </w:t>
      </w:r>
      <w:r w:rsidRPr="009B7F64">
        <w:rPr>
          <w:rFonts w:asciiTheme="majorBidi" w:hAnsiTheme="majorBidi" w:cs="David" w:hint="cs"/>
          <w:rtl/>
        </w:rPr>
        <w:t>ה</w:t>
      </w:r>
      <w:r w:rsidRPr="009B7F64">
        <w:rPr>
          <w:rFonts w:asciiTheme="majorBidi" w:hAnsiTheme="majorBidi" w:cs="David"/>
          <w:rtl/>
        </w:rPr>
        <w:t xml:space="preserve">פנים, </w:t>
      </w:r>
      <w:r w:rsidRPr="009B7F64">
        <w:rPr>
          <w:rFonts w:asciiTheme="majorBidi" w:hAnsiTheme="majorBidi" w:cs="David" w:hint="cs"/>
          <w:rtl/>
        </w:rPr>
        <w:t>מכתב</w:t>
      </w:r>
      <w:r w:rsidRPr="009B7F64">
        <w:rPr>
          <w:rFonts w:asciiTheme="majorBidi" w:hAnsiTheme="majorBidi" w:cs="David"/>
          <w:rtl/>
        </w:rPr>
        <w:t>, 15 באפריל 2015.</w:t>
      </w:r>
    </w:p>
  </w:footnote>
  <w:footnote w:id="233">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hint="cs"/>
          <w:rtl/>
        </w:rPr>
        <w:t xml:space="preserve"> שם</w:t>
      </w:r>
      <w:r w:rsidRPr="009B7F64">
        <w:rPr>
          <w:rFonts w:asciiTheme="majorBidi" w:hAnsiTheme="majorBidi" w:cs="David"/>
          <w:rtl/>
        </w:rPr>
        <w:t>.</w:t>
      </w:r>
      <w:r w:rsidRPr="009B7F64">
        <w:rPr>
          <w:rFonts w:asciiTheme="majorBidi" w:hAnsiTheme="majorBidi" w:cs="David" w:hint="cs"/>
          <w:rtl/>
        </w:rPr>
        <w:t xml:space="preserve"> על-פי סעיף 193א(ב) ל</w:t>
      </w:r>
      <w:hyperlink r:id="rId148" w:history="1">
        <w:r w:rsidRPr="009B7F64">
          <w:rPr>
            <w:rStyle w:val="Hyperlink"/>
            <w:rFonts w:cs="David" w:hint="cs"/>
            <w:rtl/>
          </w:rPr>
          <w:t>חוק העונשין, התשל"ז-1977</w:t>
        </w:r>
      </w:hyperlink>
      <w:r w:rsidRPr="009B7F64">
        <w:rPr>
          <w:rFonts w:cs="David" w:hint="cs"/>
          <w:rtl/>
        </w:rPr>
        <w:t xml:space="preserve"> , 'איסור מכירת משקה משכר לקטין' חל על בעל עסק לממכר משקאות משכרים או מי שעובד בו, ואוסר עליהם למכור לקטין, או להגיש לו או לשדלו לשתות משקאות משכרים; סעיף 193א2 לחוק זה, 'אספקת משקה משכר לקטין' אוסר על אספקת משקה לקטין (גם ללא תמורה); וסעיף 193א(א1), 'מכירת משקה משכר לקטין', אוסר על מכירת משקה משכר לקטין. </w:t>
      </w:r>
    </w:p>
  </w:footnote>
  <w:footnote w:id="234">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נתונים שנמסרו במסגרת דיווחו הקבוע בחוק זה של </w:t>
      </w:r>
      <w:r w:rsidRPr="009B7F64">
        <w:rPr>
          <w:rFonts w:asciiTheme="majorBidi" w:hAnsiTheme="majorBidi" w:cs="David" w:hint="cs"/>
          <w:rtl/>
        </w:rPr>
        <w:t>ה</w:t>
      </w:r>
      <w:r w:rsidRPr="009B7F64">
        <w:rPr>
          <w:rFonts w:asciiTheme="majorBidi" w:hAnsiTheme="majorBidi" w:cs="David"/>
          <w:rtl/>
        </w:rPr>
        <w:t xml:space="preserve">שר </w:t>
      </w:r>
      <w:r w:rsidRPr="009B7F64">
        <w:rPr>
          <w:rFonts w:asciiTheme="majorBidi" w:hAnsiTheme="majorBidi" w:cs="David" w:hint="cs"/>
          <w:rtl/>
        </w:rPr>
        <w:t xml:space="preserve">לבטחון </w:t>
      </w:r>
      <w:r w:rsidRPr="009B7F64">
        <w:rPr>
          <w:rFonts w:asciiTheme="majorBidi" w:hAnsiTheme="majorBidi" w:cs="David"/>
          <w:rtl/>
        </w:rPr>
        <w:t xml:space="preserve">הפנים לוועדת הפנים והגנת הסביבה של הכנסת ולוועדת </w:t>
      </w:r>
      <w:r w:rsidRPr="009B7F64">
        <w:rPr>
          <w:rFonts w:asciiTheme="majorBidi" w:hAnsiTheme="majorBidi" w:cs="David" w:hint="cs"/>
          <w:rtl/>
        </w:rPr>
        <w:t>ה</w:t>
      </w:r>
      <w:r w:rsidRPr="009B7F64">
        <w:rPr>
          <w:rFonts w:asciiTheme="majorBidi" w:hAnsiTheme="majorBidi" w:cs="David"/>
          <w:rtl/>
        </w:rPr>
        <w:t>חוק</w:t>
      </w:r>
      <w:r w:rsidRPr="009B7F64">
        <w:rPr>
          <w:rFonts w:asciiTheme="majorBidi" w:hAnsiTheme="majorBidi" w:cs="David" w:hint="cs"/>
          <w:rtl/>
        </w:rPr>
        <w:t>ה,</w:t>
      </w:r>
      <w:r w:rsidRPr="009B7F64">
        <w:rPr>
          <w:rFonts w:asciiTheme="majorBidi" w:hAnsiTheme="majorBidi" w:cs="David"/>
          <w:rtl/>
        </w:rPr>
        <w:t xml:space="preserve"> חוק ומשפט של הכנסת, מתאריך 25 במרץ 2015, והועברו לידי מרכז המחקר והמידע </w:t>
      </w:r>
      <w:r w:rsidRPr="009B7F64">
        <w:rPr>
          <w:rFonts w:asciiTheme="majorBidi" w:hAnsiTheme="majorBidi" w:cs="David" w:hint="cs"/>
          <w:rtl/>
        </w:rPr>
        <w:t xml:space="preserve">של הכנסת </w:t>
      </w:r>
      <w:r w:rsidRPr="009B7F64">
        <w:rPr>
          <w:rFonts w:asciiTheme="majorBidi" w:hAnsiTheme="majorBidi" w:cs="David"/>
          <w:rtl/>
        </w:rPr>
        <w:t xml:space="preserve">על-ידי גל יונה, מתאמת הקשר עם הכנסת, </w:t>
      </w:r>
      <w:r w:rsidRPr="009B7F64">
        <w:rPr>
          <w:rFonts w:asciiTheme="majorBidi" w:hAnsiTheme="majorBidi" w:cs="David" w:hint="cs"/>
          <w:rtl/>
        </w:rPr>
        <w:t>לשכת השר</w:t>
      </w:r>
      <w:r w:rsidRPr="009B7F64">
        <w:rPr>
          <w:rFonts w:asciiTheme="majorBidi" w:hAnsiTheme="majorBidi" w:cs="David"/>
          <w:rtl/>
        </w:rPr>
        <w:t xml:space="preserve"> לבטחון </w:t>
      </w:r>
      <w:r w:rsidRPr="009B7F64">
        <w:rPr>
          <w:rFonts w:asciiTheme="majorBidi" w:hAnsiTheme="majorBidi" w:cs="David" w:hint="cs"/>
          <w:rtl/>
        </w:rPr>
        <w:t>ה</w:t>
      </w:r>
      <w:r w:rsidRPr="009B7F64">
        <w:rPr>
          <w:rFonts w:asciiTheme="majorBidi" w:hAnsiTheme="majorBidi" w:cs="David"/>
          <w:rtl/>
        </w:rPr>
        <w:t xml:space="preserve">פנים, </w:t>
      </w:r>
      <w:r w:rsidRPr="009B7F64">
        <w:rPr>
          <w:rFonts w:asciiTheme="majorBidi" w:hAnsiTheme="majorBidi" w:cs="David" w:hint="cs"/>
          <w:rtl/>
        </w:rPr>
        <w:t>מכתב</w:t>
      </w:r>
      <w:r w:rsidRPr="009B7F64">
        <w:rPr>
          <w:rFonts w:asciiTheme="majorBidi" w:hAnsiTheme="majorBidi" w:cs="David"/>
          <w:rtl/>
        </w:rPr>
        <w:t>, 15 באפריל 2015.</w:t>
      </w:r>
    </w:p>
  </w:footnote>
  <w:footnote w:id="235">
    <w:p w:rsidR="00FE2909" w:rsidRPr="009B7F64" w:rsidRDefault="00FE2909" w:rsidP="00CD1DB5">
      <w:pPr>
        <w:pStyle w:val="a9"/>
        <w:spacing w:after="0" w:line="276" w:lineRule="auto"/>
        <w:rPr>
          <w:rFonts w:cs="David"/>
          <w:rtl/>
        </w:rPr>
      </w:pPr>
      <w:r w:rsidRPr="009B7F64">
        <w:rPr>
          <w:rStyle w:val="ab"/>
          <w:rFonts w:cs="David"/>
        </w:rPr>
        <w:footnoteRef/>
      </w:r>
      <w:r w:rsidRPr="009B7F64">
        <w:rPr>
          <w:rFonts w:cs="David"/>
          <w:rtl/>
        </w:rPr>
        <w:t xml:space="preserve"> </w:t>
      </w:r>
      <w:r w:rsidRPr="009B7F64">
        <w:rPr>
          <w:rFonts w:cs="David" w:hint="cs"/>
          <w:rtl/>
        </w:rPr>
        <w:t xml:space="preserve">מספר התיקים שנפתחו. </w:t>
      </w:r>
    </w:p>
  </w:footnote>
  <w:footnote w:id="236">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hyperlink r:id="rId149" w:history="1">
        <w:r w:rsidRPr="009B7F64">
          <w:rPr>
            <w:rStyle w:val="Hyperlink"/>
            <w:rFonts w:cs="David" w:hint="cs"/>
            <w:rtl/>
          </w:rPr>
          <w:t>פקודת התעבורה [נוסח חדש]</w:t>
        </w:r>
      </w:hyperlink>
      <w:r w:rsidRPr="009B7F64">
        <w:rPr>
          <w:rFonts w:cs="David" w:hint="cs"/>
          <w:rtl/>
        </w:rPr>
        <w:t>.</w:t>
      </w:r>
    </w:p>
  </w:footnote>
  <w:footnote w:id="237">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 xml:space="preserve">משטרת ישראל, </w:t>
      </w:r>
      <w:hyperlink r:id="rId150" w:history="1">
        <w:r w:rsidRPr="009B7F64">
          <w:rPr>
            <w:rStyle w:val="Hyperlink"/>
            <w:rFonts w:cs="David" w:hint="cs"/>
            <w:rtl/>
          </w:rPr>
          <w:t>נתונים כלליים – משטרת ישראל</w:t>
        </w:r>
      </w:hyperlink>
      <w:r w:rsidRPr="009B7F64">
        <w:rPr>
          <w:rFonts w:cs="David" w:hint="cs"/>
          <w:rtl/>
        </w:rPr>
        <w:t>. תאריך אחזור הנתונים: 8 יוני 2015.</w:t>
      </w:r>
    </w:p>
  </w:footnote>
  <w:footnote w:id="238">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גל יונה, מתאמת הקשר עם הכנסת, </w:t>
      </w:r>
      <w:r w:rsidRPr="009B7F64">
        <w:rPr>
          <w:rFonts w:asciiTheme="majorBidi" w:hAnsiTheme="majorBidi" w:cs="David" w:hint="cs"/>
          <w:rtl/>
        </w:rPr>
        <w:t>לשכת השר</w:t>
      </w:r>
      <w:r w:rsidRPr="009B7F64">
        <w:rPr>
          <w:rFonts w:asciiTheme="majorBidi" w:hAnsiTheme="majorBidi" w:cs="David"/>
          <w:rtl/>
        </w:rPr>
        <w:t xml:space="preserve"> לבטחון </w:t>
      </w:r>
      <w:r w:rsidRPr="009B7F64">
        <w:rPr>
          <w:rFonts w:asciiTheme="majorBidi" w:hAnsiTheme="majorBidi" w:cs="David" w:hint="cs"/>
          <w:rtl/>
        </w:rPr>
        <w:t>ה</w:t>
      </w:r>
      <w:r w:rsidRPr="009B7F64">
        <w:rPr>
          <w:rFonts w:asciiTheme="majorBidi" w:hAnsiTheme="majorBidi" w:cs="David"/>
          <w:rtl/>
        </w:rPr>
        <w:t xml:space="preserve">פנים, </w:t>
      </w:r>
      <w:r w:rsidRPr="009B7F64">
        <w:rPr>
          <w:rFonts w:asciiTheme="majorBidi" w:hAnsiTheme="majorBidi" w:cs="David" w:hint="cs"/>
          <w:rtl/>
        </w:rPr>
        <w:t>מכתב</w:t>
      </w:r>
      <w:r w:rsidRPr="009B7F64">
        <w:rPr>
          <w:rFonts w:asciiTheme="majorBidi" w:hAnsiTheme="majorBidi" w:cs="David"/>
          <w:rtl/>
        </w:rPr>
        <w:t>, 15 באפריל 2015.</w:t>
      </w:r>
    </w:p>
  </w:footnote>
  <w:footnote w:id="239">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 xml:space="preserve">הלשכה המרכזית לסטטיסטיקה והרשות הלאומית לבטיחות בדרכים, </w:t>
      </w:r>
      <w:hyperlink r:id="rId151" w:history="1">
        <w:r w:rsidRPr="009B7F64">
          <w:rPr>
            <w:rStyle w:val="Hyperlink"/>
            <w:rFonts w:cs="David" w:hint="cs"/>
            <w:rtl/>
          </w:rPr>
          <w:t>הרשעות ומורשעים בעברות נהיגה 2013-2011</w:t>
        </w:r>
      </w:hyperlink>
      <w:r w:rsidRPr="009B7F64">
        <w:rPr>
          <w:rFonts w:cs="David" w:hint="cs"/>
          <w:rtl/>
        </w:rPr>
        <w:t>, פרסום מס' 1601, מרץ 2015.</w:t>
      </w:r>
    </w:p>
  </w:footnote>
  <w:footnote w:id="240">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שם, עמ' 30.</w:t>
      </w:r>
    </w:p>
  </w:footnote>
  <w:footnote w:id="241">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 xml:space="preserve">הלשכה המרכזית לסטטיסטיקה והרשות הלאומית לבטיחות בדרכים, </w:t>
      </w:r>
      <w:hyperlink r:id="rId152" w:history="1">
        <w:r w:rsidRPr="009B7F64">
          <w:rPr>
            <w:rStyle w:val="Hyperlink"/>
            <w:rFonts w:cs="David" w:hint="cs"/>
            <w:rtl/>
          </w:rPr>
          <w:t>הרשעות ומורשעים בעברות נהיגה 2013-2011</w:t>
        </w:r>
      </w:hyperlink>
      <w:r w:rsidRPr="009B7F64">
        <w:rPr>
          <w:rFonts w:cs="David" w:hint="cs"/>
          <w:rtl/>
        </w:rPr>
        <w:t>, פרסום מס' 1601, מרץ 2015, עמ' 70.</w:t>
      </w:r>
    </w:p>
  </w:footnote>
  <w:footnote w:id="242">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שם, עמ' 109.</w:t>
      </w:r>
    </w:p>
  </w:footnote>
  <w:footnote w:id="243">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153" w:history="1">
        <w:r w:rsidRPr="009B7F64">
          <w:rPr>
            <w:rStyle w:val="Hyperlink"/>
            <w:rFonts w:cs="David" w:hint="cs"/>
            <w:rtl/>
          </w:rPr>
          <w:t>חוק המרשם הפלילי ותקנת השבים, התשמ"א-1981</w:t>
        </w:r>
      </w:hyperlink>
      <w:r w:rsidRPr="009B7F64">
        <w:rPr>
          <w:rStyle w:val="Hyperlink"/>
          <w:rFonts w:cs="David" w:hint="cs"/>
          <w:u w:val="none"/>
          <w:rtl/>
        </w:rPr>
        <w:t>.</w:t>
      </w:r>
    </w:p>
  </w:footnote>
  <w:footnote w:id="244">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 xml:space="preserve">המשרד לבטחון הפנים, </w:t>
      </w:r>
      <w:r w:rsidRPr="009B7F64">
        <w:rPr>
          <w:rFonts w:asciiTheme="majorBidi" w:hAnsiTheme="majorBidi" w:cs="David"/>
          <w:rtl/>
        </w:rPr>
        <w:t xml:space="preserve">עיר ללא אלימות, </w:t>
      </w:r>
      <w:hyperlink r:id="rId154" w:history="1">
        <w:r w:rsidRPr="009B7F64">
          <w:rPr>
            <w:rStyle w:val="Hyperlink"/>
            <w:rFonts w:asciiTheme="majorBidi" w:hAnsiTheme="majorBidi" w:cs="David"/>
            <w:rtl/>
          </w:rPr>
          <w:t>חזון ומטרה</w:t>
        </w:r>
      </w:hyperlink>
      <w:r w:rsidRPr="009B7F64">
        <w:rPr>
          <w:rFonts w:asciiTheme="majorBidi" w:hAnsiTheme="majorBidi" w:cs="David" w:hint="cs"/>
          <w:rtl/>
        </w:rPr>
        <w:t>.</w:t>
      </w:r>
      <w:r w:rsidRPr="009B7F64">
        <w:rPr>
          <w:rFonts w:asciiTheme="majorBidi" w:hAnsiTheme="majorBidi" w:cs="David"/>
          <w:rtl/>
        </w:rPr>
        <w:t xml:space="preserve"> תאריך כניסה: </w:t>
      </w:r>
      <w:r w:rsidRPr="009B7F64">
        <w:rPr>
          <w:rFonts w:asciiTheme="majorBidi" w:hAnsiTheme="majorBidi" w:cs="David" w:hint="cs"/>
          <w:rtl/>
        </w:rPr>
        <w:t>1 ביוני 2015.</w:t>
      </w:r>
    </w:p>
  </w:footnote>
  <w:footnote w:id="245">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החלטת ממשלה מס' 575, </w:t>
      </w:r>
      <w:hyperlink r:id="rId155" w:history="1">
        <w:r w:rsidRPr="009B7F64">
          <w:rPr>
            <w:rStyle w:val="Hyperlink"/>
            <w:rFonts w:asciiTheme="majorBidi" w:hAnsiTheme="majorBidi" w:cs="David"/>
            <w:rtl/>
          </w:rPr>
          <w:t>פרויקט "עיר ללא אלימות"</w:t>
        </w:r>
      </w:hyperlink>
      <w:r w:rsidRPr="009B7F64">
        <w:rPr>
          <w:rFonts w:asciiTheme="majorBidi" w:hAnsiTheme="majorBidi" w:cs="David"/>
          <w:rtl/>
        </w:rPr>
        <w:t xml:space="preserve">, 12 באוקטובר 2006. </w:t>
      </w:r>
    </w:p>
  </w:footnote>
  <w:footnote w:id="246">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עיר ללא אלימות, </w:t>
      </w:r>
      <w:hyperlink r:id="rId156" w:history="1">
        <w:r w:rsidRPr="009B7F64">
          <w:rPr>
            <w:rStyle w:val="Hyperlink"/>
            <w:rFonts w:asciiTheme="majorBidi" w:hAnsiTheme="majorBidi" w:cs="David"/>
            <w:rtl/>
          </w:rPr>
          <w:t>רשימת הרשויות השותפות בתוכנית</w:t>
        </w:r>
      </w:hyperlink>
      <w:r w:rsidRPr="009B7F64">
        <w:rPr>
          <w:rFonts w:asciiTheme="majorBidi" w:hAnsiTheme="majorBidi" w:cs="David" w:hint="cs"/>
          <w:rtl/>
        </w:rPr>
        <w:t>.</w:t>
      </w:r>
      <w:r w:rsidRPr="009B7F64">
        <w:rPr>
          <w:rFonts w:asciiTheme="majorBidi" w:hAnsiTheme="majorBidi" w:cs="David"/>
          <w:rtl/>
        </w:rPr>
        <w:t xml:space="preserve"> תאריך כניסה: 10 באפריל 2015</w:t>
      </w:r>
      <w:r w:rsidRPr="009B7F64">
        <w:rPr>
          <w:rFonts w:asciiTheme="majorBidi" w:hAnsiTheme="majorBidi" w:cs="David" w:hint="cs"/>
          <w:rtl/>
        </w:rPr>
        <w:t>.</w:t>
      </w:r>
    </w:p>
  </w:footnote>
  <w:footnote w:id="247">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cs="David"/>
          <w:rtl/>
        </w:rPr>
        <w:t xml:space="preserve">החלטת ממשלה מס' 3328, </w:t>
      </w:r>
      <w:r w:rsidRPr="009B7F64">
        <w:rPr>
          <w:rFonts w:cs="David" w:hint="cs"/>
          <w:u w:val="single"/>
          <w:rtl/>
        </w:rPr>
        <w:t>עקרונות מסגרת להקמת יחידה למניעת הברחת סמים במכס</w:t>
      </w:r>
      <w:r w:rsidRPr="009B7F64">
        <w:rPr>
          <w:rFonts w:cs="David"/>
          <w:rtl/>
        </w:rPr>
        <w:t xml:space="preserve">, </w:t>
      </w:r>
      <w:r w:rsidRPr="009B7F64">
        <w:rPr>
          <w:rFonts w:cs="David" w:hint="cs"/>
          <w:rtl/>
        </w:rPr>
        <w:t xml:space="preserve">12 </w:t>
      </w:r>
      <w:r w:rsidRPr="009B7F64">
        <w:rPr>
          <w:rFonts w:cs="David"/>
          <w:rtl/>
        </w:rPr>
        <w:t>יוני 1994.</w:t>
      </w:r>
    </w:p>
  </w:footnote>
  <w:footnote w:id="248">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מבקר המדינה, </w:t>
      </w:r>
      <w:r w:rsidRPr="009B7F64">
        <w:rPr>
          <w:rFonts w:asciiTheme="majorBidi" w:hAnsiTheme="majorBidi" w:cs="David"/>
          <w:u w:val="single"/>
          <w:rtl/>
        </w:rPr>
        <w:t>רשות המיסים בישראל: פעולות למניעת הברחות של טובין</w:t>
      </w:r>
      <w:r w:rsidRPr="009B7F64">
        <w:rPr>
          <w:rFonts w:asciiTheme="majorBidi" w:hAnsiTheme="majorBidi" w:cs="David"/>
          <w:rtl/>
        </w:rPr>
        <w:t>, דו"ח 59ב', 2009, עמ' 241-249.</w:t>
      </w:r>
    </w:p>
  </w:footnote>
  <w:footnote w:id="249">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זאב ציגלברג, הממונה על יחידת הסמים והלבנת ההון שברשות המיסים, ואהוד אור-טל, ממונה מדור בכיר מבצעים ביחידת הסמים והלבנת הון שברשות המיסים, </w:t>
      </w:r>
      <w:r w:rsidRPr="009B7F64">
        <w:rPr>
          <w:rFonts w:asciiTheme="majorBidi" w:hAnsiTheme="majorBidi" w:cs="David" w:hint="cs"/>
          <w:rtl/>
        </w:rPr>
        <w:t>מכתב,</w:t>
      </w:r>
      <w:r w:rsidRPr="009B7F64">
        <w:rPr>
          <w:rFonts w:asciiTheme="majorBidi" w:hAnsiTheme="majorBidi" w:cs="David"/>
          <w:rtl/>
        </w:rPr>
        <w:t xml:space="preserve"> 13 באפריל 2015</w:t>
      </w:r>
      <w:r w:rsidRPr="009B7F64">
        <w:rPr>
          <w:rFonts w:asciiTheme="majorBidi" w:hAnsiTheme="majorBidi" w:cs="David" w:hint="cs"/>
          <w:rtl/>
        </w:rPr>
        <w:t>, וכן שיחת טלפון,</w:t>
      </w:r>
      <w:r w:rsidRPr="009B7F64">
        <w:rPr>
          <w:rFonts w:asciiTheme="majorBidi" w:hAnsiTheme="majorBidi" w:cs="David"/>
          <w:rtl/>
        </w:rPr>
        <w:t xml:space="preserve"> 19 באפריל 2015. </w:t>
      </w:r>
    </w:p>
  </w:footnote>
  <w:footnote w:id="250">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מבקר המדינה, </w:t>
      </w:r>
      <w:r w:rsidRPr="009B7F64">
        <w:rPr>
          <w:rFonts w:asciiTheme="majorBidi" w:hAnsiTheme="majorBidi" w:cs="David"/>
          <w:u w:val="single"/>
          <w:rtl/>
        </w:rPr>
        <w:t>רשות המיסים בישראל: פעולות למניעת הברחות של טובין</w:t>
      </w:r>
      <w:r w:rsidRPr="009B7F64">
        <w:rPr>
          <w:rFonts w:asciiTheme="majorBidi" w:hAnsiTheme="majorBidi" w:cs="David"/>
          <w:rtl/>
        </w:rPr>
        <w:t xml:space="preserve">, דו"ח 59ב', 2009, עמ' 241-249; מבקר המדינה, </w:t>
      </w:r>
      <w:r w:rsidRPr="009B7F64">
        <w:rPr>
          <w:rFonts w:asciiTheme="majorBidi" w:hAnsiTheme="majorBidi" w:cs="David"/>
          <w:u w:val="single"/>
          <w:rtl/>
        </w:rPr>
        <w:t>משרד האוצר: פעילות בית המכס בנמל התעופה בן גוריון למניעת הברחות</w:t>
      </w:r>
      <w:r w:rsidRPr="009B7F64">
        <w:rPr>
          <w:rFonts w:asciiTheme="majorBidi" w:hAnsiTheme="majorBidi" w:cs="David"/>
          <w:rtl/>
        </w:rPr>
        <w:t>, דו"ח 64א', 2013, עמ' 207-215.</w:t>
      </w:r>
    </w:p>
  </w:footnote>
  <w:footnote w:id="251">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זאב ציגלברג, הממונה על יחידת הסמים והלבנת ההון שברשות המיסים, ואהוד אור-טל, ממונה מדור בכיר מבצעים ביחידת הסמים והלבנת הון שברשות המיסים, מכתב, 13 באפריל 201</w:t>
      </w:r>
      <w:r w:rsidRPr="009B7F64">
        <w:rPr>
          <w:rFonts w:asciiTheme="majorBidi" w:hAnsiTheme="majorBidi" w:cs="David" w:hint="cs"/>
          <w:rtl/>
        </w:rPr>
        <w:t>5</w:t>
      </w:r>
      <w:r w:rsidRPr="009B7F64">
        <w:rPr>
          <w:rFonts w:asciiTheme="majorBidi" w:hAnsiTheme="majorBidi" w:cs="David"/>
          <w:rtl/>
        </w:rPr>
        <w:t>.</w:t>
      </w:r>
    </w:p>
  </w:footnote>
  <w:footnote w:id="252">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r w:rsidRPr="009B7F64">
        <w:rPr>
          <w:rFonts w:asciiTheme="majorBidi" w:hAnsiTheme="majorBidi" w:cs="David"/>
          <w:rtl/>
        </w:rPr>
        <w:t>.</w:t>
      </w:r>
    </w:p>
  </w:footnote>
  <w:footnote w:id="253">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r w:rsidRPr="009B7F64">
        <w:rPr>
          <w:rFonts w:asciiTheme="majorBidi" w:hAnsiTheme="majorBidi" w:cs="David"/>
          <w:rtl/>
        </w:rPr>
        <w:t>.</w:t>
      </w:r>
    </w:p>
  </w:footnote>
  <w:footnote w:id="254">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r w:rsidRPr="009B7F64">
        <w:rPr>
          <w:rFonts w:asciiTheme="majorBidi" w:hAnsiTheme="majorBidi" w:cs="David"/>
          <w:rtl/>
        </w:rPr>
        <w:t>.</w:t>
      </w:r>
    </w:p>
  </w:footnote>
  <w:footnote w:id="255">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גלעד נתן, "</w:t>
      </w:r>
      <w:hyperlink r:id="rId157" w:history="1">
        <w:r w:rsidRPr="009B7F64">
          <w:rPr>
            <w:rStyle w:val="Hyperlink"/>
            <w:rFonts w:asciiTheme="majorBidi" w:hAnsiTheme="majorBidi" w:cs="David"/>
            <w:rtl/>
          </w:rPr>
          <w:t>הצרכים של יחידת הסמים של המכס</w:t>
        </w:r>
      </w:hyperlink>
      <w:r w:rsidRPr="009B7F64">
        <w:rPr>
          <w:rFonts w:asciiTheme="majorBidi" w:hAnsiTheme="majorBidi" w:cs="David"/>
          <w:rtl/>
        </w:rPr>
        <w:t>", מרכז המחקר והמידע של הכנסת, 23 בינואר 2011.</w:t>
      </w:r>
    </w:p>
  </w:footnote>
  <w:footnote w:id="256">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אהוד אור-טל, ממונה מדור בכיר מבצעים ביחידת הסמים והלבנת הון שברשות המיסים, שיחת טלפון, 21 במאי 2015.</w:t>
      </w:r>
    </w:p>
  </w:footnote>
  <w:footnote w:id="257">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asciiTheme="majorBidi" w:hAnsiTheme="majorBidi" w:cs="David"/>
          <w:rtl/>
        </w:rPr>
        <w:t>זאב ציגלברג, הממונה על יחידת הסמים והלבנת ההון שברשות המיסים, ואהוד אור-טל, ממונה מדור בכיר מבצעים ביחידת הסמים והלבנת הון שברשות המיסים, מכתב, 13 באפריל 2015</w:t>
      </w:r>
      <w:r w:rsidRPr="009B7F64">
        <w:rPr>
          <w:rFonts w:asciiTheme="majorBidi" w:hAnsiTheme="majorBidi" w:cs="David" w:hint="cs"/>
          <w:rtl/>
        </w:rPr>
        <w:t>.</w:t>
      </w:r>
    </w:p>
  </w:footnote>
  <w:footnote w:id="258">
    <w:p w:rsidR="007B5846" w:rsidRPr="009B7F64" w:rsidRDefault="007B5846" w:rsidP="007B5846">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asciiTheme="majorBidi" w:hAnsiTheme="majorBidi" w:cs="David"/>
          <w:rtl/>
        </w:rPr>
        <w:t>זאב ציגלברג, הממונה על יחידת הסמים והלבנת ההון שברשות המיסים, ואהוד אור-טל, ממונה מדור בכיר מבצעים ביחידת הסמים והלבנת הון שברשות המיסים, מכתב, 13 באפריל 2015</w:t>
      </w:r>
      <w:r w:rsidRPr="009B7F64">
        <w:rPr>
          <w:rFonts w:asciiTheme="majorBidi" w:hAnsiTheme="majorBidi" w:cs="David" w:hint="cs"/>
          <w:rtl/>
        </w:rPr>
        <w:t>.</w:t>
      </w:r>
    </w:p>
  </w:footnote>
  <w:footnote w:id="259">
    <w:p w:rsidR="007B5846" w:rsidRPr="009B7F64" w:rsidRDefault="007B5846" w:rsidP="007B5846">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r w:rsidRPr="009B7F64">
        <w:rPr>
          <w:rFonts w:asciiTheme="majorBidi" w:hAnsiTheme="majorBidi" w:cs="David"/>
          <w:rtl/>
        </w:rPr>
        <w:t>.</w:t>
      </w:r>
    </w:p>
  </w:footnote>
  <w:footnote w:id="260">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זאב ציגלברג, הממונה על יחידת הסמים והלבנת ההון שברשות המיסים, ואהוד אור-טל, ממונה מדור בכיר מבצעים ביחידת הסמים והלבנת הון שברשות המיסים, שיחת טלפון, 19 באפריל 2015.</w:t>
      </w:r>
    </w:p>
  </w:footnote>
  <w:footnote w:id="261">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158" w:history="1">
        <w:r w:rsidRPr="009B7F64">
          <w:rPr>
            <w:rStyle w:val="Hyperlink"/>
            <w:rFonts w:asciiTheme="majorBidi" w:hAnsiTheme="majorBidi" w:cs="David"/>
            <w:rtl/>
          </w:rPr>
          <w:t>פקודת הסמים המסוכנים [נוסח חדש], התשל"ג-1973</w:t>
        </w:r>
      </w:hyperlink>
      <w:r w:rsidRPr="009B7F64">
        <w:rPr>
          <w:rStyle w:val="Hyperlink"/>
          <w:rFonts w:asciiTheme="majorBidi" w:hAnsiTheme="majorBidi" w:cs="David" w:hint="cs"/>
          <w:u w:val="none"/>
          <w:rtl/>
        </w:rPr>
        <w:t>.</w:t>
      </w:r>
    </w:p>
  </w:footnote>
  <w:footnote w:id="262">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cs="David" w:hint="cs"/>
          <w:rtl/>
        </w:rPr>
        <w:t xml:space="preserve">החלטת ממשלה מס' 3609, </w:t>
      </w:r>
      <w:hyperlink r:id="rId159" w:history="1">
        <w:r w:rsidRPr="009B7F64">
          <w:rPr>
            <w:rStyle w:val="Hyperlink"/>
            <w:rFonts w:cs="David" w:hint="cs"/>
            <w:rtl/>
          </w:rPr>
          <w:t>פיקוח והסדרת מקור לאספקת קנביס למטרות רפואיות ולמחקר,</w:t>
        </w:r>
      </w:hyperlink>
      <w:r w:rsidRPr="009B7F64">
        <w:rPr>
          <w:rFonts w:cs="David" w:hint="cs"/>
          <w:rtl/>
        </w:rPr>
        <w:t xml:space="preserve"> 7 באוגוסט 2011.</w:t>
      </w:r>
    </w:p>
  </w:footnote>
  <w:footnote w:id="263">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hyperlink r:id="rId160" w:history="1">
        <w:r w:rsidRPr="009B7F64">
          <w:rPr>
            <w:rStyle w:val="Hyperlink"/>
            <w:rFonts w:asciiTheme="majorBidi" w:hAnsiTheme="majorBidi" w:cs="David"/>
            <w:rtl/>
          </w:rPr>
          <w:t>חוק ביטוח בריאות ממלכתי התשנ"ד-1994</w:t>
        </w:r>
      </w:hyperlink>
      <w:r w:rsidRPr="009B7F64">
        <w:rPr>
          <w:rFonts w:asciiTheme="majorBidi" w:hAnsiTheme="majorBidi" w:cs="David"/>
          <w:rtl/>
        </w:rPr>
        <w:t>.</w:t>
      </w:r>
    </w:p>
  </w:footnote>
  <w:footnote w:id="264">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cs="David"/>
          <w:rtl/>
        </w:rPr>
        <w:t>החלטת ממשלה מס' 4611,</w:t>
      </w:r>
      <w:r w:rsidRPr="009B7F64">
        <w:rPr>
          <w:rFonts w:cs="David" w:hint="cs"/>
          <w:rtl/>
        </w:rPr>
        <w:t xml:space="preserve"> </w:t>
      </w:r>
      <w:hyperlink r:id="rId161" w:history="1">
        <w:r w:rsidRPr="009B7F64">
          <w:rPr>
            <w:rStyle w:val="Hyperlink"/>
            <w:rFonts w:cs="David" w:hint="cs"/>
            <w:rtl/>
          </w:rPr>
          <w:t>העברת מלוא האחריות הביטוחית בתחום בריאות הנפש מם המדינה לקופות החולים</w:t>
        </w:r>
      </w:hyperlink>
      <w:r w:rsidRPr="009B7F64">
        <w:rPr>
          <w:rFonts w:cs="David" w:hint="cs"/>
          <w:rtl/>
        </w:rPr>
        <w:t xml:space="preserve">, </w:t>
      </w:r>
      <w:r w:rsidRPr="009B7F64">
        <w:rPr>
          <w:rFonts w:cs="David"/>
          <w:rtl/>
        </w:rPr>
        <w:t>10 מאי 2012</w:t>
      </w:r>
      <w:r w:rsidRPr="009B7F64">
        <w:rPr>
          <w:rFonts w:asciiTheme="majorBidi" w:hAnsiTheme="majorBidi" w:cs="David"/>
          <w:rtl/>
        </w:rPr>
        <w:t xml:space="preserve">; </w:t>
      </w:r>
      <w:hyperlink r:id="rId162" w:history="1">
        <w:r w:rsidRPr="009B7F64">
          <w:rPr>
            <w:rStyle w:val="Hyperlink"/>
            <w:rFonts w:asciiTheme="majorBidi" w:hAnsiTheme="majorBidi" w:cs="David"/>
            <w:rtl/>
          </w:rPr>
          <w:t>צו ביטוח בריאות ממלכתי (שינוי התוספת השנייה והשלישית לחוק), התשע"ב-2012</w:t>
        </w:r>
      </w:hyperlink>
      <w:r w:rsidRPr="009B7F64">
        <w:rPr>
          <w:rFonts w:asciiTheme="majorBidi" w:hAnsiTheme="majorBidi" w:cs="David"/>
          <w:rtl/>
        </w:rPr>
        <w:t xml:space="preserve">, 29 מאי 2012; </w:t>
      </w:r>
      <w:r w:rsidRPr="009B7F64">
        <w:rPr>
          <w:rFonts w:asciiTheme="majorBidi" w:hAnsiTheme="majorBidi" w:cs="David"/>
          <w:u w:val="single"/>
          <w:rtl/>
        </w:rPr>
        <w:t>סיכום בין משרדי הבריאות והאוצר לבין שירותי בריאות כללית בנושא העברת שירותי בריאות נפש מהתוספת השלישית לתוספת השניה לחוק ביטוח בריאות ממלכתי</w:t>
      </w:r>
      <w:r w:rsidRPr="009B7F64">
        <w:rPr>
          <w:rFonts w:asciiTheme="majorBidi" w:hAnsiTheme="majorBidi" w:cs="David"/>
          <w:rtl/>
        </w:rPr>
        <w:t>, 31 במאי 2012</w:t>
      </w:r>
      <w:r w:rsidRPr="009B7F64">
        <w:rPr>
          <w:rFonts w:asciiTheme="majorBidi" w:hAnsiTheme="majorBidi" w:cs="David" w:hint="cs"/>
          <w:rtl/>
        </w:rPr>
        <w:t>;</w:t>
      </w:r>
      <w:r w:rsidRPr="009B7F64">
        <w:rPr>
          <w:rFonts w:asciiTheme="majorBidi" w:hAnsiTheme="majorBidi" w:cs="David"/>
          <w:rtl/>
        </w:rPr>
        <w:t xml:space="preserve"> </w:t>
      </w:r>
      <w:r w:rsidRPr="009B7F64">
        <w:rPr>
          <w:rFonts w:asciiTheme="majorBidi" w:hAnsiTheme="majorBidi" w:cs="David" w:hint="cs"/>
          <w:rtl/>
        </w:rPr>
        <w:t xml:space="preserve">וכן </w:t>
      </w:r>
      <w:r w:rsidRPr="009B7F64">
        <w:rPr>
          <w:rFonts w:asciiTheme="majorBidi" w:hAnsiTheme="majorBidi" w:cs="David"/>
          <w:rtl/>
        </w:rPr>
        <w:t xml:space="preserve">פלורה קוך דוידוביץ', </w:t>
      </w:r>
      <w:hyperlink r:id="rId163" w:history="1">
        <w:r w:rsidRPr="009B7F64">
          <w:rPr>
            <w:rStyle w:val="Hyperlink"/>
            <w:rFonts w:asciiTheme="majorBidi" w:hAnsiTheme="majorBidi" w:cs="David"/>
            <w:rtl/>
          </w:rPr>
          <w:t>הטיפול במכורים לסמים הסובלים ממחלת נפש לאחר העברת שירותי בריאות הנפש מאחריות משרד הבריאות לאחריות קופות החולים</w:t>
        </w:r>
      </w:hyperlink>
      <w:r w:rsidRPr="009B7F64">
        <w:rPr>
          <w:rFonts w:asciiTheme="majorBidi" w:hAnsiTheme="majorBidi" w:cs="David"/>
          <w:rtl/>
        </w:rPr>
        <w:t>, מרכז המחקר והמידע של הכנסת, 2 ביולי 2014</w:t>
      </w:r>
      <w:r w:rsidRPr="009B7F64">
        <w:rPr>
          <w:rFonts w:asciiTheme="majorBidi" w:hAnsiTheme="majorBidi" w:cs="David" w:hint="cs"/>
          <w:rtl/>
        </w:rPr>
        <w:t>.</w:t>
      </w:r>
    </w:p>
  </w:footnote>
  <w:footnote w:id="265">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פלורה קוך דוידוביץ', </w:t>
      </w:r>
      <w:hyperlink r:id="rId164" w:history="1">
        <w:r w:rsidRPr="009B7F64">
          <w:rPr>
            <w:rStyle w:val="Hyperlink"/>
            <w:rFonts w:asciiTheme="majorBidi" w:hAnsiTheme="majorBidi" w:cs="David"/>
            <w:rtl/>
          </w:rPr>
          <w:t>הטיפול במכורים לסמים הסובלים ממחלת נפש לאחר העברת שירותי בריאות הנפש מאחריות משרד הבריאות לאחריות קופות החולים</w:t>
        </w:r>
      </w:hyperlink>
      <w:r w:rsidRPr="009B7F64">
        <w:rPr>
          <w:rFonts w:asciiTheme="majorBidi" w:hAnsiTheme="majorBidi" w:cs="David"/>
          <w:rtl/>
        </w:rPr>
        <w:t>, מרכז המחקר והמידע של הכנסת, 2 ביולי 2014, עמ' 10.</w:t>
      </w:r>
    </w:p>
  </w:footnote>
  <w:footnote w:id="266">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r w:rsidRPr="009B7F64">
        <w:rPr>
          <w:rFonts w:asciiTheme="majorBidi" w:hAnsiTheme="majorBidi" w:cs="David"/>
          <w:rtl/>
        </w:rPr>
        <w:t>.</w:t>
      </w:r>
    </w:p>
  </w:footnote>
  <w:footnote w:id="267">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משרד הבריאות, </w:t>
      </w:r>
      <w:hyperlink r:id="rId165" w:history="1">
        <w:r w:rsidRPr="009B7F64">
          <w:rPr>
            <w:rStyle w:val="Hyperlink"/>
            <w:rFonts w:asciiTheme="majorBidi" w:hAnsiTheme="majorBidi" w:cs="David"/>
            <w:rtl/>
          </w:rPr>
          <w:t>חוזר המנהל הכללי – הרחבת סל שירותי הבריאות לשנת 2013</w:t>
        </w:r>
      </w:hyperlink>
      <w:r w:rsidRPr="009B7F64">
        <w:rPr>
          <w:rFonts w:asciiTheme="majorBidi" w:hAnsiTheme="majorBidi" w:cs="David"/>
          <w:rtl/>
        </w:rPr>
        <w:t>, ינואר 2013.</w:t>
      </w:r>
    </w:p>
  </w:footnote>
  <w:footnote w:id="268">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משרד הבריאות, </w:t>
      </w:r>
      <w:hyperlink r:id="rId166" w:history="1">
        <w:r w:rsidRPr="009B7F64">
          <w:rPr>
            <w:rStyle w:val="Hyperlink"/>
            <w:rFonts w:asciiTheme="majorBidi" w:hAnsiTheme="majorBidi" w:cs="David"/>
            <w:rtl/>
          </w:rPr>
          <w:t>המחלקה לטיפול בהתמכרויות</w:t>
        </w:r>
      </w:hyperlink>
      <w:r w:rsidRPr="009B7F64">
        <w:rPr>
          <w:rFonts w:asciiTheme="majorBidi" w:hAnsiTheme="majorBidi" w:cs="David"/>
          <w:rtl/>
        </w:rPr>
        <w:t>. תאריך כניסה:</w:t>
      </w:r>
      <w:r w:rsidRPr="009B7F64">
        <w:rPr>
          <w:rFonts w:asciiTheme="majorBidi" w:hAnsiTheme="majorBidi" w:cs="David" w:hint="cs"/>
          <w:rtl/>
        </w:rPr>
        <w:t xml:space="preserve"> </w:t>
      </w:r>
      <w:r w:rsidRPr="009B7F64">
        <w:rPr>
          <w:rFonts w:asciiTheme="majorBidi" w:hAnsiTheme="majorBidi" w:cs="David"/>
          <w:rtl/>
        </w:rPr>
        <w:t>23 מרץ 2015.</w:t>
      </w:r>
    </w:p>
  </w:footnote>
  <w:footnote w:id="269">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r w:rsidRPr="009B7F64">
        <w:rPr>
          <w:rFonts w:asciiTheme="majorBidi" w:hAnsiTheme="majorBidi" w:cs="David"/>
          <w:rtl/>
        </w:rPr>
        <w:t>.</w:t>
      </w:r>
    </w:p>
  </w:footnote>
  <w:footnote w:id="270">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hyperlink r:id="rId167" w:history="1">
        <w:r w:rsidRPr="009B7F64">
          <w:rPr>
            <w:rStyle w:val="Hyperlink"/>
            <w:rFonts w:asciiTheme="majorBidi" w:hAnsiTheme="majorBidi" w:cs="David"/>
            <w:rtl/>
          </w:rPr>
          <w:t>חוק הפיקוח על מוסדות לטיפול במשתמשים בסמים, התשנ"ג-1993</w:t>
        </w:r>
      </w:hyperlink>
      <w:r w:rsidRPr="009B7F64">
        <w:rPr>
          <w:rFonts w:asciiTheme="majorBidi" w:hAnsiTheme="majorBidi" w:cs="David"/>
          <w:rtl/>
        </w:rPr>
        <w:t>.</w:t>
      </w:r>
    </w:p>
  </w:footnote>
  <w:footnote w:id="271">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שם.</w:t>
      </w:r>
    </w:p>
  </w:footnote>
  <w:footnote w:id="272">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ד"ר אנטולי מרגוליס, מפקח ארצי וסגן מנהלת המחלקה לטיפול בהתמכרויות במשרד הבריאות, מכתב, 27 אפריל 2015.</w:t>
      </w:r>
    </w:p>
  </w:footnote>
  <w:footnote w:id="273">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r w:rsidRPr="009B7F64">
        <w:rPr>
          <w:rFonts w:asciiTheme="majorBidi" w:hAnsiTheme="majorBidi" w:cs="David"/>
          <w:rtl/>
        </w:rPr>
        <w:t>.</w:t>
      </w:r>
    </w:p>
  </w:footnote>
  <w:footnote w:id="274">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משרד הבריאות, </w:t>
      </w:r>
      <w:hyperlink r:id="rId168" w:history="1">
        <w:r w:rsidRPr="009B7F64">
          <w:rPr>
            <w:rStyle w:val="Hyperlink"/>
            <w:rFonts w:asciiTheme="majorBidi" w:hAnsiTheme="majorBidi" w:cs="David"/>
            <w:rtl/>
          </w:rPr>
          <w:t>רישוי מוסדות לטיפול במשתמשים בסמים</w:t>
        </w:r>
      </w:hyperlink>
      <w:r w:rsidRPr="009B7F64">
        <w:rPr>
          <w:rFonts w:asciiTheme="majorBidi" w:hAnsiTheme="majorBidi" w:cs="David"/>
          <w:rtl/>
        </w:rPr>
        <w:t>. תאריך כניסה: 19 במאי 2015.</w:t>
      </w:r>
    </w:p>
  </w:footnote>
  <w:footnote w:id="275">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 xml:space="preserve">גלעד נתן, </w:t>
      </w:r>
      <w:hyperlink r:id="rId169" w:history="1">
        <w:r w:rsidRPr="009B7F64">
          <w:rPr>
            <w:rStyle w:val="Hyperlink"/>
            <w:rFonts w:asciiTheme="majorBidi" w:hAnsiTheme="majorBidi" w:cs="David"/>
            <w:rtl/>
          </w:rPr>
          <w:t>סוגיות בתחום המניעה והטיפול במסגרת המאבק בנגע הסמים</w:t>
        </w:r>
      </w:hyperlink>
      <w:r w:rsidRPr="009B7F64">
        <w:rPr>
          <w:rFonts w:asciiTheme="majorBidi" w:hAnsiTheme="majorBidi" w:cs="David"/>
          <w:rtl/>
        </w:rPr>
        <w:t xml:space="preserve">, </w:t>
      </w:r>
      <w:r w:rsidRPr="009B7F64">
        <w:rPr>
          <w:rFonts w:asciiTheme="majorBidi" w:hAnsiTheme="majorBidi" w:cs="David" w:hint="cs"/>
          <w:rtl/>
        </w:rPr>
        <w:t>מרכז המחקר והמידע של הכנסת</w:t>
      </w:r>
      <w:r w:rsidRPr="009B7F64">
        <w:rPr>
          <w:rFonts w:asciiTheme="majorBidi" w:hAnsiTheme="majorBidi" w:cs="David"/>
          <w:rtl/>
        </w:rPr>
        <w:t>, 28 ביוני 2011.</w:t>
      </w:r>
    </w:p>
  </w:footnote>
  <w:footnote w:id="276">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ab/>
        <w:t xml:space="preserve"> </w:t>
      </w:r>
      <w:r w:rsidRPr="009B7F64">
        <w:rPr>
          <w:rFonts w:asciiTheme="majorBidi" w:hAnsiTheme="majorBidi" w:cs="David" w:hint="cs"/>
          <w:rtl/>
        </w:rPr>
        <w:t>ד"ר אנטולי מרגוליס, רופא מפקח ארצי וסגן מנהל המחלקה לטיפול בהתמכרויות, משרד הבריאות, מכתב, 15 ביוני 2015.</w:t>
      </w:r>
    </w:p>
  </w:footnote>
  <w:footnote w:id="277">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שם.</w:t>
      </w:r>
    </w:p>
  </w:footnote>
  <w:footnote w:id="278">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ab/>
        <w:t xml:space="preserve"> </w:t>
      </w:r>
      <w:r w:rsidRPr="009B7F64">
        <w:rPr>
          <w:rFonts w:asciiTheme="majorBidi" w:hAnsiTheme="majorBidi" w:cs="David" w:hint="cs"/>
          <w:rtl/>
        </w:rPr>
        <w:t>ד"ר אנטולי מרגוליס, רופא מפקח ארצי וסגן מנהל המחלקה לטיפול בהתמכרויות, משרד הבריאות, מכתב, 15 ביוני 2015.</w:t>
      </w:r>
    </w:p>
  </w:footnote>
  <w:footnote w:id="279">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"אשפוזית" הכוללת מיטות לתחלואה כפולה.</w:t>
      </w:r>
    </w:p>
  </w:footnote>
  <w:footnote w:id="280">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"דולפין".</w:t>
      </w:r>
    </w:p>
  </w:footnote>
  <w:footnote w:id="281">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 xml:space="preserve">"יחידה לגמילה מהירה </w:t>
      </w:r>
      <w:r w:rsidRPr="009B7F64">
        <w:rPr>
          <w:rFonts w:cs="David"/>
          <w:rtl/>
        </w:rPr>
        <w:t>–</w:t>
      </w:r>
      <w:r w:rsidRPr="009B7F64">
        <w:rPr>
          <w:rFonts w:cs="David" w:hint="cs"/>
          <w:rtl/>
        </w:rPr>
        <w:t xml:space="preserve"> ד"ר ויסמן"; "בראשית".</w:t>
      </w:r>
    </w:p>
  </w:footnote>
  <w:footnote w:id="282">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"רוח מדבר".</w:t>
      </w:r>
    </w:p>
  </w:footnote>
  <w:footnote w:id="283">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"מ.ט.ר.ה." (באר שבע).</w:t>
      </w:r>
    </w:p>
  </w:footnote>
  <w:footnote w:id="284">
    <w:p w:rsidR="00FE2909" w:rsidRPr="009B7F64" w:rsidRDefault="00FE2909" w:rsidP="00CD1DB5">
      <w:pPr>
        <w:pStyle w:val="a9"/>
        <w:spacing w:after="0"/>
        <w:rPr>
          <w:rFonts w:cs="David"/>
          <w:rtl/>
          <w:lang w:val="en-US"/>
        </w:rPr>
      </w:pPr>
      <w:r w:rsidRPr="009B7F64">
        <w:rPr>
          <w:rStyle w:val="ab"/>
          <w:rFonts w:cs="David"/>
        </w:rPr>
        <w:footnoteRef/>
      </w:r>
      <w:r w:rsidRPr="009B7F64">
        <w:rPr>
          <w:rFonts w:cs="David"/>
          <w:rtl/>
        </w:rPr>
        <w:t xml:space="preserve"> </w:t>
      </w:r>
      <w:r w:rsidRPr="009B7F64">
        <w:rPr>
          <w:rFonts w:cs="David" w:hint="cs"/>
          <w:rtl/>
        </w:rPr>
        <w:t>"מרכז מתדון" (אשדוד);</w:t>
      </w:r>
      <w:r w:rsidRPr="009B7F64">
        <w:rPr>
          <w:rFonts w:cs="David"/>
          <w:lang w:val="en-US"/>
        </w:rPr>
        <w:t xml:space="preserve">  </w:t>
      </w:r>
      <w:r w:rsidRPr="009B7F64">
        <w:rPr>
          <w:rFonts w:cs="David" w:hint="cs"/>
          <w:rtl/>
          <w:lang w:val="en-US"/>
        </w:rPr>
        <w:t>"סל"ע ב'" (באר שבע).</w:t>
      </w:r>
    </w:p>
  </w:footnote>
  <w:footnote w:id="285">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 xml:space="preserve">"ד"ר אולגה </w:t>
      </w:r>
      <w:r w:rsidRPr="009B7F64">
        <w:rPr>
          <w:rFonts w:cs="David"/>
          <w:rtl/>
        </w:rPr>
        <w:t>–</w:t>
      </w:r>
      <w:r w:rsidRPr="009B7F64">
        <w:rPr>
          <w:rFonts w:cs="David" w:hint="cs"/>
          <w:rtl/>
        </w:rPr>
        <w:t xml:space="preserve"> מרפאה"; "פניקס </w:t>
      </w:r>
      <w:r w:rsidRPr="009B7F64">
        <w:rPr>
          <w:rFonts w:cs="David"/>
          <w:rtl/>
        </w:rPr>
        <w:t>–</w:t>
      </w:r>
      <w:r w:rsidRPr="009B7F64">
        <w:rPr>
          <w:rFonts w:cs="David" w:hint="cs"/>
          <w:rtl/>
        </w:rPr>
        <w:t xml:space="preserve"> קפצן".</w:t>
      </w:r>
    </w:p>
  </w:footnote>
  <w:footnote w:id="286">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"מאור".</w:t>
      </w:r>
    </w:p>
  </w:footnote>
  <w:footnote w:id="287">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"מרכז לגמילה מאלכוהול".</w:t>
      </w:r>
    </w:p>
  </w:footnote>
  <w:footnote w:id="288">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"רנסנס".</w:t>
      </w:r>
    </w:p>
  </w:footnote>
  <w:footnote w:id="289">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"ויקטוריה".</w:t>
      </w:r>
    </w:p>
  </w:footnote>
  <w:footnote w:id="290">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"יסעור".</w:t>
      </w:r>
    </w:p>
  </w:footnote>
  <w:footnote w:id="291">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"אדלסון", "צור-אביב מרכז לטיפול תרופתי ארוך טווח", "צור-אביב מרכז לטיפול תרופתי ממושך סובקסון".</w:t>
      </w:r>
    </w:p>
  </w:footnote>
  <w:footnote w:id="292">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"אזמרה", "מודעות" (חולון), "היבטים" (כפר סבא), "צומת".</w:t>
      </w:r>
    </w:p>
  </w:footnote>
  <w:footnote w:id="293">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"בית אביב".</w:t>
      </w:r>
    </w:p>
  </w:footnote>
  <w:footnote w:id="294">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"פניקס 1", "פניקס 2".</w:t>
      </w:r>
    </w:p>
  </w:footnote>
  <w:footnote w:id="295">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 xml:space="preserve">"קרית שלמה" </w:t>
      </w:r>
      <w:r w:rsidRPr="009B7F64">
        <w:rPr>
          <w:rFonts w:cs="David"/>
          <w:rtl/>
        </w:rPr>
        <w:t>–</w:t>
      </w:r>
      <w:r w:rsidRPr="009B7F64">
        <w:rPr>
          <w:rFonts w:cs="David" w:hint="cs"/>
          <w:rtl/>
        </w:rPr>
        <w:t xml:space="preserve"> כולל מיטות לתחלואה כפולה.</w:t>
      </w:r>
    </w:p>
  </w:footnote>
  <w:footnote w:id="296">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 xml:space="preserve">"קהילת אילנות </w:t>
      </w:r>
      <w:r w:rsidRPr="009B7F64">
        <w:rPr>
          <w:rFonts w:cs="David"/>
          <w:rtl/>
        </w:rPr>
        <w:t>–</w:t>
      </w:r>
      <w:r w:rsidRPr="009B7F64">
        <w:rPr>
          <w:rFonts w:cs="David" w:hint="cs"/>
          <w:rtl/>
        </w:rPr>
        <w:t xml:space="preserve"> עמותת בית אור אביבה", "כפר איזון".</w:t>
      </w:r>
    </w:p>
  </w:footnote>
  <w:footnote w:id="297">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"צעד אחר צעד", "וילה מטריקס" (משולב פנימייתי).</w:t>
      </w:r>
    </w:p>
  </w:footnote>
  <w:footnote w:id="298">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 xml:space="preserve">"בית לחיים </w:t>
      </w:r>
      <w:r w:rsidRPr="009B7F64">
        <w:rPr>
          <w:rFonts w:cs="David"/>
          <w:rtl/>
        </w:rPr>
        <w:t>–</w:t>
      </w:r>
      <w:r w:rsidRPr="009B7F64">
        <w:rPr>
          <w:rFonts w:cs="David" w:hint="cs"/>
          <w:rtl/>
        </w:rPr>
        <w:t xml:space="preserve"> צעד לשחר", "קרית שלמה </w:t>
      </w:r>
      <w:r w:rsidRPr="009B7F64">
        <w:rPr>
          <w:rFonts w:cs="David"/>
          <w:rtl/>
        </w:rPr>
        <w:t>–</w:t>
      </w:r>
      <w:r w:rsidRPr="009B7F64">
        <w:rPr>
          <w:rFonts w:cs="David" w:hint="cs"/>
          <w:rtl/>
        </w:rPr>
        <w:t xml:space="preserve"> תכנים" </w:t>
      </w:r>
      <w:r w:rsidRPr="009B7F64">
        <w:rPr>
          <w:rFonts w:cs="David"/>
          <w:rtl/>
        </w:rPr>
        <w:t>–</w:t>
      </w:r>
      <w:r w:rsidRPr="009B7F64">
        <w:rPr>
          <w:rFonts w:cs="David" w:hint="cs"/>
          <w:rtl/>
        </w:rPr>
        <w:t xml:space="preserve"> כולל מיטות לתחלואה כפולה, "קרית שלמה </w:t>
      </w:r>
      <w:r w:rsidRPr="009B7F64">
        <w:rPr>
          <w:rFonts w:cs="David"/>
          <w:rtl/>
        </w:rPr>
        <w:t>–</w:t>
      </w:r>
      <w:r w:rsidRPr="009B7F64">
        <w:rPr>
          <w:rFonts w:cs="David" w:hint="cs"/>
          <w:rtl/>
        </w:rPr>
        <w:t xml:space="preserve"> 24 צעדים".</w:t>
      </w:r>
    </w:p>
  </w:footnote>
  <w:footnote w:id="299">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 xml:space="preserve">"טייבה" </w:t>
      </w:r>
      <w:r w:rsidRPr="009B7F64">
        <w:rPr>
          <w:rFonts w:cs="David"/>
          <w:rtl/>
        </w:rPr>
        <w:t>–</w:t>
      </w:r>
      <w:r w:rsidRPr="009B7F64">
        <w:rPr>
          <w:rFonts w:cs="David" w:hint="cs"/>
          <w:rtl/>
        </w:rPr>
        <w:t xml:space="preserve"> מלכ"ר.</w:t>
      </w:r>
    </w:p>
  </w:footnote>
  <w:footnote w:id="300">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"אום אל פאחם".</w:t>
      </w:r>
    </w:p>
  </w:footnote>
  <w:footnote w:id="301">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"פאיה", "היבטים" (רמת גן), "מרפאת נס", "מודעות" (רחובות).</w:t>
      </w:r>
    </w:p>
  </w:footnote>
  <w:footnote w:id="302">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"אלה"</w:t>
      </w:r>
      <w:r>
        <w:rPr>
          <w:rFonts w:cs="David" w:hint="cs"/>
          <w:rtl/>
        </w:rPr>
        <w:t xml:space="preserve"> - ציבורי</w:t>
      </w:r>
      <w:r w:rsidRPr="009B7F64">
        <w:rPr>
          <w:rFonts w:cs="David" w:hint="cs"/>
          <w:rtl/>
        </w:rPr>
        <w:t>.</w:t>
      </w:r>
    </w:p>
  </w:footnote>
  <w:footnote w:id="303">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 xml:space="preserve">"רטורנו </w:t>
      </w:r>
      <w:r w:rsidRPr="009B7F64">
        <w:rPr>
          <w:rFonts w:cs="David"/>
          <w:rtl/>
        </w:rPr>
        <w:t>–</w:t>
      </w:r>
      <w:r w:rsidRPr="009B7F64">
        <w:rPr>
          <w:rFonts w:cs="David" w:hint="cs"/>
          <w:rtl/>
        </w:rPr>
        <w:t xml:space="preserve"> נוער", "רטורנו </w:t>
      </w:r>
      <w:r w:rsidRPr="009B7F64">
        <w:rPr>
          <w:rFonts w:cs="David"/>
          <w:rtl/>
        </w:rPr>
        <w:t>–</w:t>
      </w:r>
      <w:r w:rsidRPr="009B7F64">
        <w:rPr>
          <w:rFonts w:cs="David" w:hint="cs"/>
          <w:rtl/>
        </w:rPr>
        <w:t xml:space="preserve"> מבוגרים".</w:t>
      </w:r>
    </w:p>
  </w:footnote>
  <w:footnote w:id="304">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"המכון הירושלמי".</w:t>
      </w:r>
    </w:p>
  </w:footnote>
  <w:footnote w:id="305">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"מרכז מתדון" (ירושלים).</w:t>
      </w:r>
    </w:p>
  </w:footnote>
  <w:footnote w:id="306">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"הדרך אל האור".</w:t>
      </w:r>
    </w:p>
  </w:footnote>
  <w:footnote w:id="307">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"אישפוזית הדרך" (עילבון), "אישפוזית מלכישוע".</w:t>
      </w:r>
    </w:p>
  </w:footnote>
  <w:footnote w:id="308">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"בית חם" (קרית אתא).</w:t>
      </w:r>
    </w:p>
  </w:footnote>
  <w:footnote w:id="309">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"טמרה" - פרטי.</w:t>
      </w:r>
    </w:p>
  </w:footnote>
  <w:footnote w:id="310">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"מלכישוע אפיק", "דרי רחוב" (חדרה).</w:t>
      </w:r>
    </w:p>
  </w:footnote>
  <w:footnote w:id="311">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 xml:space="preserve">"מלכישוע בוגרים" </w:t>
      </w:r>
      <w:r w:rsidRPr="009B7F64">
        <w:rPr>
          <w:rFonts w:cs="David"/>
          <w:rtl/>
        </w:rPr>
        <w:t>–</w:t>
      </w:r>
      <w:r w:rsidRPr="009B7F64">
        <w:rPr>
          <w:rFonts w:cs="David" w:hint="cs"/>
          <w:rtl/>
        </w:rPr>
        <w:t xml:space="preserve"> ציבורי.</w:t>
      </w:r>
    </w:p>
  </w:footnote>
  <w:footnote w:id="312">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"מתדון" (חדרה), "מ.א.מ.ץ" (חיפה), "מ.א.מ.ץ" (טבריה), "נצרת".</w:t>
      </w:r>
    </w:p>
  </w:footnote>
  <w:footnote w:id="313">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r w:rsidRPr="009B7F64">
        <w:rPr>
          <w:rFonts w:cs="David" w:hint="cs"/>
          <w:rtl/>
        </w:rPr>
        <w:t xml:space="preserve">"עתיד </w:t>
      </w:r>
      <w:r w:rsidRPr="009B7F64">
        <w:rPr>
          <w:rFonts w:cs="David"/>
          <w:rtl/>
        </w:rPr>
        <w:t>–</w:t>
      </w:r>
      <w:r w:rsidRPr="009B7F64">
        <w:rPr>
          <w:rFonts w:cs="David" w:hint="cs"/>
          <w:rtl/>
        </w:rPr>
        <w:t xml:space="preserve"> בית חם", "בית אלמוג".</w:t>
      </w:r>
    </w:p>
  </w:footnote>
  <w:footnote w:id="314">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cs="David" w:hint="cs"/>
          <w:rtl/>
        </w:rPr>
        <w:t xml:space="preserve">גלעד נתן, </w:t>
      </w:r>
      <w:hyperlink r:id="rId170" w:history="1">
        <w:r w:rsidRPr="009B7F64">
          <w:rPr>
            <w:rStyle w:val="Hyperlink"/>
            <w:rFonts w:asciiTheme="majorBidi" w:hAnsiTheme="majorBidi" w:cs="David"/>
            <w:rtl/>
          </w:rPr>
          <w:t>סוגיות בתחום המניעה והטיפול במסגרת המאבק בנגע הסמים</w:t>
        </w:r>
      </w:hyperlink>
      <w:r w:rsidRPr="009B7F64">
        <w:rPr>
          <w:rFonts w:asciiTheme="majorBidi" w:hAnsiTheme="majorBidi" w:cs="David"/>
          <w:rtl/>
        </w:rPr>
        <w:t xml:space="preserve">, </w:t>
      </w:r>
      <w:r w:rsidRPr="009B7F64">
        <w:rPr>
          <w:rFonts w:asciiTheme="majorBidi" w:hAnsiTheme="majorBidi" w:cs="David" w:hint="cs"/>
          <w:rtl/>
        </w:rPr>
        <w:t>מרכז המחקר והמידע של הכנסת</w:t>
      </w:r>
      <w:r w:rsidRPr="009B7F64">
        <w:rPr>
          <w:rFonts w:asciiTheme="majorBidi" w:hAnsiTheme="majorBidi" w:cs="David"/>
          <w:rtl/>
        </w:rPr>
        <w:t>, 28 ביוני 2011.</w:t>
      </w:r>
    </w:p>
  </w:footnote>
  <w:footnote w:id="315">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נועם גלעדי, אגף החשב הכללי במשרד האוצר, </w:t>
      </w:r>
      <w:r w:rsidRPr="009B7F64">
        <w:rPr>
          <w:rFonts w:asciiTheme="majorBidi" w:hAnsiTheme="majorBidi" w:cs="David" w:hint="cs"/>
          <w:rtl/>
        </w:rPr>
        <w:t>מכתב</w:t>
      </w:r>
      <w:r w:rsidRPr="009B7F64">
        <w:rPr>
          <w:rFonts w:asciiTheme="majorBidi" w:hAnsiTheme="majorBidi" w:cs="David"/>
          <w:rtl/>
        </w:rPr>
        <w:t>, 9 מרץ 2015.</w:t>
      </w:r>
    </w:p>
  </w:footnote>
  <w:footnote w:id="316">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מירי כהן, מנהלת תחום בכיר שירותי הצלה וע"ר, </w:t>
      </w:r>
      <w:r w:rsidRPr="009B7F64">
        <w:rPr>
          <w:rFonts w:asciiTheme="majorBidi" w:hAnsiTheme="majorBidi" w:cs="David" w:hint="cs"/>
          <w:rtl/>
        </w:rPr>
        <w:t>משרד הבריאות, מכתב</w:t>
      </w:r>
      <w:r w:rsidRPr="009B7F64">
        <w:rPr>
          <w:rFonts w:asciiTheme="majorBidi" w:hAnsiTheme="majorBidi" w:cs="David"/>
          <w:rtl/>
        </w:rPr>
        <w:t>, 19 מרץ 2015.</w:t>
      </w:r>
    </w:p>
  </w:footnote>
  <w:footnote w:id="317">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משרד האוצר – החשב הכללי, </w:t>
      </w:r>
      <w:r w:rsidRPr="009B7F64">
        <w:rPr>
          <w:rFonts w:asciiTheme="majorBidi" w:hAnsiTheme="majorBidi" w:cs="David"/>
          <w:u w:val="single"/>
          <w:rtl/>
        </w:rPr>
        <w:t>ספר התקציב</w:t>
      </w:r>
      <w:r w:rsidRPr="009B7F64">
        <w:rPr>
          <w:rFonts w:asciiTheme="majorBidi" w:hAnsiTheme="majorBidi" w:cs="David"/>
          <w:rtl/>
        </w:rPr>
        <w:t xml:space="preserve">, </w:t>
      </w:r>
      <w:hyperlink r:id="rId171" w:history="1">
        <w:r w:rsidRPr="009B7F64">
          <w:rPr>
            <w:rStyle w:val="Hyperlink"/>
            <w:rFonts w:asciiTheme="majorBidi" w:hAnsiTheme="majorBidi" w:cs="David"/>
            <w:rtl/>
          </w:rPr>
          <w:t>ביצוע תקציב מפורט לפי תקנות לשנים 2013-2006</w:t>
        </w:r>
      </w:hyperlink>
      <w:r w:rsidRPr="009B7F64">
        <w:rPr>
          <w:rFonts w:asciiTheme="majorBidi" w:hAnsiTheme="majorBidi" w:cs="David"/>
          <w:rtl/>
        </w:rPr>
        <w:t>, סעיפים 0024130365 ו – 0024130366 לשנים 2008-2010, וסעיפים 0024071365 (קניית שירותי גמילה – תחליפי סם) ו-0024071366 (קניית שירותי גמילה מאלכוהוליזם וסמים) לשנת 2011-2013</w:t>
      </w:r>
      <w:r w:rsidRPr="009B7F64">
        <w:rPr>
          <w:rFonts w:asciiTheme="majorBidi" w:hAnsiTheme="majorBidi" w:cs="David" w:hint="cs"/>
          <w:rtl/>
        </w:rPr>
        <w:t xml:space="preserve">. </w:t>
      </w:r>
      <w:r w:rsidRPr="009B7F64">
        <w:rPr>
          <w:rFonts w:asciiTheme="majorBidi" w:hAnsiTheme="majorBidi" w:cs="David"/>
          <w:rtl/>
        </w:rPr>
        <w:t xml:space="preserve">תאריך כניסה:18 פברואר 2015. נתוני 2014 התקבלו מנועם גלעדי, אגף החשב הכללי במשרד האוצר, </w:t>
      </w:r>
      <w:r w:rsidRPr="009B7F64">
        <w:rPr>
          <w:rFonts w:asciiTheme="majorBidi" w:hAnsiTheme="majorBidi" w:cs="David" w:hint="cs"/>
          <w:rtl/>
        </w:rPr>
        <w:t>מכתב</w:t>
      </w:r>
      <w:r w:rsidRPr="009B7F64">
        <w:rPr>
          <w:rFonts w:asciiTheme="majorBidi" w:hAnsiTheme="majorBidi" w:cs="David"/>
          <w:rtl/>
        </w:rPr>
        <w:t>, 9 מרץ 2015.</w:t>
      </w:r>
    </w:p>
  </w:footnote>
  <w:footnote w:id="318">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172" w:history="1">
        <w:r w:rsidRPr="009B7F64">
          <w:rPr>
            <w:rStyle w:val="Hyperlink"/>
            <w:rFonts w:asciiTheme="majorBidi" w:hAnsiTheme="majorBidi" w:cs="David"/>
            <w:rtl/>
          </w:rPr>
          <w:t>פקודת הסמים המסוכנים [נוסח חדש], התשל"ג-1973</w:t>
        </w:r>
      </w:hyperlink>
      <w:r w:rsidRPr="009B7F64">
        <w:rPr>
          <w:rStyle w:val="Hyperlink"/>
          <w:rFonts w:asciiTheme="majorBidi" w:hAnsiTheme="majorBidi" w:cs="David" w:hint="cs"/>
          <w:u w:val="none"/>
          <w:rtl/>
        </w:rPr>
        <w:t xml:space="preserve">. </w:t>
      </w:r>
      <w:r w:rsidRPr="009B7F64">
        <w:rPr>
          <w:rStyle w:val="Hyperlink"/>
          <w:rFonts w:asciiTheme="majorBidi" w:hAnsiTheme="majorBidi" w:cs="David" w:hint="cs"/>
          <w:color w:val="auto"/>
          <w:u w:val="none"/>
          <w:rtl/>
        </w:rPr>
        <w:t>ראו גם פרק 2.2.1 במסמך זה.</w:t>
      </w:r>
    </w:p>
  </w:footnote>
  <w:footnote w:id="319">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173" w:history="1">
        <w:r w:rsidRPr="009B7F64">
          <w:rPr>
            <w:rStyle w:val="Hyperlink"/>
            <w:rFonts w:cs="David" w:hint="cs"/>
            <w:rtl/>
          </w:rPr>
          <w:t>חוק המאבק בתופעת השימוש בחומרים מסכנים, התשע"ג-2013</w:t>
        </w:r>
      </w:hyperlink>
      <w:r w:rsidRPr="009B7F64">
        <w:rPr>
          <w:rFonts w:cs="David" w:hint="cs"/>
          <w:rtl/>
        </w:rPr>
        <w:t>. ראו גם פרק 2.2.2 במסמך זה.</w:t>
      </w:r>
    </w:p>
  </w:footnote>
  <w:footnote w:id="320">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174" w:history="1">
        <w:r w:rsidRPr="009B7F64">
          <w:rPr>
            <w:rStyle w:val="Hyperlink"/>
            <w:rFonts w:asciiTheme="majorBidi" w:hAnsiTheme="majorBidi" w:cs="David"/>
            <w:rtl/>
          </w:rPr>
          <w:t>פקודת הסמים המסוכנים [נוסח חדש], התשל"ג-1973</w:t>
        </w:r>
      </w:hyperlink>
      <w:r w:rsidRPr="009B7F64">
        <w:rPr>
          <w:rStyle w:val="Hyperlink"/>
          <w:rFonts w:asciiTheme="majorBidi" w:hAnsiTheme="majorBidi" w:cs="David" w:hint="cs"/>
          <w:u w:val="none"/>
          <w:rtl/>
        </w:rPr>
        <w:t>.</w:t>
      </w:r>
    </w:p>
  </w:footnote>
  <w:footnote w:id="321">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175" w:history="1">
        <w:r w:rsidRPr="009B7F64">
          <w:rPr>
            <w:rStyle w:val="Hyperlink"/>
            <w:rFonts w:cs="David"/>
            <w:rtl/>
          </w:rPr>
          <w:t>חוק הגבלת הפרסומת והשיווק של משקאות אלכוהוליים, התשע"ב</w:t>
        </w:r>
        <w:r w:rsidRPr="009B7F64">
          <w:rPr>
            <w:rStyle w:val="Hyperlink"/>
            <w:rFonts w:cs="David" w:hint="cs"/>
            <w:rtl/>
          </w:rPr>
          <w:t>-</w:t>
        </w:r>
        <w:r w:rsidRPr="009B7F64">
          <w:rPr>
            <w:rStyle w:val="Hyperlink"/>
            <w:rFonts w:cs="David"/>
            <w:rtl/>
          </w:rPr>
          <w:t>2012</w:t>
        </w:r>
      </w:hyperlink>
      <w:r w:rsidRPr="009B7F64">
        <w:rPr>
          <w:rFonts w:cs="David" w:hint="cs"/>
          <w:rtl/>
        </w:rPr>
        <w:t>.</w:t>
      </w:r>
    </w:p>
  </w:footnote>
  <w:footnote w:id="322">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מיקי אריאלי, ראש האגף לפיקוח ואכיפה, </w:t>
      </w:r>
      <w:r w:rsidRPr="009B7F64">
        <w:rPr>
          <w:rFonts w:asciiTheme="majorBidi" w:hAnsiTheme="majorBidi" w:cs="David" w:hint="cs"/>
          <w:rtl/>
        </w:rPr>
        <w:t xml:space="preserve">משרד הבריאות, </w:t>
      </w:r>
      <w:r w:rsidRPr="009B7F64">
        <w:rPr>
          <w:rFonts w:asciiTheme="majorBidi" w:hAnsiTheme="majorBidi" w:cs="David"/>
          <w:rtl/>
        </w:rPr>
        <w:t>שיחת טלפון, 27 אפריל 2015.</w:t>
      </w:r>
    </w:p>
  </w:footnote>
  <w:footnote w:id="323">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asciiTheme="majorBidi" w:hAnsiTheme="majorBidi" w:cs="David"/>
          <w:rtl/>
        </w:rPr>
        <w:t xml:space="preserve">מירי כהן, מנהלת תחום בכיר שירותי הצלה וע"ר, משרד הבריאות, </w:t>
      </w:r>
      <w:r w:rsidRPr="009B7F64">
        <w:rPr>
          <w:rFonts w:asciiTheme="majorBidi" w:hAnsiTheme="majorBidi" w:cs="David" w:hint="cs"/>
          <w:rtl/>
        </w:rPr>
        <w:t>מכתב</w:t>
      </w:r>
      <w:r w:rsidRPr="009B7F64">
        <w:rPr>
          <w:rFonts w:asciiTheme="majorBidi" w:hAnsiTheme="majorBidi" w:cs="David"/>
          <w:rtl/>
        </w:rPr>
        <w:t>, 19 מרץ 2015.</w:t>
      </w:r>
    </w:p>
  </w:footnote>
  <w:footnote w:id="324">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p>
  </w:footnote>
  <w:footnote w:id="325">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p>
  </w:footnote>
  <w:footnote w:id="326">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p>
  </w:footnote>
  <w:footnote w:id="327">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אורלי ביטרמן, סגנית מנהלת תחום תקצוב באגף תקציבים שבמשרד הבריאות, שיחת טלפון, 27 אפריל 2015.</w:t>
      </w:r>
    </w:p>
  </w:footnote>
  <w:footnote w:id="328">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משרד האוצר – החשב הכללי, </w:t>
      </w:r>
      <w:r w:rsidRPr="009B7F64">
        <w:rPr>
          <w:rFonts w:asciiTheme="majorBidi" w:hAnsiTheme="majorBidi" w:cs="David"/>
          <w:u w:val="single"/>
          <w:rtl/>
        </w:rPr>
        <w:t>ספר התקציב</w:t>
      </w:r>
      <w:r w:rsidRPr="009B7F64">
        <w:rPr>
          <w:rFonts w:asciiTheme="majorBidi" w:hAnsiTheme="majorBidi" w:cs="David"/>
          <w:rtl/>
        </w:rPr>
        <w:t xml:space="preserve">, </w:t>
      </w:r>
      <w:hyperlink r:id="rId176" w:history="1">
        <w:r w:rsidRPr="009B7F64">
          <w:rPr>
            <w:rStyle w:val="Hyperlink"/>
            <w:rFonts w:asciiTheme="majorBidi" w:hAnsiTheme="majorBidi" w:cs="David"/>
            <w:rtl/>
          </w:rPr>
          <w:t>ביצוע תקציב מפורט לפי תקנות לשנים 2013-2006</w:t>
        </w:r>
      </w:hyperlink>
      <w:r w:rsidRPr="009B7F64">
        <w:rPr>
          <w:rFonts w:asciiTheme="majorBidi" w:hAnsiTheme="majorBidi" w:cs="David"/>
          <w:rtl/>
        </w:rPr>
        <w:t xml:space="preserve">, סעיף 0024020118 (יחידה ללוחמה בפשע) לשנים 2012-2011 וסעיף 0024012250 לשנים 2010-2008, תאריך כניסה: 18 פברואר 2015. נתוני 2014 התקבלו מנועם גלעדי, אגף החשב הכללי במשרד האוצר, </w:t>
      </w:r>
      <w:r w:rsidRPr="009B7F64">
        <w:rPr>
          <w:rFonts w:asciiTheme="majorBidi" w:hAnsiTheme="majorBidi" w:cs="David" w:hint="cs"/>
          <w:rtl/>
        </w:rPr>
        <w:t>מכתב</w:t>
      </w:r>
      <w:r w:rsidRPr="009B7F64">
        <w:rPr>
          <w:rFonts w:asciiTheme="majorBidi" w:hAnsiTheme="majorBidi" w:cs="David"/>
          <w:rtl/>
        </w:rPr>
        <w:t>, 9 מרץ 2015</w:t>
      </w:r>
      <w:r w:rsidRPr="009B7F64">
        <w:rPr>
          <w:rFonts w:asciiTheme="majorBidi" w:hAnsiTheme="majorBidi" w:cs="David" w:hint="cs"/>
          <w:rtl/>
        </w:rPr>
        <w:t>.</w:t>
      </w:r>
    </w:p>
  </w:footnote>
  <w:footnote w:id="329">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משרד הבריאות, </w:t>
      </w:r>
      <w:hyperlink r:id="rId177" w:history="1">
        <w:r w:rsidRPr="009B7F64">
          <w:rPr>
            <w:rStyle w:val="Hyperlink"/>
            <w:rFonts w:asciiTheme="majorBidi" w:hAnsiTheme="majorBidi" w:cs="David"/>
            <w:rtl/>
          </w:rPr>
          <w:t>אגף הרוקחות</w:t>
        </w:r>
      </w:hyperlink>
      <w:r w:rsidRPr="009B7F64">
        <w:rPr>
          <w:rFonts w:asciiTheme="majorBidi" w:hAnsiTheme="majorBidi" w:cs="David" w:hint="cs"/>
          <w:rtl/>
        </w:rPr>
        <w:t>.</w:t>
      </w:r>
      <w:r w:rsidRPr="009B7F64">
        <w:rPr>
          <w:rFonts w:asciiTheme="majorBidi" w:hAnsiTheme="majorBidi" w:cs="David"/>
          <w:rtl/>
        </w:rPr>
        <w:t xml:space="preserve"> תאריך כניסה</w:t>
      </w:r>
      <w:r w:rsidRPr="009B7F64">
        <w:rPr>
          <w:rFonts w:asciiTheme="majorBidi" w:hAnsiTheme="majorBidi" w:cs="David" w:hint="cs"/>
          <w:rtl/>
        </w:rPr>
        <w:t>:</w:t>
      </w:r>
      <w:r w:rsidRPr="009B7F64">
        <w:rPr>
          <w:rFonts w:asciiTheme="majorBidi" w:hAnsiTheme="majorBidi" w:cs="David"/>
          <w:rtl/>
        </w:rPr>
        <w:t xml:space="preserve"> 26 מרץ 2015.</w:t>
      </w:r>
    </w:p>
  </w:footnote>
  <w:footnote w:id="330">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ד"ר טל לביא, הרשות המוסמכת לסמים באגף הרוקחות, שיחת טלפון, 26 מרץ 2015.</w:t>
      </w:r>
    </w:p>
  </w:footnote>
  <w:footnote w:id="331">
    <w:p w:rsidR="00FE2909" w:rsidRPr="009B7F64" w:rsidRDefault="00FE2909" w:rsidP="00CD1DB5">
      <w:pPr>
        <w:pStyle w:val="a9"/>
        <w:spacing w:after="0"/>
        <w:rPr>
          <w:rFonts w:cs="David"/>
        </w:rPr>
      </w:pPr>
      <w:r w:rsidRPr="009B7F64">
        <w:rPr>
          <w:rStyle w:val="ab"/>
          <w:rFonts w:cs="David"/>
        </w:rPr>
        <w:footnoteRef/>
      </w:r>
      <w:r w:rsidRPr="009B7F64">
        <w:rPr>
          <w:rFonts w:cs="David"/>
          <w:rtl/>
        </w:rPr>
        <w:t xml:space="preserve"> </w:t>
      </w:r>
      <w:hyperlink r:id="rId178" w:history="1">
        <w:r w:rsidRPr="009B7F64">
          <w:rPr>
            <w:rStyle w:val="Hyperlink"/>
            <w:rFonts w:asciiTheme="majorBidi" w:hAnsiTheme="majorBidi" w:cs="David"/>
            <w:rtl/>
          </w:rPr>
          <w:t>פקודת הסמים המסוכנים [נוסח חדש], התשל"ג-1973</w:t>
        </w:r>
      </w:hyperlink>
      <w:r w:rsidRPr="009B7F64">
        <w:rPr>
          <w:rStyle w:val="Hyperlink"/>
          <w:rFonts w:asciiTheme="majorBidi" w:hAnsiTheme="majorBidi" w:cs="David" w:hint="cs"/>
          <w:u w:val="none"/>
          <w:rtl/>
        </w:rPr>
        <w:t>.</w:t>
      </w:r>
    </w:p>
  </w:footnote>
  <w:footnote w:id="332">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משרד הבריאות, </w:t>
      </w:r>
      <w:hyperlink r:id="rId179" w:history="1">
        <w:r w:rsidRPr="009B7F64">
          <w:rPr>
            <w:rStyle w:val="Hyperlink"/>
            <w:rFonts w:asciiTheme="majorBidi" w:hAnsiTheme="majorBidi" w:cs="David"/>
            <w:rtl/>
          </w:rPr>
          <w:t>נוהל הכנסת חומרים חדשים לפקודת הסמים המסוכנים (81)</w:t>
        </w:r>
      </w:hyperlink>
      <w:r w:rsidRPr="009B7F64">
        <w:rPr>
          <w:rFonts w:asciiTheme="majorBidi" w:hAnsiTheme="majorBidi" w:cs="David"/>
          <w:rtl/>
        </w:rPr>
        <w:t>, מאי 2010.</w:t>
      </w:r>
    </w:p>
  </w:footnote>
  <w:footnote w:id="333">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סעיף 41 </w:t>
      </w:r>
      <w:hyperlink r:id="rId180" w:history="1">
        <w:r w:rsidRPr="009B7F64">
          <w:rPr>
            <w:rStyle w:val="Hyperlink"/>
            <w:rFonts w:asciiTheme="majorBidi" w:hAnsiTheme="majorBidi" w:cs="David"/>
            <w:rtl/>
          </w:rPr>
          <w:t>בפקודת הסמים המסוכנים [נוסח חדש], התשל"ג-1973</w:t>
        </w:r>
      </w:hyperlink>
      <w:r w:rsidRPr="009B7F64">
        <w:rPr>
          <w:rFonts w:asciiTheme="majorBidi" w:hAnsiTheme="majorBidi" w:cs="David"/>
          <w:rtl/>
        </w:rPr>
        <w:t xml:space="preserve"> קובע כי "שר הבריאות רשאי, באישור ועדת השירותים הציבוריים של הכנסת ובהודעה ברשומות, לשנות את התוספות, להוסיף עליהן או לגרוע מהן, ולהתנות בהן תנאים". ועדת השירותים הציבוריים של הכנסת התקיימה בין השנים 1977-1949 והייתה אחת מוועדות הכנסת הקבועות. לאחר פירוק משרד הסעד והעברת סמכויותיו למשרד העבודה פורקה הוועדה וסמכויותיה הועברו לוועדת העבודה, ששינתה את שמה לוועדת העבודה והרווחה ובמהלך הכנסת החמש-עשרה לוועדת העבודה, הרווחה והבריאות.</w:t>
      </w:r>
    </w:p>
  </w:footnote>
  <w:footnote w:id="334">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משרד הבריאות, </w:t>
      </w:r>
      <w:hyperlink r:id="rId181" w:history="1">
        <w:r w:rsidRPr="009B7F64">
          <w:rPr>
            <w:rStyle w:val="Hyperlink"/>
            <w:rFonts w:asciiTheme="majorBidi" w:hAnsiTheme="majorBidi" w:cs="David"/>
            <w:rtl/>
          </w:rPr>
          <w:t>נוהל הכנסת חומרים חדשים לפקודת הסמים המסוכנים (81)</w:t>
        </w:r>
      </w:hyperlink>
      <w:r w:rsidRPr="009B7F64">
        <w:rPr>
          <w:rFonts w:asciiTheme="majorBidi" w:hAnsiTheme="majorBidi" w:cs="David"/>
          <w:rtl/>
        </w:rPr>
        <w:t>, מאי 2010.</w:t>
      </w:r>
    </w:p>
  </w:footnote>
  <w:footnote w:id="335">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הרשות הלאומית למלחמה בסמים ובאלכוהול, סיכום שנת העבודה 2013 (דו"ח מס' 25), אפריל 2014, עמ' 17</w:t>
      </w:r>
      <w:r w:rsidRPr="009B7F64">
        <w:rPr>
          <w:rFonts w:asciiTheme="majorBidi" w:hAnsiTheme="majorBidi" w:cs="David" w:hint="cs"/>
          <w:rtl/>
        </w:rPr>
        <w:t>.</w:t>
      </w:r>
    </w:p>
  </w:footnote>
  <w:footnote w:id="336">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סעיף 41</w:t>
      </w:r>
      <w:r w:rsidRPr="009B7F64">
        <w:rPr>
          <w:rFonts w:asciiTheme="majorBidi" w:hAnsiTheme="majorBidi" w:cs="David" w:hint="cs"/>
          <w:rtl/>
        </w:rPr>
        <w:t xml:space="preserve">, </w:t>
      </w:r>
      <w:r w:rsidRPr="009B7F64">
        <w:rPr>
          <w:rFonts w:asciiTheme="majorBidi" w:hAnsiTheme="majorBidi" w:cs="David"/>
          <w:rtl/>
        </w:rPr>
        <w:t xml:space="preserve"> </w:t>
      </w:r>
      <w:hyperlink r:id="rId182" w:history="1">
        <w:r w:rsidRPr="009B7F64">
          <w:rPr>
            <w:rStyle w:val="Hyperlink"/>
            <w:rFonts w:asciiTheme="majorBidi" w:hAnsiTheme="majorBidi" w:cs="David"/>
            <w:rtl/>
          </w:rPr>
          <w:t>פקודת הסמים המסוכנים [נוסח חדש], התשל"ג-1973</w:t>
        </w:r>
      </w:hyperlink>
      <w:r w:rsidRPr="009B7F64">
        <w:rPr>
          <w:rStyle w:val="Hyperlink"/>
          <w:rFonts w:asciiTheme="majorBidi" w:hAnsiTheme="majorBidi" w:cs="David" w:hint="cs"/>
          <w:u w:val="none"/>
          <w:rtl/>
        </w:rPr>
        <w:t>.</w:t>
      </w:r>
    </w:p>
  </w:footnote>
  <w:footnote w:id="337">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hyperlink r:id="rId183" w:history="1">
        <w:r w:rsidRPr="009B7F64">
          <w:rPr>
            <w:rStyle w:val="Hyperlink"/>
            <w:rFonts w:cs="David" w:hint="cs"/>
            <w:rtl/>
          </w:rPr>
          <w:t>חוק המאבק בתופעת השימוש בחומרים מסכנים, התשע"ג-2013</w:t>
        </w:r>
      </w:hyperlink>
      <w:r w:rsidRPr="009B7F64">
        <w:rPr>
          <w:rFonts w:cs="David" w:hint="cs"/>
          <w:rtl/>
        </w:rPr>
        <w:t>. ראו גם פרק 2.2.2 במסמך זה.</w:t>
      </w:r>
    </w:p>
  </w:footnote>
  <w:footnote w:id="338">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asciiTheme="majorBidi" w:hAnsiTheme="majorBidi" w:cs="David"/>
          <w:rtl/>
        </w:rPr>
        <w:t xml:space="preserve">משרד הבריאות, </w:t>
      </w:r>
      <w:hyperlink r:id="rId184" w:history="1">
        <w:r w:rsidRPr="009B7F64">
          <w:rPr>
            <w:rStyle w:val="Hyperlink"/>
            <w:rFonts w:asciiTheme="majorBidi" w:hAnsiTheme="majorBidi" w:cs="David"/>
            <w:rtl/>
          </w:rPr>
          <w:t>נוהל הכרזה דחופה על חומרים אסורים בהפצה (114)</w:t>
        </w:r>
      </w:hyperlink>
      <w:r w:rsidRPr="009B7F64">
        <w:rPr>
          <w:rFonts w:asciiTheme="majorBidi" w:hAnsiTheme="majorBidi" w:cs="David"/>
          <w:rtl/>
        </w:rPr>
        <w:t>, אוגוסט 2013.</w:t>
      </w:r>
    </w:p>
  </w:footnote>
  <w:footnote w:id="339">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asciiTheme="majorBidi" w:hAnsiTheme="majorBidi" w:cs="David" w:hint="cs"/>
          <w:rtl/>
        </w:rPr>
        <w:t>שם.</w:t>
      </w:r>
    </w:p>
  </w:footnote>
  <w:footnote w:id="340">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מיקי אריאלי, </w:t>
      </w:r>
      <w:r w:rsidRPr="009B7F64">
        <w:rPr>
          <w:rFonts w:asciiTheme="majorBidi" w:hAnsiTheme="majorBidi" w:cs="David"/>
          <w:rtl/>
        </w:rPr>
        <w:t>ראש האגף לפיקוח ואכיפה,</w:t>
      </w:r>
      <w:r w:rsidRPr="009B7F64">
        <w:rPr>
          <w:rFonts w:asciiTheme="majorBidi" w:hAnsiTheme="majorBidi" w:cs="David" w:hint="cs"/>
          <w:rtl/>
        </w:rPr>
        <w:t xml:space="preserve"> משרד הבריאות,</w:t>
      </w:r>
      <w:r w:rsidRPr="009B7F64">
        <w:rPr>
          <w:rFonts w:asciiTheme="majorBidi" w:hAnsiTheme="majorBidi" w:cs="David"/>
          <w:rtl/>
        </w:rPr>
        <w:t xml:space="preserve"> שיחת טלפון, 27 </w:t>
      </w:r>
      <w:r w:rsidRPr="009B7F64">
        <w:rPr>
          <w:rFonts w:asciiTheme="majorBidi" w:hAnsiTheme="majorBidi" w:cs="David" w:hint="cs"/>
          <w:rtl/>
        </w:rPr>
        <w:t>מאי</w:t>
      </w:r>
      <w:r w:rsidRPr="009B7F64">
        <w:rPr>
          <w:rFonts w:asciiTheme="majorBidi" w:hAnsiTheme="majorBidi" w:cs="David"/>
          <w:rtl/>
        </w:rPr>
        <w:t xml:space="preserve"> 2015.</w:t>
      </w:r>
    </w:p>
  </w:footnote>
  <w:footnote w:id="341">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asciiTheme="majorBidi" w:hAnsiTheme="majorBidi" w:cs="David"/>
          <w:rtl/>
        </w:rPr>
        <w:t xml:space="preserve">משרד הבריאות, </w:t>
      </w:r>
      <w:hyperlink r:id="rId185" w:history="1">
        <w:r w:rsidRPr="009B7F64">
          <w:rPr>
            <w:rStyle w:val="Hyperlink"/>
            <w:rFonts w:asciiTheme="majorBidi" w:hAnsiTheme="majorBidi" w:cs="David"/>
            <w:rtl/>
          </w:rPr>
          <w:t>נוהל הכנסת חומרים חדשים לפקודת הסמים המסוכנים (81)</w:t>
        </w:r>
      </w:hyperlink>
      <w:r w:rsidRPr="009B7F64">
        <w:rPr>
          <w:rFonts w:asciiTheme="majorBidi" w:hAnsiTheme="majorBidi" w:cs="David"/>
          <w:rtl/>
        </w:rPr>
        <w:t>, מאי 2010.</w:t>
      </w:r>
    </w:p>
  </w:footnote>
  <w:footnote w:id="342">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מירי כהן, מנהלת תחום בכיר שירותי הצלה וע"ר, משרד הבריאות, </w:t>
      </w:r>
      <w:r w:rsidRPr="009B7F64">
        <w:rPr>
          <w:rFonts w:asciiTheme="majorBidi" w:hAnsiTheme="majorBidi" w:cs="David" w:hint="cs"/>
          <w:rtl/>
        </w:rPr>
        <w:t>מכתב</w:t>
      </w:r>
      <w:r w:rsidRPr="009B7F64">
        <w:rPr>
          <w:rFonts w:asciiTheme="majorBidi" w:hAnsiTheme="majorBidi" w:cs="David"/>
          <w:rtl/>
        </w:rPr>
        <w:t>, 19 מרץ 2015.</w:t>
      </w:r>
    </w:p>
  </w:footnote>
  <w:footnote w:id="343">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חלק מההכרזות הן הכללות גנריות</w:t>
      </w:r>
      <w:r w:rsidRPr="009B7F64">
        <w:rPr>
          <w:rFonts w:asciiTheme="majorBidi" w:hAnsiTheme="majorBidi" w:cs="David" w:hint="cs"/>
          <w:rtl/>
        </w:rPr>
        <w:t>,</w:t>
      </w:r>
      <w:r w:rsidRPr="009B7F64">
        <w:rPr>
          <w:rFonts w:asciiTheme="majorBidi" w:hAnsiTheme="majorBidi" w:cs="David"/>
          <w:rtl/>
        </w:rPr>
        <w:t xml:space="preserve"> כלומר של מקבץ </w:t>
      </w:r>
      <w:r w:rsidRPr="009B7F64">
        <w:rPr>
          <w:rFonts w:asciiTheme="majorBidi" w:hAnsiTheme="majorBidi" w:cs="David" w:hint="cs"/>
          <w:rtl/>
        </w:rPr>
        <w:t xml:space="preserve">של </w:t>
      </w:r>
      <w:r w:rsidRPr="009B7F64">
        <w:rPr>
          <w:rFonts w:asciiTheme="majorBidi" w:hAnsiTheme="majorBidi" w:cs="David"/>
          <w:rtl/>
        </w:rPr>
        <w:t xml:space="preserve">חומרים מסכנים, וזאת על-בסיס מבנה כימי בסיסי המאחד ביניהם. משמעותה של הכללה גנרית היא שחומרים פסיכואקטיביים חדשים, בעלי אותו מבנה כימי בסיסי, המופיעים </w:t>
      </w:r>
      <w:r w:rsidRPr="009B7F64">
        <w:rPr>
          <w:rFonts w:asciiTheme="majorBidi" w:hAnsiTheme="majorBidi" w:cs="David"/>
          <w:u w:val="single"/>
          <w:rtl/>
        </w:rPr>
        <w:t>לאחר</w:t>
      </w:r>
      <w:r w:rsidRPr="009B7F64">
        <w:rPr>
          <w:rFonts w:asciiTheme="majorBidi" w:hAnsiTheme="majorBidi" w:cs="David"/>
          <w:rtl/>
        </w:rPr>
        <w:t xml:space="preserve"> הכרזת המבנה הגנרי, נאסרים להפצה גם אם שמם המפורש לא הוכרז. מקור: מירי כהן, מנהלת תחום בכיר שירותי הצלה וע"ר, משרד הבריאות, </w:t>
      </w:r>
      <w:r w:rsidRPr="009B7F64">
        <w:rPr>
          <w:rFonts w:asciiTheme="majorBidi" w:hAnsiTheme="majorBidi" w:cs="David" w:hint="cs"/>
          <w:rtl/>
        </w:rPr>
        <w:t>מכתב</w:t>
      </w:r>
      <w:r w:rsidRPr="009B7F64">
        <w:rPr>
          <w:rFonts w:asciiTheme="majorBidi" w:hAnsiTheme="majorBidi" w:cs="David"/>
          <w:rtl/>
        </w:rPr>
        <w:t>, 19 מרץ 2015.</w:t>
      </w:r>
    </w:p>
  </w:footnote>
  <w:footnote w:id="344">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מיקי אריאלי, </w:t>
      </w:r>
      <w:r w:rsidRPr="009B7F64">
        <w:rPr>
          <w:rFonts w:asciiTheme="majorBidi" w:hAnsiTheme="majorBidi" w:cs="David"/>
          <w:rtl/>
        </w:rPr>
        <w:t>ראש האגף לפיקוח ואכיפה,</w:t>
      </w:r>
      <w:r w:rsidRPr="009B7F64">
        <w:rPr>
          <w:rFonts w:asciiTheme="majorBidi" w:hAnsiTheme="majorBidi" w:cs="David" w:hint="cs"/>
          <w:rtl/>
        </w:rPr>
        <w:t xml:space="preserve"> משרד הבריאות,</w:t>
      </w:r>
      <w:r w:rsidRPr="009B7F64">
        <w:rPr>
          <w:rFonts w:asciiTheme="majorBidi" w:hAnsiTheme="majorBidi" w:cs="David"/>
          <w:rtl/>
        </w:rPr>
        <w:t xml:space="preserve"> שיחת טלפון, 27 </w:t>
      </w:r>
      <w:r w:rsidRPr="009B7F64">
        <w:rPr>
          <w:rFonts w:asciiTheme="majorBidi" w:hAnsiTheme="majorBidi" w:cs="David" w:hint="cs"/>
          <w:rtl/>
        </w:rPr>
        <w:t>מאי</w:t>
      </w:r>
      <w:r w:rsidRPr="009B7F64">
        <w:rPr>
          <w:rFonts w:asciiTheme="majorBidi" w:hAnsiTheme="majorBidi" w:cs="David"/>
          <w:rtl/>
        </w:rPr>
        <w:t xml:space="preserve"> 2015.</w:t>
      </w:r>
    </w:p>
  </w:footnote>
  <w:footnote w:id="345">
    <w:p w:rsidR="00FE2909" w:rsidRPr="009B7F64" w:rsidRDefault="00FE2909" w:rsidP="00CD1DB5">
      <w:pPr>
        <w:pStyle w:val="a9"/>
        <w:spacing w:after="0"/>
        <w:rPr>
          <w:rFonts w:asciiTheme="majorBidi" w:hAnsiTheme="majorBidi" w:cs="David"/>
        </w:rPr>
      </w:pPr>
      <w:r w:rsidRPr="009B7F64">
        <w:rPr>
          <w:rStyle w:val="ab"/>
          <w:rFonts w:cs="David"/>
        </w:rPr>
        <w:footnoteRef/>
      </w:r>
      <w:r w:rsidRPr="009B7F64">
        <w:rPr>
          <w:rFonts w:cs="David"/>
          <w:rtl/>
        </w:rPr>
        <w:t xml:space="preserve"> </w:t>
      </w:r>
      <w:r w:rsidRPr="009B7F64">
        <w:rPr>
          <w:rFonts w:asciiTheme="majorBidi" w:hAnsiTheme="majorBidi" w:cs="David" w:hint="cs"/>
          <w:rtl/>
        </w:rPr>
        <w:t>אתי כהנא, ראש אגף אכיפה וחקיקה, הרשות הלאומית למלחמה בסמים ובאלכוהול, שיחת טלפון, 15 ביוני 2015.</w:t>
      </w:r>
    </w:p>
  </w:footnote>
  <w:footnote w:id="346">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ראו גם</w:t>
      </w:r>
      <w:r w:rsidRPr="009B7F64">
        <w:rPr>
          <w:rFonts w:asciiTheme="majorBidi" w:hAnsiTheme="majorBidi" w:cs="David" w:hint="cs"/>
          <w:rtl/>
        </w:rPr>
        <w:t xml:space="preserve"> בנושא זה:</w:t>
      </w:r>
      <w:r w:rsidRPr="009B7F64">
        <w:rPr>
          <w:rFonts w:asciiTheme="majorBidi" w:hAnsiTheme="majorBidi" w:cs="David"/>
          <w:rtl/>
        </w:rPr>
        <w:t xml:space="preserve"> גלעד נתן, </w:t>
      </w:r>
      <w:hyperlink r:id="rId186" w:history="1">
        <w:r w:rsidRPr="009B7F64">
          <w:rPr>
            <w:rStyle w:val="Hyperlink"/>
            <w:rFonts w:asciiTheme="majorBidi" w:hAnsiTheme="majorBidi" w:cs="David"/>
            <w:rtl/>
          </w:rPr>
          <w:t>הסדרת השימוש בקנביס רפואי</w:t>
        </w:r>
      </w:hyperlink>
      <w:r w:rsidRPr="009B7F64">
        <w:rPr>
          <w:rFonts w:asciiTheme="majorBidi" w:hAnsiTheme="majorBidi" w:cs="David"/>
          <w:rtl/>
        </w:rPr>
        <w:t xml:space="preserve">, מרכז המחקר והמידע של הכנסת, 5 במרס 2012; </w:t>
      </w:r>
      <w:r w:rsidRPr="009B7F64">
        <w:rPr>
          <w:rFonts w:cs="David" w:hint="cs"/>
          <w:rtl/>
        </w:rPr>
        <w:t xml:space="preserve">יובל בוגייסקי, </w:t>
      </w:r>
      <w:hyperlink r:id="rId187" w:history="1">
        <w:r w:rsidRPr="009B7F64">
          <w:rPr>
            <w:rStyle w:val="Hyperlink"/>
            <w:rFonts w:cs="David" w:hint="cs"/>
            <w:rtl/>
          </w:rPr>
          <w:t>הגופים המופקדים על הסדרת השימוש בקנביס למטרות רפואיות במדינות שונות בעולם</w:t>
        </w:r>
      </w:hyperlink>
      <w:r w:rsidRPr="009B7F64">
        <w:rPr>
          <w:rFonts w:cs="David" w:hint="cs"/>
          <w:rtl/>
        </w:rPr>
        <w:t>, מרכז המחקר והמידע של הכנסת, 20 באוקטובר 2013.</w:t>
      </w:r>
    </w:p>
  </w:footnote>
  <w:footnote w:id="347">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hyperlink r:id="rId188" w:history="1">
        <w:r w:rsidRPr="009B7F64">
          <w:rPr>
            <w:rStyle w:val="Hyperlink"/>
            <w:rFonts w:asciiTheme="majorBidi" w:hAnsiTheme="majorBidi" w:cs="David"/>
            <w:rtl/>
          </w:rPr>
          <w:t>פקודת הסמים המסוכנים [נוסח חדש], התשל"ג-1973</w:t>
        </w:r>
      </w:hyperlink>
      <w:r w:rsidRPr="009B7F64">
        <w:rPr>
          <w:rStyle w:val="Hyperlink"/>
          <w:rFonts w:asciiTheme="majorBidi" w:hAnsiTheme="majorBidi" w:cs="David" w:hint="cs"/>
          <w:u w:val="none"/>
          <w:rtl/>
        </w:rPr>
        <w:t>.</w:t>
      </w:r>
    </w:p>
  </w:footnote>
  <w:footnote w:id="348">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cs="David" w:hint="cs"/>
          <w:rtl/>
        </w:rPr>
        <w:t xml:space="preserve">יובל בוגייסקי, </w:t>
      </w:r>
      <w:hyperlink r:id="rId189" w:history="1">
        <w:r w:rsidRPr="009B7F64">
          <w:rPr>
            <w:rStyle w:val="Hyperlink"/>
            <w:rFonts w:cs="David" w:hint="cs"/>
            <w:rtl/>
          </w:rPr>
          <w:t>סוגיות בתחום הטיפול של הוועדה למאבק בנגע הסמים</w:t>
        </w:r>
      </w:hyperlink>
      <w:r w:rsidRPr="009B7F64">
        <w:rPr>
          <w:rFonts w:cs="David" w:hint="cs"/>
          <w:rtl/>
        </w:rPr>
        <w:t>, מרכז המחקר והמידע של הכנסת, 25 באפריל 2013.</w:t>
      </w:r>
    </w:p>
  </w:footnote>
  <w:footnote w:id="349">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cs="David" w:hint="cs"/>
          <w:rtl/>
        </w:rPr>
        <w:t>שם.</w:t>
      </w:r>
    </w:p>
  </w:footnote>
  <w:footnote w:id="350">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החלטת ממשלה מס' 3609, </w:t>
      </w:r>
      <w:hyperlink r:id="rId190" w:history="1">
        <w:r w:rsidRPr="009B7F64">
          <w:rPr>
            <w:rStyle w:val="Hyperlink"/>
            <w:rFonts w:asciiTheme="majorBidi" w:hAnsiTheme="majorBidi" w:cs="David"/>
            <w:rtl/>
          </w:rPr>
          <w:t>פיקוח והסדרת מקור לאספקת קנביס למטרות רפואיות ולמחקר,</w:t>
        </w:r>
      </w:hyperlink>
      <w:r w:rsidRPr="009B7F64">
        <w:rPr>
          <w:rFonts w:asciiTheme="majorBidi" w:hAnsiTheme="majorBidi" w:cs="David"/>
          <w:rtl/>
        </w:rPr>
        <w:t xml:space="preserve"> 7 באוגוסט 2011.</w:t>
      </w:r>
    </w:p>
  </w:footnote>
  <w:footnote w:id="351">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p>
  </w:footnote>
  <w:footnote w:id="352">
    <w:p w:rsidR="00FE2909" w:rsidRPr="009B7F64" w:rsidRDefault="00FE2909" w:rsidP="00CD1DB5">
      <w:pPr>
        <w:pStyle w:val="a9"/>
        <w:bidi w:val="0"/>
        <w:spacing w:after="0" w:line="276" w:lineRule="auto"/>
        <w:rPr>
          <w:rFonts w:cs="David"/>
        </w:rPr>
      </w:pPr>
      <w:r w:rsidRPr="009B7F64">
        <w:rPr>
          <w:rStyle w:val="ab"/>
          <w:rFonts w:cs="David"/>
        </w:rPr>
        <w:footnoteRef/>
      </w:r>
      <w:r w:rsidRPr="009B7F64">
        <w:rPr>
          <w:rFonts w:cs="David"/>
          <w:rtl/>
        </w:rPr>
        <w:t xml:space="preserve"> </w:t>
      </w:r>
      <w:r w:rsidRPr="009B7F64">
        <w:rPr>
          <w:rFonts w:cs="David"/>
        </w:rPr>
        <w:t xml:space="preserve">United Nations, </w:t>
      </w:r>
      <w:hyperlink r:id="rId191" w:history="1">
        <w:r w:rsidRPr="009B7F64">
          <w:rPr>
            <w:rStyle w:val="Hyperlink"/>
            <w:rFonts w:cs="David"/>
          </w:rPr>
          <w:t>Single Convention on Narcotic Draugs</w:t>
        </w:r>
      </w:hyperlink>
      <w:r w:rsidRPr="009B7F64">
        <w:rPr>
          <w:rFonts w:cs="David"/>
        </w:rPr>
        <w:t>, 1961.</w:t>
      </w:r>
    </w:p>
  </w:footnote>
  <w:footnote w:id="353">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משרד הבריאות, </w:t>
      </w:r>
      <w:hyperlink r:id="rId192" w:history="1">
        <w:r w:rsidRPr="009B7F64">
          <w:rPr>
            <w:rStyle w:val="Hyperlink"/>
            <w:rFonts w:asciiTheme="majorBidi" w:hAnsiTheme="majorBidi" w:cs="David"/>
            <w:rtl/>
          </w:rPr>
          <w:t>היחידה לקנביס רפואי (יק"ר)</w:t>
        </w:r>
      </w:hyperlink>
      <w:r w:rsidRPr="009B7F64">
        <w:rPr>
          <w:rFonts w:asciiTheme="majorBidi" w:hAnsiTheme="majorBidi" w:cs="David"/>
          <w:rtl/>
        </w:rPr>
        <w:t>. תאריך כניסה: 25 מאי 2015.</w:t>
      </w:r>
    </w:p>
  </w:footnote>
  <w:footnote w:id="354">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cs="David" w:hint="cs"/>
          <w:rtl/>
        </w:rPr>
        <w:t xml:space="preserve">יובל בוגייסקי, </w:t>
      </w:r>
      <w:hyperlink r:id="rId193" w:history="1">
        <w:r w:rsidRPr="009B7F64">
          <w:rPr>
            <w:rStyle w:val="Hyperlink"/>
            <w:rFonts w:cs="David" w:hint="cs"/>
            <w:rtl/>
          </w:rPr>
          <w:t>הגופים המופקדים על הסדרת השימוש בקנביס למטרות רפואיות במדינות שונות בעולם</w:t>
        </w:r>
      </w:hyperlink>
      <w:r w:rsidRPr="009B7F64">
        <w:rPr>
          <w:rFonts w:cs="David" w:hint="cs"/>
          <w:rtl/>
        </w:rPr>
        <w:t>, מרכז המחקר והמידע של הכנסת, 20 באוקטובר 2013.</w:t>
      </w:r>
    </w:p>
  </w:footnote>
  <w:footnote w:id="355">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משרד הבריאות, </w:t>
      </w:r>
      <w:hyperlink r:id="rId194" w:history="1">
        <w:r w:rsidRPr="009B7F64">
          <w:rPr>
            <w:rStyle w:val="Hyperlink"/>
            <w:rFonts w:asciiTheme="majorBidi" w:hAnsiTheme="majorBidi" w:cs="David"/>
            <w:rtl/>
          </w:rPr>
          <w:t>נוהל רשיונות לשימוש בקנביס (106)</w:t>
        </w:r>
      </w:hyperlink>
      <w:r w:rsidRPr="009B7F64">
        <w:rPr>
          <w:rFonts w:asciiTheme="majorBidi" w:hAnsiTheme="majorBidi" w:cs="David"/>
          <w:rtl/>
        </w:rPr>
        <w:t>, מרץ 2013 (עדכון מס' 1: יולי 2013; עדכון מס' 2: יולי 2014). תאריך כניסה: 25 במאי 2015.</w:t>
      </w:r>
    </w:p>
  </w:footnote>
  <w:footnote w:id="356">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אתר משרד הבריאות, </w:t>
      </w:r>
      <w:hyperlink r:id="rId195" w:history="1">
        <w:r w:rsidRPr="009B7F64">
          <w:rPr>
            <w:rStyle w:val="Hyperlink"/>
            <w:rFonts w:asciiTheme="majorBidi" w:hAnsiTheme="majorBidi" w:cs="David"/>
            <w:rtl/>
          </w:rPr>
          <w:t>היחידה לקנביס רפואי (יק"ר)</w:t>
        </w:r>
      </w:hyperlink>
      <w:r w:rsidRPr="009B7F64">
        <w:rPr>
          <w:rFonts w:asciiTheme="majorBidi" w:hAnsiTheme="majorBidi" w:cs="David"/>
          <w:rtl/>
        </w:rPr>
        <w:t>. תאריך כניסה: 25 מאי 2015.</w:t>
      </w:r>
    </w:p>
  </w:footnote>
  <w:footnote w:id="357">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p>
  </w:footnote>
  <w:footnote w:id="358">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p>
  </w:footnote>
  <w:footnote w:id="359">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החלטת ממשלה מס' 1050, </w:t>
      </w:r>
      <w:hyperlink r:id="rId196" w:history="1">
        <w:r w:rsidRPr="009B7F64">
          <w:rPr>
            <w:rStyle w:val="Hyperlink"/>
            <w:rFonts w:asciiTheme="majorBidi" w:hAnsiTheme="majorBidi" w:cs="David"/>
            <w:rtl/>
          </w:rPr>
          <w:t>שימוש בקנביס למטרות רפואיות</w:t>
        </w:r>
      </w:hyperlink>
      <w:r w:rsidRPr="009B7F64">
        <w:rPr>
          <w:rFonts w:asciiTheme="majorBidi" w:hAnsiTheme="majorBidi" w:cs="David"/>
          <w:rtl/>
        </w:rPr>
        <w:t>, 15 דצמבר 201</w:t>
      </w:r>
      <w:r w:rsidRPr="009B7F64">
        <w:rPr>
          <w:rFonts w:asciiTheme="majorBidi" w:hAnsiTheme="majorBidi" w:cs="David" w:hint="cs"/>
          <w:rtl/>
        </w:rPr>
        <w:t>3</w:t>
      </w:r>
      <w:r w:rsidRPr="009B7F64">
        <w:rPr>
          <w:rFonts w:asciiTheme="majorBidi" w:hAnsiTheme="majorBidi" w:cs="David"/>
          <w:rtl/>
        </w:rPr>
        <w:t>.</w:t>
      </w:r>
    </w:p>
  </w:footnote>
  <w:footnote w:id="360">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hyperlink r:id="rId197" w:history="1">
        <w:r w:rsidRPr="009B7F64">
          <w:rPr>
            <w:rStyle w:val="Hyperlink"/>
            <w:rFonts w:asciiTheme="majorBidi" w:hAnsiTheme="majorBidi" w:cs="David"/>
            <w:rtl/>
          </w:rPr>
          <w:t>פקודת הסמים המסוכנים [נוסח חדש], התשל"ג-1973</w:t>
        </w:r>
      </w:hyperlink>
      <w:r w:rsidRPr="009B7F64">
        <w:rPr>
          <w:rStyle w:val="Hyperlink"/>
          <w:rFonts w:asciiTheme="majorBidi" w:hAnsiTheme="majorBidi" w:cs="David" w:hint="cs"/>
          <w:u w:val="none"/>
          <w:rtl/>
        </w:rPr>
        <w:t>.</w:t>
      </w:r>
    </w:p>
  </w:footnote>
  <w:footnote w:id="361">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את מודל האסדרה כפי שהוצג לממשל</w:t>
      </w:r>
      <w:r w:rsidRPr="009B7F64">
        <w:rPr>
          <w:rFonts w:asciiTheme="majorBidi" w:hAnsiTheme="majorBidi" w:cs="David" w:hint="cs"/>
          <w:rtl/>
        </w:rPr>
        <w:t>ה</w:t>
      </w:r>
      <w:r w:rsidRPr="009B7F64">
        <w:rPr>
          <w:rFonts w:asciiTheme="majorBidi" w:hAnsiTheme="majorBidi" w:cs="David"/>
          <w:rtl/>
        </w:rPr>
        <w:t xml:space="preserve"> באותה התקופה ניתן למצוא בנספח א' להחלטת הממשלה מס' 1050, </w:t>
      </w:r>
      <w:hyperlink r:id="rId198" w:history="1">
        <w:r w:rsidRPr="009B7F64">
          <w:rPr>
            <w:rStyle w:val="Hyperlink"/>
            <w:rFonts w:asciiTheme="majorBidi" w:hAnsiTheme="majorBidi" w:cs="David"/>
            <w:rtl/>
          </w:rPr>
          <w:t>שימוש בקנביס למטרות רפואיות</w:t>
        </w:r>
      </w:hyperlink>
      <w:r w:rsidRPr="009B7F64">
        <w:rPr>
          <w:rFonts w:asciiTheme="majorBidi" w:hAnsiTheme="majorBidi" w:cs="David"/>
          <w:rtl/>
        </w:rPr>
        <w:t xml:space="preserve">, 15 דצמבר 2015. תאריך כניסה: 25 מאי 2015. </w:t>
      </w:r>
    </w:p>
  </w:footnote>
  <w:footnote w:id="362">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חברת "שראל פתרונות לוגיסטיים ומוצרים לרפואה מתקדמת בע"מ" היא חברה פרטית שהוקמה ב- 1995 על-ידי עמותת בתי-חולים ציבוריים לתועלת הציבור, וזאת על-פי החלטת ממשלה (החלטת ממשלה 2718, 11 באפריל 1992). מטרתה</w:t>
      </w:r>
      <w:r w:rsidRPr="009B7F64">
        <w:rPr>
          <w:rFonts w:cs="David"/>
          <w:lang w:val="en-US"/>
        </w:rPr>
        <w:t xml:space="preserve"> </w:t>
      </w:r>
      <w:r w:rsidRPr="009B7F64">
        <w:rPr>
          <w:rFonts w:cs="David" w:hint="cs"/>
          <w:rtl/>
        </w:rPr>
        <w:t xml:space="preserve"> היא לשמש כזרוע הרכש המרכזית של בתי-החולים והמרכזים הרפואיים הממשלתיים, שירותי בריאות הציבור, לשכות הבריאות והאגף לשעת חירום במשרד הבריאות.</w:t>
      </w:r>
    </w:p>
  </w:footnote>
  <w:footnote w:id="363">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מירי כהן, מנהלת תחום בכיר שירותי הצלה וע"ר, משרד הבריאות, </w:t>
      </w:r>
      <w:r w:rsidRPr="009B7F64">
        <w:rPr>
          <w:rFonts w:asciiTheme="majorBidi" w:hAnsiTheme="majorBidi" w:cs="David" w:hint="cs"/>
          <w:rtl/>
        </w:rPr>
        <w:t>מכתב</w:t>
      </w:r>
      <w:r w:rsidRPr="009B7F64">
        <w:rPr>
          <w:rFonts w:asciiTheme="majorBidi" w:hAnsiTheme="majorBidi" w:cs="David"/>
          <w:rtl/>
        </w:rPr>
        <w:t>, 19 מרץ 2015.</w:t>
      </w:r>
    </w:p>
  </w:footnote>
  <w:footnote w:id="364">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r w:rsidRPr="009B7F64">
        <w:rPr>
          <w:rFonts w:asciiTheme="majorBidi" w:hAnsiTheme="majorBidi" w:cs="David"/>
          <w:rtl/>
        </w:rPr>
        <w:t>.</w:t>
      </w:r>
    </w:p>
  </w:footnote>
  <w:footnote w:id="365">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משרד הבריאות, </w:t>
      </w:r>
      <w:hyperlink r:id="rId199" w:history="1">
        <w:r w:rsidRPr="009B7F64">
          <w:rPr>
            <w:rStyle w:val="Hyperlink"/>
            <w:rFonts w:asciiTheme="majorBidi" w:hAnsiTheme="majorBidi" w:cs="David"/>
            <w:rtl/>
          </w:rPr>
          <w:t>נוהל רשיונות לשימוש בקנביס (106)</w:t>
        </w:r>
      </w:hyperlink>
      <w:r w:rsidRPr="009B7F64">
        <w:rPr>
          <w:rFonts w:asciiTheme="majorBidi" w:hAnsiTheme="majorBidi" w:cs="David"/>
          <w:rtl/>
        </w:rPr>
        <w:t>, מרץ 2013 (עדכון מס' 1: יולי 2013; עדכון מס' 2: יולי 2014). תאריך כניסה: 25 במאי 2015.</w:t>
      </w:r>
    </w:p>
  </w:footnote>
  <w:footnote w:id="366">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'התוויה' רפואית היא אופן טיפול נתון במצב רפואי נתון. לדוגמא – תרופה המוכרת כיעילה לטיפול בסוג מחלה מסויים.</w:t>
      </w:r>
    </w:p>
  </w:footnote>
  <w:footnote w:id="367">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משרד הבריאות, </w:t>
      </w:r>
      <w:hyperlink r:id="rId200" w:history="1">
        <w:r w:rsidRPr="009B7F64">
          <w:rPr>
            <w:rStyle w:val="Hyperlink"/>
            <w:rFonts w:asciiTheme="majorBidi" w:hAnsiTheme="majorBidi" w:cs="David"/>
            <w:rtl/>
          </w:rPr>
          <w:t>נוהל רשיונות לשימוש בקנביס (106)</w:t>
        </w:r>
      </w:hyperlink>
      <w:r w:rsidRPr="009B7F64">
        <w:rPr>
          <w:rFonts w:asciiTheme="majorBidi" w:hAnsiTheme="majorBidi" w:cs="David"/>
          <w:rtl/>
        </w:rPr>
        <w:t>, מרץ 2013 (עדכון מס' 1: יולי 2013; עדכון מס' 2: יולי 2014). תאריך כניסה: 25 במאי 2015.</w:t>
      </w:r>
    </w:p>
  </w:footnote>
  <w:footnote w:id="368">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r w:rsidRPr="009B7F64">
        <w:rPr>
          <w:rFonts w:asciiTheme="majorBidi" w:hAnsiTheme="majorBidi" w:cs="David"/>
          <w:rtl/>
        </w:rPr>
        <w:t>.</w:t>
      </w:r>
    </w:p>
  </w:footnote>
  <w:footnote w:id="369">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משרד הבריאות, </w:t>
      </w:r>
      <w:hyperlink r:id="rId201" w:history="1">
        <w:r w:rsidRPr="009B7F64">
          <w:rPr>
            <w:rStyle w:val="Hyperlink"/>
            <w:rFonts w:asciiTheme="majorBidi" w:hAnsiTheme="majorBidi" w:cs="David"/>
            <w:rtl/>
          </w:rPr>
          <w:t>טופס בקשה לרישיון שימוש בקנביס רפואי</w:t>
        </w:r>
      </w:hyperlink>
      <w:r w:rsidRPr="009B7F64">
        <w:rPr>
          <w:rFonts w:asciiTheme="majorBidi" w:hAnsiTheme="majorBidi" w:cs="David"/>
          <w:rtl/>
        </w:rPr>
        <w:t>. תאריך כניסה: 26 מאי 2015.</w:t>
      </w:r>
    </w:p>
  </w:footnote>
  <w:footnote w:id="370">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מירי כהן, מנהלת תחום בכיר שירותי הצלה וע"ר, משרד הבריאות, </w:t>
      </w:r>
      <w:r w:rsidRPr="009B7F64">
        <w:rPr>
          <w:rFonts w:asciiTheme="majorBidi" w:hAnsiTheme="majorBidi" w:cs="David" w:hint="cs"/>
          <w:rtl/>
        </w:rPr>
        <w:t>מכתב</w:t>
      </w:r>
      <w:r w:rsidRPr="009B7F64">
        <w:rPr>
          <w:rFonts w:asciiTheme="majorBidi" w:hAnsiTheme="majorBidi" w:cs="David"/>
          <w:rtl/>
        </w:rPr>
        <w:t>, 19 מרץ 2015.</w:t>
      </w:r>
    </w:p>
  </w:footnote>
  <w:footnote w:id="371">
    <w:p w:rsidR="00FE2909" w:rsidRPr="009B7F64" w:rsidRDefault="00FE2909" w:rsidP="00EB1406">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00EB1406">
        <w:rPr>
          <w:rFonts w:asciiTheme="majorBidi" w:hAnsiTheme="majorBidi" w:cs="David" w:hint="cs"/>
          <w:rtl/>
        </w:rPr>
        <w:t>שם</w:t>
      </w:r>
      <w:r w:rsidRPr="009B7F64">
        <w:rPr>
          <w:rFonts w:asciiTheme="majorBidi" w:hAnsiTheme="majorBidi" w:cs="David"/>
          <w:rtl/>
        </w:rPr>
        <w:t>.</w:t>
      </w:r>
    </w:p>
  </w:footnote>
  <w:footnote w:id="372">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p>
  </w:footnote>
  <w:footnote w:id="373">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p>
  </w:footnote>
  <w:footnote w:id="374">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p>
  </w:footnote>
  <w:footnote w:id="375">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p>
  </w:footnote>
  <w:footnote w:id="376">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מירי כהן, מנהלת תחום בכיר שירותי הצלה וע"ר, משרד הבריאות, </w:t>
      </w:r>
      <w:r w:rsidRPr="009B7F64">
        <w:rPr>
          <w:rFonts w:asciiTheme="majorBidi" w:hAnsiTheme="majorBidi" w:cs="David" w:hint="cs"/>
          <w:rtl/>
        </w:rPr>
        <w:t>מכתב</w:t>
      </w:r>
      <w:r w:rsidRPr="009B7F64">
        <w:rPr>
          <w:rFonts w:asciiTheme="majorBidi" w:hAnsiTheme="majorBidi" w:cs="David"/>
          <w:rtl/>
        </w:rPr>
        <w:t>, 19 מרץ 2015.</w:t>
      </w:r>
    </w:p>
  </w:footnote>
  <w:footnote w:id="377">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p>
  </w:footnote>
  <w:footnote w:id="378">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סעיפים ג.2. ו- ג.3. בנספח א': </w:t>
      </w:r>
      <w:r w:rsidRPr="009B7F64">
        <w:rPr>
          <w:rFonts w:asciiTheme="majorBidi" w:hAnsiTheme="majorBidi" w:cs="David"/>
          <w:u w:val="single"/>
          <w:rtl/>
        </w:rPr>
        <w:t>הסדרת נושא השימוש בקנביס למטרות רפואיות</w:t>
      </w:r>
      <w:r w:rsidRPr="009B7F64">
        <w:rPr>
          <w:rFonts w:asciiTheme="majorBidi" w:hAnsiTheme="majorBidi" w:cs="David"/>
          <w:rtl/>
        </w:rPr>
        <w:t xml:space="preserve">, להחלטת הממשלה מס' 1050, </w:t>
      </w:r>
      <w:hyperlink r:id="rId202" w:history="1">
        <w:r w:rsidRPr="009B7F64">
          <w:rPr>
            <w:rStyle w:val="Hyperlink"/>
            <w:rFonts w:asciiTheme="majorBidi" w:hAnsiTheme="majorBidi" w:cs="David"/>
            <w:rtl/>
          </w:rPr>
          <w:t>שימוש בקנביס למטרות רפואיות</w:t>
        </w:r>
      </w:hyperlink>
      <w:r w:rsidRPr="009B7F64">
        <w:rPr>
          <w:rFonts w:asciiTheme="majorBidi" w:hAnsiTheme="majorBidi" w:cs="David"/>
          <w:rtl/>
        </w:rPr>
        <w:t>, 15 דצמבר 201</w:t>
      </w:r>
      <w:r w:rsidRPr="009B7F64">
        <w:rPr>
          <w:rFonts w:asciiTheme="majorBidi" w:hAnsiTheme="majorBidi" w:cs="David" w:hint="cs"/>
          <w:rtl/>
        </w:rPr>
        <w:t>3.</w:t>
      </w:r>
    </w:p>
  </w:footnote>
  <w:footnote w:id="379">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המגדלים הם: "תיקון עולם", "קנדוק", "פארמוקן", "שאיפה לחיים", "שיח שריד", "בטטר" (קאן פרמצבטיקה), "</w:t>
      </w:r>
      <w:r w:rsidRPr="009B7F64">
        <w:rPr>
          <w:rFonts w:asciiTheme="majorBidi" w:hAnsiTheme="majorBidi" w:cs="David"/>
        </w:rPr>
        <w:t>IMC</w:t>
      </w:r>
      <w:r w:rsidRPr="009B7F64">
        <w:rPr>
          <w:rFonts w:asciiTheme="majorBidi" w:hAnsiTheme="majorBidi" w:cs="David"/>
          <w:rtl/>
        </w:rPr>
        <w:t xml:space="preserve">", "טבע אדיר". מירי כהן, מנהלת תחום בכיר שירותי הצלה וע"ר, משרד הבריאות, </w:t>
      </w:r>
      <w:r w:rsidRPr="009B7F64">
        <w:rPr>
          <w:rFonts w:asciiTheme="majorBidi" w:hAnsiTheme="majorBidi" w:cs="David" w:hint="cs"/>
          <w:rtl/>
        </w:rPr>
        <w:t>מכתב</w:t>
      </w:r>
      <w:r w:rsidRPr="009B7F64">
        <w:rPr>
          <w:rFonts w:asciiTheme="majorBidi" w:hAnsiTheme="majorBidi" w:cs="David"/>
          <w:rtl/>
        </w:rPr>
        <w:t>, 19 מרץ 2015.</w:t>
      </w:r>
    </w:p>
  </w:footnote>
  <w:footnote w:id="380">
    <w:p w:rsidR="00FE2909" w:rsidRPr="009B7F64" w:rsidRDefault="00FE2909" w:rsidP="00EB1406">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00EB1406">
        <w:rPr>
          <w:rFonts w:asciiTheme="majorBidi" w:hAnsiTheme="majorBidi" w:cs="David" w:hint="cs"/>
          <w:rtl/>
        </w:rPr>
        <w:t>שם</w:t>
      </w:r>
      <w:r w:rsidRPr="009B7F64">
        <w:rPr>
          <w:rFonts w:asciiTheme="majorBidi" w:hAnsiTheme="majorBidi" w:cs="David"/>
          <w:rtl/>
        </w:rPr>
        <w:t>.</w:t>
      </w:r>
    </w:p>
  </w:footnote>
  <w:footnote w:id="381">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p>
  </w:footnote>
  <w:footnote w:id="382">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p>
  </w:footnote>
  <w:footnote w:id="383">
    <w:p w:rsidR="00FE2909" w:rsidRPr="009B7F64" w:rsidRDefault="00FE2909" w:rsidP="00EB1406">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00EB1406" w:rsidRPr="009B7F64">
        <w:rPr>
          <w:rFonts w:asciiTheme="majorBidi" w:hAnsiTheme="majorBidi" w:cs="David"/>
          <w:rtl/>
        </w:rPr>
        <w:t xml:space="preserve">מירי כהן, מנהלת תחום בכיר שירותי הצלה וע"ר, משרד הבריאות, </w:t>
      </w:r>
      <w:r w:rsidR="00EB1406" w:rsidRPr="009B7F64">
        <w:rPr>
          <w:rFonts w:asciiTheme="majorBidi" w:hAnsiTheme="majorBidi" w:cs="David" w:hint="cs"/>
          <w:rtl/>
        </w:rPr>
        <w:t>מכתב</w:t>
      </w:r>
      <w:r w:rsidR="00EB1406" w:rsidRPr="009B7F64">
        <w:rPr>
          <w:rFonts w:asciiTheme="majorBidi" w:hAnsiTheme="majorBidi" w:cs="David"/>
          <w:rtl/>
        </w:rPr>
        <w:t>, 19 מרץ 2015</w:t>
      </w:r>
      <w:r w:rsidRPr="009B7F64">
        <w:rPr>
          <w:rFonts w:asciiTheme="majorBidi" w:hAnsiTheme="majorBidi" w:cs="David" w:hint="cs"/>
          <w:rtl/>
        </w:rPr>
        <w:t>.</w:t>
      </w:r>
    </w:p>
  </w:footnote>
  <w:footnote w:id="384">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בג"ץ 854/14 (החלטה), </w:t>
      </w:r>
      <w:hyperlink r:id="rId203" w:history="1">
        <w:r w:rsidRPr="009B7F64">
          <w:rPr>
            <w:rStyle w:val="Hyperlink"/>
            <w:rFonts w:cs="David" w:hint="cs"/>
            <w:rtl/>
          </w:rPr>
          <w:t>פוקוס צמחי מרפא בע"מ ואח' נ' ממשלת ישראל, משרד הבריאות ו"שראל פתרונות לוגיסטיים ומוצרים לרפואה מתקדמת בע"מ"</w:t>
        </w:r>
      </w:hyperlink>
      <w:r w:rsidRPr="009B7F64">
        <w:rPr>
          <w:rFonts w:cs="David" w:hint="cs"/>
          <w:rtl/>
        </w:rPr>
        <w:t>, 27 במאי 2015.</w:t>
      </w:r>
    </w:p>
  </w:footnote>
  <w:footnote w:id="385">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משרד הרווחה והשירותים החברתיים, </w:t>
      </w:r>
      <w:hyperlink r:id="rId204" w:history="1">
        <w:r w:rsidRPr="009B7F64">
          <w:rPr>
            <w:rStyle w:val="Hyperlink"/>
            <w:rFonts w:asciiTheme="majorBidi" w:hAnsiTheme="majorBidi" w:cs="David"/>
            <w:rtl/>
          </w:rPr>
          <w:t>סקירת השירותים החברתיים 2013: אוכלוסיית המתמכרים לסמים, לאלכוהול ולהימורים</w:t>
        </w:r>
      </w:hyperlink>
      <w:r w:rsidRPr="009B7F64">
        <w:rPr>
          <w:rFonts w:asciiTheme="majorBidi" w:hAnsiTheme="majorBidi" w:cs="David"/>
          <w:rtl/>
        </w:rPr>
        <w:t>, 2014, עמ' 401</w:t>
      </w:r>
      <w:r w:rsidRPr="009B7F64">
        <w:rPr>
          <w:rFonts w:asciiTheme="majorBidi" w:hAnsiTheme="majorBidi" w:cs="David" w:hint="cs"/>
          <w:rtl/>
        </w:rPr>
        <w:t>;</w:t>
      </w:r>
      <w:r w:rsidRPr="009B7F64">
        <w:rPr>
          <w:rFonts w:cs="David"/>
          <w:rtl/>
        </w:rPr>
        <w:t xml:space="preserve"> </w:t>
      </w:r>
      <w:r w:rsidRPr="009B7F64">
        <w:rPr>
          <w:rFonts w:asciiTheme="majorBidi" w:hAnsiTheme="majorBidi" w:cs="David"/>
          <w:rtl/>
        </w:rPr>
        <w:t xml:space="preserve">ענת שגב, מרכזת הקשר כנסת-ממשלה באגף בכיר למחקר, תכנון והכשרה, משרד הרווחה והשירותים החברתיים, </w:t>
      </w:r>
      <w:r w:rsidRPr="009B7F64">
        <w:rPr>
          <w:rFonts w:asciiTheme="majorBidi" w:hAnsiTheme="majorBidi" w:cs="David" w:hint="cs"/>
          <w:rtl/>
        </w:rPr>
        <w:t>מכתב</w:t>
      </w:r>
      <w:r w:rsidRPr="009B7F64">
        <w:rPr>
          <w:rFonts w:asciiTheme="majorBidi" w:hAnsiTheme="majorBidi" w:cs="David"/>
          <w:rtl/>
        </w:rPr>
        <w:t>, 18 מרץ 2015.</w:t>
      </w:r>
    </w:p>
  </w:footnote>
  <w:footnote w:id="386">
    <w:p w:rsidR="00FE2909" w:rsidRPr="009B7F64" w:rsidRDefault="00FE2909" w:rsidP="00CD1DB5">
      <w:pPr>
        <w:pStyle w:val="a9"/>
        <w:tabs>
          <w:tab w:val="left" w:pos="4899"/>
        </w:tabs>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משרד הרווחה והשירותים החברתיים, </w:t>
      </w:r>
      <w:hyperlink r:id="rId205" w:history="1">
        <w:r w:rsidRPr="009B7F64">
          <w:rPr>
            <w:rStyle w:val="Hyperlink"/>
            <w:rFonts w:asciiTheme="majorBidi" w:hAnsiTheme="majorBidi" w:cs="David"/>
            <w:rtl/>
          </w:rPr>
          <w:t>האגף לשירותי תקון ונוער מנותק</w:t>
        </w:r>
        <w:r w:rsidRPr="009B7F64">
          <w:rPr>
            <w:rStyle w:val="Hyperlink"/>
            <w:rFonts w:asciiTheme="majorBidi" w:hAnsiTheme="majorBidi" w:cs="David" w:hint="cs"/>
            <w:rtl/>
          </w:rPr>
          <w:t>:</w:t>
        </w:r>
        <w:r w:rsidRPr="009B7F64">
          <w:rPr>
            <w:rStyle w:val="Hyperlink"/>
            <w:rFonts w:asciiTheme="majorBidi" w:hAnsiTheme="majorBidi" w:cs="David"/>
            <w:rtl/>
          </w:rPr>
          <w:t xml:space="preserve"> השירות לטיפול בהתמכרויות</w:t>
        </w:r>
      </w:hyperlink>
      <w:r w:rsidRPr="009B7F64">
        <w:rPr>
          <w:rFonts w:asciiTheme="majorBidi" w:hAnsiTheme="majorBidi" w:cs="David" w:hint="cs"/>
          <w:rtl/>
        </w:rPr>
        <w:t>.</w:t>
      </w:r>
      <w:r w:rsidRPr="009B7F64">
        <w:rPr>
          <w:rFonts w:asciiTheme="majorBidi" w:hAnsiTheme="majorBidi" w:cs="David"/>
          <w:rtl/>
        </w:rPr>
        <w:t xml:space="preserve"> תאריך כניסה: 24 מרץ 2015. </w:t>
      </w:r>
    </w:p>
  </w:footnote>
  <w:footnote w:id="387">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אהרון שבי, מנהל השירות לטיפול בהתמכרויות, אגף </w:t>
      </w:r>
      <w:r w:rsidRPr="009B7F64">
        <w:rPr>
          <w:rFonts w:asciiTheme="majorBidi" w:hAnsiTheme="majorBidi" w:cs="David" w:hint="cs"/>
          <w:rtl/>
        </w:rPr>
        <w:t xml:space="preserve">לשירותי </w:t>
      </w:r>
      <w:r w:rsidRPr="009B7F64">
        <w:rPr>
          <w:rFonts w:asciiTheme="majorBidi" w:hAnsiTheme="majorBidi" w:cs="David"/>
          <w:rtl/>
        </w:rPr>
        <w:t xml:space="preserve">תקון </w:t>
      </w:r>
      <w:r w:rsidRPr="009B7F64">
        <w:rPr>
          <w:rFonts w:asciiTheme="majorBidi" w:hAnsiTheme="majorBidi" w:cs="David" w:hint="cs"/>
          <w:rtl/>
        </w:rPr>
        <w:t xml:space="preserve">ונוער מנותק, </w:t>
      </w:r>
      <w:r w:rsidRPr="009B7F64">
        <w:rPr>
          <w:rFonts w:asciiTheme="majorBidi" w:hAnsiTheme="majorBidi" w:cs="David"/>
          <w:rtl/>
        </w:rPr>
        <w:t>משרד הרווחה והשירותים החברתיים, שיחת טלפון, 13 אפריל 2015.</w:t>
      </w:r>
    </w:p>
  </w:footnote>
  <w:footnote w:id="388">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משרד הרווחה והשירותים החברתיים, </w:t>
      </w:r>
      <w:hyperlink r:id="rId206" w:history="1">
        <w:r w:rsidRPr="009B7F64">
          <w:rPr>
            <w:rStyle w:val="Hyperlink"/>
            <w:rFonts w:asciiTheme="majorBidi" w:hAnsiTheme="majorBidi" w:cs="David"/>
            <w:rtl/>
          </w:rPr>
          <w:t>סקירת השירותים החברתיים 2013: אוכלוסיית המתמכרים לסמים, לאלכוהול ולהימורים</w:t>
        </w:r>
      </w:hyperlink>
      <w:r w:rsidRPr="009B7F64">
        <w:rPr>
          <w:rFonts w:asciiTheme="majorBidi" w:hAnsiTheme="majorBidi" w:cs="David"/>
          <w:rtl/>
        </w:rPr>
        <w:t>, 2014, עמ' 403-404.</w:t>
      </w:r>
    </w:p>
  </w:footnote>
  <w:footnote w:id="389">
    <w:p w:rsidR="00FE2909" w:rsidRPr="009B7F64" w:rsidRDefault="00FE2909" w:rsidP="00EB1406">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00EB1406">
        <w:rPr>
          <w:rFonts w:asciiTheme="majorBidi" w:hAnsiTheme="majorBidi" w:cs="David" w:hint="cs"/>
          <w:rtl/>
        </w:rPr>
        <w:t>שם</w:t>
      </w:r>
      <w:r w:rsidRPr="009B7F64">
        <w:rPr>
          <w:rFonts w:asciiTheme="majorBidi" w:hAnsiTheme="majorBidi" w:cs="David"/>
          <w:rtl/>
        </w:rPr>
        <w:t>, עמ' 402-403.</w:t>
      </w:r>
    </w:p>
  </w:footnote>
  <w:footnote w:id="390">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r w:rsidRPr="009B7F64">
        <w:rPr>
          <w:rFonts w:asciiTheme="majorBidi" w:hAnsiTheme="majorBidi" w:cs="David"/>
          <w:rtl/>
        </w:rPr>
        <w:t>, עמ' 404.</w:t>
      </w:r>
    </w:p>
  </w:footnote>
  <w:footnote w:id="391">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אהרון שבי, מנהל השירות לטיפול בהתמכרויות, אגף </w:t>
      </w:r>
      <w:r w:rsidRPr="009B7F64">
        <w:rPr>
          <w:rFonts w:asciiTheme="majorBidi" w:hAnsiTheme="majorBidi" w:cs="David" w:hint="cs"/>
          <w:rtl/>
        </w:rPr>
        <w:t xml:space="preserve">לשירותי </w:t>
      </w:r>
      <w:r w:rsidRPr="009B7F64">
        <w:rPr>
          <w:rFonts w:asciiTheme="majorBidi" w:hAnsiTheme="majorBidi" w:cs="David"/>
          <w:rtl/>
        </w:rPr>
        <w:t xml:space="preserve">תקון </w:t>
      </w:r>
      <w:r w:rsidRPr="009B7F64">
        <w:rPr>
          <w:rFonts w:asciiTheme="majorBidi" w:hAnsiTheme="majorBidi" w:cs="David" w:hint="cs"/>
          <w:rtl/>
        </w:rPr>
        <w:t xml:space="preserve">ונוער מנותק, </w:t>
      </w:r>
      <w:r w:rsidRPr="009B7F64">
        <w:rPr>
          <w:rFonts w:asciiTheme="majorBidi" w:hAnsiTheme="majorBidi" w:cs="David"/>
          <w:rtl/>
        </w:rPr>
        <w:t>משרד הרווחה והשירותים החברתיים, שיחת טלפון, 13 אפריל 201</w:t>
      </w:r>
      <w:r w:rsidRPr="009B7F64">
        <w:rPr>
          <w:rFonts w:asciiTheme="majorBidi" w:hAnsiTheme="majorBidi" w:cs="David" w:hint="cs"/>
          <w:rtl/>
        </w:rPr>
        <w:t>5</w:t>
      </w:r>
      <w:r w:rsidRPr="009B7F64">
        <w:rPr>
          <w:rFonts w:asciiTheme="majorBidi" w:hAnsiTheme="majorBidi" w:cs="David"/>
          <w:rtl/>
        </w:rPr>
        <w:t>.</w:t>
      </w:r>
    </w:p>
  </w:footnote>
  <w:footnote w:id="392">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r w:rsidRPr="009B7F64">
        <w:rPr>
          <w:rFonts w:asciiTheme="majorBidi" w:hAnsiTheme="majorBidi" w:cs="David"/>
          <w:rtl/>
        </w:rPr>
        <w:t>.</w:t>
      </w:r>
    </w:p>
  </w:footnote>
  <w:footnote w:id="393">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r w:rsidRPr="009B7F64">
        <w:rPr>
          <w:rFonts w:asciiTheme="majorBidi" w:hAnsiTheme="majorBidi" w:cs="David"/>
          <w:rtl/>
        </w:rPr>
        <w:t>.</w:t>
      </w:r>
    </w:p>
  </w:footnote>
  <w:footnote w:id="394">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עיבוד הנתונים נעשה באגף מחקר, תכנון והכשרה, משרד הרווחה והשירותים החברתיים.</w:t>
      </w:r>
      <w:r w:rsidRPr="009B7F64">
        <w:rPr>
          <w:rFonts w:asciiTheme="majorBidi" w:hAnsiTheme="majorBidi" w:cs="David" w:hint="cs"/>
          <w:rtl/>
        </w:rPr>
        <w:t xml:space="preserve"> </w:t>
      </w:r>
      <w:r w:rsidRPr="009B7F64">
        <w:rPr>
          <w:rFonts w:asciiTheme="majorBidi" w:hAnsiTheme="majorBidi" w:cs="David"/>
          <w:rtl/>
        </w:rPr>
        <w:t xml:space="preserve">אהרון שבי, מנהל השירות לטיפול בהתמכרויות, אגף </w:t>
      </w:r>
      <w:r w:rsidRPr="009B7F64">
        <w:rPr>
          <w:rFonts w:asciiTheme="majorBidi" w:hAnsiTheme="majorBidi" w:cs="David" w:hint="cs"/>
          <w:rtl/>
        </w:rPr>
        <w:t xml:space="preserve">לשירותי </w:t>
      </w:r>
      <w:r w:rsidRPr="009B7F64">
        <w:rPr>
          <w:rFonts w:asciiTheme="majorBidi" w:hAnsiTheme="majorBidi" w:cs="David"/>
          <w:rtl/>
        </w:rPr>
        <w:t xml:space="preserve">תקון </w:t>
      </w:r>
      <w:r w:rsidRPr="009B7F64">
        <w:rPr>
          <w:rFonts w:asciiTheme="majorBidi" w:hAnsiTheme="majorBidi" w:cs="David" w:hint="cs"/>
          <w:rtl/>
        </w:rPr>
        <w:t xml:space="preserve">ונוער מנותק, </w:t>
      </w:r>
      <w:r w:rsidRPr="009B7F64">
        <w:rPr>
          <w:rFonts w:asciiTheme="majorBidi" w:hAnsiTheme="majorBidi" w:cs="David"/>
          <w:rtl/>
        </w:rPr>
        <w:t xml:space="preserve">משרד הרווחה והשירותים החברתיים, </w:t>
      </w:r>
      <w:r w:rsidRPr="009B7F64">
        <w:rPr>
          <w:rFonts w:asciiTheme="majorBidi" w:hAnsiTheme="majorBidi" w:cs="David" w:hint="cs"/>
          <w:rtl/>
        </w:rPr>
        <w:t>מכתב</w:t>
      </w:r>
      <w:r w:rsidRPr="009B7F64">
        <w:rPr>
          <w:rFonts w:asciiTheme="majorBidi" w:hAnsiTheme="majorBidi" w:cs="David"/>
          <w:rtl/>
        </w:rPr>
        <w:t>, 19 אפרי</w:t>
      </w:r>
      <w:r w:rsidRPr="009B7F64">
        <w:rPr>
          <w:rFonts w:asciiTheme="majorBidi" w:hAnsiTheme="majorBidi" w:cs="David" w:hint="cs"/>
          <w:rtl/>
        </w:rPr>
        <w:t>ל 2015</w:t>
      </w:r>
      <w:r w:rsidRPr="009B7F64">
        <w:rPr>
          <w:rFonts w:asciiTheme="majorBidi" w:hAnsiTheme="majorBidi" w:cs="David"/>
          <w:rtl/>
        </w:rPr>
        <w:t xml:space="preserve">. </w:t>
      </w:r>
    </w:p>
  </w:footnote>
  <w:footnote w:id="395">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asciiTheme="majorBidi" w:hAnsiTheme="majorBidi" w:cs="David"/>
          <w:rtl/>
        </w:rPr>
        <w:t xml:space="preserve">אהרון שבי, מנהל השירות לטיפול בהתמכרויות, אגף </w:t>
      </w:r>
      <w:r w:rsidRPr="009B7F64">
        <w:rPr>
          <w:rFonts w:asciiTheme="majorBidi" w:hAnsiTheme="majorBidi" w:cs="David" w:hint="cs"/>
          <w:rtl/>
        </w:rPr>
        <w:t xml:space="preserve">לשירותי </w:t>
      </w:r>
      <w:r w:rsidRPr="009B7F64">
        <w:rPr>
          <w:rFonts w:asciiTheme="majorBidi" w:hAnsiTheme="majorBidi" w:cs="David"/>
          <w:rtl/>
        </w:rPr>
        <w:t xml:space="preserve">תקון </w:t>
      </w:r>
      <w:r w:rsidRPr="009B7F64">
        <w:rPr>
          <w:rFonts w:asciiTheme="majorBidi" w:hAnsiTheme="majorBidi" w:cs="David" w:hint="cs"/>
          <w:rtl/>
        </w:rPr>
        <w:t xml:space="preserve">ונוער מנותק, </w:t>
      </w:r>
      <w:r w:rsidRPr="009B7F64">
        <w:rPr>
          <w:rFonts w:asciiTheme="majorBidi" w:hAnsiTheme="majorBidi" w:cs="David"/>
          <w:rtl/>
        </w:rPr>
        <w:t>משרד הרווחה והשירותים החברתיים, שיחת טלפון, 13 אפריל 201</w:t>
      </w:r>
      <w:r w:rsidRPr="009B7F64">
        <w:rPr>
          <w:rFonts w:asciiTheme="majorBidi" w:hAnsiTheme="majorBidi" w:cs="David" w:hint="cs"/>
          <w:rtl/>
        </w:rPr>
        <w:t>5</w:t>
      </w:r>
      <w:r w:rsidRPr="009B7F64">
        <w:rPr>
          <w:rFonts w:asciiTheme="majorBidi" w:hAnsiTheme="majorBidi" w:cs="David"/>
          <w:rtl/>
        </w:rPr>
        <w:t>.</w:t>
      </w:r>
    </w:p>
  </w:footnote>
  <w:footnote w:id="396">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עיבוד הנתונים נעשה באגף מחקר, תכנון והכשרה, משרד הרווחה והשירותים החברתיים.</w:t>
      </w:r>
      <w:r w:rsidRPr="009B7F64">
        <w:rPr>
          <w:rFonts w:asciiTheme="majorBidi" w:hAnsiTheme="majorBidi" w:cs="David" w:hint="cs"/>
          <w:rtl/>
        </w:rPr>
        <w:t xml:space="preserve"> </w:t>
      </w:r>
      <w:r w:rsidRPr="009B7F64">
        <w:rPr>
          <w:rFonts w:asciiTheme="majorBidi" w:hAnsiTheme="majorBidi" w:cs="David"/>
          <w:rtl/>
        </w:rPr>
        <w:t xml:space="preserve">אהרון שבי, מנהל השירות לטיפול בהתמכרויות, אגף </w:t>
      </w:r>
      <w:r w:rsidRPr="009B7F64">
        <w:rPr>
          <w:rFonts w:asciiTheme="majorBidi" w:hAnsiTheme="majorBidi" w:cs="David" w:hint="cs"/>
          <w:rtl/>
        </w:rPr>
        <w:t xml:space="preserve">לשירותי </w:t>
      </w:r>
      <w:r w:rsidRPr="009B7F64">
        <w:rPr>
          <w:rFonts w:asciiTheme="majorBidi" w:hAnsiTheme="majorBidi" w:cs="David"/>
          <w:rtl/>
        </w:rPr>
        <w:t xml:space="preserve">תקון </w:t>
      </w:r>
      <w:r w:rsidRPr="009B7F64">
        <w:rPr>
          <w:rFonts w:asciiTheme="majorBidi" w:hAnsiTheme="majorBidi" w:cs="David" w:hint="cs"/>
          <w:rtl/>
        </w:rPr>
        <w:t xml:space="preserve">ונוער מנותק, </w:t>
      </w:r>
      <w:r w:rsidRPr="009B7F64">
        <w:rPr>
          <w:rFonts w:asciiTheme="majorBidi" w:hAnsiTheme="majorBidi" w:cs="David"/>
          <w:rtl/>
        </w:rPr>
        <w:t xml:space="preserve">משרד הרווחה והשירותים החברתיים, </w:t>
      </w:r>
      <w:r w:rsidRPr="009B7F64">
        <w:rPr>
          <w:rFonts w:asciiTheme="majorBidi" w:hAnsiTheme="majorBidi" w:cs="David" w:hint="cs"/>
          <w:rtl/>
        </w:rPr>
        <w:t>מכתב</w:t>
      </w:r>
      <w:r w:rsidRPr="009B7F64">
        <w:rPr>
          <w:rFonts w:asciiTheme="majorBidi" w:hAnsiTheme="majorBidi" w:cs="David"/>
          <w:rtl/>
        </w:rPr>
        <w:t>, 19 אפרי</w:t>
      </w:r>
      <w:r w:rsidRPr="009B7F64">
        <w:rPr>
          <w:rFonts w:asciiTheme="majorBidi" w:hAnsiTheme="majorBidi" w:cs="David" w:hint="cs"/>
          <w:rtl/>
        </w:rPr>
        <w:t>ל 2015</w:t>
      </w:r>
      <w:r w:rsidRPr="009B7F64">
        <w:rPr>
          <w:rFonts w:asciiTheme="majorBidi" w:hAnsiTheme="majorBidi" w:cs="David"/>
          <w:rtl/>
        </w:rPr>
        <w:t>.</w:t>
      </w:r>
    </w:p>
  </w:footnote>
  <w:footnote w:id="397">
    <w:p w:rsidR="006F5B1E" w:rsidRPr="009B7F64" w:rsidRDefault="006F5B1E"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משרד הרווחה והשירותים החברתיים, </w:t>
      </w:r>
      <w:hyperlink r:id="rId207" w:history="1">
        <w:r w:rsidRPr="009B7F64">
          <w:rPr>
            <w:rStyle w:val="Hyperlink"/>
            <w:rFonts w:asciiTheme="majorBidi" w:hAnsiTheme="majorBidi" w:cs="David"/>
            <w:rtl/>
          </w:rPr>
          <w:t>סקירת השירותים החברתיים 2013, אוכלוסיית המתמכרים לסמים, לאלכוהול ולהימורים</w:t>
        </w:r>
      </w:hyperlink>
      <w:r w:rsidRPr="009B7F64">
        <w:rPr>
          <w:rFonts w:asciiTheme="majorBidi" w:hAnsiTheme="majorBidi" w:cs="David"/>
          <w:rtl/>
        </w:rPr>
        <w:t>, 2014, עמ' 405-407.</w:t>
      </w:r>
    </w:p>
  </w:footnote>
  <w:footnote w:id="398">
    <w:p w:rsidR="006F5B1E" w:rsidRPr="009B7F64" w:rsidRDefault="006F5B1E"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עיבוד הנתונים נעשה באגף מחקר, תכנון והכשרה, משרד הרווחה והשירותים החברתיים.</w:t>
      </w:r>
      <w:r w:rsidRPr="009B7F64">
        <w:rPr>
          <w:rFonts w:asciiTheme="majorBidi" w:hAnsiTheme="majorBidi" w:cs="David" w:hint="cs"/>
          <w:rtl/>
        </w:rPr>
        <w:t xml:space="preserve"> </w:t>
      </w:r>
      <w:r w:rsidRPr="009B7F64">
        <w:rPr>
          <w:rFonts w:asciiTheme="majorBidi" w:hAnsiTheme="majorBidi" w:cs="David"/>
          <w:rtl/>
        </w:rPr>
        <w:t xml:space="preserve">אהרון שבי, מנהל השירות לטיפול בהתמכרויות, אגף </w:t>
      </w:r>
      <w:r w:rsidRPr="009B7F64">
        <w:rPr>
          <w:rFonts w:asciiTheme="majorBidi" w:hAnsiTheme="majorBidi" w:cs="David" w:hint="cs"/>
          <w:rtl/>
        </w:rPr>
        <w:t xml:space="preserve">לשירותי </w:t>
      </w:r>
      <w:r w:rsidRPr="009B7F64">
        <w:rPr>
          <w:rFonts w:asciiTheme="majorBidi" w:hAnsiTheme="majorBidi" w:cs="David"/>
          <w:rtl/>
        </w:rPr>
        <w:t xml:space="preserve">תקון </w:t>
      </w:r>
      <w:r w:rsidRPr="009B7F64">
        <w:rPr>
          <w:rFonts w:asciiTheme="majorBidi" w:hAnsiTheme="majorBidi" w:cs="David" w:hint="cs"/>
          <w:rtl/>
        </w:rPr>
        <w:t xml:space="preserve">ונוער מנותק, </w:t>
      </w:r>
      <w:r w:rsidRPr="009B7F64">
        <w:rPr>
          <w:rFonts w:asciiTheme="majorBidi" w:hAnsiTheme="majorBidi" w:cs="David"/>
          <w:rtl/>
        </w:rPr>
        <w:t xml:space="preserve">משרד הרווחה והשירותים החברתיים, </w:t>
      </w:r>
      <w:r w:rsidRPr="009B7F64">
        <w:rPr>
          <w:rFonts w:asciiTheme="majorBidi" w:hAnsiTheme="majorBidi" w:cs="David" w:hint="cs"/>
          <w:rtl/>
        </w:rPr>
        <w:t>מכתב</w:t>
      </w:r>
      <w:r w:rsidRPr="009B7F64">
        <w:rPr>
          <w:rFonts w:asciiTheme="majorBidi" w:hAnsiTheme="majorBidi" w:cs="David"/>
          <w:rtl/>
        </w:rPr>
        <w:t>, 19 אפרי</w:t>
      </w:r>
      <w:r w:rsidRPr="009B7F64">
        <w:rPr>
          <w:rFonts w:asciiTheme="majorBidi" w:hAnsiTheme="majorBidi" w:cs="David" w:hint="cs"/>
          <w:rtl/>
        </w:rPr>
        <w:t>ל 2015</w:t>
      </w:r>
      <w:r w:rsidRPr="009B7F64">
        <w:rPr>
          <w:rFonts w:asciiTheme="majorBidi" w:hAnsiTheme="majorBidi" w:cs="David"/>
          <w:rtl/>
        </w:rPr>
        <w:t>.</w:t>
      </w:r>
    </w:p>
  </w:footnote>
  <w:footnote w:id="399">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r w:rsidRPr="009B7F64">
        <w:rPr>
          <w:rFonts w:asciiTheme="majorBidi" w:hAnsiTheme="majorBidi" w:cs="David"/>
          <w:rtl/>
        </w:rPr>
        <w:t>.</w:t>
      </w:r>
    </w:p>
  </w:footnote>
  <w:footnote w:id="400">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ענת שגב, מרכזת הקשר כנסת-ממשלה באגף בכיר למחקר, תכנון והכשרה, משרד הרווחה והשירותים החברתיים, מכתב, 18 מרץ 2015</w:t>
      </w:r>
      <w:r w:rsidRPr="009B7F64">
        <w:rPr>
          <w:rFonts w:asciiTheme="majorBidi" w:hAnsiTheme="majorBidi" w:cs="David" w:hint="cs"/>
          <w:rtl/>
        </w:rPr>
        <w:t>.</w:t>
      </w:r>
      <w:r w:rsidRPr="009B7F64">
        <w:rPr>
          <w:rFonts w:asciiTheme="majorBidi" w:hAnsiTheme="majorBidi" w:cs="David"/>
          <w:rtl/>
        </w:rPr>
        <w:t xml:space="preserve"> אהרון שבי, מנהל השירות לטיפול בהתמכרויות, אגף </w:t>
      </w:r>
      <w:r w:rsidRPr="009B7F64">
        <w:rPr>
          <w:rFonts w:asciiTheme="majorBidi" w:hAnsiTheme="majorBidi" w:cs="David" w:hint="cs"/>
          <w:rtl/>
        </w:rPr>
        <w:t xml:space="preserve">לשירותי </w:t>
      </w:r>
      <w:r w:rsidRPr="009B7F64">
        <w:rPr>
          <w:rFonts w:asciiTheme="majorBidi" w:hAnsiTheme="majorBidi" w:cs="David"/>
          <w:rtl/>
        </w:rPr>
        <w:t xml:space="preserve">תקון </w:t>
      </w:r>
      <w:r w:rsidRPr="009B7F64">
        <w:rPr>
          <w:rFonts w:asciiTheme="majorBidi" w:hAnsiTheme="majorBidi" w:cs="David" w:hint="cs"/>
          <w:rtl/>
        </w:rPr>
        <w:t xml:space="preserve">ונוער מנותק, </w:t>
      </w:r>
      <w:r w:rsidRPr="009B7F64">
        <w:rPr>
          <w:rFonts w:asciiTheme="majorBidi" w:hAnsiTheme="majorBidi" w:cs="David"/>
          <w:rtl/>
        </w:rPr>
        <w:t xml:space="preserve">משרד הרווחה והשירותים החברתיים, שיחת טלפון, 13 אפריל </w:t>
      </w:r>
      <w:r w:rsidRPr="009B7F64">
        <w:rPr>
          <w:rFonts w:asciiTheme="majorBidi" w:hAnsiTheme="majorBidi" w:cs="David" w:hint="cs"/>
          <w:rtl/>
        </w:rPr>
        <w:t>2015, וכן שיחת טלפון, 31 במאי 2015.</w:t>
      </w:r>
    </w:p>
  </w:footnote>
  <w:footnote w:id="401">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הטיפול ביחידות אלו נמשך כשנה וחצי, והוא ניתן לאחר אבחון המטופל ובנייה של תוכנית טיפול פרטנית. בטיפול נערכות שיחות פרטניות וקבוצתיות וננקטות פעולות של התערבות משפחתית.</w:t>
      </w:r>
    </w:p>
  </w:footnote>
  <w:footnote w:id="402">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תפקידו של מרכז יום הוא לייצר עבור המטופל מסגרת יומית מובנית של טיפול ושיקום לאחר סיום הגמילה הגופנית ולהקנות לו כלים ועקרונות להשתלבות מחדש בחיי הבית, המשפחה והחברה. משך הטיפול המומלץ במרכז הוא בין חצי שנה לשנה.</w:t>
      </w:r>
    </w:p>
  </w:footnote>
  <w:footnote w:id="403">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במסגרת זו מטופלים גם נפגעי הימורים.</w:t>
      </w:r>
    </w:p>
  </w:footnote>
  <w:footnote w:id="404">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מתוכם 13 לגברים, ו- 3 לנשים.</w:t>
      </w:r>
    </w:p>
  </w:footnote>
  <w:footnote w:id="405">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קהילות טיפוליות הן מסגרות פנימייתיות שמקבלות מועמדים שעברו את תהליך הגמילה הגופנית אך אינם יכולים לעבור את תהליך הטיפול הפסיכוסוציאלי בביתם. הקהילות הטיפוליות מפעילות תוכניות טיפול ושיקום לטווח ארוך: עד שנה במסגרת הקהילה הטיפולית ועוד חצי שנה במסגרת הוסטל.</w:t>
      </w:r>
    </w:p>
  </w:footnote>
  <w:footnote w:id="406">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asciiTheme="majorBidi" w:hAnsiTheme="majorBidi" w:cs="David"/>
          <w:rtl/>
        </w:rPr>
        <w:t xml:space="preserve">ענת שגב, מרכזת הקשר כנסת-ממשלה באגף בכיר למחקר, תכנון והכשרה, משרד הרווחה והשירותים החברתיים, מכתב, </w:t>
      </w:r>
      <w:r w:rsidRPr="009B7F64">
        <w:rPr>
          <w:rFonts w:asciiTheme="majorBidi" w:hAnsiTheme="majorBidi" w:cs="David" w:hint="cs"/>
          <w:rtl/>
        </w:rPr>
        <w:t>2 ביוני</w:t>
      </w:r>
      <w:r w:rsidRPr="009B7F64">
        <w:rPr>
          <w:rFonts w:asciiTheme="majorBidi" w:hAnsiTheme="majorBidi" w:cs="David"/>
          <w:rtl/>
        </w:rPr>
        <w:t xml:space="preserve"> 2015</w:t>
      </w:r>
      <w:r w:rsidRPr="009B7F64">
        <w:rPr>
          <w:rFonts w:asciiTheme="majorBidi" w:hAnsiTheme="majorBidi" w:cs="David" w:hint="cs"/>
          <w:rtl/>
        </w:rPr>
        <w:t>.</w:t>
      </w:r>
    </w:p>
  </w:footnote>
  <w:footnote w:id="407">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בשיתוף משרד העלייה, הקליטה והתפוצות.</w:t>
      </w:r>
    </w:p>
  </w:footnote>
  <w:footnote w:id="408">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נועם גלעדי, אגף החשב הכללי במשרד האוצר, דואר אלקטרוני, 9 מרץ 2015.</w:t>
      </w:r>
    </w:p>
  </w:footnote>
  <w:footnote w:id="409">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משרד האוצר – החשב הכללי, </w:t>
      </w:r>
      <w:r w:rsidRPr="009B7F64">
        <w:rPr>
          <w:rFonts w:asciiTheme="majorBidi" w:hAnsiTheme="majorBidi" w:cs="David"/>
          <w:u w:val="single"/>
          <w:rtl/>
        </w:rPr>
        <w:t>ספר התקציב</w:t>
      </w:r>
      <w:r w:rsidRPr="009B7F64">
        <w:rPr>
          <w:rFonts w:asciiTheme="majorBidi" w:hAnsiTheme="majorBidi" w:cs="David"/>
          <w:rtl/>
        </w:rPr>
        <w:t xml:space="preserve">, </w:t>
      </w:r>
      <w:hyperlink r:id="rId208" w:history="1">
        <w:r w:rsidRPr="009B7F64">
          <w:rPr>
            <w:rStyle w:val="Hyperlink"/>
            <w:rFonts w:asciiTheme="majorBidi" w:hAnsiTheme="majorBidi" w:cs="David"/>
            <w:rtl/>
          </w:rPr>
          <w:t>ביצוע תקציב מפורט לפי תקנות לשנים 2013-2008</w:t>
        </w:r>
      </w:hyperlink>
      <w:r w:rsidRPr="009B7F64">
        <w:rPr>
          <w:rFonts w:asciiTheme="majorBidi" w:hAnsiTheme="majorBidi" w:cs="David"/>
          <w:rtl/>
        </w:rPr>
        <w:t>, סעיף 00231125. תאריך כניסה: 3 מאי 2015;</w:t>
      </w:r>
      <w:r w:rsidRPr="009B7F64">
        <w:rPr>
          <w:rFonts w:asciiTheme="majorBidi" w:hAnsiTheme="majorBidi" w:cs="David"/>
        </w:rPr>
        <w:t xml:space="preserve"> </w:t>
      </w:r>
      <w:r w:rsidRPr="009B7F64">
        <w:rPr>
          <w:rFonts w:asciiTheme="majorBidi" w:hAnsiTheme="majorBidi" w:cs="David"/>
          <w:rtl/>
        </w:rPr>
        <w:t xml:space="preserve"> נתוני 2014 נמסרו מנועם גלעדי, אגף החשב הכללי במשרד האוצר, דואר אלקטרוני, 9 מרץ 2015.</w:t>
      </w:r>
    </w:p>
  </w:footnote>
  <w:footnote w:id="410">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להרחבה בנוגע לפעילותה </w:t>
      </w:r>
      <w:r w:rsidRPr="009B7F64">
        <w:rPr>
          <w:rFonts w:asciiTheme="majorBidi" w:hAnsiTheme="majorBidi" w:cs="David" w:hint="cs"/>
          <w:rtl/>
        </w:rPr>
        <w:t xml:space="preserve">הכללית </w:t>
      </w:r>
      <w:r w:rsidRPr="009B7F64">
        <w:rPr>
          <w:rFonts w:asciiTheme="majorBidi" w:hAnsiTheme="majorBidi" w:cs="David"/>
          <w:rtl/>
        </w:rPr>
        <w:t xml:space="preserve">של תכנית זו </w:t>
      </w:r>
      <w:r w:rsidRPr="009B7F64">
        <w:rPr>
          <w:rFonts w:asciiTheme="majorBidi" w:hAnsiTheme="majorBidi" w:cs="David" w:hint="cs"/>
          <w:rtl/>
        </w:rPr>
        <w:t xml:space="preserve">ראו מריה רבינוביץ', </w:t>
      </w:r>
      <w:r w:rsidRPr="009B7F64">
        <w:rPr>
          <w:rFonts w:asciiTheme="majorBidi" w:hAnsiTheme="majorBidi" w:cs="David" w:hint="cs"/>
          <w:u w:val="single"/>
          <w:rtl/>
        </w:rPr>
        <w:t>סוגיות מרכזיות בעבודת הוועדה לזכויות הילד</w:t>
      </w:r>
      <w:r w:rsidRPr="009B7F64">
        <w:rPr>
          <w:rFonts w:asciiTheme="majorBidi" w:hAnsiTheme="majorBidi" w:cs="David" w:hint="cs"/>
          <w:rtl/>
        </w:rPr>
        <w:t>, מרכז המחקר והמידע של הכנסת, 28 במאי 2015, עמ' 25.</w:t>
      </w:r>
    </w:p>
  </w:footnote>
  <w:footnote w:id="411">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משרד הרווחה והשירותים החברתיים, </w:t>
      </w:r>
      <w:hyperlink r:id="rId209" w:history="1">
        <w:r w:rsidRPr="009B7F64">
          <w:rPr>
            <w:rStyle w:val="Hyperlink"/>
            <w:rFonts w:asciiTheme="majorBidi" w:hAnsiTheme="majorBidi" w:cs="David"/>
            <w:rtl/>
          </w:rPr>
          <w:t>התוכנית הלאומית לילדים ובני-נוער בסיכון</w:t>
        </w:r>
      </w:hyperlink>
      <w:r w:rsidRPr="009B7F64">
        <w:rPr>
          <w:rFonts w:asciiTheme="majorBidi" w:hAnsiTheme="majorBidi" w:cs="David"/>
          <w:rtl/>
        </w:rPr>
        <w:t>, תאריך כניסה: 31 במרץ 2015.</w:t>
      </w:r>
    </w:p>
  </w:footnote>
  <w:footnote w:id="412">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החלטת ממשלה מס' 477, </w:t>
      </w:r>
      <w:hyperlink r:id="rId210" w:history="1">
        <w:r w:rsidRPr="009B7F64">
          <w:rPr>
            <w:rStyle w:val="Hyperlink"/>
            <w:rFonts w:asciiTheme="majorBidi" w:hAnsiTheme="majorBidi" w:cs="David"/>
            <w:rtl/>
          </w:rPr>
          <w:t>אימוץ דין וחשבון הוועדה הציבורית לבדיקת מצבם של ילדים ובני-נוער בסיכון ובמצוקה</w:t>
        </w:r>
      </w:hyperlink>
      <w:r w:rsidRPr="009B7F64">
        <w:rPr>
          <w:rFonts w:asciiTheme="majorBidi" w:hAnsiTheme="majorBidi" w:cs="David"/>
          <w:rtl/>
        </w:rPr>
        <w:t xml:space="preserve">, 12 בספטמבר 2006. </w:t>
      </w:r>
    </w:p>
  </w:footnote>
  <w:footnote w:id="413">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משרד הרווחה והשירותים החברתיים, </w:t>
      </w:r>
      <w:hyperlink r:id="rId211" w:history="1">
        <w:r w:rsidRPr="009B7F64">
          <w:rPr>
            <w:rStyle w:val="Hyperlink"/>
            <w:rFonts w:asciiTheme="majorBidi" w:hAnsiTheme="majorBidi" w:cs="David"/>
            <w:rtl/>
          </w:rPr>
          <w:t>דוח הוועדה הציבורית לבדיקת מצבם של ילדים ובני-נוער בסיכון ובמצוקה</w:t>
        </w:r>
      </w:hyperlink>
      <w:r w:rsidRPr="009B7F64">
        <w:rPr>
          <w:rFonts w:asciiTheme="majorBidi" w:hAnsiTheme="majorBidi" w:cs="David"/>
          <w:rtl/>
        </w:rPr>
        <w:t>, מרס 2006.</w:t>
      </w:r>
    </w:p>
  </w:footnote>
  <w:footnote w:id="414">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החלטת ממשלה מס' 3070, </w:t>
      </w:r>
      <w:hyperlink r:id="rId212" w:history="1">
        <w:r w:rsidRPr="009B7F64">
          <w:rPr>
            <w:rStyle w:val="Hyperlink"/>
            <w:rFonts w:asciiTheme="majorBidi" w:hAnsiTheme="majorBidi" w:cs="David"/>
            <w:rtl/>
          </w:rPr>
          <w:t>טיפול בנוער בסיכון</w:t>
        </w:r>
      </w:hyperlink>
      <w:r w:rsidRPr="009B7F64">
        <w:rPr>
          <w:rFonts w:asciiTheme="majorBidi" w:hAnsiTheme="majorBidi" w:cs="David"/>
          <w:rtl/>
        </w:rPr>
        <w:t>, 3 בפברואר 2008.</w:t>
      </w:r>
    </w:p>
  </w:footnote>
  <w:footnote w:id="415">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משרד הרווחה והשירותים החברתיים, </w:t>
      </w:r>
      <w:hyperlink r:id="rId213" w:history="1">
        <w:r w:rsidRPr="009B7F64">
          <w:rPr>
            <w:rStyle w:val="Hyperlink"/>
            <w:rFonts w:asciiTheme="majorBidi" w:hAnsiTheme="majorBidi" w:cs="David"/>
            <w:rtl/>
          </w:rPr>
          <w:t>הגדרת הסיכון והמצוקה מתוך "דין וחשבון הועדה הציבורית לבדיקת מצבם של ילדים ובני נוער בסיכון ובסכנה" בראשות פרופ' הלל שמיד, מרס 2006</w:t>
        </w:r>
      </w:hyperlink>
      <w:r w:rsidRPr="009B7F64">
        <w:rPr>
          <w:rFonts w:asciiTheme="majorBidi" w:hAnsiTheme="majorBidi" w:cs="David" w:hint="cs"/>
          <w:rtl/>
        </w:rPr>
        <w:t>.</w:t>
      </w:r>
      <w:r w:rsidRPr="009B7F64">
        <w:rPr>
          <w:rFonts w:asciiTheme="majorBidi" w:hAnsiTheme="majorBidi" w:cs="David"/>
          <w:rtl/>
        </w:rPr>
        <w:t xml:space="preserve"> תאריך כניסה: 1 באפריל 2015.</w:t>
      </w:r>
    </w:p>
  </w:footnote>
  <w:footnote w:id="416">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משרד הרווחה והשירותים החברתיים, </w:t>
      </w:r>
      <w:hyperlink r:id="rId214" w:history="1">
        <w:r w:rsidRPr="009B7F64">
          <w:rPr>
            <w:rStyle w:val="Hyperlink"/>
            <w:rFonts w:asciiTheme="majorBidi" w:hAnsiTheme="majorBidi" w:cs="David"/>
            <w:rtl/>
          </w:rPr>
          <w:t>התוכנית הלאומית לילדים ובני-נוער בסיכון: היישובים המשתתפים בתוכנית</w:t>
        </w:r>
      </w:hyperlink>
      <w:r w:rsidRPr="009B7F64">
        <w:rPr>
          <w:rFonts w:asciiTheme="majorBidi" w:hAnsiTheme="majorBidi" w:cs="David"/>
          <w:rtl/>
        </w:rPr>
        <w:t>, תאריך כניסה: 31 במרץ 2015.</w:t>
      </w:r>
    </w:p>
  </w:footnote>
  <w:footnote w:id="417">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 xml:space="preserve">מריה רבינוביץ', </w:t>
      </w:r>
      <w:r w:rsidRPr="009B7F64">
        <w:rPr>
          <w:rFonts w:asciiTheme="majorBidi" w:hAnsiTheme="majorBidi" w:cs="David" w:hint="cs"/>
          <w:u w:val="single"/>
          <w:rtl/>
        </w:rPr>
        <w:t>סוגיות מרכזיות בעבודת הוועדה לזכויות הילד</w:t>
      </w:r>
      <w:r w:rsidRPr="009B7F64">
        <w:rPr>
          <w:rFonts w:asciiTheme="majorBidi" w:hAnsiTheme="majorBidi" w:cs="David" w:hint="cs"/>
          <w:rtl/>
        </w:rPr>
        <w:t>, מרכז המחקר והמידע של הכנסת, 28 במאי 2015, עמ' 26.</w:t>
      </w:r>
    </w:p>
  </w:footnote>
  <w:footnote w:id="418">
    <w:p w:rsidR="00FE2909" w:rsidRPr="009B7F64" w:rsidRDefault="00FE2909" w:rsidP="00CD1DB5">
      <w:pPr>
        <w:pStyle w:val="a9"/>
        <w:spacing w:after="0" w:line="276" w:lineRule="auto"/>
        <w:rPr>
          <w:rFonts w:asciiTheme="majorBidi" w:hAnsiTheme="majorBidi" w:cs="David"/>
          <w:rtl/>
        </w:rPr>
      </w:pPr>
      <w:r w:rsidRPr="009B7F64">
        <w:rPr>
          <w:rStyle w:val="ab"/>
          <w:rFonts w:asciiTheme="majorBidi" w:hAnsiTheme="majorBidi" w:cs="David"/>
        </w:rPr>
        <w:footnoteRef/>
      </w:r>
      <w:r w:rsidRPr="009B7F64">
        <w:rPr>
          <w:rFonts w:asciiTheme="majorBidi" w:hAnsiTheme="majorBidi" w:cs="David"/>
          <w:rtl/>
        </w:rPr>
        <w:t xml:space="preserve"> מריה רבינוביץ' ושירי בס-ספקטור</w:t>
      </w:r>
      <w:r w:rsidRPr="009B7F64">
        <w:rPr>
          <w:rFonts w:asciiTheme="majorBidi" w:hAnsiTheme="majorBidi" w:cs="David" w:hint="cs"/>
          <w:rtl/>
        </w:rPr>
        <w:t xml:space="preserve">, </w:t>
      </w:r>
      <w:r w:rsidRPr="009B7F64">
        <w:rPr>
          <w:rFonts w:asciiTheme="majorBidi" w:hAnsiTheme="majorBidi" w:cs="David"/>
          <w:u w:val="single"/>
          <w:rtl/>
        </w:rPr>
        <w:t>שירותי רווחה לנערות ולצעירות בסיכון ובמצוקה ברשויות מקומיות</w:t>
      </w:r>
      <w:r w:rsidRPr="009B7F64">
        <w:rPr>
          <w:rFonts w:asciiTheme="majorBidi" w:hAnsiTheme="majorBidi" w:cs="David"/>
          <w:rtl/>
        </w:rPr>
        <w:t xml:space="preserve">, </w:t>
      </w:r>
      <w:r w:rsidRPr="009B7F64">
        <w:rPr>
          <w:rFonts w:asciiTheme="majorBidi" w:hAnsiTheme="majorBidi" w:cs="David" w:hint="cs"/>
          <w:rtl/>
        </w:rPr>
        <w:t>מרכז המחקר והמידע של הכנסת</w:t>
      </w:r>
      <w:r w:rsidRPr="009B7F64">
        <w:rPr>
          <w:rFonts w:asciiTheme="majorBidi" w:hAnsiTheme="majorBidi" w:cs="David"/>
          <w:rtl/>
        </w:rPr>
        <w:t>, 4 במרץ 2014.</w:t>
      </w:r>
    </w:p>
  </w:footnote>
  <w:footnote w:id="419">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 xml:space="preserve">מריה רבינוביץ', </w:t>
      </w:r>
      <w:r w:rsidRPr="009B7F64">
        <w:rPr>
          <w:rFonts w:asciiTheme="majorBidi" w:hAnsiTheme="majorBidi" w:cs="David" w:hint="cs"/>
          <w:u w:val="single"/>
          <w:rtl/>
        </w:rPr>
        <w:t>סוגיות מרכזיות בעבודת הוועדה לזכויות הילד</w:t>
      </w:r>
      <w:r w:rsidRPr="009B7F64">
        <w:rPr>
          <w:rFonts w:asciiTheme="majorBidi" w:hAnsiTheme="majorBidi" w:cs="David" w:hint="cs"/>
          <w:rtl/>
        </w:rPr>
        <w:t>, מרכז המחקר והמידע של הכנסת, 28 במאי 2015, עמ' 27.</w:t>
      </w:r>
    </w:p>
  </w:footnote>
  <w:footnote w:id="420">
    <w:p w:rsidR="00FE2909" w:rsidRPr="009B7F64" w:rsidRDefault="00FE2909" w:rsidP="00CD1DB5">
      <w:pPr>
        <w:pStyle w:val="a9"/>
        <w:spacing w:after="0" w:line="276" w:lineRule="auto"/>
        <w:rPr>
          <w:rFonts w:cs="David"/>
        </w:rPr>
      </w:pPr>
      <w:r w:rsidRPr="009B7F64">
        <w:rPr>
          <w:rStyle w:val="ab"/>
          <w:rFonts w:cs="David"/>
        </w:rPr>
        <w:footnoteRef/>
      </w:r>
      <w:r w:rsidRPr="009B7F64">
        <w:rPr>
          <w:rFonts w:cs="David"/>
          <w:rtl/>
        </w:rPr>
        <w:t xml:space="preserve"> </w:t>
      </w:r>
      <w:r w:rsidRPr="009B7F64">
        <w:rPr>
          <w:rFonts w:cs="David" w:hint="cs"/>
          <w:rtl/>
        </w:rPr>
        <w:t xml:space="preserve">קרן רוט איטח, מנהלת היחידה למניעת סמים, אלכוהול וטבק, השרות הפסיכולוגי ייעוצי, משרד החינוך, מכתב, </w:t>
      </w:r>
      <w:r w:rsidRPr="009B7F64">
        <w:rPr>
          <w:rFonts w:cs="David"/>
          <w:rtl/>
        </w:rPr>
        <w:t>3 מרץ 2015</w:t>
      </w:r>
      <w:r w:rsidRPr="009B7F64">
        <w:rPr>
          <w:rFonts w:cs="David" w:hint="cs"/>
          <w:rtl/>
        </w:rPr>
        <w:t>.</w:t>
      </w:r>
    </w:p>
  </w:footnote>
  <w:footnote w:id="421">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קרן רוט איטח, מנהלת היחידה למניעת סמים, אלכוהול וטבק שבשרות הפיסוכלוגי הייעוצי, משרד החינוך, שיחת טלפון, 22 מרץ 2015; שיחת טלפון, 1 אפריל 2015.</w:t>
      </w:r>
    </w:p>
  </w:footnote>
  <w:footnote w:id="422">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r w:rsidRPr="009B7F64">
        <w:rPr>
          <w:rFonts w:asciiTheme="majorBidi" w:hAnsiTheme="majorBidi" w:cs="David"/>
          <w:rtl/>
        </w:rPr>
        <w:t>.</w:t>
      </w:r>
    </w:p>
  </w:footnote>
  <w:footnote w:id="423">
    <w:p w:rsidR="00FE2909" w:rsidRPr="009B7F64" w:rsidRDefault="00FE2909" w:rsidP="00CD1DB5">
      <w:pPr>
        <w:pStyle w:val="a9"/>
        <w:spacing w:after="0" w:line="276" w:lineRule="auto"/>
        <w:rPr>
          <w:rFonts w:asciiTheme="majorBidi" w:hAnsiTheme="majorBidi" w:cs="David"/>
        </w:rPr>
      </w:pPr>
      <w:r w:rsidRPr="009B7F64">
        <w:rPr>
          <w:rStyle w:val="ab"/>
          <w:rFonts w:asciiTheme="majorBidi" w:hAnsiTheme="majorBidi" w:cs="David"/>
        </w:rPr>
        <w:footnoteRef/>
      </w:r>
      <w:r w:rsidRPr="009B7F64">
        <w:rPr>
          <w:rFonts w:asciiTheme="majorBidi" w:hAnsiTheme="majorBidi" w:cs="David"/>
          <w:rtl/>
        </w:rPr>
        <w:t xml:space="preserve"> </w:t>
      </w:r>
      <w:r w:rsidRPr="009B7F64">
        <w:rPr>
          <w:rFonts w:asciiTheme="majorBidi" w:hAnsiTheme="majorBidi" w:cs="David" w:hint="cs"/>
          <w:rtl/>
        </w:rPr>
        <w:t>שם.</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36AC" w:rsidRDefault="00B836AC">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36AC" w:rsidRDefault="00B836AC">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36AC" w:rsidRDefault="00B836AC">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906"/>
    <w:multiLevelType w:val="hybridMultilevel"/>
    <w:tmpl w:val="DD720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50846"/>
    <w:multiLevelType w:val="hybridMultilevel"/>
    <w:tmpl w:val="63DC46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0C7B31"/>
    <w:multiLevelType w:val="hybridMultilevel"/>
    <w:tmpl w:val="CBA287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6C73AA"/>
    <w:multiLevelType w:val="hybridMultilevel"/>
    <w:tmpl w:val="37BED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3E13D4"/>
    <w:multiLevelType w:val="hybridMultilevel"/>
    <w:tmpl w:val="953EF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C81DEB"/>
    <w:multiLevelType w:val="hybridMultilevel"/>
    <w:tmpl w:val="8C0E59B8"/>
    <w:lvl w:ilvl="0" w:tplc="48787E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62179C"/>
    <w:multiLevelType w:val="hybridMultilevel"/>
    <w:tmpl w:val="74AE9146"/>
    <w:lvl w:ilvl="0" w:tplc="882A1C8E">
      <w:start w:val="1"/>
      <w:numFmt w:val="decimal"/>
      <w:pStyle w:val="a"/>
      <w:lvlText w:val="%1."/>
      <w:lvlJc w:val="left"/>
      <w:pPr>
        <w:tabs>
          <w:tab w:val="num" w:pos="720"/>
        </w:tabs>
        <w:ind w:left="720" w:right="720" w:hanging="360"/>
      </w:pPr>
    </w:lvl>
    <w:lvl w:ilvl="1" w:tplc="09208C30">
      <w:start w:val="1"/>
      <w:numFmt w:val="decimal"/>
      <w:lvlText w:val="(%2)"/>
      <w:lvlJc w:val="left"/>
      <w:pPr>
        <w:tabs>
          <w:tab w:val="num" w:pos="720"/>
        </w:tabs>
        <w:ind w:left="720" w:right="72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814699D"/>
    <w:multiLevelType w:val="hybridMultilevel"/>
    <w:tmpl w:val="12D86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794F4A"/>
    <w:multiLevelType w:val="hybridMultilevel"/>
    <w:tmpl w:val="C10A28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901965"/>
    <w:multiLevelType w:val="hybridMultilevel"/>
    <w:tmpl w:val="54FE2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841A14"/>
    <w:multiLevelType w:val="hybridMultilevel"/>
    <w:tmpl w:val="8EF6E12E"/>
    <w:lvl w:ilvl="0" w:tplc="68C0F6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5504CE"/>
    <w:multiLevelType w:val="hybridMultilevel"/>
    <w:tmpl w:val="0870F7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E05433D"/>
    <w:multiLevelType w:val="hybridMultilevel"/>
    <w:tmpl w:val="8CDEC890"/>
    <w:lvl w:ilvl="0" w:tplc="01EC2378">
      <w:start w:val="1"/>
      <w:numFmt w:val="bullet"/>
      <w:lvlText w:val=""/>
      <w:lvlJc w:val="left"/>
      <w:pPr>
        <w:ind w:left="724"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30537A"/>
    <w:multiLevelType w:val="hybridMultilevel"/>
    <w:tmpl w:val="7DEAF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3367FD"/>
    <w:multiLevelType w:val="hybridMultilevel"/>
    <w:tmpl w:val="56D22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D37492"/>
    <w:multiLevelType w:val="hybridMultilevel"/>
    <w:tmpl w:val="B722101E"/>
    <w:lvl w:ilvl="0" w:tplc="01EC2378">
      <w:start w:val="1"/>
      <w:numFmt w:val="bullet"/>
      <w:lvlText w:val=""/>
      <w:lvlJc w:val="left"/>
      <w:pPr>
        <w:ind w:left="724"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597D40"/>
    <w:multiLevelType w:val="multilevel"/>
    <w:tmpl w:val="83E6A498"/>
    <w:lvl w:ilvl="0">
      <w:start w:val="1"/>
      <w:numFmt w:val="decimal"/>
      <w:pStyle w:val="1"/>
      <w:suff w:val="space"/>
      <w:lvlText w:val="%1."/>
      <w:lvlJc w:val="left"/>
      <w:pPr>
        <w:ind w:left="360" w:right="14" w:hanging="360"/>
      </w:pPr>
      <w:rPr>
        <w:rFonts w:hint="default"/>
      </w:rPr>
    </w:lvl>
    <w:lvl w:ilvl="1">
      <w:start w:val="1"/>
      <w:numFmt w:val="decimal"/>
      <w:pStyle w:val="11"/>
      <w:suff w:val="space"/>
      <w:lvlText w:val="%1.%2."/>
      <w:lvlJc w:val="left"/>
      <w:pPr>
        <w:ind w:left="357" w:right="11" w:hanging="357"/>
      </w:pPr>
      <w:rPr>
        <w:rFonts w:hint="default"/>
        <w:sz w:val="28"/>
        <w:szCs w:val="28"/>
      </w:rPr>
    </w:lvl>
    <w:lvl w:ilvl="2">
      <w:start w:val="1"/>
      <w:numFmt w:val="decimal"/>
      <w:pStyle w:val="111"/>
      <w:suff w:val="space"/>
      <w:lvlText w:val="%1.%2.%3."/>
      <w:lvlJc w:val="left"/>
      <w:pPr>
        <w:ind w:left="717" w:right="11" w:hanging="357"/>
      </w:pPr>
      <w:rPr>
        <w:rFonts w:hint="default"/>
      </w:rPr>
    </w:lvl>
    <w:lvl w:ilvl="3">
      <w:start w:val="1"/>
      <w:numFmt w:val="decimal"/>
      <w:lvlText w:val="%1.%2.%3.%4."/>
      <w:lvlJc w:val="left"/>
      <w:pPr>
        <w:tabs>
          <w:tab w:val="num" w:pos="2534"/>
        </w:tabs>
        <w:ind w:left="1382" w:right="1382" w:hanging="648"/>
      </w:pPr>
      <w:rPr>
        <w:rFonts w:hint="default"/>
      </w:rPr>
    </w:lvl>
    <w:lvl w:ilvl="4">
      <w:start w:val="1"/>
      <w:numFmt w:val="decimal"/>
      <w:lvlText w:val="%1.%2.%3.%4.%5."/>
      <w:lvlJc w:val="left"/>
      <w:pPr>
        <w:tabs>
          <w:tab w:val="num" w:pos="2174"/>
        </w:tabs>
        <w:ind w:left="1886" w:right="1886" w:hanging="792"/>
      </w:pPr>
      <w:rPr>
        <w:rFonts w:hint="default"/>
      </w:rPr>
    </w:lvl>
    <w:lvl w:ilvl="5">
      <w:start w:val="1"/>
      <w:numFmt w:val="decimal"/>
      <w:lvlText w:val="%1.%2.%3.%4.%5.%6."/>
      <w:lvlJc w:val="left"/>
      <w:pPr>
        <w:tabs>
          <w:tab w:val="num" w:pos="2534"/>
        </w:tabs>
        <w:ind w:left="2390" w:right="2390" w:hanging="936"/>
      </w:pPr>
      <w:rPr>
        <w:rFonts w:hint="default"/>
      </w:rPr>
    </w:lvl>
    <w:lvl w:ilvl="6">
      <w:start w:val="1"/>
      <w:numFmt w:val="decimal"/>
      <w:lvlText w:val="%1.%2.%3.%4.%5.%6.%7."/>
      <w:lvlJc w:val="left"/>
      <w:pPr>
        <w:tabs>
          <w:tab w:val="num" w:pos="3254"/>
        </w:tabs>
        <w:ind w:left="2894" w:right="2894" w:hanging="1080"/>
      </w:pPr>
      <w:rPr>
        <w:rFonts w:hint="default"/>
      </w:rPr>
    </w:lvl>
    <w:lvl w:ilvl="7">
      <w:start w:val="1"/>
      <w:numFmt w:val="decimal"/>
      <w:lvlText w:val="%1.%2.%3.%4.%5.%6.%7.%8."/>
      <w:lvlJc w:val="left"/>
      <w:pPr>
        <w:tabs>
          <w:tab w:val="num" w:pos="3614"/>
        </w:tabs>
        <w:ind w:left="3398" w:right="3398" w:hanging="1224"/>
      </w:pPr>
      <w:rPr>
        <w:rFonts w:hint="default"/>
      </w:rPr>
    </w:lvl>
    <w:lvl w:ilvl="8">
      <w:start w:val="1"/>
      <w:numFmt w:val="decimal"/>
      <w:lvlText w:val="%1.%2.%3.%4.%5.%6.%7.%8.%9."/>
      <w:lvlJc w:val="left"/>
      <w:pPr>
        <w:tabs>
          <w:tab w:val="num" w:pos="4334"/>
        </w:tabs>
        <w:ind w:left="3974" w:right="3974" w:hanging="1440"/>
      </w:pPr>
      <w:rPr>
        <w:rFonts w:hint="default"/>
      </w:rPr>
    </w:lvl>
  </w:abstractNum>
  <w:abstractNum w:abstractNumId="17" w15:restartNumberingAfterBreak="0">
    <w:nsid w:val="361E6B74"/>
    <w:multiLevelType w:val="hybridMultilevel"/>
    <w:tmpl w:val="0E647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0B15E9"/>
    <w:multiLevelType w:val="hybridMultilevel"/>
    <w:tmpl w:val="4CACE26E"/>
    <w:lvl w:ilvl="0" w:tplc="01EC2378">
      <w:start w:val="1"/>
      <w:numFmt w:val="bullet"/>
      <w:lvlText w:val=""/>
      <w:lvlJc w:val="left"/>
      <w:pPr>
        <w:ind w:left="724"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087092"/>
    <w:multiLevelType w:val="hybridMultilevel"/>
    <w:tmpl w:val="D0E8DC88"/>
    <w:lvl w:ilvl="0" w:tplc="01EC2378">
      <w:start w:val="1"/>
      <w:numFmt w:val="bullet"/>
      <w:lvlText w:val=""/>
      <w:lvlJc w:val="left"/>
      <w:pPr>
        <w:ind w:left="724"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365900"/>
    <w:multiLevelType w:val="hybridMultilevel"/>
    <w:tmpl w:val="2D7A1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4F619A"/>
    <w:multiLevelType w:val="hybridMultilevel"/>
    <w:tmpl w:val="37E4A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07623E"/>
    <w:multiLevelType w:val="hybridMultilevel"/>
    <w:tmpl w:val="4EC0A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C60011"/>
    <w:multiLevelType w:val="hybridMultilevel"/>
    <w:tmpl w:val="01EAD9BC"/>
    <w:lvl w:ilvl="0" w:tplc="A14C5026">
      <w:start w:val="1"/>
      <w:numFmt w:val="decimal"/>
      <w:lvlText w:val="%1."/>
      <w:lvlJc w:val="left"/>
      <w:pPr>
        <w:ind w:left="720" w:hanging="360"/>
      </w:pPr>
      <w:rPr>
        <w:rFonts w:cs="David"/>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F642EB"/>
    <w:multiLevelType w:val="hybridMultilevel"/>
    <w:tmpl w:val="1CC4D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2381359"/>
    <w:multiLevelType w:val="hybridMultilevel"/>
    <w:tmpl w:val="C3DEA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44E2BE0"/>
    <w:multiLevelType w:val="hybridMultilevel"/>
    <w:tmpl w:val="B44A1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645808"/>
    <w:multiLevelType w:val="hybridMultilevel"/>
    <w:tmpl w:val="1B30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F05162"/>
    <w:multiLevelType w:val="hybridMultilevel"/>
    <w:tmpl w:val="6924FD48"/>
    <w:lvl w:ilvl="0" w:tplc="01EC2378">
      <w:start w:val="1"/>
      <w:numFmt w:val="bullet"/>
      <w:lvlText w:val=""/>
      <w:lvlJc w:val="left"/>
      <w:pPr>
        <w:ind w:left="728" w:hanging="360"/>
      </w:pPr>
      <w:rPr>
        <w:rFonts w:ascii="Symbol" w:hAnsi="Symbol" w:hint="default"/>
        <w:sz w:val="24"/>
        <w:szCs w:val="24"/>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29" w15:restartNumberingAfterBreak="0">
    <w:nsid w:val="49C37FD6"/>
    <w:multiLevelType w:val="hybridMultilevel"/>
    <w:tmpl w:val="79AA0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7B6AD3"/>
    <w:multiLevelType w:val="hybridMultilevel"/>
    <w:tmpl w:val="369695AE"/>
    <w:lvl w:ilvl="0" w:tplc="9D707B58">
      <w:start w:val="1"/>
      <w:numFmt w:val="bullet"/>
      <w:lvlText w:val=""/>
      <w:lvlJc w:val="left"/>
      <w:pPr>
        <w:ind w:left="724"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076806"/>
    <w:multiLevelType w:val="hybridMultilevel"/>
    <w:tmpl w:val="982EB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EF020B"/>
    <w:multiLevelType w:val="hybridMultilevel"/>
    <w:tmpl w:val="2F9A8082"/>
    <w:lvl w:ilvl="0" w:tplc="01EC2378">
      <w:start w:val="1"/>
      <w:numFmt w:val="bullet"/>
      <w:lvlText w:val=""/>
      <w:lvlJc w:val="left"/>
      <w:pPr>
        <w:ind w:left="728" w:hanging="360"/>
      </w:pPr>
      <w:rPr>
        <w:rFonts w:ascii="Symbol" w:hAnsi="Symbol" w:hint="default"/>
        <w:sz w:val="24"/>
        <w:szCs w:val="24"/>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33" w15:restartNumberingAfterBreak="0">
    <w:nsid w:val="6D546F2B"/>
    <w:multiLevelType w:val="hybridMultilevel"/>
    <w:tmpl w:val="437C5704"/>
    <w:lvl w:ilvl="0" w:tplc="01EC2378">
      <w:start w:val="1"/>
      <w:numFmt w:val="bullet"/>
      <w:lvlText w:val=""/>
      <w:lvlJc w:val="left"/>
      <w:pPr>
        <w:ind w:left="724"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DA489E"/>
    <w:multiLevelType w:val="hybridMultilevel"/>
    <w:tmpl w:val="50565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C3714E7"/>
    <w:multiLevelType w:val="hybridMultilevel"/>
    <w:tmpl w:val="3EE8B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C604327"/>
    <w:multiLevelType w:val="hybridMultilevel"/>
    <w:tmpl w:val="FE5465E0"/>
    <w:lvl w:ilvl="0" w:tplc="F85097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604A05"/>
    <w:multiLevelType w:val="hybridMultilevel"/>
    <w:tmpl w:val="B8AC3720"/>
    <w:lvl w:ilvl="0" w:tplc="2C5E569C">
      <w:start w:val="1"/>
      <w:numFmt w:val="decimal"/>
      <w:lvlText w:val="%1."/>
      <w:lvlJc w:val="left"/>
      <w:pPr>
        <w:ind w:left="720" w:hanging="360"/>
      </w:pPr>
      <w:rPr>
        <w:rFonts w:cs="David"/>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8273CD"/>
    <w:multiLevelType w:val="hybridMultilevel"/>
    <w:tmpl w:val="A072BC8A"/>
    <w:lvl w:ilvl="0" w:tplc="01EC2378">
      <w:start w:val="1"/>
      <w:numFmt w:val="bullet"/>
      <w:lvlText w:val=""/>
      <w:lvlJc w:val="left"/>
      <w:pPr>
        <w:ind w:left="724" w:hanging="360"/>
      </w:pPr>
      <w:rPr>
        <w:rFonts w:ascii="Symbol" w:hAnsi="Symbol" w:hint="default"/>
        <w:sz w:val="24"/>
        <w:szCs w:val="24"/>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num w:numId="1">
    <w:abstractNumId w:val="16"/>
  </w:num>
  <w:num w:numId="2">
    <w:abstractNumId w:val="16"/>
  </w:num>
  <w:num w:numId="3">
    <w:abstractNumId w:val="16"/>
  </w:num>
  <w:num w:numId="4">
    <w:abstractNumId w:val="6"/>
  </w:num>
  <w:num w:numId="5">
    <w:abstractNumId w:val="2"/>
  </w:num>
  <w:num w:numId="6">
    <w:abstractNumId w:val="23"/>
  </w:num>
  <w:num w:numId="7">
    <w:abstractNumId w:val="37"/>
  </w:num>
  <w:num w:numId="8">
    <w:abstractNumId w:val="26"/>
  </w:num>
  <w:num w:numId="9">
    <w:abstractNumId w:val="3"/>
  </w:num>
  <w:num w:numId="10">
    <w:abstractNumId w:val="36"/>
  </w:num>
  <w:num w:numId="11">
    <w:abstractNumId w:val="10"/>
  </w:num>
  <w:num w:numId="12">
    <w:abstractNumId w:val="13"/>
  </w:num>
  <w:num w:numId="13">
    <w:abstractNumId w:val="5"/>
  </w:num>
  <w:num w:numId="14">
    <w:abstractNumId w:val="24"/>
  </w:num>
  <w:num w:numId="15">
    <w:abstractNumId w:val="25"/>
  </w:num>
  <w:num w:numId="16">
    <w:abstractNumId w:val="29"/>
  </w:num>
  <w:num w:numId="17">
    <w:abstractNumId w:val="0"/>
  </w:num>
  <w:num w:numId="18">
    <w:abstractNumId w:val="17"/>
  </w:num>
  <w:num w:numId="19">
    <w:abstractNumId w:val="21"/>
  </w:num>
  <w:num w:numId="20">
    <w:abstractNumId w:val="22"/>
  </w:num>
  <w:num w:numId="21">
    <w:abstractNumId w:val="31"/>
  </w:num>
  <w:num w:numId="22">
    <w:abstractNumId w:val="20"/>
  </w:num>
  <w:num w:numId="23">
    <w:abstractNumId w:val="1"/>
  </w:num>
  <w:num w:numId="24">
    <w:abstractNumId w:val="9"/>
  </w:num>
  <w:num w:numId="25">
    <w:abstractNumId w:val="34"/>
  </w:num>
  <w:num w:numId="26">
    <w:abstractNumId w:val="27"/>
  </w:num>
  <w:num w:numId="27">
    <w:abstractNumId w:val="8"/>
  </w:num>
  <w:num w:numId="28">
    <w:abstractNumId w:val="38"/>
  </w:num>
  <w:num w:numId="29">
    <w:abstractNumId w:val="30"/>
  </w:num>
  <w:num w:numId="30">
    <w:abstractNumId w:val="32"/>
  </w:num>
  <w:num w:numId="31">
    <w:abstractNumId w:val="18"/>
  </w:num>
  <w:num w:numId="32">
    <w:abstractNumId w:val="12"/>
  </w:num>
  <w:num w:numId="33">
    <w:abstractNumId w:val="28"/>
  </w:num>
  <w:num w:numId="34">
    <w:abstractNumId w:val="7"/>
  </w:num>
  <w:num w:numId="35">
    <w:abstractNumId w:val="33"/>
  </w:num>
  <w:num w:numId="36">
    <w:abstractNumId w:val="19"/>
  </w:num>
  <w:num w:numId="37">
    <w:abstractNumId w:val="15"/>
  </w:num>
  <w:num w:numId="38">
    <w:abstractNumId w:val="4"/>
  </w:num>
  <w:num w:numId="39">
    <w:abstractNumId w:val="11"/>
  </w:num>
  <w:num w:numId="40">
    <w:abstractNumId w:val="35"/>
  </w:num>
  <w:num w:numId="41">
    <w:abstractNumId w:val="1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fill="f" fillcolor="white" stroke="f">
      <v:fill color="white" on="f"/>
      <v:stroke on="f"/>
      <v:textbox inset=",,,1mm"/>
      <o:colormru v:ext="edit" colors="#eaeaea,#ddd,silver"/>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6"/>
    <w:rsid w:val="00000A06"/>
    <w:rsid w:val="00000ACC"/>
    <w:rsid w:val="00000D42"/>
    <w:rsid w:val="00001232"/>
    <w:rsid w:val="00001FD3"/>
    <w:rsid w:val="000022B8"/>
    <w:rsid w:val="00002423"/>
    <w:rsid w:val="0000333C"/>
    <w:rsid w:val="00003EB1"/>
    <w:rsid w:val="000042C1"/>
    <w:rsid w:val="000050A2"/>
    <w:rsid w:val="0000592F"/>
    <w:rsid w:val="00005ACC"/>
    <w:rsid w:val="00006749"/>
    <w:rsid w:val="000067EC"/>
    <w:rsid w:val="00006C99"/>
    <w:rsid w:val="000101B2"/>
    <w:rsid w:val="00010520"/>
    <w:rsid w:val="000106B3"/>
    <w:rsid w:val="00011636"/>
    <w:rsid w:val="00011A12"/>
    <w:rsid w:val="00011F64"/>
    <w:rsid w:val="00012F73"/>
    <w:rsid w:val="0001395A"/>
    <w:rsid w:val="00013DA5"/>
    <w:rsid w:val="000140A5"/>
    <w:rsid w:val="00014487"/>
    <w:rsid w:val="000151DA"/>
    <w:rsid w:val="00015BEA"/>
    <w:rsid w:val="00015D9E"/>
    <w:rsid w:val="000167B4"/>
    <w:rsid w:val="000167C5"/>
    <w:rsid w:val="00017A71"/>
    <w:rsid w:val="00021A7D"/>
    <w:rsid w:val="00021FE3"/>
    <w:rsid w:val="00022FED"/>
    <w:rsid w:val="00023079"/>
    <w:rsid w:val="00023B3A"/>
    <w:rsid w:val="000240DC"/>
    <w:rsid w:val="00024437"/>
    <w:rsid w:val="000244C9"/>
    <w:rsid w:val="00025A3D"/>
    <w:rsid w:val="00025A7A"/>
    <w:rsid w:val="00025BF8"/>
    <w:rsid w:val="00025ECE"/>
    <w:rsid w:val="000262DA"/>
    <w:rsid w:val="000269A7"/>
    <w:rsid w:val="00026BCE"/>
    <w:rsid w:val="00027978"/>
    <w:rsid w:val="000279C7"/>
    <w:rsid w:val="00027D11"/>
    <w:rsid w:val="00027FAF"/>
    <w:rsid w:val="000307BD"/>
    <w:rsid w:val="00030AE4"/>
    <w:rsid w:val="00030C71"/>
    <w:rsid w:val="00032845"/>
    <w:rsid w:val="00032865"/>
    <w:rsid w:val="00032B1F"/>
    <w:rsid w:val="00032D97"/>
    <w:rsid w:val="000337B7"/>
    <w:rsid w:val="00033CB4"/>
    <w:rsid w:val="00033DBB"/>
    <w:rsid w:val="00033EBE"/>
    <w:rsid w:val="0003433B"/>
    <w:rsid w:val="00034515"/>
    <w:rsid w:val="00034B54"/>
    <w:rsid w:val="00035622"/>
    <w:rsid w:val="000357AE"/>
    <w:rsid w:val="00036B8D"/>
    <w:rsid w:val="00036FB0"/>
    <w:rsid w:val="000371E2"/>
    <w:rsid w:val="00037BED"/>
    <w:rsid w:val="00037C38"/>
    <w:rsid w:val="00040498"/>
    <w:rsid w:val="000405D6"/>
    <w:rsid w:val="000408AC"/>
    <w:rsid w:val="000408BE"/>
    <w:rsid w:val="00040915"/>
    <w:rsid w:val="00041D1D"/>
    <w:rsid w:val="000424B4"/>
    <w:rsid w:val="00043174"/>
    <w:rsid w:val="000436BA"/>
    <w:rsid w:val="00043AED"/>
    <w:rsid w:val="00044ECB"/>
    <w:rsid w:val="000457A3"/>
    <w:rsid w:val="00046025"/>
    <w:rsid w:val="00046201"/>
    <w:rsid w:val="00046299"/>
    <w:rsid w:val="000462DA"/>
    <w:rsid w:val="000472E5"/>
    <w:rsid w:val="00047D21"/>
    <w:rsid w:val="000506AE"/>
    <w:rsid w:val="00051057"/>
    <w:rsid w:val="00051114"/>
    <w:rsid w:val="000514D9"/>
    <w:rsid w:val="00051CBE"/>
    <w:rsid w:val="00051F0E"/>
    <w:rsid w:val="00051FB4"/>
    <w:rsid w:val="00052E56"/>
    <w:rsid w:val="000536D4"/>
    <w:rsid w:val="00053739"/>
    <w:rsid w:val="00054005"/>
    <w:rsid w:val="00054014"/>
    <w:rsid w:val="00054883"/>
    <w:rsid w:val="000548B8"/>
    <w:rsid w:val="00054A83"/>
    <w:rsid w:val="00054BA8"/>
    <w:rsid w:val="00054DB0"/>
    <w:rsid w:val="00055C6A"/>
    <w:rsid w:val="00056A02"/>
    <w:rsid w:val="00061457"/>
    <w:rsid w:val="0006145C"/>
    <w:rsid w:val="000614C5"/>
    <w:rsid w:val="0006162A"/>
    <w:rsid w:val="0006193F"/>
    <w:rsid w:val="00061B48"/>
    <w:rsid w:val="00062035"/>
    <w:rsid w:val="00062D4B"/>
    <w:rsid w:val="00063989"/>
    <w:rsid w:val="000645E1"/>
    <w:rsid w:val="0006484E"/>
    <w:rsid w:val="00065C8E"/>
    <w:rsid w:val="00066174"/>
    <w:rsid w:val="00066182"/>
    <w:rsid w:val="0006662C"/>
    <w:rsid w:val="000667B7"/>
    <w:rsid w:val="00067069"/>
    <w:rsid w:val="00067185"/>
    <w:rsid w:val="0007022C"/>
    <w:rsid w:val="000710F2"/>
    <w:rsid w:val="0007157C"/>
    <w:rsid w:val="0007183D"/>
    <w:rsid w:val="000720B6"/>
    <w:rsid w:val="000723F3"/>
    <w:rsid w:val="00072884"/>
    <w:rsid w:val="00073AB5"/>
    <w:rsid w:val="0007480B"/>
    <w:rsid w:val="00074AAE"/>
    <w:rsid w:val="00074C8D"/>
    <w:rsid w:val="000751EC"/>
    <w:rsid w:val="000765F0"/>
    <w:rsid w:val="00076728"/>
    <w:rsid w:val="000767A6"/>
    <w:rsid w:val="00076D52"/>
    <w:rsid w:val="00077243"/>
    <w:rsid w:val="0007733E"/>
    <w:rsid w:val="000778F0"/>
    <w:rsid w:val="0008008F"/>
    <w:rsid w:val="000802AF"/>
    <w:rsid w:val="00080FB8"/>
    <w:rsid w:val="000811A7"/>
    <w:rsid w:val="000813D6"/>
    <w:rsid w:val="00082237"/>
    <w:rsid w:val="000822D6"/>
    <w:rsid w:val="000828FC"/>
    <w:rsid w:val="000831EA"/>
    <w:rsid w:val="00083244"/>
    <w:rsid w:val="00083702"/>
    <w:rsid w:val="000837EB"/>
    <w:rsid w:val="00083E89"/>
    <w:rsid w:val="0008435C"/>
    <w:rsid w:val="00085064"/>
    <w:rsid w:val="0008567B"/>
    <w:rsid w:val="000857F5"/>
    <w:rsid w:val="00085D54"/>
    <w:rsid w:val="00086FEF"/>
    <w:rsid w:val="000900BC"/>
    <w:rsid w:val="00090552"/>
    <w:rsid w:val="000909E2"/>
    <w:rsid w:val="0009108F"/>
    <w:rsid w:val="00091400"/>
    <w:rsid w:val="00091CCA"/>
    <w:rsid w:val="00091DB6"/>
    <w:rsid w:val="00092A25"/>
    <w:rsid w:val="00092CAE"/>
    <w:rsid w:val="000939FC"/>
    <w:rsid w:val="00093D7F"/>
    <w:rsid w:val="00094653"/>
    <w:rsid w:val="00094D32"/>
    <w:rsid w:val="0009543F"/>
    <w:rsid w:val="0009564E"/>
    <w:rsid w:val="000961FA"/>
    <w:rsid w:val="00096290"/>
    <w:rsid w:val="00096489"/>
    <w:rsid w:val="000A027E"/>
    <w:rsid w:val="000A18C7"/>
    <w:rsid w:val="000A1BC4"/>
    <w:rsid w:val="000A2AE1"/>
    <w:rsid w:val="000A2F78"/>
    <w:rsid w:val="000A3258"/>
    <w:rsid w:val="000A3351"/>
    <w:rsid w:val="000A57F3"/>
    <w:rsid w:val="000B05F0"/>
    <w:rsid w:val="000B10F1"/>
    <w:rsid w:val="000B1CF1"/>
    <w:rsid w:val="000B1D4D"/>
    <w:rsid w:val="000B29D5"/>
    <w:rsid w:val="000B30D6"/>
    <w:rsid w:val="000B3164"/>
    <w:rsid w:val="000B36C2"/>
    <w:rsid w:val="000B392B"/>
    <w:rsid w:val="000B3B60"/>
    <w:rsid w:val="000B3BF1"/>
    <w:rsid w:val="000B4574"/>
    <w:rsid w:val="000B466D"/>
    <w:rsid w:val="000B4888"/>
    <w:rsid w:val="000B4CEE"/>
    <w:rsid w:val="000B4FA8"/>
    <w:rsid w:val="000B5433"/>
    <w:rsid w:val="000B57D9"/>
    <w:rsid w:val="000B5DBD"/>
    <w:rsid w:val="000B63A3"/>
    <w:rsid w:val="000B64BA"/>
    <w:rsid w:val="000B7A35"/>
    <w:rsid w:val="000C0B0B"/>
    <w:rsid w:val="000C1295"/>
    <w:rsid w:val="000C1AAD"/>
    <w:rsid w:val="000C1C6F"/>
    <w:rsid w:val="000C2542"/>
    <w:rsid w:val="000C2ADF"/>
    <w:rsid w:val="000C2C6A"/>
    <w:rsid w:val="000C2CEA"/>
    <w:rsid w:val="000C2F41"/>
    <w:rsid w:val="000C33B2"/>
    <w:rsid w:val="000C3783"/>
    <w:rsid w:val="000C3EF1"/>
    <w:rsid w:val="000C3FD6"/>
    <w:rsid w:val="000C4C82"/>
    <w:rsid w:val="000C508C"/>
    <w:rsid w:val="000C5C90"/>
    <w:rsid w:val="000C5FBD"/>
    <w:rsid w:val="000C69FE"/>
    <w:rsid w:val="000C75A5"/>
    <w:rsid w:val="000C7856"/>
    <w:rsid w:val="000C79C3"/>
    <w:rsid w:val="000C7B18"/>
    <w:rsid w:val="000C7FAD"/>
    <w:rsid w:val="000D00C1"/>
    <w:rsid w:val="000D08BC"/>
    <w:rsid w:val="000D2764"/>
    <w:rsid w:val="000D2C15"/>
    <w:rsid w:val="000D2C59"/>
    <w:rsid w:val="000D472B"/>
    <w:rsid w:val="000D4B7B"/>
    <w:rsid w:val="000D4EB6"/>
    <w:rsid w:val="000D56C8"/>
    <w:rsid w:val="000D5D27"/>
    <w:rsid w:val="000D681B"/>
    <w:rsid w:val="000D6D4E"/>
    <w:rsid w:val="000D6ECD"/>
    <w:rsid w:val="000D7454"/>
    <w:rsid w:val="000D7BC1"/>
    <w:rsid w:val="000D7D22"/>
    <w:rsid w:val="000E0034"/>
    <w:rsid w:val="000E08F3"/>
    <w:rsid w:val="000E0A0D"/>
    <w:rsid w:val="000E0A88"/>
    <w:rsid w:val="000E0CED"/>
    <w:rsid w:val="000E1CF4"/>
    <w:rsid w:val="000E2016"/>
    <w:rsid w:val="000E2316"/>
    <w:rsid w:val="000E298B"/>
    <w:rsid w:val="000E2E01"/>
    <w:rsid w:val="000E3992"/>
    <w:rsid w:val="000E40A8"/>
    <w:rsid w:val="000E41D8"/>
    <w:rsid w:val="000E643F"/>
    <w:rsid w:val="000E67F6"/>
    <w:rsid w:val="000E6B42"/>
    <w:rsid w:val="000E6E76"/>
    <w:rsid w:val="000E73FE"/>
    <w:rsid w:val="000E77C6"/>
    <w:rsid w:val="000E7965"/>
    <w:rsid w:val="000E7ABC"/>
    <w:rsid w:val="000F0410"/>
    <w:rsid w:val="000F05CF"/>
    <w:rsid w:val="000F07B0"/>
    <w:rsid w:val="000F0AFB"/>
    <w:rsid w:val="000F1CF8"/>
    <w:rsid w:val="000F1EDD"/>
    <w:rsid w:val="000F2190"/>
    <w:rsid w:val="000F2816"/>
    <w:rsid w:val="000F2F1D"/>
    <w:rsid w:val="000F309B"/>
    <w:rsid w:val="000F4041"/>
    <w:rsid w:val="000F4B63"/>
    <w:rsid w:val="000F4BEE"/>
    <w:rsid w:val="000F5C38"/>
    <w:rsid w:val="000F6846"/>
    <w:rsid w:val="000F71B6"/>
    <w:rsid w:val="000F7780"/>
    <w:rsid w:val="001000C0"/>
    <w:rsid w:val="001003C1"/>
    <w:rsid w:val="00100514"/>
    <w:rsid w:val="00100BB5"/>
    <w:rsid w:val="0010117E"/>
    <w:rsid w:val="00101CC9"/>
    <w:rsid w:val="00101F85"/>
    <w:rsid w:val="0010256F"/>
    <w:rsid w:val="00102BFB"/>
    <w:rsid w:val="0010332B"/>
    <w:rsid w:val="00104018"/>
    <w:rsid w:val="00104088"/>
    <w:rsid w:val="00104157"/>
    <w:rsid w:val="00104926"/>
    <w:rsid w:val="00105EDD"/>
    <w:rsid w:val="001065B6"/>
    <w:rsid w:val="00107038"/>
    <w:rsid w:val="00107166"/>
    <w:rsid w:val="001071CA"/>
    <w:rsid w:val="0011051F"/>
    <w:rsid w:val="00110550"/>
    <w:rsid w:val="0011067D"/>
    <w:rsid w:val="00110FBD"/>
    <w:rsid w:val="00111215"/>
    <w:rsid w:val="001119C4"/>
    <w:rsid w:val="00112B56"/>
    <w:rsid w:val="00112BA0"/>
    <w:rsid w:val="001136A2"/>
    <w:rsid w:val="0011440B"/>
    <w:rsid w:val="001144C5"/>
    <w:rsid w:val="00114962"/>
    <w:rsid w:val="00115698"/>
    <w:rsid w:val="001158FF"/>
    <w:rsid w:val="0011640E"/>
    <w:rsid w:val="001166F7"/>
    <w:rsid w:val="001167AC"/>
    <w:rsid w:val="0011686C"/>
    <w:rsid w:val="00116E71"/>
    <w:rsid w:val="00116F86"/>
    <w:rsid w:val="00120FD7"/>
    <w:rsid w:val="0012152C"/>
    <w:rsid w:val="00121B15"/>
    <w:rsid w:val="001221DB"/>
    <w:rsid w:val="001227C7"/>
    <w:rsid w:val="00123070"/>
    <w:rsid w:val="00123289"/>
    <w:rsid w:val="0012589C"/>
    <w:rsid w:val="00125A7D"/>
    <w:rsid w:val="00125CD2"/>
    <w:rsid w:val="001262F6"/>
    <w:rsid w:val="0012778A"/>
    <w:rsid w:val="00127E6C"/>
    <w:rsid w:val="001301A1"/>
    <w:rsid w:val="00130402"/>
    <w:rsid w:val="00130E09"/>
    <w:rsid w:val="00131234"/>
    <w:rsid w:val="00131D81"/>
    <w:rsid w:val="00131E34"/>
    <w:rsid w:val="001324A1"/>
    <w:rsid w:val="001336E5"/>
    <w:rsid w:val="0013468B"/>
    <w:rsid w:val="00134C81"/>
    <w:rsid w:val="00134DEF"/>
    <w:rsid w:val="0013579A"/>
    <w:rsid w:val="001357EC"/>
    <w:rsid w:val="00135EA9"/>
    <w:rsid w:val="001360F1"/>
    <w:rsid w:val="0013617C"/>
    <w:rsid w:val="00136C51"/>
    <w:rsid w:val="00136D51"/>
    <w:rsid w:val="0014087F"/>
    <w:rsid w:val="00140C37"/>
    <w:rsid w:val="0014119D"/>
    <w:rsid w:val="00142595"/>
    <w:rsid w:val="00142C1A"/>
    <w:rsid w:val="00142FEE"/>
    <w:rsid w:val="00143101"/>
    <w:rsid w:val="0014329F"/>
    <w:rsid w:val="001436B0"/>
    <w:rsid w:val="001436B7"/>
    <w:rsid w:val="00143C1A"/>
    <w:rsid w:val="00144411"/>
    <w:rsid w:val="00144EA6"/>
    <w:rsid w:val="00145ABD"/>
    <w:rsid w:val="00145D62"/>
    <w:rsid w:val="001470EA"/>
    <w:rsid w:val="001471E7"/>
    <w:rsid w:val="001477A3"/>
    <w:rsid w:val="00147A24"/>
    <w:rsid w:val="00147FED"/>
    <w:rsid w:val="001500AF"/>
    <w:rsid w:val="00151B82"/>
    <w:rsid w:val="001526B0"/>
    <w:rsid w:val="00152B2F"/>
    <w:rsid w:val="00153659"/>
    <w:rsid w:val="0015384F"/>
    <w:rsid w:val="00153ED4"/>
    <w:rsid w:val="0015407F"/>
    <w:rsid w:val="00154485"/>
    <w:rsid w:val="00154833"/>
    <w:rsid w:val="00155222"/>
    <w:rsid w:val="0015548C"/>
    <w:rsid w:val="0015571B"/>
    <w:rsid w:val="0015630D"/>
    <w:rsid w:val="001566A8"/>
    <w:rsid w:val="00156874"/>
    <w:rsid w:val="00156E85"/>
    <w:rsid w:val="00157281"/>
    <w:rsid w:val="00157714"/>
    <w:rsid w:val="001577DD"/>
    <w:rsid w:val="00157E57"/>
    <w:rsid w:val="00160011"/>
    <w:rsid w:val="0016001F"/>
    <w:rsid w:val="00161BC8"/>
    <w:rsid w:val="001629F1"/>
    <w:rsid w:val="00162A80"/>
    <w:rsid w:val="00162C56"/>
    <w:rsid w:val="001631AF"/>
    <w:rsid w:val="00163546"/>
    <w:rsid w:val="0016369C"/>
    <w:rsid w:val="00163BD7"/>
    <w:rsid w:val="00163CD5"/>
    <w:rsid w:val="00163EFB"/>
    <w:rsid w:val="00164B34"/>
    <w:rsid w:val="00164F23"/>
    <w:rsid w:val="00165434"/>
    <w:rsid w:val="00165A09"/>
    <w:rsid w:val="00165F89"/>
    <w:rsid w:val="0016625E"/>
    <w:rsid w:val="00166BE4"/>
    <w:rsid w:val="001671CB"/>
    <w:rsid w:val="00167F21"/>
    <w:rsid w:val="00171FFA"/>
    <w:rsid w:val="001726FF"/>
    <w:rsid w:val="00172DDD"/>
    <w:rsid w:val="00173DEE"/>
    <w:rsid w:val="00174F14"/>
    <w:rsid w:val="00175AB1"/>
    <w:rsid w:val="00176445"/>
    <w:rsid w:val="001767D2"/>
    <w:rsid w:val="00177158"/>
    <w:rsid w:val="001777D1"/>
    <w:rsid w:val="00177FF7"/>
    <w:rsid w:val="001809B4"/>
    <w:rsid w:val="001815A1"/>
    <w:rsid w:val="00181BE6"/>
    <w:rsid w:val="00182B68"/>
    <w:rsid w:val="00183C04"/>
    <w:rsid w:val="0018558E"/>
    <w:rsid w:val="00185688"/>
    <w:rsid w:val="001865C6"/>
    <w:rsid w:val="00186B3C"/>
    <w:rsid w:val="001902DE"/>
    <w:rsid w:val="001907CD"/>
    <w:rsid w:val="00190817"/>
    <w:rsid w:val="00190A40"/>
    <w:rsid w:val="001912FA"/>
    <w:rsid w:val="0019381A"/>
    <w:rsid w:val="001946B5"/>
    <w:rsid w:val="00194861"/>
    <w:rsid w:val="00194C49"/>
    <w:rsid w:val="001958D7"/>
    <w:rsid w:val="00196628"/>
    <w:rsid w:val="00196E38"/>
    <w:rsid w:val="0019765A"/>
    <w:rsid w:val="001A1374"/>
    <w:rsid w:val="001A1B83"/>
    <w:rsid w:val="001A1D7F"/>
    <w:rsid w:val="001A1DA3"/>
    <w:rsid w:val="001A32D7"/>
    <w:rsid w:val="001A3381"/>
    <w:rsid w:val="001A33BD"/>
    <w:rsid w:val="001A3980"/>
    <w:rsid w:val="001A4533"/>
    <w:rsid w:val="001A4FDC"/>
    <w:rsid w:val="001A5098"/>
    <w:rsid w:val="001A5973"/>
    <w:rsid w:val="001A5B7F"/>
    <w:rsid w:val="001A70F8"/>
    <w:rsid w:val="001A77EB"/>
    <w:rsid w:val="001A7A11"/>
    <w:rsid w:val="001B00F3"/>
    <w:rsid w:val="001B0403"/>
    <w:rsid w:val="001B064F"/>
    <w:rsid w:val="001B1368"/>
    <w:rsid w:val="001B19E6"/>
    <w:rsid w:val="001B1B58"/>
    <w:rsid w:val="001B377B"/>
    <w:rsid w:val="001B6340"/>
    <w:rsid w:val="001B643A"/>
    <w:rsid w:val="001B64DD"/>
    <w:rsid w:val="001B6960"/>
    <w:rsid w:val="001C0307"/>
    <w:rsid w:val="001C041C"/>
    <w:rsid w:val="001C09B7"/>
    <w:rsid w:val="001C15F6"/>
    <w:rsid w:val="001C2BB2"/>
    <w:rsid w:val="001C2E70"/>
    <w:rsid w:val="001C3477"/>
    <w:rsid w:val="001C41B7"/>
    <w:rsid w:val="001C51D0"/>
    <w:rsid w:val="001C57CB"/>
    <w:rsid w:val="001C6394"/>
    <w:rsid w:val="001C72F8"/>
    <w:rsid w:val="001C76B7"/>
    <w:rsid w:val="001C7A93"/>
    <w:rsid w:val="001C7B4A"/>
    <w:rsid w:val="001D07F1"/>
    <w:rsid w:val="001D100A"/>
    <w:rsid w:val="001D1AA5"/>
    <w:rsid w:val="001D22D6"/>
    <w:rsid w:val="001D2F37"/>
    <w:rsid w:val="001D3A72"/>
    <w:rsid w:val="001D5E46"/>
    <w:rsid w:val="001D7E5A"/>
    <w:rsid w:val="001E0391"/>
    <w:rsid w:val="001E04F9"/>
    <w:rsid w:val="001E1246"/>
    <w:rsid w:val="001E2803"/>
    <w:rsid w:val="001E2BA9"/>
    <w:rsid w:val="001E4220"/>
    <w:rsid w:val="001E4717"/>
    <w:rsid w:val="001E53BE"/>
    <w:rsid w:val="001E56F2"/>
    <w:rsid w:val="001E61BD"/>
    <w:rsid w:val="001E6B53"/>
    <w:rsid w:val="001E7BA7"/>
    <w:rsid w:val="001F008E"/>
    <w:rsid w:val="001F0820"/>
    <w:rsid w:val="001F09B6"/>
    <w:rsid w:val="001F1DB0"/>
    <w:rsid w:val="001F2021"/>
    <w:rsid w:val="001F2406"/>
    <w:rsid w:val="001F2A14"/>
    <w:rsid w:val="001F2B40"/>
    <w:rsid w:val="001F32F6"/>
    <w:rsid w:val="001F3528"/>
    <w:rsid w:val="001F4051"/>
    <w:rsid w:val="001F4747"/>
    <w:rsid w:val="001F4B95"/>
    <w:rsid w:val="001F5087"/>
    <w:rsid w:val="001F5BEB"/>
    <w:rsid w:val="001F5FA6"/>
    <w:rsid w:val="001F5FEE"/>
    <w:rsid w:val="001F6345"/>
    <w:rsid w:val="001F76B3"/>
    <w:rsid w:val="001F7E1B"/>
    <w:rsid w:val="0020163D"/>
    <w:rsid w:val="002017B4"/>
    <w:rsid w:val="002019ED"/>
    <w:rsid w:val="00201C00"/>
    <w:rsid w:val="00202001"/>
    <w:rsid w:val="002028A1"/>
    <w:rsid w:val="00203166"/>
    <w:rsid w:val="0020339A"/>
    <w:rsid w:val="00203985"/>
    <w:rsid w:val="00203E17"/>
    <w:rsid w:val="00203F67"/>
    <w:rsid w:val="002041FD"/>
    <w:rsid w:val="0020476D"/>
    <w:rsid w:val="00205B03"/>
    <w:rsid w:val="002067BF"/>
    <w:rsid w:val="00206DEB"/>
    <w:rsid w:val="00206FC6"/>
    <w:rsid w:val="0020790B"/>
    <w:rsid w:val="002102C8"/>
    <w:rsid w:val="00210359"/>
    <w:rsid w:val="00210F36"/>
    <w:rsid w:val="00211176"/>
    <w:rsid w:val="002113EA"/>
    <w:rsid w:val="0021201F"/>
    <w:rsid w:val="00213869"/>
    <w:rsid w:val="0021472B"/>
    <w:rsid w:val="00214809"/>
    <w:rsid w:val="00215040"/>
    <w:rsid w:val="0021624E"/>
    <w:rsid w:val="00216608"/>
    <w:rsid w:val="00216856"/>
    <w:rsid w:val="00216893"/>
    <w:rsid w:val="00216C7A"/>
    <w:rsid w:val="00216F08"/>
    <w:rsid w:val="002174ED"/>
    <w:rsid w:val="00221098"/>
    <w:rsid w:val="002222B0"/>
    <w:rsid w:val="00222479"/>
    <w:rsid w:val="002225E7"/>
    <w:rsid w:val="00222AC9"/>
    <w:rsid w:val="00222C12"/>
    <w:rsid w:val="0022360A"/>
    <w:rsid w:val="0022361A"/>
    <w:rsid w:val="00224223"/>
    <w:rsid w:val="0022452C"/>
    <w:rsid w:val="00224D10"/>
    <w:rsid w:val="00224E5F"/>
    <w:rsid w:val="00225246"/>
    <w:rsid w:val="00225575"/>
    <w:rsid w:val="00225776"/>
    <w:rsid w:val="002258C0"/>
    <w:rsid w:val="00225B28"/>
    <w:rsid w:val="0022778D"/>
    <w:rsid w:val="00227CC2"/>
    <w:rsid w:val="002300F7"/>
    <w:rsid w:val="002307EA"/>
    <w:rsid w:val="0023094D"/>
    <w:rsid w:val="00230E76"/>
    <w:rsid w:val="002323B8"/>
    <w:rsid w:val="0023261C"/>
    <w:rsid w:val="002329C0"/>
    <w:rsid w:val="00232CF9"/>
    <w:rsid w:val="002330B3"/>
    <w:rsid w:val="002348A7"/>
    <w:rsid w:val="0023612E"/>
    <w:rsid w:val="002369D5"/>
    <w:rsid w:val="00236F11"/>
    <w:rsid w:val="00237F38"/>
    <w:rsid w:val="00240AF5"/>
    <w:rsid w:val="002420CD"/>
    <w:rsid w:val="002424C1"/>
    <w:rsid w:val="00242613"/>
    <w:rsid w:val="00242972"/>
    <w:rsid w:val="00243267"/>
    <w:rsid w:val="00243320"/>
    <w:rsid w:val="0024396C"/>
    <w:rsid w:val="00243E8F"/>
    <w:rsid w:val="00244590"/>
    <w:rsid w:val="002445C4"/>
    <w:rsid w:val="00245225"/>
    <w:rsid w:val="00245B69"/>
    <w:rsid w:val="00245CE4"/>
    <w:rsid w:val="002469AC"/>
    <w:rsid w:val="002479BC"/>
    <w:rsid w:val="00247F14"/>
    <w:rsid w:val="002504EF"/>
    <w:rsid w:val="002506A9"/>
    <w:rsid w:val="002509C0"/>
    <w:rsid w:val="002511B2"/>
    <w:rsid w:val="00252481"/>
    <w:rsid w:val="002536D5"/>
    <w:rsid w:val="00253724"/>
    <w:rsid w:val="00253726"/>
    <w:rsid w:val="00253A9D"/>
    <w:rsid w:val="002547BA"/>
    <w:rsid w:val="00254B55"/>
    <w:rsid w:val="002559A4"/>
    <w:rsid w:val="0025650C"/>
    <w:rsid w:val="0025693F"/>
    <w:rsid w:val="00260D82"/>
    <w:rsid w:val="00261112"/>
    <w:rsid w:val="00261AAD"/>
    <w:rsid w:val="002621FC"/>
    <w:rsid w:val="002622E7"/>
    <w:rsid w:val="0026329F"/>
    <w:rsid w:val="0026417C"/>
    <w:rsid w:val="002648CF"/>
    <w:rsid w:val="002651E2"/>
    <w:rsid w:val="002666A7"/>
    <w:rsid w:val="00266A97"/>
    <w:rsid w:val="00266B7E"/>
    <w:rsid w:val="00267D97"/>
    <w:rsid w:val="00270319"/>
    <w:rsid w:val="00270CF7"/>
    <w:rsid w:val="00271033"/>
    <w:rsid w:val="00271A24"/>
    <w:rsid w:val="00271B29"/>
    <w:rsid w:val="002736DC"/>
    <w:rsid w:val="0027384A"/>
    <w:rsid w:val="00273F06"/>
    <w:rsid w:val="002742DE"/>
    <w:rsid w:val="00274A7F"/>
    <w:rsid w:val="00274E13"/>
    <w:rsid w:val="002777E2"/>
    <w:rsid w:val="00277914"/>
    <w:rsid w:val="00277A8A"/>
    <w:rsid w:val="0028067D"/>
    <w:rsid w:val="00280917"/>
    <w:rsid w:val="00280CB4"/>
    <w:rsid w:val="00280EC6"/>
    <w:rsid w:val="002813BA"/>
    <w:rsid w:val="00281E3F"/>
    <w:rsid w:val="00281E9C"/>
    <w:rsid w:val="002823D2"/>
    <w:rsid w:val="0028293E"/>
    <w:rsid w:val="002844A2"/>
    <w:rsid w:val="00284AF5"/>
    <w:rsid w:val="00284E3C"/>
    <w:rsid w:val="00284EB8"/>
    <w:rsid w:val="00284F98"/>
    <w:rsid w:val="002862C0"/>
    <w:rsid w:val="00286416"/>
    <w:rsid w:val="00286B44"/>
    <w:rsid w:val="00291366"/>
    <w:rsid w:val="00292064"/>
    <w:rsid w:val="002921D0"/>
    <w:rsid w:val="002922FC"/>
    <w:rsid w:val="002928F5"/>
    <w:rsid w:val="002936BB"/>
    <w:rsid w:val="0029396D"/>
    <w:rsid w:val="00294129"/>
    <w:rsid w:val="00294BF4"/>
    <w:rsid w:val="00294C76"/>
    <w:rsid w:val="00294D7C"/>
    <w:rsid w:val="002951E9"/>
    <w:rsid w:val="002955FF"/>
    <w:rsid w:val="0029595D"/>
    <w:rsid w:val="00296992"/>
    <w:rsid w:val="002977A6"/>
    <w:rsid w:val="00297970"/>
    <w:rsid w:val="002979C5"/>
    <w:rsid w:val="00297D97"/>
    <w:rsid w:val="002A015C"/>
    <w:rsid w:val="002A0848"/>
    <w:rsid w:val="002A0ED4"/>
    <w:rsid w:val="002A0F45"/>
    <w:rsid w:val="002A0F5E"/>
    <w:rsid w:val="002A1307"/>
    <w:rsid w:val="002A1A50"/>
    <w:rsid w:val="002A1FF4"/>
    <w:rsid w:val="002A2F5E"/>
    <w:rsid w:val="002A30B3"/>
    <w:rsid w:val="002A32E6"/>
    <w:rsid w:val="002A36B2"/>
    <w:rsid w:val="002A36FA"/>
    <w:rsid w:val="002A3923"/>
    <w:rsid w:val="002A58FF"/>
    <w:rsid w:val="002A67D6"/>
    <w:rsid w:val="002A7416"/>
    <w:rsid w:val="002A7E29"/>
    <w:rsid w:val="002B0192"/>
    <w:rsid w:val="002B072C"/>
    <w:rsid w:val="002B194E"/>
    <w:rsid w:val="002B1D35"/>
    <w:rsid w:val="002B1DF5"/>
    <w:rsid w:val="002B21ED"/>
    <w:rsid w:val="002B308E"/>
    <w:rsid w:val="002B352E"/>
    <w:rsid w:val="002B3674"/>
    <w:rsid w:val="002B3D7F"/>
    <w:rsid w:val="002B4411"/>
    <w:rsid w:val="002B4D1C"/>
    <w:rsid w:val="002B5065"/>
    <w:rsid w:val="002B6013"/>
    <w:rsid w:val="002B6014"/>
    <w:rsid w:val="002B6ADD"/>
    <w:rsid w:val="002B6B0A"/>
    <w:rsid w:val="002B7FD4"/>
    <w:rsid w:val="002C0371"/>
    <w:rsid w:val="002C08D0"/>
    <w:rsid w:val="002C25A2"/>
    <w:rsid w:val="002C3161"/>
    <w:rsid w:val="002C4B63"/>
    <w:rsid w:val="002C4FAD"/>
    <w:rsid w:val="002C5219"/>
    <w:rsid w:val="002C5501"/>
    <w:rsid w:val="002C64DA"/>
    <w:rsid w:val="002C67F1"/>
    <w:rsid w:val="002C6A47"/>
    <w:rsid w:val="002C6DC5"/>
    <w:rsid w:val="002C7132"/>
    <w:rsid w:val="002D131D"/>
    <w:rsid w:val="002D14BE"/>
    <w:rsid w:val="002D14E6"/>
    <w:rsid w:val="002D1551"/>
    <w:rsid w:val="002D15FE"/>
    <w:rsid w:val="002D1BAC"/>
    <w:rsid w:val="002D25CC"/>
    <w:rsid w:val="002D2EC4"/>
    <w:rsid w:val="002D35BE"/>
    <w:rsid w:val="002D38E3"/>
    <w:rsid w:val="002D3AFE"/>
    <w:rsid w:val="002D3B45"/>
    <w:rsid w:val="002D3CAD"/>
    <w:rsid w:val="002D4091"/>
    <w:rsid w:val="002D503C"/>
    <w:rsid w:val="002D59FF"/>
    <w:rsid w:val="002D5AFA"/>
    <w:rsid w:val="002D6490"/>
    <w:rsid w:val="002D65A6"/>
    <w:rsid w:val="002D6A8B"/>
    <w:rsid w:val="002D6C70"/>
    <w:rsid w:val="002D6DDF"/>
    <w:rsid w:val="002D6DED"/>
    <w:rsid w:val="002D6E68"/>
    <w:rsid w:val="002D763E"/>
    <w:rsid w:val="002E0056"/>
    <w:rsid w:val="002E0274"/>
    <w:rsid w:val="002E17AC"/>
    <w:rsid w:val="002E30D5"/>
    <w:rsid w:val="002E3135"/>
    <w:rsid w:val="002E4258"/>
    <w:rsid w:val="002E5181"/>
    <w:rsid w:val="002E5E80"/>
    <w:rsid w:val="002E607E"/>
    <w:rsid w:val="002E6880"/>
    <w:rsid w:val="002E6D7A"/>
    <w:rsid w:val="002F020D"/>
    <w:rsid w:val="002F1584"/>
    <w:rsid w:val="002F2DCF"/>
    <w:rsid w:val="002F2EC7"/>
    <w:rsid w:val="002F38A2"/>
    <w:rsid w:val="002F3C74"/>
    <w:rsid w:val="002F4F29"/>
    <w:rsid w:val="002F5585"/>
    <w:rsid w:val="002F573E"/>
    <w:rsid w:val="002F6757"/>
    <w:rsid w:val="002F6A09"/>
    <w:rsid w:val="002F70E5"/>
    <w:rsid w:val="00300519"/>
    <w:rsid w:val="00300B21"/>
    <w:rsid w:val="00301A27"/>
    <w:rsid w:val="00301D09"/>
    <w:rsid w:val="0030221B"/>
    <w:rsid w:val="00302234"/>
    <w:rsid w:val="003022D2"/>
    <w:rsid w:val="00302884"/>
    <w:rsid w:val="003031C2"/>
    <w:rsid w:val="0030342C"/>
    <w:rsid w:val="00303AD9"/>
    <w:rsid w:val="00303F60"/>
    <w:rsid w:val="0030432B"/>
    <w:rsid w:val="003049A1"/>
    <w:rsid w:val="003049EA"/>
    <w:rsid w:val="00304F37"/>
    <w:rsid w:val="00304F68"/>
    <w:rsid w:val="003052D1"/>
    <w:rsid w:val="0030590D"/>
    <w:rsid w:val="00305B88"/>
    <w:rsid w:val="003066D2"/>
    <w:rsid w:val="003069E5"/>
    <w:rsid w:val="00306BC5"/>
    <w:rsid w:val="00306D1E"/>
    <w:rsid w:val="00306E14"/>
    <w:rsid w:val="00307485"/>
    <w:rsid w:val="00307FE4"/>
    <w:rsid w:val="003102B5"/>
    <w:rsid w:val="00310649"/>
    <w:rsid w:val="003109E4"/>
    <w:rsid w:val="00310D9B"/>
    <w:rsid w:val="00310E12"/>
    <w:rsid w:val="00310F7E"/>
    <w:rsid w:val="0031154B"/>
    <w:rsid w:val="0031240A"/>
    <w:rsid w:val="003147F5"/>
    <w:rsid w:val="0031519A"/>
    <w:rsid w:val="003151E6"/>
    <w:rsid w:val="00315452"/>
    <w:rsid w:val="0031742E"/>
    <w:rsid w:val="00317816"/>
    <w:rsid w:val="00317B9D"/>
    <w:rsid w:val="00317C17"/>
    <w:rsid w:val="0032024C"/>
    <w:rsid w:val="00320E2E"/>
    <w:rsid w:val="0032198C"/>
    <w:rsid w:val="003225B1"/>
    <w:rsid w:val="003226E5"/>
    <w:rsid w:val="00322C5C"/>
    <w:rsid w:val="00322CAF"/>
    <w:rsid w:val="00323858"/>
    <w:rsid w:val="00323896"/>
    <w:rsid w:val="0032422D"/>
    <w:rsid w:val="003249C7"/>
    <w:rsid w:val="00325201"/>
    <w:rsid w:val="00325292"/>
    <w:rsid w:val="003254EA"/>
    <w:rsid w:val="003256BF"/>
    <w:rsid w:val="00326B89"/>
    <w:rsid w:val="0032773C"/>
    <w:rsid w:val="00327ADA"/>
    <w:rsid w:val="00327F92"/>
    <w:rsid w:val="00330B33"/>
    <w:rsid w:val="003313CE"/>
    <w:rsid w:val="00331E2C"/>
    <w:rsid w:val="00332B4A"/>
    <w:rsid w:val="00332BA2"/>
    <w:rsid w:val="0033318C"/>
    <w:rsid w:val="003334E9"/>
    <w:rsid w:val="00333701"/>
    <w:rsid w:val="00333E52"/>
    <w:rsid w:val="00334582"/>
    <w:rsid w:val="00334C99"/>
    <w:rsid w:val="00334F45"/>
    <w:rsid w:val="00335FA5"/>
    <w:rsid w:val="0033767E"/>
    <w:rsid w:val="00337C54"/>
    <w:rsid w:val="00340B14"/>
    <w:rsid w:val="0034143C"/>
    <w:rsid w:val="00342BCC"/>
    <w:rsid w:val="0034353F"/>
    <w:rsid w:val="003436E3"/>
    <w:rsid w:val="00343F49"/>
    <w:rsid w:val="00344637"/>
    <w:rsid w:val="00344931"/>
    <w:rsid w:val="003452CD"/>
    <w:rsid w:val="0034692C"/>
    <w:rsid w:val="00346963"/>
    <w:rsid w:val="0035014C"/>
    <w:rsid w:val="003514FA"/>
    <w:rsid w:val="0035169C"/>
    <w:rsid w:val="003516A9"/>
    <w:rsid w:val="00351FCC"/>
    <w:rsid w:val="0035212D"/>
    <w:rsid w:val="00352149"/>
    <w:rsid w:val="00352B8C"/>
    <w:rsid w:val="00353374"/>
    <w:rsid w:val="003544D4"/>
    <w:rsid w:val="00355550"/>
    <w:rsid w:val="00355B42"/>
    <w:rsid w:val="00355FA3"/>
    <w:rsid w:val="00356961"/>
    <w:rsid w:val="003571BB"/>
    <w:rsid w:val="00357A8A"/>
    <w:rsid w:val="0036010E"/>
    <w:rsid w:val="00361435"/>
    <w:rsid w:val="00362C85"/>
    <w:rsid w:val="00362EF7"/>
    <w:rsid w:val="0036376D"/>
    <w:rsid w:val="0036451E"/>
    <w:rsid w:val="003650EE"/>
    <w:rsid w:val="003651A8"/>
    <w:rsid w:val="00365958"/>
    <w:rsid w:val="00366B66"/>
    <w:rsid w:val="00366EAD"/>
    <w:rsid w:val="003679EE"/>
    <w:rsid w:val="003700BA"/>
    <w:rsid w:val="00370865"/>
    <w:rsid w:val="00370CCE"/>
    <w:rsid w:val="00370D8B"/>
    <w:rsid w:val="0037139D"/>
    <w:rsid w:val="00371442"/>
    <w:rsid w:val="00371B8F"/>
    <w:rsid w:val="00372583"/>
    <w:rsid w:val="00372C9C"/>
    <w:rsid w:val="003739FA"/>
    <w:rsid w:val="00373AE2"/>
    <w:rsid w:val="00373E9A"/>
    <w:rsid w:val="003742F1"/>
    <w:rsid w:val="00374567"/>
    <w:rsid w:val="00374893"/>
    <w:rsid w:val="00374AD1"/>
    <w:rsid w:val="00374D55"/>
    <w:rsid w:val="00374DA7"/>
    <w:rsid w:val="003750C0"/>
    <w:rsid w:val="003763F8"/>
    <w:rsid w:val="00376528"/>
    <w:rsid w:val="00376562"/>
    <w:rsid w:val="003773C4"/>
    <w:rsid w:val="0038099B"/>
    <w:rsid w:val="00380D67"/>
    <w:rsid w:val="00383037"/>
    <w:rsid w:val="003833DA"/>
    <w:rsid w:val="00383B93"/>
    <w:rsid w:val="00384C7C"/>
    <w:rsid w:val="00384F7B"/>
    <w:rsid w:val="00385606"/>
    <w:rsid w:val="00385F05"/>
    <w:rsid w:val="00386366"/>
    <w:rsid w:val="0038660C"/>
    <w:rsid w:val="003866E4"/>
    <w:rsid w:val="00386D7E"/>
    <w:rsid w:val="00387B85"/>
    <w:rsid w:val="003902C8"/>
    <w:rsid w:val="003902D7"/>
    <w:rsid w:val="00390413"/>
    <w:rsid w:val="0039076B"/>
    <w:rsid w:val="00391B55"/>
    <w:rsid w:val="0039288B"/>
    <w:rsid w:val="00392DED"/>
    <w:rsid w:val="003932A5"/>
    <w:rsid w:val="00393A11"/>
    <w:rsid w:val="0039423E"/>
    <w:rsid w:val="00394C24"/>
    <w:rsid w:val="0039539A"/>
    <w:rsid w:val="00395C3A"/>
    <w:rsid w:val="00396E11"/>
    <w:rsid w:val="003979CE"/>
    <w:rsid w:val="003A0312"/>
    <w:rsid w:val="003A0804"/>
    <w:rsid w:val="003A0F88"/>
    <w:rsid w:val="003A21AD"/>
    <w:rsid w:val="003A2DCE"/>
    <w:rsid w:val="003A2E7A"/>
    <w:rsid w:val="003A32DC"/>
    <w:rsid w:val="003A4A85"/>
    <w:rsid w:val="003A5306"/>
    <w:rsid w:val="003A5535"/>
    <w:rsid w:val="003A561C"/>
    <w:rsid w:val="003A5838"/>
    <w:rsid w:val="003A5CFC"/>
    <w:rsid w:val="003A6860"/>
    <w:rsid w:val="003A6C99"/>
    <w:rsid w:val="003B1C60"/>
    <w:rsid w:val="003B2B64"/>
    <w:rsid w:val="003B2F43"/>
    <w:rsid w:val="003B3C29"/>
    <w:rsid w:val="003B4C85"/>
    <w:rsid w:val="003B5254"/>
    <w:rsid w:val="003B5276"/>
    <w:rsid w:val="003B5E24"/>
    <w:rsid w:val="003B5F7C"/>
    <w:rsid w:val="003B6BB9"/>
    <w:rsid w:val="003B6C9E"/>
    <w:rsid w:val="003B73F1"/>
    <w:rsid w:val="003B7BE9"/>
    <w:rsid w:val="003C0250"/>
    <w:rsid w:val="003C066D"/>
    <w:rsid w:val="003C0B58"/>
    <w:rsid w:val="003C0E24"/>
    <w:rsid w:val="003C2276"/>
    <w:rsid w:val="003C228A"/>
    <w:rsid w:val="003C2B92"/>
    <w:rsid w:val="003C2D76"/>
    <w:rsid w:val="003C3061"/>
    <w:rsid w:val="003C3758"/>
    <w:rsid w:val="003C4839"/>
    <w:rsid w:val="003C5694"/>
    <w:rsid w:val="003C5C2D"/>
    <w:rsid w:val="003C6754"/>
    <w:rsid w:val="003C68BC"/>
    <w:rsid w:val="003C6F9B"/>
    <w:rsid w:val="003C769E"/>
    <w:rsid w:val="003C7795"/>
    <w:rsid w:val="003C795E"/>
    <w:rsid w:val="003C7FFE"/>
    <w:rsid w:val="003D02FD"/>
    <w:rsid w:val="003D081D"/>
    <w:rsid w:val="003D0F24"/>
    <w:rsid w:val="003D17C5"/>
    <w:rsid w:val="003D22FF"/>
    <w:rsid w:val="003D24A9"/>
    <w:rsid w:val="003D292C"/>
    <w:rsid w:val="003D35A9"/>
    <w:rsid w:val="003D3812"/>
    <w:rsid w:val="003D3FD8"/>
    <w:rsid w:val="003D46A6"/>
    <w:rsid w:val="003D4719"/>
    <w:rsid w:val="003D4770"/>
    <w:rsid w:val="003D723E"/>
    <w:rsid w:val="003D7A43"/>
    <w:rsid w:val="003E0CC5"/>
    <w:rsid w:val="003E1372"/>
    <w:rsid w:val="003E1865"/>
    <w:rsid w:val="003E3174"/>
    <w:rsid w:val="003E33A8"/>
    <w:rsid w:val="003E3A23"/>
    <w:rsid w:val="003E3E40"/>
    <w:rsid w:val="003E3F3F"/>
    <w:rsid w:val="003E49EF"/>
    <w:rsid w:val="003E57F3"/>
    <w:rsid w:val="003E68EC"/>
    <w:rsid w:val="003E6DD7"/>
    <w:rsid w:val="003E6E2E"/>
    <w:rsid w:val="003E7D8C"/>
    <w:rsid w:val="003F10BC"/>
    <w:rsid w:val="003F1AB2"/>
    <w:rsid w:val="003F27C0"/>
    <w:rsid w:val="003F2D27"/>
    <w:rsid w:val="003F3A67"/>
    <w:rsid w:val="003F3E46"/>
    <w:rsid w:val="003F5194"/>
    <w:rsid w:val="003F5908"/>
    <w:rsid w:val="003F5E2F"/>
    <w:rsid w:val="003F62FA"/>
    <w:rsid w:val="003F633A"/>
    <w:rsid w:val="003F6773"/>
    <w:rsid w:val="003F6F0E"/>
    <w:rsid w:val="003F73F6"/>
    <w:rsid w:val="003F7513"/>
    <w:rsid w:val="003F7D69"/>
    <w:rsid w:val="00400F12"/>
    <w:rsid w:val="004011C2"/>
    <w:rsid w:val="004013C4"/>
    <w:rsid w:val="00401606"/>
    <w:rsid w:val="004031E0"/>
    <w:rsid w:val="00404B9A"/>
    <w:rsid w:val="00405D63"/>
    <w:rsid w:val="00405FAE"/>
    <w:rsid w:val="00406698"/>
    <w:rsid w:val="00406981"/>
    <w:rsid w:val="0040744E"/>
    <w:rsid w:val="0040760B"/>
    <w:rsid w:val="00407FC0"/>
    <w:rsid w:val="004100E3"/>
    <w:rsid w:val="00410496"/>
    <w:rsid w:val="00410A0C"/>
    <w:rsid w:val="00412CF7"/>
    <w:rsid w:val="00412F52"/>
    <w:rsid w:val="004135A6"/>
    <w:rsid w:val="00413CBB"/>
    <w:rsid w:val="00414006"/>
    <w:rsid w:val="0041465F"/>
    <w:rsid w:val="0041554C"/>
    <w:rsid w:val="00415F61"/>
    <w:rsid w:val="00416308"/>
    <w:rsid w:val="00416631"/>
    <w:rsid w:val="00416A8E"/>
    <w:rsid w:val="004172D0"/>
    <w:rsid w:val="00417B97"/>
    <w:rsid w:val="00417E1C"/>
    <w:rsid w:val="00417EDA"/>
    <w:rsid w:val="00417F7E"/>
    <w:rsid w:val="00421026"/>
    <w:rsid w:val="00421CAA"/>
    <w:rsid w:val="00421D9C"/>
    <w:rsid w:val="00421FBC"/>
    <w:rsid w:val="00423138"/>
    <w:rsid w:val="004244B0"/>
    <w:rsid w:val="00425B26"/>
    <w:rsid w:val="00426A99"/>
    <w:rsid w:val="004276AF"/>
    <w:rsid w:val="00427F1E"/>
    <w:rsid w:val="00430603"/>
    <w:rsid w:val="00430A34"/>
    <w:rsid w:val="00430C4F"/>
    <w:rsid w:val="0043267E"/>
    <w:rsid w:val="0043331B"/>
    <w:rsid w:val="00433969"/>
    <w:rsid w:val="004339DA"/>
    <w:rsid w:val="0043476F"/>
    <w:rsid w:val="00434F07"/>
    <w:rsid w:val="0043507E"/>
    <w:rsid w:val="00435530"/>
    <w:rsid w:val="004365DA"/>
    <w:rsid w:val="0043700B"/>
    <w:rsid w:val="00437BB4"/>
    <w:rsid w:val="0044016D"/>
    <w:rsid w:val="00440D40"/>
    <w:rsid w:val="00440E74"/>
    <w:rsid w:val="004410D2"/>
    <w:rsid w:val="004413D7"/>
    <w:rsid w:val="00442120"/>
    <w:rsid w:val="00442619"/>
    <w:rsid w:val="00443383"/>
    <w:rsid w:val="004435B0"/>
    <w:rsid w:val="004436E4"/>
    <w:rsid w:val="00443872"/>
    <w:rsid w:val="0044390A"/>
    <w:rsid w:val="00444426"/>
    <w:rsid w:val="004444F3"/>
    <w:rsid w:val="00444EA7"/>
    <w:rsid w:val="00444EBD"/>
    <w:rsid w:val="00446247"/>
    <w:rsid w:val="00446530"/>
    <w:rsid w:val="004471CD"/>
    <w:rsid w:val="00447780"/>
    <w:rsid w:val="004477DB"/>
    <w:rsid w:val="00447D3B"/>
    <w:rsid w:val="00447E87"/>
    <w:rsid w:val="00447EB7"/>
    <w:rsid w:val="004501C3"/>
    <w:rsid w:val="00450322"/>
    <w:rsid w:val="00450453"/>
    <w:rsid w:val="00450A9D"/>
    <w:rsid w:val="00450C58"/>
    <w:rsid w:val="00450EA4"/>
    <w:rsid w:val="00451B61"/>
    <w:rsid w:val="00451EB0"/>
    <w:rsid w:val="00451F15"/>
    <w:rsid w:val="0045234B"/>
    <w:rsid w:val="004533DD"/>
    <w:rsid w:val="004535DF"/>
    <w:rsid w:val="00453F41"/>
    <w:rsid w:val="004544E2"/>
    <w:rsid w:val="00454AA8"/>
    <w:rsid w:val="00454F8F"/>
    <w:rsid w:val="004553C3"/>
    <w:rsid w:val="00455B61"/>
    <w:rsid w:val="0045634E"/>
    <w:rsid w:val="00456830"/>
    <w:rsid w:val="00456BE6"/>
    <w:rsid w:val="0046121E"/>
    <w:rsid w:val="004612ED"/>
    <w:rsid w:val="00462566"/>
    <w:rsid w:val="004628C0"/>
    <w:rsid w:val="00462B33"/>
    <w:rsid w:val="00463089"/>
    <w:rsid w:val="00463312"/>
    <w:rsid w:val="0046468E"/>
    <w:rsid w:val="0046497F"/>
    <w:rsid w:val="004652A7"/>
    <w:rsid w:val="00466595"/>
    <w:rsid w:val="00467317"/>
    <w:rsid w:val="004705EC"/>
    <w:rsid w:val="00470847"/>
    <w:rsid w:val="00471F87"/>
    <w:rsid w:val="00472012"/>
    <w:rsid w:val="00472588"/>
    <w:rsid w:val="0047395C"/>
    <w:rsid w:val="00473E50"/>
    <w:rsid w:val="00474104"/>
    <w:rsid w:val="00474349"/>
    <w:rsid w:val="004757EC"/>
    <w:rsid w:val="00476041"/>
    <w:rsid w:val="00476379"/>
    <w:rsid w:val="004764DE"/>
    <w:rsid w:val="00476571"/>
    <w:rsid w:val="00476D2D"/>
    <w:rsid w:val="00476EF9"/>
    <w:rsid w:val="00480304"/>
    <w:rsid w:val="00480545"/>
    <w:rsid w:val="004808BF"/>
    <w:rsid w:val="00480E1A"/>
    <w:rsid w:val="00481B7C"/>
    <w:rsid w:val="0048207D"/>
    <w:rsid w:val="00482870"/>
    <w:rsid w:val="00482EDE"/>
    <w:rsid w:val="00482F2B"/>
    <w:rsid w:val="00483084"/>
    <w:rsid w:val="004831A1"/>
    <w:rsid w:val="00484AC9"/>
    <w:rsid w:val="00484C83"/>
    <w:rsid w:val="00485009"/>
    <w:rsid w:val="004857EC"/>
    <w:rsid w:val="0048615B"/>
    <w:rsid w:val="004866BD"/>
    <w:rsid w:val="00486819"/>
    <w:rsid w:val="00486AA9"/>
    <w:rsid w:val="00486D3A"/>
    <w:rsid w:val="00486E9A"/>
    <w:rsid w:val="00487163"/>
    <w:rsid w:val="00487C51"/>
    <w:rsid w:val="00490175"/>
    <w:rsid w:val="004908DA"/>
    <w:rsid w:val="00490C7E"/>
    <w:rsid w:val="00490CD7"/>
    <w:rsid w:val="004910B6"/>
    <w:rsid w:val="004920BE"/>
    <w:rsid w:val="00493006"/>
    <w:rsid w:val="004937CF"/>
    <w:rsid w:val="00493F2E"/>
    <w:rsid w:val="00494643"/>
    <w:rsid w:val="0049489D"/>
    <w:rsid w:val="00494988"/>
    <w:rsid w:val="004950EE"/>
    <w:rsid w:val="0049540B"/>
    <w:rsid w:val="004955CC"/>
    <w:rsid w:val="00496287"/>
    <w:rsid w:val="00496299"/>
    <w:rsid w:val="004A1EF8"/>
    <w:rsid w:val="004A1F8E"/>
    <w:rsid w:val="004A35A3"/>
    <w:rsid w:val="004A36C8"/>
    <w:rsid w:val="004A3BF6"/>
    <w:rsid w:val="004A3DE8"/>
    <w:rsid w:val="004A4C3B"/>
    <w:rsid w:val="004A5511"/>
    <w:rsid w:val="004A6A76"/>
    <w:rsid w:val="004A6ED5"/>
    <w:rsid w:val="004A6F65"/>
    <w:rsid w:val="004B19B2"/>
    <w:rsid w:val="004B1F5E"/>
    <w:rsid w:val="004B2033"/>
    <w:rsid w:val="004B2418"/>
    <w:rsid w:val="004B24BF"/>
    <w:rsid w:val="004B2997"/>
    <w:rsid w:val="004B2C20"/>
    <w:rsid w:val="004B31BC"/>
    <w:rsid w:val="004B3674"/>
    <w:rsid w:val="004B37C8"/>
    <w:rsid w:val="004B38A0"/>
    <w:rsid w:val="004B3AB0"/>
    <w:rsid w:val="004B48FB"/>
    <w:rsid w:val="004B4E3D"/>
    <w:rsid w:val="004B58A7"/>
    <w:rsid w:val="004B59B7"/>
    <w:rsid w:val="004B5CC5"/>
    <w:rsid w:val="004B633C"/>
    <w:rsid w:val="004B6B39"/>
    <w:rsid w:val="004B6C46"/>
    <w:rsid w:val="004B6D8D"/>
    <w:rsid w:val="004B6DFF"/>
    <w:rsid w:val="004B7298"/>
    <w:rsid w:val="004B796C"/>
    <w:rsid w:val="004B7DB4"/>
    <w:rsid w:val="004C046B"/>
    <w:rsid w:val="004C31A0"/>
    <w:rsid w:val="004C32D7"/>
    <w:rsid w:val="004C3851"/>
    <w:rsid w:val="004C3BF5"/>
    <w:rsid w:val="004C548A"/>
    <w:rsid w:val="004C6A4E"/>
    <w:rsid w:val="004C6B3E"/>
    <w:rsid w:val="004D048B"/>
    <w:rsid w:val="004D05DE"/>
    <w:rsid w:val="004D12D6"/>
    <w:rsid w:val="004D1CE6"/>
    <w:rsid w:val="004D29AF"/>
    <w:rsid w:val="004D33D1"/>
    <w:rsid w:val="004D43B0"/>
    <w:rsid w:val="004D5740"/>
    <w:rsid w:val="004D5F5B"/>
    <w:rsid w:val="004D61F1"/>
    <w:rsid w:val="004D6F9C"/>
    <w:rsid w:val="004D7113"/>
    <w:rsid w:val="004D71BD"/>
    <w:rsid w:val="004D731F"/>
    <w:rsid w:val="004D777A"/>
    <w:rsid w:val="004D7B9D"/>
    <w:rsid w:val="004E03F1"/>
    <w:rsid w:val="004E061C"/>
    <w:rsid w:val="004E0EA9"/>
    <w:rsid w:val="004E1B7D"/>
    <w:rsid w:val="004E1F4A"/>
    <w:rsid w:val="004E22A0"/>
    <w:rsid w:val="004E2A10"/>
    <w:rsid w:val="004E2F92"/>
    <w:rsid w:val="004E39F8"/>
    <w:rsid w:val="004E529E"/>
    <w:rsid w:val="004E5551"/>
    <w:rsid w:val="004E5E92"/>
    <w:rsid w:val="004E5FD0"/>
    <w:rsid w:val="004E7738"/>
    <w:rsid w:val="004E7C37"/>
    <w:rsid w:val="004E7F1E"/>
    <w:rsid w:val="004F04CB"/>
    <w:rsid w:val="004F0A2F"/>
    <w:rsid w:val="004F0BDD"/>
    <w:rsid w:val="004F1B51"/>
    <w:rsid w:val="004F275C"/>
    <w:rsid w:val="004F33F7"/>
    <w:rsid w:val="004F4787"/>
    <w:rsid w:val="004F4A0E"/>
    <w:rsid w:val="004F5307"/>
    <w:rsid w:val="004F56F3"/>
    <w:rsid w:val="004F6A62"/>
    <w:rsid w:val="00500DBC"/>
    <w:rsid w:val="00501CA6"/>
    <w:rsid w:val="0050235E"/>
    <w:rsid w:val="005025ED"/>
    <w:rsid w:val="00502945"/>
    <w:rsid w:val="00502E78"/>
    <w:rsid w:val="00503503"/>
    <w:rsid w:val="0050384B"/>
    <w:rsid w:val="00503C19"/>
    <w:rsid w:val="005040F8"/>
    <w:rsid w:val="005044BA"/>
    <w:rsid w:val="00504AED"/>
    <w:rsid w:val="005056F9"/>
    <w:rsid w:val="00505ABB"/>
    <w:rsid w:val="0050626B"/>
    <w:rsid w:val="00506853"/>
    <w:rsid w:val="00506EF1"/>
    <w:rsid w:val="005074D3"/>
    <w:rsid w:val="0050785A"/>
    <w:rsid w:val="00507896"/>
    <w:rsid w:val="00507A22"/>
    <w:rsid w:val="00507F7B"/>
    <w:rsid w:val="00510083"/>
    <w:rsid w:val="00510348"/>
    <w:rsid w:val="00510F4D"/>
    <w:rsid w:val="00511346"/>
    <w:rsid w:val="005116A6"/>
    <w:rsid w:val="00511BCA"/>
    <w:rsid w:val="00511CE1"/>
    <w:rsid w:val="00512DB6"/>
    <w:rsid w:val="005137DF"/>
    <w:rsid w:val="0051384F"/>
    <w:rsid w:val="0051454E"/>
    <w:rsid w:val="00514961"/>
    <w:rsid w:val="00514BE8"/>
    <w:rsid w:val="00514D87"/>
    <w:rsid w:val="00515626"/>
    <w:rsid w:val="00515C96"/>
    <w:rsid w:val="00515D70"/>
    <w:rsid w:val="005162E7"/>
    <w:rsid w:val="00516701"/>
    <w:rsid w:val="00516A8B"/>
    <w:rsid w:val="00516DB0"/>
    <w:rsid w:val="00517F91"/>
    <w:rsid w:val="0052061F"/>
    <w:rsid w:val="00520CCC"/>
    <w:rsid w:val="00521037"/>
    <w:rsid w:val="00521091"/>
    <w:rsid w:val="005233F5"/>
    <w:rsid w:val="0052355A"/>
    <w:rsid w:val="0052369D"/>
    <w:rsid w:val="0052448A"/>
    <w:rsid w:val="005253CE"/>
    <w:rsid w:val="0052540F"/>
    <w:rsid w:val="00525949"/>
    <w:rsid w:val="00526F55"/>
    <w:rsid w:val="00527061"/>
    <w:rsid w:val="005277EF"/>
    <w:rsid w:val="00530974"/>
    <w:rsid w:val="00530AA8"/>
    <w:rsid w:val="00530E1B"/>
    <w:rsid w:val="00530E58"/>
    <w:rsid w:val="00531211"/>
    <w:rsid w:val="00531FCE"/>
    <w:rsid w:val="00532495"/>
    <w:rsid w:val="00532BC8"/>
    <w:rsid w:val="00532CAE"/>
    <w:rsid w:val="005332A6"/>
    <w:rsid w:val="00533625"/>
    <w:rsid w:val="00533F2C"/>
    <w:rsid w:val="00534191"/>
    <w:rsid w:val="00534B67"/>
    <w:rsid w:val="00534EE5"/>
    <w:rsid w:val="005352AA"/>
    <w:rsid w:val="00535588"/>
    <w:rsid w:val="00535682"/>
    <w:rsid w:val="00535A93"/>
    <w:rsid w:val="00535DFC"/>
    <w:rsid w:val="00535FDF"/>
    <w:rsid w:val="0053710C"/>
    <w:rsid w:val="005377F1"/>
    <w:rsid w:val="00537BF3"/>
    <w:rsid w:val="00537BFB"/>
    <w:rsid w:val="00540286"/>
    <w:rsid w:val="005414D6"/>
    <w:rsid w:val="00541C5C"/>
    <w:rsid w:val="00541FEA"/>
    <w:rsid w:val="00542FB2"/>
    <w:rsid w:val="00543DDC"/>
    <w:rsid w:val="00544243"/>
    <w:rsid w:val="00544D13"/>
    <w:rsid w:val="0054547F"/>
    <w:rsid w:val="005462D5"/>
    <w:rsid w:val="0054641E"/>
    <w:rsid w:val="00550C7D"/>
    <w:rsid w:val="00551193"/>
    <w:rsid w:val="00551515"/>
    <w:rsid w:val="00551778"/>
    <w:rsid w:val="00551DBD"/>
    <w:rsid w:val="00552315"/>
    <w:rsid w:val="00552925"/>
    <w:rsid w:val="005539F6"/>
    <w:rsid w:val="005549D9"/>
    <w:rsid w:val="00554DAF"/>
    <w:rsid w:val="00555BB9"/>
    <w:rsid w:val="0055610A"/>
    <w:rsid w:val="00556C6A"/>
    <w:rsid w:val="005572F1"/>
    <w:rsid w:val="00557B8B"/>
    <w:rsid w:val="00560774"/>
    <w:rsid w:val="005627A7"/>
    <w:rsid w:val="00562E9D"/>
    <w:rsid w:val="00562FE1"/>
    <w:rsid w:val="005631CF"/>
    <w:rsid w:val="005631D5"/>
    <w:rsid w:val="00564249"/>
    <w:rsid w:val="005664A1"/>
    <w:rsid w:val="00566CCE"/>
    <w:rsid w:val="00566DBF"/>
    <w:rsid w:val="00567687"/>
    <w:rsid w:val="00567753"/>
    <w:rsid w:val="00567951"/>
    <w:rsid w:val="00570682"/>
    <w:rsid w:val="00571345"/>
    <w:rsid w:val="00571C8D"/>
    <w:rsid w:val="00571F5A"/>
    <w:rsid w:val="00572040"/>
    <w:rsid w:val="005721A6"/>
    <w:rsid w:val="0057227B"/>
    <w:rsid w:val="00572999"/>
    <w:rsid w:val="00573E11"/>
    <w:rsid w:val="0057471F"/>
    <w:rsid w:val="00574C9D"/>
    <w:rsid w:val="00574DD2"/>
    <w:rsid w:val="005760CE"/>
    <w:rsid w:val="00576CFF"/>
    <w:rsid w:val="005778FE"/>
    <w:rsid w:val="005815D5"/>
    <w:rsid w:val="00581738"/>
    <w:rsid w:val="00581817"/>
    <w:rsid w:val="00582361"/>
    <w:rsid w:val="005824C4"/>
    <w:rsid w:val="0058293A"/>
    <w:rsid w:val="00582FC8"/>
    <w:rsid w:val="00583027"/>
    <w:rsid w:val="0058349A"/>
    <w:rsid w:val="00583538"/>
    <w:rsid w:val="0058504D"/>
    <w:rsid w:val="00585439"/>
    <w:rsid w:val="0058569E"/>
    <w:rsid w:val="00585A82"/>
    <w:rsid w:val="005861FA"/>
    <w:rsid w:val="00586626"/>
    <w:rsid w:val="005879DA"/>
    <w:rsid w:val="00587CD4"/>
    <w:rsid w:val="00587CE1"/>
    <w:rsid w:val="005900D5"/>
    <w:rsid w:val="00590DE3"/>
    <w:rsid w:val="0059174C"/>
    <w:rsid w:val="00592C5A"/>
    <w:rsid w:val="00592CB7"/>
    <w:rsid w:val="0059321D"/>
    <w:rsid w:val="00593857"/>
    <w:rsid w:val="00594091"/>
    <w:rsid w:val="00594F1A"/>
    <w:rsid w:val="005951A7"/>
    <w:rsid w:val="005952DB"/>
    <w:rsid w:val="00595DD0"/>
    <w:rsid w:val="00597481"/>
    <w:rsid w:val="00597B86"/>
    <w:rsid w:val="005A05E6"/>
    <w:rsid w:val="005A0A13"/>
    <w:rsid w:val="005A0B5C"/>
    <w:rsid w:val="005A0DB4"/>
    <w:rsid w:val="005A0F89"/>
    <w:rsid w:val="005A1171"/>
    <w:rsid w:val="005A2190"/>
    <w:rsid w:val="005A28AD"/>
    <w:rsid w:val="005A28B5"/>
    <w:rsid w:val="005A2F92"/>
    <w:rsid w:val="005A48E8"/>
    <w:rsid w:val="005A4B35"/>
    <w:rsid w:val="005A4C17"/>
    <w:rsid w:val="005A5066"/>
    <w:rsid w:val="005A5E6A"/>
    <w:rsid w:val="005A6A1C"/>
    <w:rsid w:val="005A6A76"/>
    <w:rsid w:val="005B0984"/>
    <w:rsid w:val="005B0C1A"/>
    <w:rsid w:val="005B0E5F"/>
    <w:rsid w:val="005B14C5"/>
    <w:rsid w:val="005B1C3B"/>
    <w:rsid w:val="005B2286"/>
    <w:rsid w:val="005B260A"/>
    <w:rsid w:val="005B38BE"/>
    <w:rsid w:val="005B3C77"/>
    <w:rsid w:val="005B3C9F"/>
    <w:rsid w:val="005B4F93"/>
    <w:rsid w:val="005B5059"/>
    <w:rsid w:val="005B5662"/>
    <w:rsid w:val="005B658F"/>
    <w:rsid w:val="005C02D7"/>
    <w:rsid w:val="005C0CFF"/>
    <w:rsid w:val="005C2404"/>
    <w:rsid w:val="005C4BF0"/>
    <w:rsid w:val="005C4DDF"/>
    <w:rsid w:val="005C5485"/>
    <w:rsid w:val="005C616D"/>
    <w:rsid w:val="005C67F0"/>
    <w:rsid w:val="005C75C1"/>
    <w:rsid w:val="005C760B"/>
    <w:rsid w:val="005D029F"/>
    <w:rsid w:val="005D03BE"/>
    <w:rsid w:val="005D082C"/>
    <w:rsid w:val="005D1059"/>
    <w:rsid w:val="005D149A"/>
    <w:rsid w:val="005D17CA"/>
    <w:rsid w:val="005D1D18"/>
    <w:rsid w:val="005D25BE"/>
    <w:rsid w:val="005D25F3"/>
    <w:rsid w:val="005D281C"/>
    <w:rsid w:val="005D293C"/>
    <w:rsid w:val="005D2AB1"/>
    <w:rsid w:val="005D341C"/>
    <w:rsid w:val="005D36E7"/>
    <w:rsid w:val="005D4CE7"/>
    <w:rsid w:val="005D5B45"/>
    <w:rsid w:val="005D5D77"/>
    <w:rsid w:val="005D63E6"/>
    <w:rsid w:val="005D69CC"/>
    <w:rsid w:val="005D6E0E"/>
    <w:rsid w:val="005D751A"/>
    <w:rsid w:val="005D7740"/>
    <w:rsid w:val="005E0110"/>
    <w:rsid w:val="005E0C75"/>
    <w:rsid w:val="005E0C9B"/>
    <w:rsid w:val="005E0D76"/>
    <w:rsid w:val="005E1A8A"/>
    <w:rsid w:val="005E1CC0"/>
    <w:rsid w:val="005E2280"/>
    <w:rsid w:val="005E3BA1"/>
    <w:rsid w:val="005E3E35"/>
    <w:rsid w:val="005E4928"/>
    <w:rsid w:val="005E4F70"/>
    <w:rsid w:val="005E6E05"/>
    <w:rsid w:val="005E7336"/>
    <w:rsid w:val="005E770E"/>
    <w:rsid w:val="005E78D7"/>
    <w:rsid w:val="005E78E2"/>
    <w:rsid w:val="005F0C6F"/>
    <w:rsid w:val="005F4012"/>
    <w:rsid w:val="005F4082"/>
    <w:rsid w:val="005F4218"/>
    <w:rsid w:val="005F4AB4"/>
    <w:rsid w:val="005F4B59"/>
    <w:rsid w:val="005F659C"/>
    <w:rsid w:val="005F700F"/>
    <w:rsid w:val="005F780F"/>
    <w:rsid w:val="0060318E"/>
    <w:rsid w:val="0060350E"/>
    <w:rsid w:val="00603575"/>
    <w:rsid w:val="00603AA8"/>
    <w:rsid w:val="00603E94"/>
    <w:rsid w:val="0060403B"/>
    <w:rsid w:val="0060455A"/>
    <w:rsid w:val="006047C2"/>
    <w:rsid w:val="006050C8"/>
    <w:rsid w:val="00605905"/>
    <w:rsid w:val="00605D59"/>
    <w:rsid w:val="006074F9"/>
    <w:rsid w:val="006075A5"/>
    <w:rsid w:val="00607A15"/>
    <w:rsid w:val="00607CCE"/>
    <w:rsid w:val="00610021"/>
    <w:rsid w:val="006103C9"/>
    <w:rsid w:val="00610D52"/>
    <w:rsid w:val="00611A73"/>
    <w:rsid w:val="00612532"/>
    <w:rsid w:val="00612FA0"/>
    <w:rsid w:val="00613E78"/>
    <w:rsid w:val="006144BD"/>
    <w:rsid w:val="00614E15"/>
    <w:rsid w:val="00614F35"/>
    <w:rsid w:val="00616E29"/>
    <w:rsid w:val="006175AB"/>
    <w:rsid w:val="006175D9"/>
    <w:rsid w:val="006178F4"/>
    <w:rsid w:val="00617C32"/>
    <w:rsid w:val="00617EEA"/>
    <w:rsid w:val="00620074"/>
    <w:rsid w:val="006201EC"/>
    <w:rsid w:val="00620777"/>
    <w:rsid w:val="00620918"/>
    <w:rsid w:val="00623450"/>
    <w:rsid w:val="00626462"/>
    <w:rsid w:val="00626DFB"/>
    <w:rsid w:val="00627032"/>
    <w:rsid w:val="00627093"/>
    <w:rsid w:val="006270CA"/>
    <w:rsid w:val="0063001D"/>
    <w:rsid w:val="0063141C"/>
    <w:rsid w:val="00631777"/>
    <w:rsid w:val="00631C7A"/>
    <w:rsid w:val="00632079"/>
    <w:rsid w:val="00632F13"/>
    <w:rsid w:val="00632F66"/>
    <w:rsid w:val="00633098"/>
    <w:rsid w:val="006333E3"/>
    <w:rsid w:val="0063353A"/>
    <w:rsid w:val="00633690"/>
    <w:rsid w:val="0063434C"/>
    <w:rsid w:val="006343F1"/>
    <w:rsid w:val="006349A1"/>
    <w:rsid w:val="006359B2"/>
    <w:rsid w:val="00635D3D"/>
    <w:rsid w:val="00635F52"/>
    <w:rsid w:val="006364C9"/>
    <w:rsid w:val="00636503"/>
    <w:rsid w:val="006370F7"/>
    <w:rsid w:val="0063724D"/>
    <w:rsid w:val="00637508"/>
    <w:rsid w:val="00637BF5"/>
    <w:rsid w:val="00640197"/>
    <w:rsid w:val="00640370"/>
    <w:rsid w:val="00640C33"/>
    <w:rsid w:val="0064111E"/>
    <w:rsid w:val="0064178A"/>
    <w:rsid w:val="00641D8E"/>
    <w:rsid w:val="006428B5"/>
    <w:rsid w:val="00643E36"/>
    <w:rsid w:val="00643E80"/>
    <w:rsid w:val="00644198"/>
    <w:rsid w:val="0064579D"/>
    <w:rsid w:val="00645AA3"/>
    <w:rsid w:val="00646BC3"/>
    <w:rsid w:val="00651193"/>
    <w:rsid w:val="006530D4"/>
    <w:rsid w:val="00653469"/>
    <w:rsid w:val="00653A2D"/>
    <w:rsid w:val="0065438C"/>
    <w:rsid w:val="006543D5"/>
    <w:rsid w:val="00654AB9"/>
    <w:rsid w:val="006553B7"/>
    <w:rsid w:val="006560C1"/>
    <w:rsid w:val="00656413"/>
    <w:rsid w:val="0065686F"/>
    <w:rsid w:val="006568B2"/>
    <w:rsid w:val="00656B1C"/>
    <w:rsid w:val="00657B2E"/>
    <w:rsid w:val="00657D84"/>
    <w:rsid w:val="0066106D"/>
    <w:rsid w:val="00661818"/>
    <w:rsid w:val="00662894"/>
    <w:rsid w:val="00662F0F"/>
    <w:rsid w:val="00663118"/>
    <w:rsid w:val="0066403E"/>
    <w:rsid w:val="00664231"/>
    <w:rsid w:val="00665B98"/>
    <w:rsid w:val="00665BD3"/>
    <w:rsid w:val="006666F3"/>
    <w:rsid w:val="0066676B"/>
    <w:rsid w:val="00666CFA"/>
    <w:rsid w:val="006704FE"/>
    <w:rsid w:val="006705AE"/>
    <w:rsid w:val="006711C0"/>
    <w:rsid w:val="00672345"/>
    <w:rsid w:val="00673CAD"/>
    <w:rsid w:val="00673E09"/>
    <w:rsid w:val="0067450C"/>
    <w:rsid w:val="006747DE"/>
    <w:rsid w:val="00674EEA"/>
    <w:rsid w:val="0067635C"/>
    <w:rsid w:val="0067724D"/>
    <w:rsid w:val="00681CE5"/>
    <w:rsid w:val="00682CC9"/>
    <w:rsid w:val="006834F1"/>
    <w:rsid w:val="00684A08"/>
    <w:rsid w:val="00684EE0"/>
    <w:rsid w:val="006852ED"/>
    <w:rsid w:val="00685552"/>
    <w:rsid w:val="00686350"/>
    <w:rsid w:val="0068663A"/>
    <w:rsid w:val="00686F6A"/>
    <w:rsid w:val="0068784C"/>
    <w:rsid w:val="00690146"/>
    <w:rsid w:val="006907A3"/>
    <w:rsid w:val="006909A5"/>
    <w:rsid w:val="0069129F"/>
    <w:rsid w:val="00691FD0"/>
    <w:rsid w:val="00692B67"/>
    <w:rsid w:val="00692DB2"/>
    <w:rsid w:val="00692EF3"/>
    <w:rsid w:val="00693632"/>
    <w:rsid w:val="00693934"/>
    <w:rsid w:val="006947F6"/>
    <w:rsid w:val="00694FC4"/>
    <w:rsid w:val="00695223"/>
    <w:rsid w:val="006965B7"/>
    <w:rsid w:val="00697237"/>
    <w:rsid w:val="006A04DF"/>
    <w:rsid w:val="006A0D81"/>
    <w:rsid w:val="006A1621"/>
    <w:rsid w:val="006A1925"/>
    <w:rsid w:val="006A1A3D"/>
    <w:rsid w:val="006A372A"/>
    <w:rsid w:val="006A3BFB"/>
    <w:rsid w:val="006A45E4"/>
    <w:rsid w:val="006A4666"/>
    <w:rsid w:val="006A54F8"/>
    <w:rsid w:val="006A6835"/>
    <w:rsid w:val="006A6C3D"/>
    <w:rsid w:val="006A6E41"/>
    <w:rsid w:val="006A7549"/>
    <w:rsid w:val="006A767E"/>
    <w:rsid w:val="006A7CE2"/>
    <w:rsid w:val="006B000F"/>
    <w:rsid w:val="006B0A72"/>
    <w:rsid w:val="006B12AB"/>
    <w:rsid w:val="006B1926"/>
    <w:rsid w:val="006B19CA"/>
    <w:rsid w:val="006B22E6"/>
    <w:rsid w:val="006B2BEF"/>
    <w:rsid w:val="006B2F53"/>
    <w:rsid w:val="006B3990"/>
    <w:rsid w:val="006B3C31"/>
    <w:rsid w:val="006B5FE9"/>
    <w:rsid w:val="006B5FEB"/>
    <w:rsid w:val="006B7015"/>
    <w:rsid w:val="006B7C6C"/>
    <w:rsid w:val="006C044F"/>
    <w:rsid w:val="006C0987"/>
    <w:rsid w:val="006C0AE7"/>
    <w:rsid w:val="006C2154"/>
    <w:rsid w:val="006C25CF"/>
    <w:rsid w:val="006C3D77"/>
    <w:rsid w:val="006C3E49"/>
    <w:rsid w:val="006C4650"/>
    <w:rsid w:val="006C467B"/>
    <w:rsid w:val="006C4D16"/>
    <w:rsid w:val="006C5940"/>
    <w:rsid w:val="006C678C"/>
    <w:rsid w:val="006C6B62"/>
    <w:rsid w:val="006C7213"/>
    <w:rsid w:val="006D1E38"/>
    <w:rsid w:val="006D2A2F"/>
    <w:rsid w:val="006D31C6"/>
    <w:rsid w:val="006D3A0C"/>
    <w:rsid w:val="006D3BE9"/>
    <w:rsid w:val="006D4683"/>
    <w:rsid w:val="006D5EAB"/>
    <w:rsid w:val="006D6420"/>
    <w:rsid w:val="006D668E"/>
    <w:rsid w:val="006E05A6"/>
    <w:rsid w:val="006E0DD4"/>
    <w:rsid w:val="006E1000"/>
    <w:rsid w:val="006E2917"/>
    <w:rsid w:val="006E2954"/>
    <w:rsid w:val="006E351A"/>
    <w:rsid w:val="006E406E"/>
    <w:rsid w:val="006E49CE"/>
    <w:rsid w:val="006E4AB9"/>
    <w:rsid w:val="006E5391"/>
    <w:rsid w:val="006E5AFF"/>
    <w:rsid w:val="006E6776"/>
    <w:rsid w:val="006E6E32"/>
    <w:rsid w:val="006E77FA"/>
    <w:rsid w:val="006F0593"/>
    <w:rsid w:val="006F06BE"/>
    <w:rsid w:val="006F074E"/>
    <w:rsid w:val="006F1227"/>
    <w:rsid w:val="006F1AB9"/>
    <w:rsid w:val="006F28A2"/>
    <w:rsid w:val="006F28B9"/>
    <w:rsid w:val="006F2D16"/>
    <w:rsid w:val="006F2E2F"/>
    <w:rsid w:val="006F3D52"/>
    <w:rsid w:val="006F3F8C"/>
    <w:rsid w:val="006F431A"/>
    <w:rsid w:val="006F4793"/>
    <w:rsid w:val="006F4984"/>
    <w:rsid w:val="006F4AED"/>
    <w:rsid w:val="006F507F"/>
    <w:rsid w:val="006F58EA"/>
    <w:rsid w:val="006F5B1E"/>
    <w:rsid w:val="006F5EAC"/>
    <w:rsid w:val="006F614A"/>
    <w:rsid w:val="006F68CF"/>
    <w:rsid w:val="006F6EA9"/>
    <w:rsid w:val="00700805"/>
    <w:rsid w:val="00701835"/>
    <w:rsid w:val="0070193B"/>
    <w:rsid w:val="00701CDE"/>
    <w:rsid w:val="00701E5E"/>
    <w:rsid w:val="00702068"/>
    <w:rsid w:val="00702705"/>
    <w:rsid w:val="00702825"/>
    <w:rsid w:val="00702A13"/>
    <w:rsid w:val="00702B3F"/>
    <w:rsid w:val="00703296"/>
    <w:rsid w:val="00703897"/>
    <w:rsid w:val="00703AEE"/>
    <w:rsid w:val="007040DC"/>
    <w:rsid w:val="007051B4"/>
    <w:rsid w:val="00705613"/>
    <w:rsid w:val="00705E81"/>
    <w:rsid w:val="007068B8"/>
    <w:rsid w:val="0070762A"/>
    <w:rsid w:val="0070791A"/>
    <w:rsid w:val="00710AD3"/>
    <w:rsid w:val="00710BF4"/>
    <w:rsid w:val="00710F6D"/>
    <w:rsid w:val="00712534"/>
    <w:rsid w:val="00712861"/>
    <w:rsid w:val="00713954"/>
    <w:rsid w:val="007142A0"/>
    <w:rsid w:val="0071460C"/>
    <w:rsid w:val="007149BB"/>
    <w:rsid w:val="00714C51"/>
    <w:rsid w:val="00714F46"/>
    <w:rsid w:val="007151F6"/>
    <w:rsid w:val="00716D6C"/>
    <w:rsid w:val="007179C5"/>
    <w:rsid w:val="007209C4"/>
    <w:rsid w:val="00720B0C"/>
    <w:rsid w:val="00720CBA"/>
    <w:rsid w:val="00720D92"/>
    <w:rsid w:val="00721600"/>
    <w:rsid w:val="00721939"/>
    <w:rsid w:val="00721C87"/>
    <w:rsid w:val="007224D3"/>
    <w:rsid w:val="007228A6"/>
    <w:rsid w:val="00722A78"/>
    <w:rsid w:val="00722ED0"/>
    <w:rsid w:val="00723D24"/>
    <w:rsid w:val="00723DDF"/>
    <w:rsid w:val="007245E1"/>
    <w:rsid w:val="00724748"/>
    <w:rsid w:val="00724C23"/>
    <w:rsid w:val="00724E2A"/>
    <w:rsid w:val="00725243"/>
    <w:rsid w:val="007256D9"/>
    <w:rsid w:val="00725E74"/>
    <w:rsid w:val="007268AB"/>
    <w:rsid w:val="00726CE9"/>
    <w:rsid w:val="00726FED"/>
    <w:rsid w:val="007273B1"/>
    <w:rsid w:val="00730398"/>
    <w:rsid w:val="007304AB"/>
    <w:rsid w:val="00730930"/>
    <w:rsid w:val="00731A90"/>
    <w:rsid w:val="007325C2"/>
    <w:rsid w:val="007336C3"/>
    <w:rsid w:val="00733E0C"/>
    <w:rsid w:val="007347AB"/>
    <w:rsid w:val="00734DC3"/>
    <w:rsid w:val="007350D7"/>
    <w:rsid w:val="007368F7"/>
    <w:rsid w:val="00737584"/>
    <w:rsid w:val="00737976"/>
    <w:rsid w:val="00740290"/>
    <w:rsid w:val="00742B36"/>
    <w:rsid w:val="00742C3A"/>
    <w:rsid w:val="00742F63"/>
    <w:rsid w:val="00743CC5"/>
    <w:rsid w:val="00743D01"/>
    <w:rsid w:val="007444A4"/>
    <w:rsid w:val="007446F8"/>
    <w:rsid w:val="007454A8"/>
    <w:rsid w:val="00745625"/>
    <w:rsid w:val="007461D9"/>
    <w:rsid w:val="00746E94"/>
    <w:rsid w:val="00746EFF"/>
    <w:rsid w:val="0074714C"/>
    <w:rsid w:val="00747513"/>
    <w:rsid w:val="0075018B"/>
    <w:rsid w:val="007507F9"/>
    <w:rsid w:val="00750F28"/>
    <w:rsid w:val="007519B1"/>
    <w:rsid w:val="00752300"/>
    <w:rsid w:val="00752CFA"/>
    <w:rsid w:val="00753BB0"/>
    <w:rsid w:val="00753C98"/>
    <w:rsid w:val="0075419B"/>
    <w:rsid w:val="007547F6"/>
    <w:rsid w:val="00754D4B"/>
    <w:rsid w:val="00755059"/>
    <w:rsid w:val="00755511"/>
    <w:rsid w:val="00755984"/>
    <w:rsid w:val="00755FE8"/>
    <w:rsid w:val="0075692E"/>
    <w:rsid w:val="00756958"/>
    <w:rsid w:val="00756D32"/>
    <w:rsid w:val="00756D4D"/>
    <w:rsid w:val="00760EEF"/>
    <w:rsid w:val="00761309"/>
    <w:rsid w:val="00761E1E"/>
    <w:rsid w:val="00761EA5"/>
    <w:rsid w:val="00762942"/>
    <w:rsid w:val="0076304D"/>
    <w:rsid w:val="0076343C"/>
    <w:rsid w:val="00763B95"/>
    <w:rsid w:val="00763CF0"/>
    <w:rsid w:val="007640F7"/>
    <w:rsid w:val="00764C63"/>
    <w:rsid w:val="007659B6"/>
    <w:rsid w:val="007666FA"/>
    <w:rsid w:val="00766770"/>
    <w:rsid w:val="00766C10"/>
    <w:rsid w:val="00767214"/>
    <w:rsid w:val="00767838"/>
    <w:rsid w:val="007678BA"/>
    <w:rsid w:val="0077014A"/>
    <w:rsid w:val="007702FE"/>
    <w:rsid w:val="00770783"/>
    <w:rsid w:val="00770DF6"/>
    <w:rsid w:val="00770EB2"/>
    <w:rsid w:val="0077208D"/>
    <w:rsid w:val="00772505"/>
    <w:rsid w:val="007725AD"/>
    <w:rsid w:val="00772941"/>
    <w:rsid w:val="00772A1A"/>
    <w:rsid w:val="007731B4"/>
    <w:rsid w:val="007733F0"/>
    <w:rsid w:val="00773460"/>
    <w:rsid w:val="0077379D"/>
    <w:rsid w:val="00773EB4"/>
    <w:rsid w:val="00773F82"/>
    <w:rsid w:val="00774387"/>
    <w:rsid w:val="00774670"/>
    <w:rsid w:val="0077503B"/>
    <w:rsid w:val="00775BF9"/>
    <w:rsid w:val="00775D06"/>
    <w:rsid w:val="0077623A"/>
    <w:rsid w:val="00776404"/>
    <w:rsid w:val="0077665C"/>
    <w:rsid w:val="007771F9"/>
    <w:rsid w:val="00777689"/>
    <w:rsid w:val="00777B6E"/>
    <w:rsid w:val="007800D5"/>
    <w:rsid w:val="00780891"/>
    <w:rsid w:val="007808FB"/>
    <w:rsid w:val="00780AD6"/>
    <w:rsid w:val="00781664"/>
    <w:rsid w:val="00781BE2"/>
    <w:rsid w:val="00781C2B"/>
    <w:rsid w:val="00781EA1"/>
    <w:rsid w:val="00782B94"/>
    <w:rsid w:val="0078382A"/>
    <w:rsid w:val="0078419A"/>
    <w:rsid w:val="007842BD"/>
    <w:rsid w:val="00785A23"/>
    <w:rsid w:val="0078736E"/>
    <w:rsid w:val="00790120"/>
    <w:rsid w:val="007901B5"/>
    <w:rsid w:val="00790398"/>
    <w:rsid w:val="007912BD"/>
    <w:rsid w:val="0079158D"/>
    <w:rsid w:val="007918EE"/>
    <w:rsid w:val="0079198B"/>
    <w:rsid w:val="00791F29"/>
    <w:rsid w:val="007952C7"/>
    <w:rsid w:val="00795977"/>
    <w:rsid w:val="00795CF8"/>
    <w:rsid w:val="0079677F"/>
    <w:rsid w:val="00796808"/>
    <w:rsid w:val="00796F2E"/>
    <w:rsid w:val="00797544"/>
    <w:rsid w:val="00797599"/>
    <w:rsid w:val="00797B99"/>
    <w:rsid w:val="007A0631"/>
    <w:rsid w:val="007A1564"/>
    <w:rsid w:val="007A370C"/>
    <w:rsid w:val="007A39AF"/>
    <w:rsid w:val="007A44C9"/>
    <w:rsid w:val="007A4897"/>
    <w:rsid w:val="007A5430"/>
    <w:rsid w:val="007A5482"/>
    <w:rsid w:val="007A6443"/>
    <w:rsid w:val="007A6B46"/>
    <w:rsid w:val="007A6DD5"/>
    <w:rsid w:val="007A73BE"/>
    <w:rsid w:val="007A74FF"/>
    <w:rsid w:val="007B0676"/>
    <w:rsid w:val="007B104C"/>
    <w:rsid w:val="007B16B3"/>
    <w:rsid w:val="007B1923"/>
    <w:rsid w:val="007B30D2"/>
    <w:rsid w:val="007B3465"/>
    <w:rsid w:val="007B35E0"/>
    <w:rsid w:val="007B361D"/>
    <w:rsid w:val="007B397F"/>
    <w:rsid w:val="007B3B76"/>
    <w:rsid w:val="007B3CF8"/>
    <w:rsid w:val="007B4552"/>
    <w:rsid w:val="007B49E0"/>
    <w:rsid w:val="007B5399"/>
    <w:rsid w:val="007B5846"/>
    <w:rsid w:val="007B58FB"/>
    <w:rsid w:val="007B590B"/>
    <w:rsid w:val="007B65C8"/>
    <w:rsid w:val="007B6F18"/>
    <w:rsid w:val="007B7165"/>
    <w:rsid w:val="007B7ACB"/>
    <w:rsid w:val="007B7BB7"/>
    <w:rsid w:val="007C02C0"/>
    <w:rsid w:val="007C07DA"/>
    <w:rsid w:val="007C0866"/>
    <w:rsid w:val="007C087D"/>
    <w:rsid w:val="007C1162"/>
    <w:rsid w:val="007C2486"/>
    <w:rsid w:val="007C28A5"/>
    <w:rsid w:val="007C2A9D"/>
    <w:rsid w:val="007C4C86"/>
    <w:rsid w:val="007C4D8B"/>
    <w:rsid w:val="007C67CD"/>
    <w:rsid w:val="007C704C"/>
    <w:rsid w:val="007C747D"/>
    <w:rsid w:val="007C7A9F"/>
    <w:rsid w:val="007C7D31"/>
    <w:rsid w:val="007C7F9A"/>
    <w:rsid w:val="007D0181"/>
    <w:rsid w:val="007D0C88"/>
    <w:rsid w:val="007D113B"/>
    <w:rsid w:val="007D2C4B"/>
    <w:rsid w:val="007D2CCE"/>
    <w:rsid w:val="007D2D38"/>
    <w:rsid w:val="007D44B6"/>
    <w:rsid w:val="007D44DD"/>
    <w:rsid w:val="007D4516"/>
    <w:rsid w:val="007D4E35"/>
    <w:rsid w:val="007D52A9"/>
    <w:rsid w:val="007D58A9"/>
    <w:rsid w:val="007D6372"/>
    <w:rsid w:val="007D65A8"/>
    <w:rsid w:val="007D6F2E"/>
    <w:rsid w:val="007D7703"/>
    <w:rsid w:val="007D770A"/>
    <w:rsid w:val="007D7F0C"/>
    <w:rsid w:val="007E005D"/>
    <w:rsid w:val="007E016B"/>
    <w:rsid w:val="007E0B03"/>
    <w:rsid w:val="007E0F89"/>
    <w:rsid w:val="007E103D"/>
    <w:rsid w:val="007E1BC4"/>
    <w:rsid w:val="007E2E79"/>
    <w:rsid w:val="007E33B6"/>
    <w:rsid w:val="007E59EA"/>
    <w:rsid w:val="007E7173"/>
    <w:rsid w:val="007E7442"/>
    <w:rsid w:val="007E7C26"/>
    <w:rsid w:val="007F04BD"/>
    <w:rsid w:val="007F11A3"/>
    <w:rsid w:val="007F167E"/>
    <w:rsid w:val="007F1EE0"/>
    <w:rsid w:val="007F2317"/>
    <w:rsid w:val="007F2448"/>
    <w:rsid w:val="007F3961"/>
    <w:rsid w:val="007F4912"/>
    <w:rsid w:val="007F4C34"/>
    <w:rsid w:val="007F5C41"/>
    <w:rsid w:val="007F6267"/>
    <w:rsid w:val="007F6ED8"/>
    <w:rsid w:val="007F7799"/>
    <w:rsid w:val="007F7DC1"/>
    <w:rsid w:val="007F7F3F"/>
    <w:rsid w:val="007F7F7B"/>
    <w:rsid w:val="00800D71"/>
    <w:rsid w:val="008013B7"/>
    <w:rsid w:val="00801E9E"/>
    <w:rsid w:val="008022AE"/>
    <w:rsid w:val="00802E7B"/>
    <w:rsid w:val="00802FF3"/>
    <w:rsid w:val="00803FC1"/>
    <w:rsid w:val="00804010"/>
    <w:rsid w:val="00804A7B"/>
    <w:rsid w:val="0080641F"/>
    <w:rsid w:val="00806B13"/>
    <w:rsid w:val="00807019"/>
    <w:rsid w:val="0081068C"/>
    <w:rsid w:val="00811095"/>
    <w:rsid w:val="00811149"/>
    <w:rsid w:val="008118F2"/>
    <w:rsid w:val="00811B4F"/>
    <w:rsid w:val="0081225A"/>
    <w:rsid w:val="00812277"/>
    <w:rsid w:val="00813857"/>
    <w:rsid w:val="00814249"/>
    <w:rsid w:val="008142F8"/>
    <w:rsid w:val="00815070"/>
    <w:rsid w:val="00815935"/>
    <w:rsid w:val="0081664C"/>
    <w:rsid w:val="008173DD"/>
    <w:rsid w:val="00817787"/>
    <w:rsid w:val="00817839"/>
    <w:rsid w:val="008205BB"/>
    <w:rsid w:val="008207A6"/>
    <w:rsid w:val="00820D61"/>
    <w:rsid w:val="0082133C"/>
    <w:rsid w:val="008217A2"/>
    <w:rsid w:val="008221B8"/>
    <w:rsid w:val="008227A0"/>
    <w:rsid w:val="008227E7"/>
    <w:rsid w:val="008229A6"/>
    <w:rsid w:val="008237F0"/>
    <w:rsid w:val="00823BE3"/>
    <w:rsid w:val="00823BFA"/>
    <w:rsid w:val="0082428A"/>
    <w:rsid w:val="00825DFB"/>
    <w:rsid w:val="00825F4F"/>
    <w:rsid w:val="008260D5"/>
    <w:rsid w:val="00826966"/>
    <w:rsid w:val="00827078"/>
    <w:rsid w:val="008271F1"/>
    <w:rsid w:val="008272EF"/>
    <w:rsid w:val="00827554"/>
    <w:rsid w:val="008275D5"/>
    <w:rsid w:val="008278B4"/>
    <w:rsid w:val="0082798B"/>
    <w:rsid w:val="00830496"/>
    <w:rsid w:val="00830E65"/>
    <w:rsid w:val="00831041"/>
    <w:rsid w:val="00831102"/>
    <w:rsid w:val="008313EB"/>
    <w:rsid w:val="00831592"/>
    <w:rsid w:val="00831E4F"/>
    <w:rsid w:val="00832200"/>
    <w:rsid w:val="0083294C"/>
    <w:rsid w:val="00832D29"/>
    <w:rsid w:val="00833228"/>
    <w:rsid w:val="008333A1"/>
    <w:rsid w:val="00833541"/>
    <w:rsid w:val="00834F1F"/>
    <w:rsid w:val="00834F77"/>
    <w:rsid w:val="00835079"/>
    <w:rsid w:val="0083534B"/>
    <w:rsid w:val="00835497"/>
    <w:rsid w:val="00836134"/>
    <w:rsid w:val="00836719"/>
    <w:rsid w:val="00836733"/>
    <w:rsid w:val="008377B5"/>
    <w:rsid w:val="008409A8"/>
    <w:rsid w:val="00840BA9"/>
    <w:rsid w:val="00840BFF"/>
    <w:rsid w:val="00841005"/>
    <w:rsid w:val="0084114A"/>
    <w:rsid w:val="00841353"/>
    <w:rsid w:val="008414B3"/>
    <w:rsid w:val="0084165F"/>
    <w:rsid w:val="0084215F"/>
    <w:rsid w:val="0084391D"/>
    <w:rsid w:val="008444A6"/>
    <w:rsid w:val="00844695"/>
    <w:rsid w:val="00845EAF"/>
    <w:rsid w:val="008463ED"/>
    <w:rsid w:val="00846955"/>
    <w:rsid w:val="00847EA3"/>
    <w:rsid w:val="0085191B"/>
    <w:rsid w:val="00851C2B"/>
    <w:rsid w:val="0085200D"/>
    <w:rsid w:val="0085204D"/>
    <w:rsid w:val="008525DF"/>
    <w:rsid w:val="00852DF5"/>
    <w:rsid w:val="00853A4A"/>
    <w:rsid w:val="00853B7D"/>
    <w:rsid w:val="00854101"/>
    <w:rsid w:val="00854374"/>
    <w:rsid w:val="00854B3C"/>
    <w:rsid w:val="00854C0E"/>
    <w:rsid w:val="00855256"/>
    <w:rsid w:val="008560D1"/>
    <w:rsid w:val="008567D4"/>
    <w:rsid w:val="00856A46"/>
    <w:rsid w:val="00857821"/>
    <w:rsid w:val="00857C05"/>
    <w:rsid w:val="00860828"/>
    <w:rsid w:val="008611B8"/>
    <w:rsid w:val="0086120A"/>
    <w:rsid w:val="00862663"/>
    <w:rsid w:val="00862BF8"/>
    <w:rsid w:val="00863C38"/>
    <w:rsid w:val="0086410B"/>
    <w:rsid w:val="0086445C"/>
    <w:rsid w:val="00864F60"/>
    <w:rsid w:val="00865364"/>
    <w:rsid w:val="0086647C"/>
    <w:rsid w:val="00866D37"/>
    <w:rsid w:val="008670C5"/>
    <w:rsid w:val="00867B2F"/>
    <w:rsid w:val="00870970"/>
    <w:rsid w:val="008712DC"/>
    <w:rsid w:val="0087239B"/>
    <w:rsid w:val="008724F0"/>
    <w:rsid w:val="00872A0E"/>
    <w:rsid w:val="00872F99"/>
    <w:rsid w:val="0087307C"/>
    <w:rsid w:val="0087307F"/>
    <w:rsid w:val="00873654"/>
    <w:rsid w:val="00873A21"/>
    <w:rsid w:val="0087407C"/>
    <w:rsid w:val="00874F83"/>
    <w:rsid w:val="008756CC"/>
    <w:rsid w:val="00875F91"/>
    <w:rsid w:val="008761CA"/>
    <w:rsid w:val="00876EC6"/>
    <w:rsid w:val="008770DB"/>
    <w:rsid w:val="008803C1"/>
    <w:rsid w:val="00880ABE"/>
    <w:rsid w:val="00880F88"/>
    <w:rsid w:val="008814A9"/>
    <w:rsid w:val="00881D7B"/>
    <w:rsid w:val="00882322"/>
    <w:rsid w:val="008827E6"/>
    <w:rsid w:val="008828CE"/>
    <w:rsid w:val="00882B5C"/>
    <w:rsid w:val="00883164"/>
    <w:rsid w:val="008833EE"/>
    <w:rsid w:val="008837DD"/>
    <w:rsid w:val="00883B57"/>
    <w:rsid w:val="0088434D"/>
    <w:rsid w:val="00885289"/>
    <w:rsid w:val="008858D8"/>
    <w:rsid w:val="00886268"/>
    <w:rsid w:val="00887DAB"/>
    <w:rsid w:val="00887E22"/>
    <w:rsid w:val="00890270"/>
    <w:rsid w:val="008907BE"/>
    <w:rsid w:val="00890B4C"/>
    <w:rsid w:val="008916B4"/>
    <w:rsid w:val="00891A01"/>
    <w:rsid w:val="00891A67"/>
    <w:rsid w:val="008922D1"/>
    <w:rsid w:val="00892814"/>
    <w:rsid w:val="00893209"/>
    <w:rsid w:val="0089395A"/>
    <w:rsid w:val="00894A93"/>
    <w:rsid w:val="00895542"/>
    <w:rsid w:val="0089565B"/>
    <w:rsid w:val="008961EE"/>
    <w:rsid w:val="00896529"/>
    <w:rsid w:val="00896BEB"/>
    <w:rsid w:val="008A06C9"/>
    <w:rsid w:val="008A13A7"/>
    <w:rsid w:val="008A1F1F"/>
    <w:rsid w:val="008A23EB"/>
    <w:rsid w:val="008A2986"/>
    <w:rsid w:val="008A318F"/>
    <w:rsid w:val="008A329E"/>
    <w:rsid w:val="008A4494"/>
    <w:rsid w:val="008A463C"/>
    <w:rsid w:val="008A4BB5"/>
    <w:rsid w:val="008A53FB"/>
    <w:rsid w:val="008A55A5"/>
    <w:rsid w:val="008A5973"/>
    <w:rsid w:val="008A79AD"/>
    <w:rsid w:val="008B0569"/>
    <w:rsid w:val="008B1269"/>
    <w:rsid w:val="008B16F1"/>
    <w:rsid w:val="008B1713"/>
    <w:rsid w:val="008B245C"/>
    <w:rsid w:val="008B363E"/>
    <w:rsid w:val="008B485B"/>
    <w:rsid w:val="008B4D53"/>
    <w:rsid w:val="008B61AA"/>
    <w:rsid w:val="008B6466"/>
    <w:rsid w:val="008B6522"/>
    <w:rsid w:val="008B6569"/>
    <w:rsid w:val="008B6603"/>
    <w:rsid w:val="008B69A6"/>
    <w:rsid w:val="008B6BE4"/>
    <w:rsid w:val="008B7ADD"/>
    <w:rsid w:val="008C0566"/>
    <w:rsid w:val="008C0A03"/>
    <w:rsid w:val="008C0CBB"/>
    <w:rsid w:val="008C0CF9"/>
    <w:rsid w:val="008C0EEA"/>
    <w:rsid w:val="008C11FA"/>
    <w:rsid w:val="008C14B4"/>
    <w:rsid w:val="008C20D0"/>
    <w:rsid w:val="008C2509"/>
    <w:rsid w:val="008C2A7C"/>
    <w:rsid w:val="008C2C55"/>
    <w:rsid w:val="008C3832"/>
    <w:rsid w:val="008C6A88"/>
    <w:rsid w:val="008C6AE0"/>
    <w:rsid w:val="008C7241"/>
    <w:rsid w:val="008C7B52"/>
    <w:rsid w:val="008D02E6"/>
    <w:rsid w:val="008D0896"/>
    <w:rsid w:val="008D0BA7"/>
    <w:rsid w:val="008D10DA"/>
    <w:rsid w:val="008D1133"/>
    <w:rsid w:val="008D194D"/>
    <w:rsid w:val="008D1FAA"/>
    <w:rsid w:val="008D2071"/>
    <w:rsid w:val="008D2813"/>
    <w:rsid w:val="008D4DC6"/>
    <w:rsid w:val="008D5D0C"/>
    <w:rsid w:val="008D6656"/>
    <w:rsid w:val="008D6AD6"/>
    <w:rsid w:val="008D6C88"/>
    <w:rsid w:val="008D6FB1"/>
    <w:rsid w:val="008D735F"/>
    <w:rsid w:val="008E002A"/>
    <w:rsid w:val="008E0A0B"/>
    <w:rsid w:val="008E0BF5"/>
    <w:rsid w:val="008E0C5A"/>
    <w:rsid w:val="008E128C"/>
    <w:rsid w:val="008E1DF0"/>
    <w:rsid w:val="008E22EF"/>
    <w:rsid w:val="008E2359"/>
    <w:rsid w:val="008E32C3"/>
    <w:rsid w:val="008E4B0B"/>
    <w:rsid w:val="008E53D5"/>
    <w:rsid w:val="008E53E7"/>
    <w:rsid w:val="008E5E26"/>
    <w:rsid w:val="008E5FDB"/>
    <w:rsid w:val="008E60D8"/>
    <w:rsid w:val="008E7840"/>
    <w:rsid w:val="008E78E1"/>
    <w:rsid w:val="008E7CB6"/>
    <w:rsid w:val="008F005F"/>
    <w:rsid w:val="008F00E8"/>
    <w:rsid w:val="008F04F2"/>
    <w:rsid w:val="008F0D15"/>
    <w:rsid w:val="008F1263"/>
    <w:rsid w:val="008F1A90"/>
    <w:rsid w:val="008F2786"/>
    <w:rsid w:val="008F2DF3"/>
    <w:rsid w:val="008F3781"/>
    <w:rsid w:val="008F3DFE"/>
    <w:rsid w:val="008F3E01"/>
    <w:rsid w:val="008F490D"/>
    <w:rsid w:val="008F4BC2"/>
    <w:rsid w:val="008F4EBC"/>
    <w:rsid w:val="008F4F1E"/>
    <w:rsid w:val="008F611F"/>
    <w:rsid w:val="008F6672"/>
    <w:rsid w:val="008F7367"/>
    <w:rsid w:val="008F73D9"/>
    <w:rsid w:val="008F7A53"/>
    <w:rsid w:val="009000C1"/>
    <w:rsid w:val="009002ED"/>
    <w:rsid w:val="009009B1"/>
    <w:rsid w:val="00901079"/>
    <w:rsid w:val="009011F1"/>
    <w:rsid w:val="009027F7"/>
    <w:rsid w:val="00902BFE"/>
    <w:rsid w:val="0090322B"/>
    <w:rsid w:val="009038CE"/>
    <w:rsid w:val="00903D99"/>
    <w:rsid w:val="00904FC1"/>
    <w:rsid w:val="009056B2"/>
    <w:rsid w:val="00905DAD"/>
    <w:rsid w:val="00906080"/>
    <w:rsid w:val="009076BD"/>
    <w:rsid w:val="009115F0"/>
    <w:rsid w:val="009115F6"/>
    <w:rsid w:val="0091237E"/>
    <w:rsid w:val="009125E8"/>
    <w:rsid w:val="009133E8"/>
    <w:rsid w:val="009136A1"/>
    <w:rsid w:val="009136BD"/>
    <w:rsid w:val="00913A2B"/>
    <w:rsid w:val="00914F1B"/>
    <w:rsid w:val="00915BB7"/>
    <w:rsid w:val="00915CCA"/>
    <w:rsid w:val="009204FC"/>
    <w:rsid w:val="00921264"/>
    <w:rsid w:val="00921568"/>
    <w:rsid w:val="0092171E"/>
    <w:rsid w:val="0092218D"/>
    <w:rsid w:val="009221A2"/>
    <w:rsid w:val="0092278E"/>
    <w:rsid w:val="00922C5D"/>
    <w:rsid w:val="00923545"/>
    <w:rsid w:val="00923C85"/>
    <w:rsid w:val="00923D8E"/>
    <w:rsid w:val="00923FCF"/>
    <w:rsid w:val="00924563"/>
    <w:rsid w:val="00924691"/>
    <w:rsid w:val="00925F7E"/>
    <w:rsid w:val="00926CBC"/>
    <w:rsid w:val="009275D1"/>
    <w:rsid w:val="00927E40"/>
    <w:rsid w:val="00930E61"/>
    <w:rsid w:val="00931537"/>
    <w:rsid w:val="00931BAA"/>
    <w:rsid w:val="00933166"/>
    <w:rsid w:val="0093353A"/>
    <w:rsid w:val="00933B03"/>
    <w:rsid w:val="00933F47"/>
    <w:rsid w:val="00934049"/>
    <w:rsid w:val="009340EC"/>
    <w:rsid w:val="0093506E"/>
    <w:rsid w:val="00935605"/>
    <w:rsid w:val="009358AA"/>
    <w:rsid w:val="009359A0"/>
    <w:rsid w:val="00936FA8"/>
    <w:rsid w:val="00937467"/>
    <w:rsid w:val="0093763D"/>
    <w:rsid w:val="00937689"/>
    <w:rsid w:val="0094044E"/>
    <w:rsid w:val="009405CE"/>
    <w:rsid w:val="0094063C"/>
    <w:rsid w:val="009406ED"/>
    <w:rsid w:val="00940775"/>
    <w:rsid w:val="00940970"/>
    <w:rsid w:val="00940A1E"/>
    <w:rsid w:val="00940DE9"/>
    <w:rsid w:val="009411EA"/>
    <w:rsid w:val="00941796"/>
    <w:rsid w:val="00941823"/>
    <w:rsid w:val="0094182C"/>
    <w:rsid w:val="009428CE"/>
    <w:rsid w:val="00943910"/>
    <w:rsid w:val="00944B52"/>
    <w:rsid w:val="00944F17"/>
    <w:rsid w:val="00945004"/>
    <w:rsid w:val="00945343"/>
    <w:rsid w:val="0094660E"/>
    <w:rsid w:val="00946ED8"/>
    <w:rsid w:val="009479CE"/>
    <w:rsid w:val="009503EB"/>
    <w:rsid w:val="00951087"/>
    <w:rsid w:val="0095119D"/>
    <w:rsid w:val="00951230"/>
    <w:rsid w:val="009517CF"/>
    <w:rsid w:val="00952258"/>
    <w:rsid w:val="0095249E"/>
    <w:rsid w:val="00952B29"/>
    <w:rsid w:val="00952D5A"/>
    <w:rsid w:val="00953290"/>
    <w:rsid w:val="00954D60"/>
    <w:rsid w:val="0095521C"/>
    <w:rsid w:val="0095603B"/>
    <w:rsid w:val="00957031"/>
    <w:rsid w:val="00957833"/>
    <w:rsid w:val="00957AA1"/>
    <w:rsid w:val="00957C16"/>
    <w:rsid w:val="009602E0"/>
    <w:rsid w:val="00960350"/>
    <w:rsid w:val="00960441"/>
    <w:rsid w:val="00960770"/>
    <w:rsid w:val="00961026"/>
    <w:rsid w:val="009610AB"/>
    <w:rsid w:val="00961922"/>
    <w:rsid w:val="0096297E"/>
    <w:rsid w:val="00962A14"/>
    <w:rsid w:val="00962EF8"/>
    <w:rsid w:val="00963116"/>
    <w:rsid w:val="009634C9"/>
    <w:rsid w:val="00963547"/>
    <w:rsid w:val="009637C6"/>
    <w:rsid w:val="00963F55"/>
    <w:rsid w:val="00964A3B"/>
    <w:rsid w:val="00964F97"/>
    <w:rsid w:val="009650A1"/>
    <w:rsid w:val="00966594"/>
    <w:rsid w:val="00966FC4"/>
    <w:rsid w:val="0096737A"/>
    <w:rsid w:val="0097020E"/>
    <w:rsid w:val="0097040B"/>
    <w:rsid w:val="00970AA7"/>
    <w:rsid w:val="009712DD"/>
    <w:rsid w:val="00971654"/>
    <w:rsid w:val="0097276C"/>
    <w:rsid w:val="00973523"/>
    <w:rsid w:val="00974D1A"/>
    <w:rsid w:val="00975426"/>
    <w:rsid w:val="00975806"/>
    <w:rsid w:val="00976FE1"/>
    <w:rsid w:val="009774A5"/>
    <w:rsid w:val="00977B28"/>
    <w:rsid w:val="00977BEB"/>
    <w:rsid w:val="009800E6"/>
    <w:rsid w:val="00980FD3"/>
    <w:rsid w:val="0098135D"/>
    <w:rsid w:val="009820FC"/>
    <w:rsid w:val="009825C7"/>
    <w:rsid w:val="0098275A"/>
    <w:rsid w:val="00982A7A"/>
    <w:rsid w:val="00982F2B"/>
    <w:rsid w:val="00983357"/>
    <w:rsid w:val="009833B2"/>
    <w:rsid w:val="00983ECB"/>
    <w:rsid w:val="009841C5"/>
    <w:rsid w:val="00984339"/>
    <w:rsid w:val="009849E4"/>
    <w:rsid w:val="00987A5A"/>
    <w:rsid w:val="009904F3"/>
    <w:rsid w:val="00990764"/>
    <w:rsid w:val="00991CDF"/>
    <w:rsid w:val="009929AE"/>
    <w:rsid w:val="00993479"/>
    <w:rsid w:val="009935CA"/>
    <w:rsid w:val="00993C78"/>
    <w:rsid w:val="00994A5E"/>
    <w:rsid w:val="0099554C"/>
    <w:rsid w:val="00995609"/>
    <w:rsid w:val="00995E32"/>
    <w:rsid w:val="0099664C"/>
    <w:rsid w:val="00997430"/>
    <w:rsid w:val="00997750"/>
    <w:rsid w:val="00997BFB"/>
    <w:rsid w:val="009A03A7"/>
    <w:rsid w:val="009A0A0F"/>
    <w:rsid w:val="009A2816"/>
    <w:rsid w:val="009A372A"/>
    <w:rsid w:val="009A51B6"/>
    <w:rsid w:val="009A52F0"/>
    <w:rsid w:val="009A53DD"/>
    <w:rsid w:val="009A54B3"/>
    <w:rsid w:val="009A5678"/>
    <w:rsid w:val="009A5C07"/>
    <w:rsid w:val="009A63B7"/>
    <w:rsid w:val="009A6700"/>
    <w:rsid w:val="009A6FF2"/>
    <w:rsid w:val="009A79EA"/>
    <w:rsid w:val="009B0706"/>
    <w:rsid w:val="009B0AB2"/>
    <w:rsid w:val="009B0E4F"/>
    <w:rsid w:val="009B27F7"/>
    <w:rsid w:val="009B2E33"/>
    <w:rsid w:val="009B3632"/>
    <w:rsid w:val="009B4945"/>
    <w:rsid w:val="009B5201"/>
    <w:rsid w:val="009B53A8"/>
    <w:rsid w:val="009B569C"/>
    <w:rsid w:val="009B5832"/>
    <w:rsid w:val="009B5AEF"/>
    <w:rsid w:val="009B5C0E"/>
    <w:rsid w:val="009B5C3E"/>
    <w:rsid w:val="009B5DF0"/>
    <w:rsid w:val="009B66E4"/>
    <w:rsid w:val="009B71DA"/>
    <w:rsid w:val="009B7EAF"/>
    <w:rsid w:val="009B7F64"/>
    <w:rsid w:val="009C0259"/>
    <w:rsid w:val="009C0F58"/>
    <w:rsid w:val="009C188E"/>
    <w:rsid w:val="009C210C"/>
    <w:rsid w:val="009C22FA"/>
    <w:rsid w:val="009C2857"/>
    <w:rsid w:val="009C28C9"/>
    <w:rsid w:val="009C33B1"/>
    <w:rsid w:val="009C36FB"/>
    <w:rsid w:val="009C3C01"/>
    <w:rsid w:val="009C45F0"/>
    <w:rsid w:val="009C468F"/>
    <w:rsid w:val="009C6719"/>
    <w:rsid w:val="009C6FF6"/>
    <w:rsid w:val="009C7146"/>
    <w:rsid w:val="009C7AB3"/>
    <w:rsid w:val="009C7E10"/>
    <w:rsid w:val="009D00C4"/>
    <w:rsid w:val="009D0507"/>
    <w:rsid w:val="009D0C08"/>
    <w:rsid w:val="009D0DAD"/>
    <w:rsid w:val="009D13ED"/>
    <w:rsid w:val="009D156E"/>
    <w:rsid w:val="009D2817"/>
    <w:rsid w:val="009D470A"/>
    <w:rsid w:val="009D4836"/>
    <w:rsid w:val="009D5323"/>
    <w:rsid w:val="009D56FF"/>
    <w:rsid w:val="009D6AC2"/>
    <w:rsid w:val="009D6B57"/>
    <w:rsid w:val="009D6DD9"/>
    <w:rsid w:val="009D6F2C"/>
    <w:rsid w:val="009D75CE"/>
    <w:rsid w:val="009D7768"/>
    <w:rsid w:val="009E0011"/>
    <w:rsid w:val="009E11AE"/>
    <w:rsid w:val="009E20B7"/>
    <w:rsid w:val="009E2173"/>
    <w:rsid w:val="009E256E"/>
    <w:rsid w:val="009E2B84"/>
    <w:rsid w:val="009E2BFE"/>
    <w:rsid w:val="009E3881"/>
    <w:rsid w:val="009E5316"/>
    <w:rsid w:val="009E5674"/>
    <w:rsid w:val="009E59DE"/>
    <w:rsid w:val="009E645E"/>
    <w:rsid w:val="009E7FCB"/>
    <w:rsid w:val="009F04F7"/>
    <w:rsid w:val="009F0B46"/>
    <w:rsid w:val="009F1134"/>
    <w:rsid w:val="009F1441"/>
    <w:rsid w:val="009F2108"/>
    <w:rsid w:val="009F33C5"/>
    <w:rsid w:val="009F348F"/>
    <w:rsid w:val="009F35EE"/>
    <w:rsid w:val="009F3744"/>
    <w:rsid w:val="009F377C"/>
    <w:rsid w:val="009F3F75"/>
    <w:rsid w:val="009F4C19"/>
    <w:rsid w:val="009F4E42"/>
    <w:rsid w:val="009F57BB"/>
    <w:rsid w:val="009F58A4"/>
    <w:rsid w:val="009F58B9"/>
    <w:rsid w:val="009F60CA"/>
    <w:rsid w:val="009F62C8"/>
    <w:rsid w:val="009F64D7"/>
    <w:rsid w:val="009F722D"/>
    <w:rsid w:val="009F7EB5"/>
    <w:rsid w:val="00A00BDA"/>
    <w:rsid w:val="00A015F5"/>
    <w:rsid w:val="00A018ED"/>
    <w:rsid w:val="00A03744"/>
    <w:rsid w:val="00A03DD8"/>
    <w:rsid w:val="00A042D0"/>
    <w:rsid w:val="00A0441F"/>
    <w:rsid w:val="00A04B21"/>
    <w:rsid w:val="00A05213"/>
    <w:rsid w:val="00A056E9"/>
    <w:rsid w:val="00A05F22"/>
    <w:rsid w:val="00A0606F"/>
    <w:rsid w:val="00A079CE"/>
    <w:rsid w:val="00A07E20"/>
    <w:rsid w:val="00A10133"/>
    <w:rsid w:val="00A101E8"/>
    <w:rsid w:val="00A10423"/>
    <w:rsid w:val="00A112CF"/>
    <w:rsid w:val="00A11BC3"/>
    <w:rsid w:val="00A11E97"/>
    <w:rsid w:val="00A124BC"/>
    <w:rsid w:val="00A12671"/>
    <w:rsid w:val="00A13353"/>
    <w:rsid w:val="00A13C55"/>
    <w:rsid w:val="00A13EE2"/>
    <w:rsid w:val="00A14142"/>
    <w:rsid w:val="00A14617"/>
    <w:rsid w:val="00A14810"/>
    <w:rsid w:val="00A14B7F"/>
    <w:rsid w:val="00A1508D"/>
    <w:rsid w:val="00A1513E"/>
    <w:rsid w:val="00A15BBB"/>
    <w:rsid w:val="00A16369"/>
    <w:rsid w:val="00A164C9"/>
    <w:rsid w:val="00A16E32"/>
    <w:rsid w:val="00A16FE0"/>
    <w:rsid w:val="00A17385"/>
    <w:rsid w:val="00A17394"/>
    <w:rsid w:val="00A20B03"/>
    <w:rsid w:val="00A2108B"/>
    <w:rsid w:val="00A212FE"/>
    <w:rsid w:val="00A23294"/>
    <w:rsid w:val="00A23C3A"/>
    <w:rsid w:val="00A25986"/>
    <w:rsid w:val="00A259F8"/>
    <w:rsid w:val="00A26E21"/>
    <w:rsid w:val="00A26FA9"/>
    <w:rsid w:val="00A27E4C"/>
    <w:rsid w:val="00A30FB6"/>
    <w:rsid w:val="00A31608"/>
    <w:rsid w:val="00A31BC0"/>
    <w:rsid w:val="00A31D93"/>
    <w:rsid w:val="00A339F1"/>
    <w:rsid w:val="00A33DDE"/>
    <w:rsid w:val="00A33DF3"/>
    <w:rsid w:val="00A34799"/>
    <w:rsid w:val="00A34892"/>
    <w:rsid w:val="00A364FE"/>
    <w:rsid w:val="00A37AA9"/>
    <w:rsid w:val="00A37D73"/>
    <w:rsid w:val="00A4080A"/>
    <w:rsid w:val="00A40AF7"/>
    <w:rsid w:val="00A41195"/>
    <w:rsid w:val="00A4233B"/>
    <w:rsid w:val="00A43426"/>
    <w:rsid w:val="00A43CBD"/>
    <w:rsid w:val="00A43CD7"/>
    <w:rsid w:val="00A43EFA"/>
    <w:rsid w:val="00A440CA"/>
    <w:rsid w:val="00A44175"/>
    <w:rsid w:val="00A443CD"/>
    <w:rsid w:val="00A444A7"/>
    <w:rsid w:val="00A444CD"/>
    <w:rsid w:val="00A4499A"/>
    <w:rsid w:val="00A44E4C"/>
    <w:rsid w:val="00A46A40"/>
    <w:rsid w:val="00A4721C"/>
    <w:rsid w:val="00A472A5"/>
    <w:rsid w:val="00A47E4C"/>
    <w:rsid w:val="00A502B6"/>
    <w:rsid w:val="00A506B0"/>
    <w:rsid w:val="00A50B9F"/>
    <w:rsid w:val="00A50C7B"/>
    <w:rsid w:val="00A50D1F"/>
    <w:rsid w:val="00A52002"/>
    <w:rsid w:val="00A522DA"/>
    <w:rsid w:val="00A524BB"/>
    <w:rsid w:val="00A52911"/>
    <w:rsid w:val="00A53088"/>
    <w:rsid w:val="00A542CB"/>
    <w:rsid w:val="00A54F50"/>
    <w:rsid w:val="00A54FD6"/>
    <w:rsid w:val="00A559D1"/>
    <w:rsid w:val="00A55DAC"/>
    <w:rsid w:val="00A564FB"/>
    <w:rsid w:val="00A5668C"/>
    <w:rsid w:val="00A574B4"/>
    <w:rsid w:val="00A609F4"/>
    <w:rsid w:val="00A611DF"/>
    <w:rsid w:val="00A6121A"/>
    <w:rsid w:val="00A614B8"/>
    <w:rsid w:val="00A61CC2"/>
    <w:rsid w:val="00A62D33"/>
    <w:rsid w:val="00A62FE9"/>
    <w:rsid w:val="00A637B7"/>
    <w:rsid w:val="00A6432F"/>
    <w:rsid w:val="00A649E6"/>
    <w:rsid w:val="00A65A62"/>
    <w:rsid w:val="00A670F1"/>
    <w:rsid w:val="00A67157"/>
    <w:rsid w:val="00A6728F"/>
    <w:rsid w:val="00A67470"/>
    <w:rsid w:val="00A67D29"/>
    <w:rsid w:val="00A67E2F"/>
    <w:rsid w:val="00A705C6"/>
    <w:rsid w:val="00A70925"/>
    <w:rsid w:val="00A7119B"/>
    <w:rsid w:val="00A7137F"/>
    <w:rsid w:val="00A71A1B"/>
    <w:rsid w:val="00A71F02"/>
    <w:rsid w:val="00A72717"/>
    <w:rsid w:val="00A7271F"/>
    <w:rsid w:val="00A72D50"/>
    <w:rsid w:val="00A73995"/>
    <w:rsid w:val="00A73CC1"/>
    <w:rsid w:val="00A74332"/>
    <w:rsid w:val="00A74BD9"/>
    <w:rsid w:val="00A74C98"/>
    <w:rsid w:val="00A74E78"/>
    <w:rsid w:val="00A75371"/>
    <w:rsid w:val="00A756D4"/>
    <w:rsid w:val="00A7654A"/>
    <w:rsid w:val="00A7684C"/>
    <w:rsid w:val="00A76AA2"/>
    <w:rsid w:val="00A76E30"/>
    <w:rsid w:val="00A777C4"/>
    <w:rsid w:val="00A777E9"/>
    <w:rsid w:val="00A808E5"/>
    <w:rsid w:val="00A80C1C"/>
    <w:rsid w:val="00A81932"/>
    <w:rsid w:val="00A81B00"/>
    <w:rsid w:val="00A8202F"/>
    <w:rsid w:val="00A843E3"/>
    <w:rsid w:val="00A845F3"/>
    <w:rsid w:val="00A84B70"/>
    <w:rsid w:val="00A85229"/>
    <w:rsid w:val="00A8542B"/>
    <w:rsid w:val="00A85D20"/>
    <w:rsid w:val="00A860CF"/>
    <w:rsid w:val="00A8620D"/>
    <w:rsid w:val="00A86854"/>
    <w:rsid w:val="00A86B0F"/>
    <w:rsid w:val="00A904D9"/>
    <w:rsid w:val="00A90EC0"/>
    <w:rsid w:val="00A91ABD"/>
    <w:rsid w:val="00A91ACA"/>
    <w:rsid w:val="00A91E24"/>
    <w:rsid w:val="00A92B2B"/>
    <w:rsid w:val="00A9516E"/>
    <w:rsid w:val="00A95373"/>
    <w:rsid w:val="00A964BF"/>
    <w:rsid w:val="00A968D1"/>
    <w:rsid w:val="00A97158"/>
    <w:rsid w:val="00A9721E"/>
    <w:rsid w:val="00A972BE"/>
    <w:rsid w:val="00A9786F"/>
    <w:rsid w:val="00A97BD0"/>
    <w:rsid w:val="00A97DE7"/>
    <w:rsid w:val="00AA0191"/>
    <w:rsid w:val="00AA0CBE"/>
    <w:rsid w:val="00AA1560"/>
    <w:rsid w:val="00AA1A65"/>
    <w:rsid w:val="00AA20B4"/>
    <w:rsid w:val="00AA2492"/>
    <w:rsid w:val="00AA2714"/>
    <w:rsid w:val="00AA30C6"/>
    <w:rsid w:val="00AA3219"/>
    <w:rsid w:val="00AA33EA"/>
    <w:rsid w:val="00AA3A61"/>
    <w:rsid w:val="00AA3B64"/>
    <w:rsid w:val="00AA3EAD"/>
    <w:rsid w:val="00AA4070"/>
    <w:rsid w:val="00AA4271"/>
    <w:rsid w:val="00AA4890"/>
    <w:rsid w:val="00AA4AE1"/>
    <w:rsid w:val="00AA579F"/>
    <w:rsid w:val="00AA59BE"/>
    <w:rsid w:val="00AA5A3D"/>
    <w:rsid w:val="00AA645E"/>
    <w:rsid w:val="00AA6D42"/>
    <w:rsid w:val="00AA6E37"/>
    <w:rsid w:val="00AA7398"/>
    <w:rsid w:val="00AA761E"/>
    <w:rsid w:val="00AA7DCF"/>
    <w:rsid w:val="00AA7ECC"/>
    <w:rsid w:val="00AB345F"/>
    <w:rsid w:val="00AB35CE"/>
    <w:rsid w:val="00AB3E9A"/>
    <w:rsid w:val="00AB4439"/>
    <w:rsid w:val="00AB4B7A"/>
    <w:rsid w:val="00AB4D83"/>
    <w:rsid w:val="00AB4DC6"/>
    <w:rsid w:val="00AB5BAA"/>
    <w:rsid w:val="00AB5F1A"/>
    <w:rsid w:val="00AB6539"/>
    <w:rsid w:val="00AB69EB"/>
    <w:rsid w:val="00AB780D"/>
    <w:rsid w:val="00AB7D12"/>
    <w:rsid w:val="00AC0BCD"/>
    <w:rsid w:val="00AC0DD9"/>
    <w:rsid w:val="00AC1714"/>
    <w:rsid w:val="00AC1892"/>
    <w:rsid w:val="00AC1B70"/>
    <w:rsid w:val="00AC26D4"/>
    <w:rsid w:val="00AC287A"/>
    <w:rsid w:val="00AC3530"/>
    <w:rsid w:val="00AC3E9A"/>
    <w:rsid w:val="00AC4A98"/>
    <w:rsid w:val="00AC52B3"/>
    <w:rsid w:val="00AC5C5B"/>
    <w:rsid w:val="00AC6176"/>
    <w:rsid w:val="00AC6C4C"/>
    <w:rsid w:val="00AC72F3"/>
    <w:rsid w:val="00AC740C"/>
    <w:rsid w:val="00AD02C2"/>
    <w:rsid w:val="00AD0AAC"/>
    <w:rsid w:val="00AD0C14"/>
    <w:rsid w:val="00AD18ED"/>
    <w:rsid w:val="00AD2548"/>
    <w:rsid w:val="00AD2B9C"/>
    <w:rsid w:val="00AD330B"/>
    <w:rsid w:val="00AD3E48"/>
    <w:rsid w:val="00AD60CF"/>
    <w:rsid w:val="00AD6DCD"/>
    <w:rsid w:val="00AD6F5A"/>
    <w:rsid w:val="00AD7498"/>
    <w:rsid w:val="00AD7C6F"/>
    <w:rsid w:val="00AD7D55"/>
    <w:rsid w:val="00AE13EC"/>
    <w:rsid w:val="00AE140C"/>
    <w:rsid w:val="00AE151A"/>
    <w:rsid w:val="00AE2A83"/>
    <w:rsid w:val="00AE2BDD"/>
    <w:rsid w:val="00AE37DD"/>
    <w:rsid w:val="00AE3B7A"/>
    <w:rsid w:val="00AE434E"/>
    <w:rsid w:val="00AE5AD1"/>
    <w:rsid w:val="00AE604C"/>
    <w:rsid w:val="00AE6304"/>
    <w:rsid w:val="00AE6ACA"/>
    <w:rsid w:val="00AE6BFA"/>
    <w:rsid w:val="00AE6DC4"/>
    <w:rsid w:val="00AE7D1E"/>
    <w:rsid w:val="00AF0570"/>
    <w:rsid w:val="00AF08B3"/>
    <w:rsid w:val="00AF09C7"/>
    <w:rsid w:val="00AF1711"/>
    <w:rsid w:val="00AF17D5"/>
    <w:rsid w:val="00AF1ABC"/>
    <w:rsid w:val="00AF1AEE"/>
    <w:rsid w:val="00AF2604"/>
    <w:rsid w:val="00AF2F01"/>
    <w:rsid w:val="00AF33BC"/>
    <w:rsid w:val="00AF3CAB"/>
    <w:rsid w:val="00AF4187"/>
    <w:rsid w:val="00AF565C"/>
    <w:rsid w:val="00AF66F8"/>
    <w:rsid w:val="00AF6C2D"/>
    <w:rsid w:val="00AF70C3"/>
    <w:rsid w:val="00AF766C"/>
    <w:rsid w:val="00B00181"/>
    <w:rsid w:val="00B00904"/>
    <w:rsid w:val="00B009C0"/>
    <w:rsid w:val="00B00EA2"/>
    <w:rsid w:val="00B01188"/>
    <w:rsid w:val="00B01255"/>
    <w:rsid w:val="00B015D7"/>
    <w:rsid w:val="00B019CD"/>
    <w:rsid w:val="00B020D1"/>
    <w:rsid w:val="00B03BAC"/>
    <w:rsid w:val="00B0459E"/>
    <w:rsid w:val="00B048A2"/>
    <w:rsid w:val="00B058E1"/>
    <w:rsid w:val="00B06BDE"/>
    <w:rsid w:val="00B07396"/>
    <w:rsid w:val="00B0770D"/>
    <w:rsid w:val="00B07AFC"/>
    <w:rsid w:val="00B105DC"/>
    <w:rsid w:val="00B10C1D"/>
    <w:rsid w:val="00B10C82"/>
    <w:rsid w:val="00B10FCB"/>
    <w:rsid w:val="00B11244"/>
    <w:rsid w:val="00B1157B"/>
    <w:rsid w:val="00B124B4"/>
    <w:rsid w:val="00B128FF"/>
    <w:rsid w:val="00B1355A"/>
    <w:rsid w:val="00B135A0"/>
    <w:rsid w:val="00B13B07"/>
    <w:rsid w:val="00B14C16"/>
    <w:rsid w:val="00B15282"/>
    <w:rsid w:val="00B15F54"/>
    <w:rsid w:val="00B160DB"/>
    <w:rsid w:val="00B162C1"/>
    <w:rsid w:val="00B16453"/>
    <w:rsid w:val="00B16E0B"/>
    <w:rsid w:val="00B16E2B"/>
    <w:rsid w:val="00B176B0"/>
    <w:rsid w:val="00B1773A"/>
    <w:rsid w:val="00B17B1C"/>
    <w:rsid w:val="00B20319"/>
    <w:rsid w:val="00B21333"/>
    <w:rsid w:val="00B21773"/>
    <w:rsid w:val="00B21FBD"/>
    <w:rsid w:val="00B22655"/>
    <w:rsid w:val="00B229DD"/>
    <w:rsid w:val="00B23383"/>
    <w:rsid w:val="00B234CC"/>
    <w:rsid w:val="00B238CA"/>
    <w:rsid w:val="00B23E65"/>
    <w:rsid w:val="00B256B9"/>
    <w:rsid w:val="00B25BED"/>
    <w:rsid w:val="00B2652B"/>
    <w:rsid w:val="00B266C6"/>
    <w:rsid w:val="00B30010"/>
    <w:rsid w:val="00B3032A"/>
    <w:rsid w:val="00B30571"/>
    <w:rsid w:val="00B31356"/>
    <w:rsid w:val="00B318F0"/>
    <w:rsid w:val="00B31B97"/>
    <w:rsid w:val="00B32DEA"/>
    <w:rsid w:val="00B33B47"/>
    <w:rsid w:val="00B346BC"/>
    <w:rsid w:val="00B34D7E"/>
    <w:rsid w:val="00B35A44"/>
    <w:rsid w:val="00B3633B"/>
    <w:rsid w:val="00B37597"/>
    <w:rsid w:val="00B40FE6"/>
    <w:rsid w:val="00B41521"/>
    <w:rsid w:val="00B42722"/>
    <w:rsid w:val="00B429F2"/>
    <w:rsid w:val="00B433BA"/>
    <w:rsid w:val="00B4401B"/>
    <w:rsid w:val="00B4466C"/>
    <w:rsid w:val="00B447AD"/>
    <w:rsid w:val="00B447EB"/>
    <w:rsid w:val="00B44F03"/>
    <w:rsid w:val="00B4589D"/>
    <w:rsid w:val="00B45AB4"/>
    <w:rsid w:val="00B46FDA"/>
    <w:rsid w:val="00B47FDC"/>
    <w:rsid w:val="00B503D1"/>
    <w:rsid w:val="00B504EC"/>
    <w:rsid w:val="00B50685"/>
    <w:rsid w:val="00B51527"/>
    <w:rsid w:val="00B518A1"/>
    <w:rsid w:val="00B51CFF"/>
    <w:rsid w:val="00B52093"/>
    <w:rsid w:val="00B52104"/>
    <w:rsid w:val="00B53A6B"/>
    <w:rsid w:val="00B5414C"/>
    <w:rsid w:val="00B550A9"/>
    <w:rsid w:val="00B561C6"/>
    <w:rsid w:val="00B5730F"/>
    <w:rsid w:val="00B57D2F"/>
    <w:rsid w:val="00B57ED5"/>
    <w:rsid w:val="00B57F88"/>
    <w:rsid w:val="00B57FF7"/>
    <w:rsid w:val="00B604E3"/>
    <w:rsid w:val="00B6062F"/>
    <w:rsid w:val="00B6137D"/>
    <w:rsid w:val="00B613AD"/>
    <w:rsid w:val="00B618DB"/>
    <w:rsid w:val="00B61ACE"/>
    <w:rsid w:val="00B62260"/>
    <w:rsid w:val="00B624DA"/>
    <w:rsid w:val="00B62680"/>
    <w:rsid w:val="00B6444B"/>
    <w:rsid w:val="00B66948"/>
    <w:rsid w:val="00B7003F"/>
    <w:rsid w:val="00B7054B"/>
    <w:rsid w:val="00B70D13"/>
    <w:rsid w:val="00B70D1A"/>
    <w:rsid w:val="00B717C6"/>
    <w:rsid w:val="00B717ED"/>
    <w:rsid w:val="00B7195F"/>
    <w:rsid w:val="00B721B2"/>
    <w:rsid w:val="00B728AA"/>
    <w:rsid w:val="00B73CD3"/>
    <w:rsid w:val="00B741AC"/>
    <w:rsid w:val="00B74634"/>
    <w:rsid w:val="00B74782"/>
    <w:rsid w:val="00B74CE8"/>
    <w:rsid w:val="00B765D7"/>
    <w:rsid w:val="00B7690B"/>
    <w:rsid w:val="00B769B6"/>
    <w:rsid w:val="00B77023"/>
    <w:rsid w:val="00B772E4"/>
    <w:rsid w:val="00B774A9"/>
    <w:rsid w:val="00B77B0B"/>
    <w:rsid w:val="00B80317"/>
    <w:rsid w:val="00B80C3D"/>
    <w:rsid w:val="00B80CA8"/>
    <w:rsid w:val="00B81469"/>
    <w:rsid w:val="00B8266D"/>
    <w:rsid w:val="00B82BFF"/>
    <w:rsid w:val="00B836AC"/>
    <w:rsid w:val="00B83915"/>
    <w:rsid w:val="00B846CB"/>
    <w:rsid w:val="00B84E62"/>
    <w:rsid w:val="00B850C4"/>
    <w:rsid w:val="00B858FF"/>
    <w:rsid w:val="00B85BB9"/>
    <w:rsid w:val="00B86198"/>
    <w:rsid w:val="00B862C8"/>
    <w:rsid w:val="00B872AA"/>
    <w:rsid w:val="00B87EF2"/>
    <w:rsid w:val="00B9012F"/>
    <w:rsid w:val="00B90874"/>
    <w:rsid w:val="00B91976"/>
    <w:rsid w:val="00B927A2"/>
    <w:rsid w:val="00B92F5B"/>
    <w:rsid w:val="00B9321D"/>
    <w:rsid w:val="00B93B39"/>
    <w:rsid w:val="00B93F72"/>
    <w:rsid w:val="00B9402B"/>
    <w:rsid w:val="00B94E84"/>
    <w:rsid w:val="00B952D0"/>
    <w:rsid w:val="00B95C12"/>
    <w:rsid w:val="00B9615E"/>
    <w:rsid w:val="00B96750"/>
    <w:rsid w:val="00B973F7"/>
    <w:rsid w:val="00BA1736"/>
    <w:rsid w:val="00BA183B"/>
    <w:rsid w:val="00BA1B10"/>
    <w:rsid w:val="00BA21F5"/>
    <w:rsid w:val="00BA29A8"/>
    <w:rsid w:val="00BA3E6B"/>
    <w:rsid w:val="00BA4E1D"/>
    <w:rsid w:val="00BA4F39"/>
    <w:rsid w:val="00BA518E"/>
    <w:rsid w:val="00BA55C6"/>
    <w:rsid w:val="00BA5B9F"/>
    <w:rsid w:val="00BA6008"/>
    <w:rsid w:val="00BA64CC"/>
    <w:rsid w:val="00BA69D4"/>
    <w:rsid w:val="00BA6E1B"/>
    <w:rsid w:val="00BB0093"/>
    <w:rsid w:val="00BB0155"/>
    <w:rsid w:val="00BB0265"/>
    <w:rsid w:val="00BB0340"/>
    <w:rsid w:val="00BB0631"/>
    <w:rsid w:val="00BB0E46"/>
    <w:rsid w:val="00BB12A3"/>
    <w:rsid w:val="00BB32DB"/>
    <w:rsid w:val="00BB383C"/>
    <w:rsid w:val="00BB3A0C"/>
    <w:rsid w:val="00BB62B9"/>
    <w:rsid w:val="00BB6388"/>
    <w:rsid w:val="00BB6663"/>
    <w:rsid w:val="00BB6CCF"/>
    <w:rsid w:val="00BB6E20"/>
    <w:rsid w:val="00BB7743"/>
    <w:rsid w:val="00BB7905"/>
    <w:rsid w:val="00BB7A36"/>
    <w:rsid w:val="00BB7AD6"/>
    <w:rsid w:val="00BB7C15"/>
    <w:rsid w:val="00BB7C20"/>
    <w:rsid w:val="00BC0828"/>
    <w:rsid w:val="00BC0AF8"/>
    <w:rsid w:val="00BC1346"/>
    <w:rsid w:val="00BC134C"/>
    <w:rsid w:val="00BC17EE"/>
    <w:rsid w:val="00BC1BA1"/>
    <w:rsid w:val="00BC21A9"/>
    <w:rsid w:val="00BC224C"/>
    <w:rsid w:val="00BC2361"/>
    <w:rsid w:val="00BC27BE"/>
    <w:rsid w:val="00BC402D"/>
    <w:rsid w:val="00BC4723"/>
    <w:rsid w:val="00BC49DB"/>
    <w:rsid w:val="00BC513F"/>
    <w:rsid w:val="00BC58E0"/>
    <w:rsid w:val="00BC5B53"/>
    <w:rsid w:val="00BC5DAB"/>
    <w:rsid w:val="00BC7A55"/>
    <w:rsid w:val="00BC7EDD"/>
    <w:rsid w:val="00BC7F8B"/>
    <w:rsid w:val="00BD0504"/>
    <w:rsid w:val="00BD0DB8"/>
    <w:rsid w:val="00BD13E7"/>
    <w:rsid w:val="00BD1924"/>
    <w:rsid w:val="00BD2F69"/>
    <w:rsid w:val="00BD2FF4"/>
    <w:rsid w:val="00BD3411"/>
    <w:rsid w:val="00BD341E"/>
    <w:rsid w:val="00BD342C"/>
    <w:rsid w:val="00BD3D13"/>
    <w:rsid w:val="00BD3F9F"/>
    <w:rsid w:val="00BD5493"/>
    <w:rsid w:val="00BD569A"/>
    <w:rsid w:val="00BD6A8A"/>
    <w:rsid w:val="00BD7C87"/>
    <w:rsid w:val="00BD7D3C"/>
    <w:rsid w:val="00BE033E"/>
    <w:rsid w:val="00BE0ACA"/>
    <w:rsid w:val="00BE11C5"/>
    <w:rsid w:val="00BE1230"/>
    <w:rsid w:val="00BE1681"/>
    <w:rsid w:val="00BE1995"/>
    <w:rsid w:val="00BE1C7D"/>
    <w:rsid w:val="00BE24FB"/>
    <w:rsid w:val="00BE2640"/>
    <w:rsid w:val="00BE29D3"/>
    <w:rsid w:val="00BE2B94"/>
    <w:rsid w:val="00BE2CE4"/>
    <w:rsid w:val="00BE3DCF"/>
    <w:rsid w:val="00BE47AC"/>
    <w:rsid w:val="00BE4B9B"/>
    <w:rsid w:val="00BE5027"/>
    <w:rsid w:val="00BE517F"/>
    <w:rsid w:val="00BE5263"/>
    <w:rsid w:val="00BE6FD1"/>
    <w:rsid w:val="00BE763B"/>
    <w:rsid w:val="00BF0887"/>
    <w:rsid w:val="00BF0B33"/>
    <w:rsid w:val="00BF0DA4"/>
    <w:rsid w:val="00BF0DB6"/>
    <w:rsid w:val="00BF1346"/>
    <w:rsid w:val="00BF1685"/>
    <w:rsid w:val="00BF197F"/>
    <w:rsid w:val="00BF198B"/>
    <w:rsid w:val="00BF1BF6"/>
    <w:rsid w:val="00BF2D09"/>
    <w:rsid w:val="00BF3036"/>
    <w:rsid w:val="00BF34EF"/>
    <w:rsid w:val="00BF3869"/>
    <w:rsid w:val="00BF50B4"/>
    <w:rsid w:val="00BF56C4"/>
    <w:rsid w:val="00BF75AF"/>
    <w:rsid w:val="00BF7FDF"/>
    <w:rsid w:val="00C00481"/>
    <w:rsid w:val="00C0058A"/>
    <w:rsid w:val="00C0178F"/>
    <w:rsid w:val="00C01AD6"/>
    <w:rsid w:val="00C01C0B"/>
    <w:rsid w:val="00C01DC7"/>
    <w:rsid w:val="00C04858"/>
    <w:rsid w:val="00C04F2D"/>
    <w:rsid w:val="00C05D20"/>
    <w:rsid w:val="00C05F25"/>
    <w:rsid w:val="00C0636E"/>
    <w:rsid w:val="00C068D8"/>
    <w:rsid w:val="00C069EA"/>
    <w:rsid w:val="00C06A33"/>
    <w:rsid w:val="00C06F24"/>
    <w:rsid w:val="00C07175"/>
    <w:rsid w:val="00C07954"/>
    <w:rsid w:val="00C10101"/>
    <w:rsid w:val="00C10296"/>
    <w:rsid w:val="00C11B0F"/>
    <w:rsid w:val="00C11B4D"/>
    <w:rsid w:val="00C12E41"/>
    <w:rsid w:val="00C13E46"/>
    <w:rsid w:val="00C14AA8"/>
    <w:rsid w:val="00C14FEC"/>
    <w:rsid w:val="00C1583E"/>
    <w:rsid w:val="00C15E36"/>
    <w:rsid w:val="00C16C1B"/>
    <w:rsid w:val="00C16E96"/>
    <w:rsid w:val="00C174A0"/>
    <w:rsid w:val="00C17517"/>
    <w:rsid w:val="00C2043B"/>
    <w:rsid w:val="00C20904"/>
    <w:rsid w:val="00C217A0"/>
    <w:rsid w:val="00C219E3"/>
    <w:rsid w:val="00C2251B"/>
    <w:rsid w:val="00C23D0A"/>
    <w:rsid w:val="00C248AA"/>
    <w:rsid w:val="00C254C6"/>
    <w:rsid w:val="00C25EFE"/>
    <w:rsid w:val="00C270DC"/>
    <w:rsid w:val="00C27AF8"/>
    <w:rsid w:val="00C30212"/>
    <w:rsid w:val="00C30587"/>
    <w:rsid w:val="00C3078A"/>
    <w:rsid w:val="00C3109B"/>
    <w:rsid w:val="00C31179"/>
    <w:rsid w:val="00C3147F"/>
    <w:rsid w:val="00C31D8E"/>
    <w:rsid w:val="00C3224A"/>
    <w:rsid w:val="00C354FB"/>
    <w:rsid w:val="00C35F6A"/>
    <w:rsid w:val="00C361D7"/>
    <w:rsid w:val="00C3683D"/>
    <w:rsid w:val="00C37672"/>
    <w:rsid w:val="00C3773C"/>
    <w:rsid w:val="00C37B6F"/>
    <w:rsid w:val="00C40511"/>
    <w:rsid w:val="00C40A43"/>
    <w:rsid w:val="00C40F8B"/>
    <w:rsid w:val="00C4170D"/>
    <w:rsid w:val="00C420CD"/>
    <w:rsid w:val="00C435CF"/>
    <w:rsid w:val="00C440E5"/>
    <w:rsid w:val="00C460F1"/>
    <w:rsid w:val="00C466C4"/>
    <w:rsid w:val="00C46F11"/>
    <w:rsid w:val="00C47063"/>
    <w:rsid w:val="00C47744"/>
    <w:rsid w:val="00C477D3"/>
    <w:rsid w:val="00C501BE"/>
    <w:rsid w:val="00C50451"/>
    <w:rsid w:val="00C50A21"/>
    <w:rsid w:val="00C50B29"/>
    <w:rsid w:val="00C514B4"/>
    <w:rsid w:val="00C51836"/>
    <w:rsid w:val="00C522EF"/>
    <w:rsid w:val="00C5259C"/>
    <w:rsid w:val="00C52C76"/>
    <w:rsid w:val="00C531B5"/>
    <w:rsid w:val="00C53296"/>
    <w:rsid w:val="00C54E27"/>
    <w:rsid w:val="00C550D6"/>
    <w:rsid w:val="00C5562E"/>
    <w:rsid w:val="00C557A8"/>
    <w:rsid w:val="00C558D6"/>
    <w:rsid w:val="00C55D2C"/>
    <w:rsid w:val="00C55D77"/>
    <w:rsid w:val="00C563E2"/>
    <w:rsid w:val="00C56D47"/>
    <w:rsid w:val="00C57479"/>
    <w:rsid w:val="00C575E9"/>
    <w:rsid w:val="00C57796"/>
    <w:rsid w:val="00C577B3"/>
    <w:rsid w:val="00C6076B"/>
    <w:rsid w:val="00C60BB2"/>
    <w:rsid w:val="00C60DA9"/>
    <w:rsid w:val="00C614FD"/>
    <w:rsid w:val="00C6228A"/>
    <w:rsid w:val="00C626CD"/>
    <w:rsid w:val="00C62AE8"/>
    <w:rsid w:val="00C63B8B"/>
    <w:rsid w:val="00C63EA7"/>
    <w:rsid w:val="00C640C2"/>
    <w:rsid w:val="00C6477B"/>
    <w:rsid w:val="00C65005"/>
    <w:rsid w:val="00C6508E"/>
    <w:rsid w:val="00C65400"/>
    <w:rsid w:val="00C654CA"/>
    <w:rsid w:val="00C6550A"/>
    <w:rsid w:val="00C6711D"/>
    <w:rsid w:val="00C672FA"/>
    <w:rsid w:val="00C6768D"/>
    <w:rsid w:val="00C67747"/>
    <w:rsid w:val="00C67C45"/>
    <w:rsid w:val="00C70453"/>
    <w:rsid w:val="00C70565"/>
    <w:rsid w:val="00C71A5A"/>
    <w:rsid w:val="00C722D8"/>
    <w:rsid w:val="00C72354"/>
    <w:rsid w:val="00C72635"/>
    <w:rsid w:val="00C72AB5"/>
    <w:rsid w:val="00C72AD4"/>
    <w:rsid w:val="00C72E28"/>
    <w:rsid w:val="00C72EDA"/>
    <w:rsid w:val="00C748B2"/>
    <w:rsid w:val="00C75311"/>
    <w:rsid w:val="00C75845"/>
    <w:rsid w:val="00C75C7D"/>
    <w:rsid w:val="00C75C92"/>
    <w:rsid w:val="00C76B77"/>
    <w:rsid w:val="00C77253"/>
    <w:rsid w:val="00C778F3"/>
    <w:rsid w:val="00C801BC"/>
    <w:rsid w:val="00C8090F"/>
    <w:rsid w:val="00C817DD"/>
    <w:rsid w:val="00C819CC"/>
    <w:rsid w:val="00C82C56"/>
    <w:rsid w:val="00C82D06"/>
    <w:rsid w:val="00C82F4C"/>
    <w:rsid w:val="00C8346B"/>
    <w:rsid w:val="00C83BB9"/>
    <w:rsid w:val="00C84081"/>
    <w:rsid w:val="00C845A5"/>
    <w:rsid w:val="00C851F3"/>
    <w:rsid w:val="00C87079"/>
    <w:rsid w:val="00C90636"/>
    <w:rsid w:val="00C90C1B"/>
    <w:rsid w:val="00C92066"/>
    <w:rsid w:val="00C92124"/>
    <w:rsid w:val="00C9271F"/>
    <w:rsid w:val="00C92DEF"/>
    <w:rsid w:val="00C93D64"/>
    <w:rsid w:val="00C9468C"/>
    <w:rsid w:val="00C94725"/>
    <w:rsid w:val="00C9478A"/>
    <w:rsid w:val="00C950E2"/>
    <w:rsid w:val="00C95221"/>
    <w:rsid w:val="00C959BD"/>
    <w:rsid w:val="00C96412"/>
    <w:rsid w:val="00C968A9"/>
    <w:rsid w:val="00C968C0"/>
    <w:rsid w:val="00C96E92"/>
    <w:rsid w:val="00C97D47"/>
    <w:rsid w:val="00C97ED1"/>
    <w:rsid w:val="00CA001F"/>
    <w:rsid w:val="00CA0D1C"/>
    <w:rsid w:val="00CA1864"/>
    <w:rsid w:val="00CA2375"/>
    <w:rsid w:val="00CA2BC2"/>
    <w:rsid w:val="00CA325C"/>
    <w:rsid w:val="00CA357B"/>
    <w:rsid w:val="00CA3951"/>
    <w:rsid w:val="00CA3CAE"/>
    <w:rsid w:val="00CA3E83"/>
    <w:rsid w:val="00CA4CE1"/>
    <w:rsid w:val="00CA544C"/>
    <w:rsid w:val="00CA590C"/>
    <w:rsid w:val="00CA5BC4"/>
    <w:rsid w:val="00CA6474"/>
    <w:rsid w:val="00CA78D1"/>
    <w:rsid w:val="00CA7A7A"/>
    <w:rsid w:val="00CB049E"/>
    <w:rsid w:val="00CB0BF7"/>
    <w:rsid w:val="00CB0E6A"/>
    <w:rsid w:val="00CB1537"/>
    <w:rsid w:val="00CB2600"/>
    <w:rsid w:val="00CB4832"/>
    <w:rsid w:val="00CB4BE7"/>
    <w:rsid w:val="00CB52CA"/>
    <w:rsid w:val="00CB5306"/>
    <w:rsid w:val="00CB6283"/>
    <w:rsid w:val="00CB68D6"/>
    <w:rsid w:val="00CB74D1"/>
    <w:rsid w:val="00CC0056"/>
    <w:rsid w:val="00CC05E8"/>
    <w:rsid w:val="00CC0ED6"/>
    <w:rsid w:val="00CC1506"/>
    <w:rsid w:val="00CC151B"/>
    <w:rsid w:val="00CC1DE9"/>
    <w:rsid w:val="00CC37AF"/>
    <w:rsid w:val="00CC3B3F"/>
    <w:rsid w:val="00CC3D55"/>
    <w:rsid w:val="00CC46E8"/>
    <w:rsid w:val="00CC4EAA"/>
    <w:rsid w:val="00CC5D48"/>
    <w:rsid w:val="00CC65D6"/>
    <w:rsid w:val="00CC6B2B"/>
    <w:rsid w:val="00CC709E"/>
    <w:rsid w:val="00CC756F"/>
    <w:rsid w:val="00CC7BC8"/>
    <w:rsid w:val="00CD01F5"/>
    <w:rsid w:val="00CD0E07"/>
    <w:rsid w:val="00CD0EE9"/>
    <w:rsid w:val="00CD100F"/>
    <w:rsid w:val="00CD16FE"/>
    <w:rsid w:val="00CD1DB5"/>
    <w:rsid w:val="00CD22FF"/>
    <w:rsid w:val="00CD3BAE"/>
    <w:rsid w:val="00CD641E"/>
    <w:rsid w:val="00CD691D"/>
    <w:rsid w:val="00CD7062"/>
    <w:rsid w:val="00CE0623"/>
    <w:rsid w:val="00CE069A"/>
    <w:rsid w:val="00CE0B47"/>
    <w:rsid w:val="00CE0F40"/>
    <w:rsid w:val="00CE108F"/>
    <w:rsid w:val="00CE1137"/>
    <w:rsid w:val="00CE1162"/>
    <w:rsid w:val="00CE13A4"/>
    <w:rsid w:val="00CE1B1F"/>
    <w:rsid w:val="00CE1BF7"/>
    <w:rsid w:val="00CE36E9"/>
    <w:rsid w:val="00CE3CC8"/>
    <w:rsid w:val="00CE4BB3"/>
    <w:rsid w:val="00CE5839"/>
    <w:rsid w:val="00CE58AB"/>
    <w:rsid w:val="00CE733F"/>
    <w:rsid w:val="00CE7F55"/>
    <w:rsid w:val="00CF0D00"/>
    <w:rsid w:val="00CF113D"/>
    <w:rsid w:val="00CF1296"/>
    <w:rsid w:val="00CF1613"/>
    <w:rsid w:val="00CF1D36"/>
    <w:rsid w:val="00CF1F79"/>
    <w:rsid w:val="00CF2D39"/>
    <w:rsid w:val="00CF2EB6"/>
    <w:rsid w:val="00CF366E"/>
    <w:rsid w:val="00CF3D22"/>
    <w:rsid w:val="00CF44A3"/>
    <w:rsid w:val="00CF552A"/>
    <w:rsid w:val="00CF5807"/>
    <w:rsid w:val="00CF5AC0"/>
    <w:rsid w:val="00CF61B2"/>
    <w:rsid w:val="00CF785C"/>
    <w:rsid w:val="00CF79A3"/>
    <w:rsid w:val="00CF7B16"/>
    <w:rsid w:val="00D00971"/>
    <w:rsid w:val="00D00BAA"/>
    <w:rsid w:val="00D00FF0"/>
    <w:rsid w:val="00D01566"/>
    <w:rsid w:val="00D01B7F"/>
    <w:rsid w:val="00D01F4C"/>
    <w:rsid w:val="00D0208B"/>
    <w:rsid w:val="00D0263F"/>
    <w:rsid w:val="00D0410C"/>
    <w:rsid w:val="00D0509B"/>
    <w:rsid w:val="00D0509E"/>
    <w:rsid w:val="00D05523"/>
    <w:rsid w:val="00D06264"/>
    <w:rsid w:val="00D0633F"/>
    <w:rsid w:val="00D073AB"/>
    <w:rsid w:val="00D07476"/>
    <w:rsid w:val="00D107F2"/>
    <w:rsid w:val="00D10D36"/>
    <w:rsid w:val="00D11090"/>
    <w:rsid w:val="00D11877"/>
    <w:rsid w:val="00D12633"/>
    <w:rsid w:val="00D12C93"/>
    <w:rsid w:val="00D12DD4"/>
    <w:rsid w:val="00D1301E"/>
    <w:rsid w:val="00D14663"/>
    <w:rsid w:val="00D1487F"/>
    <w:rsid w:val="00D15C78"/>
    <w:rsid w:val="00D175BD"/>
    <w:rsid w:val="00D17E6F"/>
    <w:rsid w:val="00D17F82"/>
    <w:rsid w:val="00D203A6"/>
    <w:rsid w:val="00D21214"/>
    <w:rsid w:val="00D21D0C"/>
    <w:rsid w:val="00D2254A"/>
    <w:rsid w:val="00D23DD1"/>
    <w:rsid w:val="00D24529"/>
    <w:rsid w:val="00D24A7E"/>
    <w:rsid w:val="00D24F23"/>
    <w:rsid w:val="00D25231"/>
    <w:rsid w:val="00D253C6"/>
    <w:rsid w:val="00D258B3"/>
    <w:rsid w:val="00D25D06"/>
    <w:rsid w:val="00D25D4A"/>
    <w:rsid w:val="00D25DF8"/>
    <w:rsid w:val="00D26094"/>
    <w:rsid w:val="00D2655D"/>
    <w:rsid w:val="00D270F0"/>
    <w:rsid w:val="00D2748D"/>
    <w:rsid w:val="00D27BB7"/>
    <w:rsid w:val="00D3037E"/>
    <w:rsid w:val="00D307C8"/>
    <w:rsid w:val="00D30D17"/>
    <w:rsid w:val="00D30F5C"/>
    <w:rsid w:val="00D3212D"/>
    <w:rsid w:val="00D32AF4"/>
    <w:rsid w:val="00D32C52"/>
    <w:rsid w:val="00D33015"/>
    <w:rsid w:val="00D33F30"/>
    <w:rsid w:val="00D34454"/>
    <w:rsid w:val="00D347D7"/>
    <w:rsid w:val="00D35C7D"/>
    <w:rsid w:val="00D3628B"/>
    <w:rsid w:val="00D366BA"/>
    <w:rsid w:val="00D368B4"/>
    <w:rsid w:val="00D368DE"/>
    <w:rsid w:val="00D36F76"/>
    <w:rsid w:val="00D373F8"/>
    <w:rsid w:val="00D37AA9"/>
    <w:rsid w:val="00D40463"/>
    <w:rsid w:val="00D4073B"/>
    <w:rsid w:val="00D4084A"/>
    <w:rsid w:val="00D408C5"/>
    <w:rsid w:val="00D40FF4"/>
    <w:rsid w:val="00D42203"/>
    <w:rsid w:val="00D42898"/>
    <w:rsid w:val="00D43542"/>
    <w:rsid w:val="00D438AA"/>
    <w:rsid w:val="00D44321"/>
    <w:rsid w:val="00D44B21"/>
    <w:rsid w:val="00D46547"/>
    <w:rsid w:val="00D46FCE"/>
    <w:rsid w:val="00D47739"/>
    <w:rsid w:val="00D50559"/>
    <w:rsid w:val="00D5083F"/>
    <w:rsid w:val="00D52AC5"/>
    <w:rsid w:val="00D530A4"/>
    <w:rsid w:val="00D539B4"/>
    <w:rsid w:val="00D54217"/>
    <w:rsid w:val="00D5440E"/>
    <w:rsid w:val="00D551B1"/>
    <w:rsid w:val="00D552DD"/>
    <w:rsid w:val="00D55744"/>
    <w:rsid w:val="00D5587F"/>
    <w:rsid w:val="00D55ADE"/>
    <w:rsid w:val="00D55EB0"/>
    <w:rsid w:val="00D5692E"/>
    <w:rsid w:val="00D570B3"/>
    <w:rsid w:val="00D57563"/>
    <w:rsid w:val="00D577C6"/>
    <w:rsid w:val="00D57800"/>
    <w:rsid w:val="00D61079"/>
    <w:rsid w:val="00D61901"/>
    <w:rsid w:val="00D6204E"/>
    <w:rsid w:val="00D622B7"/>
    <w:rsid w:val="00D62BB3"/>
    <w:rsid w:val="00D62BB4"/>
    <w:rsid w:val="00D62C60"/>
    <w:rsid w:val="00D62F97"/>
    <w:rsid w:val="00D63343"/>
    <w:rsid w:val="00D63B9B"/>
    <w:rsid w:val="00D63E5E"/>
    <w:rsid w:val="00D641D8"/>
    <w:rsid w:val="00D65125"/>
    <w:rsid w:val="00D663C2"/>
    <w:rsid w:val="00D6671C"/>
    <w:rsid w:val="00D66936"/>
    <w:rsid w:val="00D66C77"/>
    <w:rsid w:val="00D6766D"/>
    <w:rsid w:val="00D67712"/>
    <w:rsid w:val="00D706DA"/>
    <w:rsid w:val="00D70E69"/>
    <w:rsid w:val="00D70F60"/>
    <w:rsid w:val="00D711E3"/>
    <w:rsid w:val="00D71DE0"/>
    <w:rsid w:val="00D7283A"/>
    <w:rsid w:val="00D73623"/>
    <w:rsid w:val="00D74661"/>
    <w:rsid w:val="00D74BF7"/>
    <w:rsid w:val="00D75800"/>
    <w:rsid w:val="00D767BF"/>
    <w:rsid w:val="00D76C0A"/>
    <w:rsid w:val="00D77286"/>
    <w:rsid w:val="00D774CA"/>
    <w:rsid w:val="00D77CAA"/>
    <w:rsid w:val="00D77E0A"/>
    <w:rsid w:val="00D81C4F"/>
    <w:rsid w:val="00D82334"/>
    <w:rsid w:val="00D825E1"/>
    <w:rsid w:val="00D829BA"/>
    <w:rsid w:val="00D82BF0"/>
    <w:rsid w:val="00D82DDF"/>
    <w:rsid w:val="00D82E68"/>
    <w:rsid w:val="00D838A7"/>
    <w:rsid w:val="00D83B44"/>
    <w:rsid w:val="00D84CEF"/>
    <w:rsid w:val="00D84E17"/>
    <w:rsid w:val="00D84E65"/>
    <w:rsid w:val="00D85152"/>
    <w:rsid w:val="00D85644"/>
    <w:rsid w:val="00D859C6"/>
    <w:rsid w:val="00D863DB"/>
    <w:rsid w:val="00D86F4D"/>
    <w:rsid w:val="00D87A15"/>
    <w:rsid w:val="00D906E6"/>
    <w:rsid w:val="00D90988"/>
    <w:rsid w:val="00D939BB"/>
    <w:rsid w:val="00D93BEE"/>
    <w:rsid w:val="00D93E2A"/>
    <w:rsid w:val="00D960EE"/>
    <w:rsid w:val="00D97085"/>
    <w:rsid w:val="00D974F0"/>
    <w:rsid w:val="00D97842"/>
    <w:rsid w:val="00D97E20"/>
    <w:rsid w:val="00DA024B"/>
    <w:rsid w:val="00DA08BB"/>
    <w:rsid w:val="00DA14F2"/>
    <w:rsid w:val="00DA2134"/>
    <w:rsid w:val="00DA225A"/>
    <w:rsid w:val="00DA236C"/>
    <w:rsid w:val="00DA256F"/>
    <w:rsid w:val="00DA289E"/>
    <w:rsid w:val="00DA3946"/>
    <w:rsid w:val="00DA437B"/>
    <w:rsid w:val="00DA579C"/>
    <w:rsid w:val="00DA5804"/>
    <w:rsid w:val="00DA5A78"/>
    <w:rsid w:val="00DA66FB"/>
    <w:rsid w:val="00DA70DF"/>
    <w:rsid w:val="00DA72DC"/>
    <w:rsid w:val="00DA7F7F"/>
    <w:rsid w:val="00DB0258"/>
    <w:rsid w:val="00DB0C14"/>
    <w:rsid w:val="00DB0C9B"/>
    <w:rsid w:val="00DB107E"/>
    <w:rsid w:val="00DB1415"/>
    <w:rsid w:val="00DB290E"/>
    <w:rsid w:val="00DB2C5A"/>
    <w:rsid w:val="00DB32C8"/>
    <w:rsid w:val="00DB33A2"/>
    <w:rsid w:val="00DB4F0D"/>
    <w:rsid w:val="00DB556D"/>
    <w:rsid w:val="00DB56C6"/>
    <w:rsid w:val="00DB5C80"/>
    <w:rsid w:val="00DB5FCA"/>
    <w:rsid w:val="00DC09D8"/>
    <w:rsid w:val="00DC0C90"/>
    <w:rsid w:val="00DC1620"/>
    <w:rsid w:val="00DC2DB0"/>
    <w:rsid w:val="00DC3038"/>
    <w:rsid w:val="00DC391E"/>
    <w:rsid w:val="00DC4DB7"/>
    <w:rsid w:val="00DC5126"/>
    <w:rsid w:val="00DC771B"/>
    <w:rsid w:val="00DC7D9D"/>
    <w:rsid w:val="00DD0039"/>
    <w:rsid w:val="00DD0114"/>
    <w:rsid w:val="00DD0733"/>
    <w:rsid w:val="00DD0B07"/>
    <w:rsid w:val="00DD19A4"/>
    <w:rsid w:val="00DD2668"/>
    <w:rsid w:val="00DD3208"/>
    <w:rsid w:val="00DD32DB"/>
    <w:rsid w:val="00DD3BBA"/>
    <w:rsid w:val="00DD42D9"/>
    <w:rsid w:val="00DD51A3"/>
    <w:rsid w:val="00DD5DBA"/>
    <w:rsid w:val="00DD62EE"/>
    <w:rsid w:val="00DD7603"/>
    <w:rsid w:val="00DD783C"/>
    <w:rsid w:val="00DD7D0A"/>
    <w:rsid w:val="00DE0CDA"/>
    <w:rsid w:val="00DE0E2D"/>
    <w:rsid w:val="00DE1335"/>
    <w:rsid w:val="00DE177C"/>
    <w:rsid w:val="00DE1A53"/>
    <w:rsid w:val="00DE3A70"/>
    <w:rsid w:val="00DE3E56"/>
    <w:rsid w:val="00DE3F5B"/>
    <w:rsid w:val="00DE53F2"/>
    <w:rsid w:val="00DE5E55"/>
    <w:rsid w:val="00DE75EE"/>
    <w:rsid w:val="00DE7C0F"/>
    <w:rsid w:val="00DF0302"/>
    <w:rsid w:val="00DF0A50"/>
    <w:rsid w:val="00DF0DDB"/>
    <w:rsid w:val="00DF1526"/>
    <w:rsid w:val="00DF308A"/>
    <w:rsid w:val="00DF36D7"/>
    <w:rsid w:val="00DF37D0"/>
    <w:rsid w:val="00DF5A7B"/>
    <w:rsid w:val="00DF678C"/>
    <w:rsid w:val="00E005D7"/>
    <w:rsid w:val="00E008AB"/>
    <w:rsid w:val="00E00C05"/>
    <w:rsid w:val="00E01BF3"/>
    <w:rsid w:val="00E027D1"/>
    <w:rsid w:val="00E02B7A"/>
    <w:rsid w:val="00E03764"/>
    <w:rsid w:val="00E03E10"/>
    <w:rsid w:val="00E04038"/>
    <w:rsid w:val="00E0440C"/>
    <w:rsid w:val="00E04544"/>
    <w:rsid w:val="00E04618"/>
    <w:rsid w:val="00E04A8C"/>
    <w:rsid w:val="00E05A7B"/>
    <w:rsid w:val="00E06F71"/>
    <w:rsid w:val="00E07FF6"/>
    <w:rsid w:val="00E10614"/>
    <w:rsid w:val="00E10DB8"/>
    <w:rsid w:val="00E11794"/>
    <w:rsid w:val="00E134A0"/>
    <w:rsid w:val="00E134C6"/>
    <w:rsid w:val="00E137D4"/>
    <w:rsid w:val="00E138F1"/>
    <w:rsid w:val="00E14033"/>
    <w:rsid w:val="00E14415"/>
    <w:rsid w:val="00E15183"/>
    <w:rsid w:val="00E16F42"/>
    <w:rsid w:val="00E16F66"/>
    <w:rsid w:val="00E1767B"/>
    <w:rsid w:val="00E20416"/>
    <w:rsid w:val="00E20F22"/>
    <w:rsid w:val="00E21222"/>
    <w:rsid w:val="00E2141F"/>
    <w:rsid w:val="00E214F1"/>
    <w:rsid w:val="00E21798"/>
    <w:rsid w:val="00E21D08"/>
    <w:rsid w:val="00E21F65"/>
    <w:rsid w:val="00E22229"/>
    <w:rsid w:val="00E240A7"/>
    <w:rsid w:val="00E242D7"/>
    <w:rsid w:val="00E24957"/>
    <w:rsid w:val="00E24B7B"/>
    <w:rsid w:val="00E24F62"/>
    <w:rsid w:val="00E2551E"/>
    <w:rsid w:val="00E2593E"/>
    <w:rsid w:val="00E25B9E"/>
    <w:rsid w:val="00E26220"/>
    <w:rsid w:val="00E27479"/>
    <w:rsid w:val="00E274BE"/>
    <w:rsid w:val="00E27E3C"/>
    <w:rsid w:val="00E30260"/>
    <w:rsid w:val="00E30285"/>
    <w:rsid w:val="00E302DD"/>
    <w:rsid w:val="00E30973"/>
    <w:rsid w:val="00E317A5"/>
    <w:rsid w:val="00E31840"/>
    <w:rsid w:val="00E318F3"/>
    <w:rsid w:val="00E31AB2"/>
    <w:rsid w:val="00E32367"/>
    <w:rsid w:val="00E32580"/>
    <w:rsid w:val="00E3267A"/>
    <w:rsid w:val="00E32FA3"/>
    <w:rsid w:val="00E3325A"/>
    <w:rsid w:val="00E33381"/>
    <w:rsid w:val="00E33787"/>
    <w:rsid w:val="00E33B9E"/>
    <w:rsid w:val="00E33D7F"/>
    <w:rsid w:val="00E34565"/>
    <w:rsid w:val="00E346DA"/>
    <w:rsid w:val="00E34CD3"/>
    <w:rsid w:val="00E357B6"/>
    <w:rsid w:val="00E35F5B"/>
    <w:rsid w:val="00E36731"/>
    <w:rsid w:val="00E372F9"/>
    <w:rsid w:val="00E37490"/>
    <w:rsid w:val="00E37AA3"/>
    <w:rsid w:val="00E37BA5"/>
    <w:rsid w:val="00E37CE6"/>
    <w:rsid w:val="00E40A56"/>
    <w:rsid w:val="00E40AC3"/>
    <w:rsid w:val="00E40BFE"/>
    <w:rsid w:val="00E416C1"/>
    <w:rsid w:val="00E420F2"/>
    <w:rsid w:val="00E422BE"/>
    <w:rsid w:val="00E42B24"/>
    <w:rsid w:val="00E42DE0"/>
    <w:rsid w:val="00E44F63"/>
    <w:rsid w:val="00E452A3"/>
    <w:rsid w:val="00E45973"/>
    <w:rsid w:val="00E461F6"/>
    <w:rsid w:val="00E462A9"/>
    <w:rsid w:val="00E46538"/>
    <w:rsid w:val="00E465A4"/>
    <w:rsid w:val="00E46D93"/>
    <w:rsid w:val="00E4755E"/>
    <w:rsid w:val="00E50D94"/>
    <w:rsid w:val="00E512CE"/>
    <w:rsid w:val="00E51408"/>
    <w:rsid w:val="00E514F8"/>
    <w:rsid w:val="00E52E78"/>
    <w:rsid w:val="00E52EE6"/>
    <w:rsid w:val="00E548C6"/>
    <w:rsid w:val="00E54ECB"/>
    <w:rsid w:val="00E55D41"/>
    <w:rsid w:val="00E55F18"/>
    <w:rsid w:val="00E56582"/>
    <w:rsid w:val="00E56623"/>
    <w:rsid w:val="00E567EA"/>
    <w:rsid w:val="00E60149"/>
    <w:rsid w:val="00E60394"/>
    <w:rsid w:val="00E606EB"/>
    <w:rsid w:val="00E60FC8"/>
    <w:rsid w:val="00E6150E"/>
    <w:rsid w:val="00E62803"/>
    <w:rsid w:val="00E62BF1"/>
    <w:rsid w:val="00E62C3E"/>
    <w:rsid w:val="00E62D3B"/>
    <w:rsid w:val="00E63BEE"/>
    <w:rsid w:val="00E63D89"/>
    <w:rsid w:val="00E63FAA"/>
    <w:rsid w:val="00E649EB"/>
    <w:rsid w:val="00E64D2C"/>
    <w:rsid w:val="00E6654D"/>
    <w:rsid w:val="00E666C2"/>
    <w:rsid w:val="00E6672F"/>
    <w:rsid w:val="00E6678E"/>
    <w:rsid w:val="00E66C70"/>
    <w:rsid w:val="00E66D33"/>
    <w:rsid w:val="00E66E88"/>
    <w:rsid w:val="00E67D51"/>
    <w:rsid w:val="00E70710"/>
    <w:rsid w:val="00E707C5"/>
    <w:rsid w:val="00E70B5E"/>
    <w:rsid w:val="00E71451"/>
    <w:rsid w:val="00E71880"/>
    <w:rsid w:val="00E720CD"/>
    <w:rsid w:val="00E7216C"/>
    <w:rsid w:val="00E733E0"/>
    <w:rsid w:val="00E738D3"/>
    <w:rsid w:val="00E73D70"/>
    <w:rsid w:val="00E74E46"/>
    <w:rsid w:val="00E76233"/>
    <w:rsid w:val="00E76C8C"/>
    <w:rsid w:val="00E771E6"/>
    <w:rsid w:val="00E80CCE"/>
    <w:rsid w:val="00E81162"/>
    <w:rsid w:val="00E81E8F"/>
    <w:rsid w:val="00E83D10"/>
    <w:rsid w:val="00E84197"/>
    <w:rsid w:val="00E84D05"/>
    <w:rsid w:val="00E8555C"/>
    <w:rsid w:val="00E864F7"/>
    <w:rsid w:val="00E86578"/>
    <w:rsid w:val="00E878BB"/>
    <w:rsid w:val="00E9024F"/>
    <w:rsid w:val="00E91C03"/>
    <w:rsid w:val="00E9250E"/>
    <w:rsid w:val="00E92DC0"/>
    <w:rsid w:val="00E9322E"/>
    <w:rsid w:val="00E94012"/>
    <w:rsid w:val="00E94512"/>
    <w:rsid w:val="00E955CC"/>
    <w:rsid w:val="00E95793"/>
    <w:rsid w:val="00E9589F"/>
    <w:rsid w:val="00E96320"/>
    <w:rsid w:val="00E97741"/>
    <w:rsid w:val="00E97CCB"/>
    <w:rsid w:val="00EA0BFE"/>
    <w:rsid w:val="00EA1D10"/>
    <w:rsid w:val="00EA1E77"/>
    <w:rsid w:val="00EA206F"/>
    <w:rsid w:val="00EA2616"/>
    <w:rsid w:val="00EA2A1A"/>
    <w:rsid w:val="00EA2C29"/>
    <w:rsid w:val="00EA3552"/>
    <w:rsid w:val="00EA3E95"/>
    <w:rsid w:val="00EA444A"/>
    <w:rsid w:val="00EA656E"/>
    <w:rsid w:val="00EA6586"/>
    <w:rsid w:val="00EB0148"/>
    <w:rsid w:val="00EB0433"/>
    <w:rsid w:val="00EB06BA"/>
    <w:rsid w:val="00EB08F4"/>
    <w:rsid w:val="00EB0C22"/>
    <w:rsid w:val="00EB10B3"/>
    <w:rsid w:val="00EB1406"/>
    <w:rsid w:val="00EB16D1"/>
    <w:rsid w:val="00EB22F3"/>
    <w:rsid w:val="00EB37F0"/>
    <w:rsid w:val="00EB3D70"/>
    <w:rsid w:val="00EB3E3F"/>
    <w:rsid w:val="00EB40A5"/>
    <w:rsid w:val="00EB644F"/>
    <w:rsid w:val="00EB67DA"/>
    <w:rsid w:val="00EB68CC"/>
    <w:rsid w:val="00EB6A26"/>
    <w:rsid w:val="00EB7200"/>
    <w:rsid w:val="00EC019C"/>
    <w:rsid w:val="00EC1614"/>
    <w:rsid w:val="00EC182C"/>
    <w:rsid w:val="00EC39B1"/>
    <w:rsid w:val="00EC3C0D"/>
    <w:rsid w:val="00EC4295"/>
    <w:rsid w:val="00EC5919"/>
    <w:rsid w:val="00EC5A84"/>
    <w:rsid w:val="00EC64C3"/>
    <w:rsid w:val="00EC6A46"/>
    <w:rsid w:val="00EC71C7"/>
    <w:rsid w:val="00ED0E33"/>
    <w:rsid w:val="00ED101C"/>
    <w:rsid w:val="00ED14C9"/>
    <w:rsid w:val="00ED2199"/>
    <w:rsid w:val="00ED2DD0"/>
    <w:rsid w:val="00ED30B1"/>
    <w:rsid w:val="00ED34DE"/>
    <w:rsid w:val="00ED3996"/>
    <w:rsid w:val="00ED4C31"/>
    <w:rsid w:val="00ED5234"/>
    <w:rsid w:val="00ED59C4"/>
    <w:rsid w:val="00ED5AF2"/>
    <w:rsid w:val="00ED6559"/>
    <w:rsid w:val="00ED7163"/>
    <w:rsid w:val="00ED744D"/>
    <w:rsid w:val="00ED7469"/>
    <w:rsid w:val="00ED75D3"/>
    <w:rsid w:val="00ED795B"/>
    <w:rsid w:val="00ED7B96"/>
    <w:rsid w:val="00EE094E"/>
    <w:rsid w:val="00EE0EB7"/>
    <w:rsid w:val="00EE0ED7"/>
    <w:rsid w:val="00EE1585"/>
    <w:rsid w:val="00EE1A29"/>
    <w:rsid w:val="00EE2298"/>
    <w:rsid w:val="00EE3313"/>
    <w:rsid w:val="00EE339D"/>
    <w:rsid w:val="00EE5428"/>
    <w:rsid w:val="00EE542B"/>
    <w:rsid w:val="00EE5757"/>
    <w:rsid w:val="00EE5D06"/>
    <w:rsid w:val="00EE6883"/>
    <w:rsid w:val="00EE77BF"/>
    <w:rsid w:val="00EF030A"/>
    <w:rsid w:val="00EF0481"/>
    <w:rsid w:val="00EF143F"/>
    <w:rsid w:val="00EF19A0"/>
    <w:rsid w:val="00EF278A"/>
    <w:rsid w:val="00EF3075"/>
    <w:rsid w:val="00EF3FBA"/>
    <w:rsid w:val="00EF4F10"/>
    <w:rsid w:val="00EF59D9"/>
    <w:rsid w:val="00EF5A49"/>
    <w:rsid w:val="00EF5B26"/>
    <w:rsid w:val="00EF5EF4"/>
    <w:rsid w:val="00EF62F3"/>
    <w:rsid w:val="00EF68CE"/>
    <w:rsid w:val="00EF6EE8"/>
    <w:rsid w:val="00EF7B83"/>
    <w:rsid w:val="00EF7C96"/>
    <w:rsid w:val="00F001A1"/>
    <w:rsid w:val="00F00FF8"/>
    <w:rsid w:val="00F0114B"/>
    <w:rsid w:val="00F01257"/>
    <w:rsid w:val="00F0145F"/>
    <w:rsid w:val="00F019DF"/>
    <w:rsid w:val="00F02D71"/>
    <w:rsid w:val="00F0371A"/>
    <w:rsid w:val="00F03A64"/>
    <w:rsid w:val="00F03B2C"/>
    <w:rsid w:val="00F04101"/>
    <w:rsid w:val="00F04FBF"/>
    <w:rsid w:val="00F05979"/>
    <w:rsid w:val="00F05BF5"/>
    <w:rsid w:val="00F05C79"/>
    <w:rsid w:val="00F0603C"/>
    <w:rsid w:val="00F060C7"/>
    <w:rsid w:val="00F061FC"/>
    <w:rsid w:val="00F0640A"/>
    <w:rsid w:val="00F0727B"/>
    <w:rsid w:val="00F077B5"/>
    <w:rsid w:val="00F07B87"/>
    <w:rsid w:val="00F07F6C"/>
    <w:rsid w:val="00F101BB"/>
    <w:rsid w:val="00F101D9"/>
    <w:rsid w:val="00F10CBF"/>
    <w:rsid w:val="00F10CE9"/>
    <w:rsid w:val="00F11965"/>
    <w:rsid w:val="00F11F08"/>
    <w:rsid w:val="00F124DE"/>
    <w:rsid w:val="00F1282F"/>
    <w:rsid w:val="00F12B8F"/>
    <w:rsid w:val="00F12FEF"/>
    <w:rsid w:val="00F1363C"/>
    <w:rsid w:val="00F1456F"/>
    <w:rsid w:val="00F147E4"/>
    <w:rsid w:val="00F14AAC"/>
    <w:rsid w:val="00F14D37"/>
    <w:rsid w:val="00F155B3"/>
    <w:rsid w:val="00F16707"/>
    <w:rsid w:val="00F16C33"/>
    <w:rsid w:val="00F17BA7"/>
    <w:rsid w:val="00F20333"/>
    <w:rsid w:val="00F204CA"/>
    <w:rsid w:val="00F21180"/>
    <w:rsid w:val="00F21712"/>
    <w:rsid w:val="00F21AF5"/>
    <w:rsid w:val="00F22B76"/>
    <w:rsid w:val="00F23885"/>
    <w:rsid w:val="00F25C00"/>
    <w:rsid w:val="00F25CEB"/>
    <w:rsid w:val="00F265F5"/>
    <w:rsid w:val="00F269BA"/>
    <w:rsid w:val="00F26C62"/>
    <w:rsid w:val="00F26F4E"/>
    <w:rsid w:val="00F275EA"/>
    <w:rsid w:val="00F27787"/>
    <w:rsid w:val="00F30051"/>
    <w:rsid w:val="00F30188"/>
    <w:rsid w:val="00F303EF"/>
    <w:rsid w:val="00F307A8"/>
    <w:rsid w:val="00F30BB7"/>
    <w:rsid w:val="00F30E74"/>
    <w:rsid w:val="00F31263"/>
    <w:rsid w:val="00F31DBC"/>
    <w:rsid w:val="00F32B2E"/>
    <w:rsid w:val="00F333D5"/>
    <w:rsid w:val="00F34407"/>
    <w:rsid w:val="00F3448E"/>
    <w:rsid w:val="00F34BC3"/>
    <w:rsid w:val="00F35B40"/>
    <w:rsid w:val="00F361A2"/>
    <w:rsid w:val="00F361F0"/>
    <w:rsid w:val="00F36384"/>
    <w:rsid w:val="00F37039"/>
    <w:rsid w:val="00F4017D"/>
    <w:rsid w:val="00F406F1"/>
    <w:rsid w:val="00F40E45"/>
    <w:rsid w:val="00F41342"/>
    <w:rsid w:val="00F413D4"/>
    <w:rsid w:val="00F42423"/>
    <w:rsid w:val="00F441B8"/>
    <w:rsid w:val="00F441F7"/>
    <w:rsid w:val="00F4458C"/>
    <w:rsid w:val="00F4470E"/>
    <w:rsid w:val="00F44977"/>
    <w:rsid w:val="00F44D81"/>
    <w:rsid w:val="00F45D42"/>
    <w:rsid w:val="00F507D5"/>
    <w:rsid w:val="00F507FF"/>
    <w:rsid w:val="00F51083"/>
    <w:rsid w:val="00F52005"/>
    <w:rsid w:val="00F521E1"/>
    <w:rsid w:val="00F539D2"/>
    <w:rsid w:val="00F53C0E"/>
    <w:rsid w:val="00F54251"/>
    <w:rsid w:val="00F543B3"/>
    <w:rsid w:val="00F54759"/>
    <w:rsid w:val="00F55E75"/>
    <w:rsid w:val="00F55E96"/>
    <w:rsid w:val="00F560FF"/>
    <w:rsid w:val="00F567DD"/>
    <w:rsid w:val="00F576D9"/>
    <w:rsid w:val="00F57FE5"/>
    <w:rsid w:val="00F60C96"/>
    <w:rsid w:val="00F61129"/>
    <w:rsid w:val="00F6191F"/>
    <w:rsid w:val="00F64491"/>
    <w:rsid w:val="00F64609"/>
    <w:rsid w:val="00F64D9F"/>
    <w:rsid w:val="00F6550D"/>
    <w:rsid w:val="00F66290"/>
    <w:rsid w:val="00F66355"/>
    <w:rsid w:val="00F6745F"/>
    <w:rsid w:val="00F67768"/>
    <w:rsid w:val="00F6783E"/>
    <w:rsid w:val="00F708C8"/>
    <w:rsid w:val="00F71120"/>
    <w:rsid w:val="00F71A40"/>
    <w:rsid w:val="00F71D70"/>
    <w:rsid w:val="00F72987"/>
    <w:rsid w:val="00F73094"/>
    <w:rsid w:val="00F73B68"/>
    <w:rsid w:val="00F742AF"/>
    <w:rsid w:val="00F744E5"/>
    <w:rsid w:val="00F747E1"/>
    <w:rsid w:val="00F75FC8"/>
    <w:rsid w:val="00F7631F"/>
    <w:rsid w:val="00F768C9"/>
    <w:rsid w:val="00F76A3C"/>
    <w:rsid w:val="00F76DA9"/>
    <w:rsid w:val="00F77186"/>
    <w:rsid w:val="00F774BD"/>
    <w:rsid w:val="00F7779E"/>
    <w:rsid w:val="00F80188"/>
    <w:rsid w:val="00F8076A"/>
    <w:rsid w:val="00F80B5E"/>
    <w:rsid w:val="00F80FFE"/>
    <w:rsid w:val="00F8147B"/>
    <w:rsid w:val="00F81C67"/>
    <w:rsid w:val="00F81EE8"/>
    <w:rsid w:val="00F8247A"/>
    <w:rsid w:val="00F829CC"/>
    <w:rsid w:val="00F83164"/>
    <w:rsid w:val="00F8356E"/>
    <w:rsid w:val="00F83B24"/>
    <w:rsid w:val="00F841A0"/>
    <w:rsid w:val="00F84973"/>
    <w:rsid w:val="00F84A39"/>
    <w:rsid w:val="00F84BE1"/>
    <w:rsid w:val="00F85199"/>
    <w:rsid w:val="00F8624A"/>
    <w:rsid w:val="00F86ADF"/>
    <w:rsid w:val="00F87576"/>
    <w:rsid w:val="00F87867"/>
    <w:rsid w:val="00F87F05"/>
    <w:rsid w:val="00F87F40"/>
    <w:rsid w:val="00F87FD8"/>
    <w:rsid w:val="00F903BA"/>
    <w:rsid w:val="00F91AF6"/>
    <w:rsid w:val="00F9240F"/>
    <w:rsid w:val="00F9247A"/>
    <w:rsid w:val="00F92DBE"/>
    <w:rsid w:val="00F93135"/>
    <w:rsid w:val="00F931C6"/>
    <w:rsid w:val="00F93B74"/>
    <w:rsid w:val="00F93DA1"/>
    <w:rsid w:val="00F94283"/>
    <w:rsid w:val="00F957D8"/>
    <w:rsid w:val="00F95A88"/>
    <w:rsid w:val="00F95C1D"/>
    <w:rsid w:val="00F95D65"/>
    <w:rsid w:val="00F962A0"/>
    <w:rsid w:val="00F96D4D"/>
    <w:rsid w:val="00FA19FF"/>
    <w:rsid w:val="00FA1CCD"/>
    <w:rsid w:val="00FA2728"/>
    <w:rsid w:val="00FA322F"/>
    <w:rsid w:val="00FA3AF5"/>
    <w:rsid w:val="00FA41E8"/>
    <w:rsid w:val="00FA51B3"/>
    <w:rsid w:val="00FA529F"/>
    <w:rsid w:val="00FA617C"/>
    <w:rsid w:val="00FA6362"/>
    <w:rsid w:val="00FA679A"/>
    <w:rsid w:val="00FA6CC8"/>
    <w:rsid w:val="00FA6DDA"/>
    <w:rsid w:val="00FA7EFC"/>
    <w:rsid w:val="00FB063E"/>
    <w:rsid w:val="00FB077E"/>
    <w:rsid w:val="00FB124F"/>
    <w:rsid w:val="00FB141E"/>
    <w:rsid w:val="00FB15F0"/>
    <w:rsid w:val="00FB1989"/>
    <w:rsid w:val="00FB1D20"/>
    <w:rsid w:val="00FB2316"/>
    <w:rsid w:val="00FB2830"/>
    <w:rsid w:val="00FB2E31"/>
    <w:rsid w:val="00FB2E6D"/>
    <w:rsid w:val="00FB31CF"/>
    <w:rsid w:val="00FB329F"/>
    <w:rsid w:val="00FB3A5A"/>
    <w:rsid w:val="00FB3BBD"/>
    <w:rsid w:val="00FB3E69"/>
    <w:rsid w:val="00FB3EF2"/>
    <w:rsid w:val="00FB4347"/>
    <w:rsid w:val="00FB4BC7"/>
    <w:rsid w:val="00FB4CBF"/>
    <w:rsid w:val="00FB53B1"/>
    <w:rsid w:val="00FB6309"/>
    <w:rsid w:val="00FB6956"/>
    <w:rsid w:val="00FB72AA"/>
    <w:rsid w:val="00FB7461"/>
    <w:rsid w:val="00FB7D22"/>
    <w:rsid w:val="00FC1C7D"/>
    <w:rsid w:val="00FC1F02"/>
    <w:rsid w:val="00FC2481"/>
    <w:rsid w:val="00FC2765"/>
    <w:rsid w:val="00FC3079"/>
    <w:rsid w:val="00FC35C2"/>
    <w:rsid w:val="00FC4309"/>
    <w:rsid w:val="00FC512D"/>
    <w:rsid w:val="00FC5398"/>
    <w:rsid w:val="00FC55F3"/>
    <w:rsid w:val="00FC56D9"/>
    <w:rsid w:val="00FC6C91"/>
    <w:rsid w:val="00FC6EE7"/>
    <w:rsid w:val="00FC727B"/>
    <w:rsid w:val="00FD05BD"/>
    <w:rsid w:val="00FD0F92"/>
    <w:rsid w:val="00FD23D1"/>
    <w:rsid w:val="00FD28DA"/>
    <w:rsid w:val="00FD3B04"/>
    <w:rsid w:val="00FD524B"/>
    <w:rsid w:val="00FD5444"/>
    <w:rsid w:val="00FD5A91"/>
    <w:rsid w:val="00FD6EAB"/>
    <w:rsid w:val="00FD73B1"/>
    <w:rsid w:val="00FD7601"/>
    <w:rsid w:val="00FE0AE2"/>
    <w:rsid w:val="00FE155C"/>
    <w:rsid w:val="00FE1F63"/>
    <w:rsid w:val="00FE2162"/>
    <w:rsid w:val="00FE2909"/>
    <w:rsid w:val="00FE298D"/>
    <w:rsid w:val="00FE378E"/>
    <w:rsid w:val="00FE3FEA"/>
    <w:rsid w:val="00FE5186"/>
    <w:rsid w:val="00FE538A"/>
    <w:rsid w:val="00FE5527"/>
    <w:rsid w:val="00FE58CD"/>
    <w:rsid w:val="00FE5F9E"/>
    <w:rsid w:val="00FE6081"/>
    <w:rsid w:val="00FE618D"/>
    <w:rsid w:val="00FE6769"/>
    <w:rsid w:val="00FE6D0F"/>
    <w:rsid w:val="00FE71F2"/>
    <w:rsid w:val="00FE78D5"/>
    <w:rsid w:val="00FF0686"/>
    <w:rsid w:val="00FF111E"/>
    <w:rsid w:val="00FF1F99"/>
    <w:rsid w:val="00FF205D"/>
    <w:rsid w:val="00FF2103"/>
    <w:rsid w:val="00FF2475"/>
    <w:rsid w:val="00FF287C"/>
    <w:rsid w:val="00FF2F70"/>
    <w:rsid w:val="00FF3182"/>
    <w:rsid w:val="00FF3429"/>
    <w:rsid w:val="00FF3715"/>
    <w:rsid w:val="00FF3CAC"/>
    <w:rsid w:val="00FF4065"/>
    <w:rsid w:val="00FF4194"/>
    <w:rsid w:val="00FF41BB"/>
    <w:rsid w:val="00FF510F"/>
    <w:rsid w:val="00FF5798"/>
    <w:rsid w:val="00FF5D2F"/>
    <w:rsid w:val="00FF6CA5"/>
    <w:rsid w:val="00FF723A"/>
    <w:rsid w:val="00FF7319"/>
    <w:rsid w:val="00FF7C66"/>
    <w:rsid w:val="00FF7EF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f" fillcolor="white" stroke="f">
      <v:fill color="white" on="f"/>
      <v:stroke on="f"/>
      <v:textbox inset=",,,1mm"/>
      <o:colormru v:ext="edit" colors="#eaeaea,#ddd,silver"/>
    </o:shapedefaults>
    <o:shapelayout v:ext="edit">
      <o:idmap v:ext="edit" data="1"/>
    </o:shapelayout>
  </w:shapeDefaults>
  <w:decimalSymbol w:val="."/>
  <w:listSeparator w:val=","/>
  <w15:docId w15:val="{D7E91846-66E7-4B05-93F0-42F20984F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bidi/>
      <w:spacing w:before="120" w:after="120" w:line="336" w:lineRule="auto"/>
      <w:jc w:val="both"/>
    </w:pPr>
    <w:rPr>
      <w:rFonts w:cs="David"/>
      <w:sz w:val="24"/>
      <w:szCs w:val="24"/>
      <w:lang w:eastAsia="he-IL"/>
    </w:rPr>
  </w:style>
  <w:style w:type="paragraph" w:styleId="10">
    <w:name w:val="heading 1"/>
    <w:basedOn w:val="1"/>
    <w:next w:val="a0"/>
    <w:link w:val="12"/>
    <w:qFormat/>
    <w:rsid w:val="004F6A62"/>
    <w:pPr>
      <w:ind w:right="14"/>
      <w:outlineLvl w:val="0"/>
    </w:pPr>
    <w:rPr>
      <w:sz w:val="32"/>
      <w:szCs w:val="32"/>
    </w:rPr>
  </w:style>
  <w:style w:type="paragraph" w:styleId="2">
    <w:name w:val="heading 2"/>
    <w:basedOn w:val="11"/>
    <w:link w:val="20"/>
    <w:qFormat/>
    <w:rsid w:val="004F6A62"/>
    <w:pPr>
      <w:ind w:right="11"/>
      <w:outlineLvl w:val="1"/>
    </w:pPr>
  </w:style>
  <w:style w:type="paragraph" w:styleId="3">
    <w:name w:val="heading 3"/>
    <w:basedOn w:val="111"/>
    <w:qFormat/>
    <w:rsid w:val="00AA4AE1"/>
    <w:pPr>
      <w:outlineLvl w:val="2"/>
    </w:pPr>
  </w:style>
  <w:style w:type="paragraph" w:styleId="4">
    <w:name w:val="heading 4"/>
    <w:basedOn w:val="a1"/>
    <w:link w:val="40"/>
    <w:qFormat/>
    <w:rsid w:val="00AA4AE1"/>
    <w:pPr>
      <w:outlineLvl w:val="3"/>
    </w:pPr>
  </w:style>
  <w:style w:type="paragraph" w:styleId="5">
    <w:name w:val="heading 5"/>
    <w:basedOn w:val="a2"/>
    <w:qFormat/>
    <w:rsid w:val="00BF198B"/>
    <w:pPr>
      <w:spacing w:before="0" w:after="0" w:line="240" w:lineRule="auto"/>
      <w:jc w:val="center"/>
      <w:outlineLvl w:val="4"/>
    </w:pPr>
    <w:rPr>
      <w:b/>
      <w:bCs/>
    </w:rPr>
  </w:style>
  <w:style w:type="paragraph" w:styleId="6">
    <w:name w:val="heading 6"/>
    <w:basedOn w:val="a0"/>
    <w:qFormat/>
    <w:pPr>
      <w:spacing w:before="0" w:line="288" w:lineRule="auto"/>
      <w:outlineLvl w:val="5"/>
    </w:pPr>
  </w:style>
  <w:style w:type="paragraph" w:styleId="7">
    <w:name w:val="heading 7"/>
    <w:basedOn w:val="a0"/>
    <w:qFormat/>
    <w:pPr>
      <w:spacing w:before="0" w:line="288" w:lineRule="auto"/>
      <w:outlineLvl w:val="6"/>
    </w:pPr>
  </w:style>
  <w:style w:type="paragraph" w:styleId="8">
    <w:name w:val="heading 8"/>
    <w:basedOn w:val="a0"/>
    <w:qFormat/>
    <w:pPr>
      <w:spacing w:line="288" w:lineRule="auto"/>
      <w:outlineLvl w:val="7"/>
    </w:pPr>
  </w:style>
  <w:style w:type="paragraph" w:styleId="9">
    <w:name w:val="heading 9"/>
    <w:basedOn w:val="a0"/>
    <w:qFormat/>
    <w:pPr>
      <w:spacing w:line="288" w:lineRule="auto"/>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2">
    <w:name w:val="פסקה רג"/>
    <w:basedOn w:val="a6"/>
    <w:link w:val="a7"/>
    <w:pPr>
      <w:ind w:left="0"/>
    </w:pPr>
  </w:style>
  <w:style w:type="paragraph" w:customStyle="1" w:styleId="a6">
    <w:name w:val="דילוג"/>
    <w:basedOn w:val="a8"/>
    <w:pPr>
      <w:ind w:firstLine="0"/>
    </w:pPr>
  </w:style>
  <w:style w:type="paragraph" w:customStyle="1" w:styleId="a8">
    <w:name w:val="פסקה#"/>
    <w:basedOn w:val="a0"/>
    <w:pPr>
      <w:ind w:left="249" w:hanging="360"/>
    </w:pPr>
    <w:rPr>
      <w:lang w:eastAsia="en-US"/>
    </w:rPr>
  </w:style>
  <w:style w:type="paragraph" w:styleId="a9">
    <w:name w:val="footnote text"/>
    <w:basedOn w:val="a0"/>
    <w:link w:val="aa"/>
    <w:pPr>
      <w:tabs>
        <w:tab w:val="left" w:pos="210"/>
      </w:tabs>
      <w:spacing w:before="0" w:after="60" w:line="240" w:lineRule="auto"/>
      <w:ind w:left="227" w:hanging="227"/>
    </w:pPr>
    <w:rPr>
      <w:rFonts w:cs="Times New Roman"/>
      <w:sz w:val="20"/>
      <w:szCs w:val="20"/>
      <w:lang w:val="x-none"/>
    </w:rPr>
  </w:style>
  <w:style w:type="character" w:styleId="ab">
    <w:name w:val="footnote reference"/>
    <w:rPr>
      <w:vertAlign w:val="superscript"/>
    </w:rPr>
  </w:style>
  <w:style w:type="paragraph" w:styleId="ac">
    <w:name w:val="header"/>
    <w:basedOn w:val="a0"/>
    <w:pPr>
      <w:tabs>
        <w:tab w:val="center" w:pos="4153"/>
        <w:tab w:val="right" w:pos="8306"/>
      </w:tabs>
    </w:pPr>
  </w:style>
  <w:style w:type="character" w:styleId="ad">
    <w:name w:val="page number"/>
    <w:basedOn w:val="a3"/>
  </w:style>
  <w:style w:type="paragraph" w:customStyle="1" w:styleId="110">
    <w:name w:val="דילוג 1.1"/>
    <w:basedOn w:val="a0"/>
    <w:pPr>
      <w:tabs>
        <w:tab w:val="left" w:pos="567"/>
        <w:tab w:val="left" w:pos="1304"/>
        <w:tab w:val="left" w:pos="2268"/>
        <w:tab w:val="left" w:pos="3459"/>
        <w:tab w:val="left" w:pos="4876"/>
        <w:tab w:val="left" w:pos="6634"/>
      </w:tabs>
      <w:spacing w:line="288" w:lineRule="auto"/>
    </w:pPr>
  </w:style>
  <w:style w:type="paragraph" w:styleId="ae">
    <w:name w:val="footer"/>
    <w:basedOn w:val="a0"/>
    <w:pPr>
      <w:tabs>
        <w:tab w:val="center" w:pos="4153"/>
        <w:tab w:val="right" w:pos="8306"/>
      </w:tabs>
    </w:pPr>
  </w:style>
  <w:style w:type="paragraph" w:customStyle="1" w:styleId="13">
    <w:name w:val="דילוג 1.א"/>
    <w:basedOn w:val="a0"/>
    <w:pPr>
      <w:tabs>
        <w:tab w:val="left" w:pos="567"/>
        <w:tab w:val="left" w:pos="1134"/>
        <w:tab w:val="left" w:pos="1701"/>
        <w:tab w:val="left" w:pos="2268"/>
        <w:tab w:val="left" w:pos="3005"/>
        <w:tab w:val="left" w:pos="3742"/>
        <w:tab w:val="left" w:pos="4139"/>
        <w:tab w:val="left" w:pos="4536"/>
        <w:tab w:val="left" w:pos="4933"/>
      </w:tabs>
      <w:spacing w:line="288" w:lineRule="auto"/>
    </w:pPr>
  </w:style>
  <w:style w:type="paragraph" w:customStyle="1" w:styleId="af">
    <w:name w:val="ציטטה_עב"/>
    <w:basedOn w:val="a0"/>
    <w:pPr>
      <w:spacing w:before="60" w:after="60" w:line="288" w:lineRule="auto"/>
      <w:ind w:left="1134" w:right="1134"/>
    </w:pPr>
    <w:rPr>
      <w:b/>
      <w:bCs/>
      <w:sz w:val="22"/>
      <w:szCs w:val="22"/>
      <w:lang w:eastAsia="en-US"/>
    </w:rPr>
  </w:style>
  <w:style w:type="paragraph" w:styleId="21">
    <w:name w:val="Body Text 2"/>
    <w:basedOn w:val="a0"/>
    <w:pPr>
      <w:bidi w:val="0"/>
      <w:spacing w:line="288" w:lineRule="auto"/>
    </w:pPr>
    <w:rPr>
      <w:color w:val="000000"/>
      <w:sz w:val="23"/>
      <w:szCs w:val="23"/>
    </w:rPr>
  </w:style>
  <w:style w:type="paragraph" w:customStyle="1" w:styleId="af0">
    <w:name w:val="ישן"/>
    <w:basedOn w:val="a0"/>
    <w:pPr>
      <w:spacing w:before="0" w:after="0" w:line="240" w:lineRule="auto"/>
    </w:pPr>
  </w:style>
  <w:style w:type="paragraph" w:styleId="af1">
    <w:name w:val="endnote text"/>
    <w:basedOn w:val="a0"/>
    <w:semiHidden/>
    <w:pPr>
      <w:spacing w:after="60" w:line="288" w:lineRule="auto"/>
      <w:ind w:left="249" w:hanging="249"/>
    </w:pPr>
    <w:rPr>
      <w:sz w:val="20"/>
      <w:szCs w:val="20"/>
    </w:rPr>
  </w:style>
  <w:style w:type="paragraph" w:styleId="af2">
    <w:name w:val="caption"/>
    <w:basedOn w:val="a0"/>
    <w:next w:val="a0"/>
    <w:qFormat/>
    <w:pPr>
      <w:spacing w:line="288" w:lineRule="auto"/>
    </w:pPr>
    <w:rPr>
      <w:b/>
      <w:bCs/>
      <w:sz w:val="20"/>
      <w:szCs w:val="20"/>
    </w:rPr>
  </w:style>
  <w:style w:type="paragraph" w:customStyle="1" w:styleId="xl75">
    <w:name w:val="xl75"/>
    <w:basedOn w:val="a0"/>
    <w:pPr>
      <w:shd w:val="clear" w:color="auto" w:fill="CCFFCC"/>
      <w:bidi w:val="0"/>
      <w:spacing w:before="100" w:beforeAutospacing="1" w:after="100" w:afterAutospacing="1" w:line="240" w:lineRule="auto"/>
    </w:pPr>
    <w:rPr>
      <w:rFonts w:ascii="Arial" w:hAnsi="Arial" w:cs="Arial"/>
    </w:rPr>
  </w:style>
  <w:style w:type="paragraph" w:customStyle="1" w:styleId="xl24">
    <w:name w:val="xl24"/>
    <w:basedOn w:val="a0"/>
    <w:pPr>
      <w:bidi w:val="0"/>
      <w:spacing w:before="100" w:beforeAutospacing="1" w:after="100" w:afterAutospacing="1" w:line="240" w:lineRule="auto"/>
    </w:pPr>
    <w:rPr>
      <w:rFonts w:ascii="Arial" w:hAnsi="Arial" w:cs="Arial"/>
      <w:b/>
      <w:bCs/>
    </w:rPr>
  </w:style>
  <w:style w:type="paragraph" w:customStyle="1" w:styleId="xl25">
    <w:name w:val="xl25"/>
    <w:basedOn w:val="a0"/>
    <w:pPr>
      <w:bidi w:val="0"/>
      <w:spacing w:before="100" w:beforeAutospacing="1" w:after="100" w:afterAutospacing="1" w:line="240" w:lineRule="auto"/>
      <w:jc w:val="center"/>
    </w:pPr>
    <w:rPr>
      <w:rFonts w:ascii="Arial" w:hAnsi="Arial" w:cs="Arial"/>
      <w:b/>
      <w:bCs/>
    </w:rPr>
  </w:style>
  <w:style w:type="paragraph" w:customStyle="1" w:styleId="xl26">
    <w:name w:val="xl26"/>
    <w:basedOn w:val="a0"/>
    <w:pPr>
      <w:bidi w:val="0"/>
      <w:spacing w:before="100" w:beforeAutospacing="1" w:after="100" w:afterAutospacing="1" w:line="240" w:lineRule="auto"/>
    </w:pPr>
    <w:rPr>
      <w:rFonts w:ascii="Arial" w:hAnsi="Arial" w:cs="Arial"/>
    </w:rPr>
  </w:style>
  <w:style w:type="paragraph" w:customStyle="1" w:styleId="xl27">
    <w:name w:val="xl27"/>
    <w:basedOn w:val="a0"/>
    <w:pPr>
      <w:shd w:val="clear" w:color="auto" w:fill="FFCC99"/>
      <w:bidi w:val="0"/>
      <w:spacing w:before="100" w:beforeAutospacing="1" w:after="100" w:afterAutospacing="1" w:line="240" w:lineRule="auto"/>
    </w:pPr>
    <w:rPr>
      <w:rFonts w:ascii="Arial" w:hAnsi="Arial" w:cs="Arial"/>
    </w:rPr>
  </w:style>
  <w:style w:type="paragraph" w:styleId="TOC1">
    <w:name w:val="toc 1"/>
    <w:basedOn w:val="a0"/>
    <w:next w:val="a0"/>
    <w:uiPriority w:val="39"/>
    <w:pPr>
      <w:tabs>
        <w:tab w:val="left" w:pos="607"/>
        <w:tab w:val="right" w:pos="8889"/>
      </w:tabs>
      <w:spacing w:after="160"/>
    </w:pPr>
    <w:rPr>
      <w:b/>
      <w:bCs/>
      <w:caps/>
      <w:sz w:val="28"/>
      <w:szCs w:val="28"/>
      <w:u w:val="single"/>
    </w:rPr>
  </w:style>
  <w:style w:type="paragraph" w:styleId="TOC2">
    <w:name w:val="toc 2"/>
    <w:basedOn w:val="a0"/>
    <w:next w:val="a0"/>
    <w:uiPriority w:val="39"/>
    <w:pPr>
      <w:tabs>
        <w:tab w:val="right" w:pos="8879"/>
      </w:tabs>
      <w:ind w:left="249"/>
    </w:pPr>
    <w:rPr>
      <w:b/>
      <w:bCs/>
      <w:smallCaps/>
      <w:sz w:val="28"/>
      <w:szCs w:val="28"/>
    </w:rPr>
  </w:style>
  <w:style w:type="paragraph" w:styleId="TOC3">
    <w:name w:val="toc 3"/>
    <w:basedOn w:val="a0"/>
    <w:next w:val="a0"/>
    <w:uiPriority w:val="39"/>
    <w:pPr>
      <w:tabs>
        <w:tab w:val="right" w:pos="8879"/>
      </w:tabs>
      <w:spacing w:before="80" w:after="0"/>
      <w:ind w:left="789"/>
      <w:jc w:val="left"/>
    </w:pPr>
    <w:rPr>
      <w:b/>
      <w:bCs/>
      <w:smallCaps/>
      <w:sz w:val="28"/>
      <w:szCs w:val="28"/>
    </w:rPr>
  </w:style>
  <w:style w:type="paragraph" w:styleId="TOC4">
    <w:name w:val="toc 4"/>
    <w:basedOn w:val="a0"/>
    <w:next w:val="a0"/>
    <w:autoRedefine/>
    <w:uiPriority w:val="39"/>
    <w:pPr>
      <w:spacing w:before="0" w:after="0"/>
      <w:jc w:val="left"/>
    </w:pPr>
    <w:rPr>
      <w:rFonts w:cs="Times New Roman"/>
      <w:szCs w:val="22"/>
    </w:rPr>
  </w:style>
  <w:style w:type="paragraph" w:styleId="TOC5">
    <w:name w:val="toc 5"/>
    <w:basedOn w:val="a0"/>
    <w:next w:val="a0"/>
    <w:autoRedefine/>
    <w:uiPriority w:val="39"/>
    <w:pPr>
      <w:spacing w:before="0" w:after="0"/>
      <w:jc w:val="left"/>
    </w:pPr>
    <w:rPr>
      <w:rFonts w:cs="Times New Roman"/>
      <w:szCs w:val="22"/>
    </w:rPr>
  </w:style>
  <w:style w:type="paragraph" w:styleId="TOC6">
    <w:name w:val="toc 6"/>
    <w:basedOn w:val="a0"/>
    <w:next w:val="a0"/>
    <w:autoRedefine/>
    <w:uiPriority w:val="39"/>
    <w:pPr>
      <w:spacing w:before="0" w:after="0"/>
      <w:jc w:val="left"/>
    </w:pPr>
    <w:rPr>
      <w:rFonts w:cs="Times New Roman"/>
      <w:szCs w:val="22"/>
    </w:rPr>
  </w:style>
  <w:style w:type="paragraph" w:styleId="TOC7">
    <w:name w:val="toc 7"/>
    <w:basedOn w:val="a0"/>
    <w:next w:val="a0"/>
    <w:autoRedefine/>
    <w:uiPriority w:val="39"/>
    <w:pPr>
      <w:spacing w:before="0" w:after="0"/>
      <w:jc w:val="left"/>
    </w:pPr>
    <w:rPr>
      <w:rFonts w:cs="Times New Roman"/>
      <w:szCs w:val="22"/>
    </w:rPr>
  </w:style>
  <w:style w:type="paragraph" w:styleId="TOC8">
    <w:name w:val="toc 8"/>
    <w:basedOn w:val="a0"/>
    <w:next w:val="a0"/>
    <w:autoRedefine/>
    <w:uiPriority w:val="39"/>
    <w:pPr>
      <w:spacing w:before="0" w:after="0"/>
      <w:jc w:val="left"/>
    </w:pPr>
    <w:rPr>
      <w:rFonts w:cs="Times New Roman"/>
      <w:szCs w:val="22"/>
    </w:rPr>
  </w:style>
  <w:style w:type="paragraph" w:styleId="TOC9">
    <w:name w:val="toc 9"/>
    <w:basedOn w:val="a0"/>
    <w:next w:val="a0"/>
    <w:autoRedefine/>
    <w:uiPriority w:val="39"/>
    <w:pPr>
      <w:spacing w:before="0" w:after="0"/>
      <w:jc w:val="left"/>
    </w:pPr>
    <w:rPr>
      <w:rFonts w:cs="Times New Roman"/>
      <w:szCs w:val="22"/>
    </w:rPr>
  </w:style>
  <w:style w:type="paragraph" w:customStyle="1" w:styleId="af3">
    <w:name w:val="יום"/>
    <w:basedOn w:val="a0"/>
    <w:pPr>
      <w:spacing w:line="288" w:lineRule="auto"/>
      <w:ind w:left="-256"/>
    </w:pPr>
    <w:rPr>
      <w:b/>
      <w:bCs/>
      <w:color w:val="CC0000"/>
      <w:sz w:val="28"/>
      <w:szCs w:val="28"/>
      <w:u w:val="single"/>
      <w:lang w:eastAsia="en-US"/>
    </w:rPr>
  </w:style>
  <w:style w:type="paragraph" w:customStyle="1" w:styleId="af4">
    <w:name w:val="גיל"/>
    <w:basedOn w:val="a0"/>
    <w:rPr>
      <w:b/>
      <w:bCs/>
      <w:u w:val="single"/>
    </w:rPr>
  </w:style>
  <w:style w:type="character" w:styleId="Hyperlink">
    <w:name w:val="Hyperlink"/>
    <w:uiPriority w:val="99"/>
    <w:rPr>
      <w:color w:val="0000FF"/>
      <w:u w:val="single"/>
    </w:rPr>
  </w:style>
  <w:style w:type="character" w:styleId="af5">
    <w:name w:val="endnote reference"/>
    <w:semiHidden/>
    <w:rPr>
      <w:vertAlign w:val="superscript"/>
    </w:rPr>
  </w:style>
  <w:style w:type="character" w:styleId="FollowedHyperlink">
    <w:name w:val="FollowedHyperlink"/>
    <w:rPr>
      <w:color w:val="800080"/>
      <w:u w:val="single"/>
    </w:rPr>
  </w:style>
  <w:style w:type="paragraph" w:customStyle="1" w:styleId="af6">
    <w:name w:val="כתיבה"/>
    <w:basedOn w:val="a0"/>
    <w:pPr>
      <w:framePr w:hSpace="180" w:wrap="notBeside" w:vAnchor="text" w:hAnchor="margin" w:xAlign="right" w:y="266"/>
      <w:spacing w:before="0" w:after="0"/>
    </w:pPr>
    <w:rPr>
      <w:b/>
      <w:bCs/>
      <w:sz w:val="28"/>
      <w:szCs w:val="28"/>
      <w:lang w:eastAsia="en-US"/>
    </w:rPr>
  </w:style>
  <w:style w:type="paragraph" w:customStyle="1" w:styleId="af7">
    <w:name w:val="אישור"/>
    <w:basedOn w:val="a0"/>
    <w:pPr>
      <w:framePr w:hSpace="180" w:wrap="notBeside" w:vAnchor="text" w:hAnchor="margin" w:xAlign="right" w:y="266"/>
      <w:spacing w:before="100" w:after="0" w:line="240" w:lineRule="auto"/>
    </w:pPr>
    <w:rPr>
      <w:lang w:eastAsia="en-US"/>
    </w:rPr>
  </w:style>
  <w:style w:type="paragraph" w:customStyle="1" w:styleId="af8">
    <w:name w:val="תאריך עברי"/>
    <w:basedOn w:val="a0"/>
    <w:pPr>
      <w:framePr w:hSpace="180" w:wrap="notBeside" w:vAnchor="text" w:hAnchor="margin" w:xAlign="right" w:y="266"/>
      <w:spacing w:before="0" w:after="0"/>
      <w:jc w:val="center"/>
    </w:pPr>
    <w:rPr>
      <w:lang w:eastAsia="en-US"/>
    </w:rPr>
  </w:style>
  <w:style w:type="paragraph" w:styleId="af9">
    <w:name w:val="Date"/>
    <w:basedOn w:val="a0"/>
    <w:pPr>
      <w:framePr w:hSpace="180" w:wrap="notBeside" w:vAnchor="text" w:hAnchor="margin" w:xAlign="right" w:y="266"/>
      <w:spacing w:before="0" w:after="0"/>
      <w:jc w:val="center"/>
    </w:pPr>
    <w:rPr>
      <w:lang w:eastAsia="en-US"/>
    </w:rPr>
  </w:style>
  <w:style w:type="paragraph" w:customStyle="1" w:styleId="afa">
    <w:name w:val="סוג מסמך"/>
    <w:basedOn w:val="a0"/>
    <w:pPr>
      <w:ind w:left="-142"/>
      <w:jc w:val="center"/>
    </w:pPr>
    <w:rPr>
      <w:sz w:val="32"/>
      <w:szCs w:val="32"/>
      <w:lang w:eastAsia="en-US"/>
    </w:rPr>
  </w:style>
  <w:style w:type="paragraph" w:customStyle="1" w:styleId="afb">
    <w:name w:val="שם מסמך"/>
    <w:basedOn w:val="a0"/>
    <w:pPr>
      <w:ind w:left="-142"/>
      <w:jc w:val="center"/>
    </w:pPr>
    <w:rPr>
      <w:b/>
      <w:bCs/>
      <w:sz w:val="40"/>
      <w:szCs w:val="40"/>
      <w:lang w:eastAsia="en-US"/>
    </w:rPr>
  </w:style>
  <w:style w:type="paragraph" w:customStyle="1" w:styleId="aFootnoteText">
    <w:name w:val="a_Footnote Text"/>
    <w:basedOn w:val="a9"/>
    <w:pPr>
      <w:spacing w:before="120" w:line="336" w:lineRule="auto"/>
    </w:pPr>
  </w:style>
  <w:style w:type="paragraph" w:customStyle="1" w:styleId="afc">
    <w:name w:val="ציטטה_אנ"/>
    <w:basedOn w:val="a0"/>
    <w:pPr>
      <w:tabs>
        <w:tab w:val="right" w:pos="10980"/>
      </w:tabs>
      <w:bidi w:val="0"/>
      <w:spacing w:before="60" w:after="60" w:line="288" w:lineRule="auto"/>
      <w:ind w:left="1077" w:right="1151"/>
    </w:pPr>
    <w:rPr>
      <w:b/>
      <w:sz w:val="22"/>
      <w:szCs w:val="22"/>
    </w:rPr>
  </w:style>
  <w:style w:type="paragraph" w:customStyle="1" w:styleId="afd">
    <w:name w:val="שם_פוטר"/>
    <w:basedOn w:val="afb"/>
    <w:pPr>
      <w:spacing w:before="0" w:after="0" w:line="240" w:lineRule="auto"/>
    </w:pPr>
    <w:rPr>
      <w:rFonts w:cs="Miriam"/>
      <w:b w:val="0"/>
      <w:bCs w:val="0"/>
      <w:sz w:val="14"/>
      <w:szCs w:val="14"/>
    </w:rPr>
  </w:style>
  <w:style w:type="paragraph" w:customStyle="1" w:styleId="afe">
    <w:name w:val="כותרת_רגילה"/>
    <w:basedOn w:val="a0"/>
    <w:pPr>
      <w:ind w:left="-111"/>
    </w:pPr>
  </w:style>
  <w:style w:type="paragraph" w:customStyle="1" w:styleId="a1">
    <w:name w:val="כות_ללא מספור"/>
    <w:basedOn w:val="a0"/>
    <w:pPr>
      <w:spacing w:before="240" w:line="360" w:lineRule="auto"/>
    </w:pPr>
    <w:rPr>
      <w:b/>
      <w:bCs/>
      <w:sz w:val="28"/>
      <w:szCs w:val="28"/>
    </w:rPr>
  </w:style>
  <w:style w:type="paragraph" w:customStyle="1" w:styleId="14">
    <w:name w:val="כות1"/>
    <w:basedOn w:val="a1"/>
  </w:style>
  <w:style w:type="paragraph" w:customStyle="1" w:styleId="1">
    <w:name w:val="כות_1"/>
    <w:basedOn w:val="a0"/>
    <w:pPr>
      <w:numPr>
        <w:numId w:val="1"/>
      </w:numPr>
      <w:spacing w:before="240" w:line="360" w:lineRule="auto"/>
      <w:ind w:left="364" w:right="0"/>
    </w:pPr>
    <w:rPr>
      <w:b/>
      <w:bCs/>
      <w:sz w:val="28"/>
      <w:szCs w:val="28"/>
    </w:rPr>
  </w:style>
  <w:style w:type="paragraph" w:customStyle="1" w:styleId="11">
    <w:name w:val="כות_1.1"/>
    <w:basedOn w:val="1"/>
    <w:pPr>
      <w:numPr>
        <w:ilvl w:val="1"/>
        <w:numId w:val="2"/>
      </w:numPr>
      <w:ind w:left="350" w:right="0"/>
    </w:pPr>
  </w:style>
  <w:style w:type="paragraph" w:customStyle="1" w:styleId="111">
    <w:name w:val="כות_1.1.1"/>
    <w:basedOn w:val="11"/>
    <w:pPr>
      <w:numPr>
        <w:ilvl w:val="2"/>
        <w:numId w:val="3"/>
      </w:numPr>
      <w:ind w:left="357"/>
    </w:pPr>
  </w:style>
  <w:style w:type="paragraph" w:customStyle="1" w:styleId="a">
    <w:name w:val="פסקה ממוספרת"/>
    <w:basedOn w:val="a0"/>
    <w:pPr>
      <w:numPr>
        <w:numId w:val="4"/>
      </w:numPr>
      <w:tabs>
        <w:tab w:val="clear" w:pos="720"/>
        <w:tab w:val="left" w:pos="14"/>
      </w:tabs>
      <w:ind w:left="0" w:right="0" w:hanging="291"/>
    </w:pPr>
    <w:rPr>
      <w:lang w:eastAsia="en-US"/>
    </w:rPr>
  </w:style>
  <w:style w:type="paragraph" w:customStyle="1" w:styleId="aff">
    <w:name w:val="תוכן_עניינים"/>
    <w:basedOn w:val="a0"/>
    <w:pPr>
      <w:spacing w:before="0" w:after="240"/>
      <w:ind w:left="-11"/>
      <w:jc w:val="center"/>
    </w:pPr>
    <w:rPr>
      <w:b/>
      <w:bCs/>
      <w:sz w:val="28"/>
      <w:szCs w:val="28"/>
      <w:u w:val="single"/>
      <w:lang w:eastAsia="en-US"/>
    </w:rPr>
  </w:style>
  <w:style w:type="paragraph" w:customStyle="1" w:styleId="aff0">
    <w:name w:val="סוג_מסמך"/>
    <w:basedOn w:val="a0"/>
    <w:pPr>
      <w:jc w:val="center"/>
    </w:pPr>
    <w:rPr>
      <w:b/>
      <w:bCs/>
      <w:sz w:val="32"/>
      <w:szCs w:val="32"/>
    </w:rPr>
  </w:style>
  <w:style w:type="paragraph" w:customStyle="1" w:styleId="aff1">
    <w:name w:val="יעד מסמך"/>
    <w:basedOn w:val="a0"/>
    <w:pPr>
      <w:jc w:val="center"/>
    </w:pPr>
    <w:rPr>
      <w:b/>
      <w:bCs/>
      <w:sz w:val="32"/>
      <w:szCs w:val="32"/>
    </w:rPr>
  </w:style>
  <w:style w:type="paragraph" w:customStyle="1" w:styleId="aff2">
    <w:name w:val="תאריך_עברי_פוטר"/>
    <w:basedOn w:val="afd"/>
    <w:pPr>
      <w:ind w:left="0"/>
      <w:jc w:val="right"/>
    </w:pPr>
  </w:style>
  <w:style w:type="paragraph" w:customStyle="1" w:styleId="aff3">
    <w:name w:val="תאריך עברי_שער"/>
    <w:basedOn w:val="af2"/>
    <w:pPr>
      <w:jc w:val="center"/>
    </w:pPr>
    <w:rPr>
      <w:b w:val="0"/>
      <w:bCs w:val="0"/>
      <w:sz w:val="24"/>
      <w:szCs w:val="24"/>
    </w:rPr>
  </w:style>
  <w:style w:type="paragraph" w:customStyle="1" w:styleId="aff4">
    <w:name w:val="תאריך_לועזי_שער"/>
    <w:basedOn w:val="a0"/>
    <w:pPr>
      <w:framePr w:hSpace="180" w:wrap="notBeside" w:vAnchor="text" w:hAnchor="margin" w:xAlign="right" w:y="266"/>
      <w:jc w:val="center"/>
    </w:pPr>
    <w:rPr>
      <w:lang w:eastAsia="en-US"/>
    </w:rPr>
  </w:style>
  <w:style w:type="paragraph" w:customStyle="1" w:styleId="aff5">
    <w:name w:val="כותרת גרף"/>
    <w:basedOn w:val="a0"/>
    <w:pPr>
      <w:spacing w:before="0" w:after="0" w:line="240" w:lineRule="auto"/>
      <w:ind w:right="210"/>
    </w:pPr>
    <w:rPr>
      <w:rFonts w:ascii="Arial" w:hAnsi="Arial" w:cs="Arial"/>
      <w:spacing w:val="10"/>
      <w:sz w:val="22"/>
      <w:szCs w:val="22"/>
    </w:rPr>
  </w:style>
  <w:style w:type="paragraph" w:customStyle="1" w:styleId="aff6">
    <w:name w:val="כותרת גרף ירוקה"/>
    <w:basedOn w:val="a0"/>
    <w:pPr>
      <w:spacing w:before="60" w:after="60" w:line="240" w:lineRule="auto"/>
      <w:ind w:right="210"/>
    </w:pPr>
    <w:rPr>
      <w:rFonts w:ascii="Arial" w:hAnsi="Arial" w:cs="Arial"/>
      <w:b/>
      <w:bCs/>
      <w:color w:val="008000"/>
      <w:spacing w:val="10"/>
      <w:sz w:val="22"/>
      <w:szCs w:val="22"/>
    </w:rPr>
  </w:style>
  <w:style w:type="paragraph" w:customStyle="1" w:styleId="aff7">
    <w:name w:val="שם_מסמך"/>
    <w:basedOn w:val="a0"/>
    <w:pPr>
      <w:jc w:val="center"/>
    </w:pPr>
    <w:rPr>
      <w:b/>
      <w:bCs/>
      <w:sz w:val="40"/>
      <w:szCs w:val="40"/>
    </w:rPr>
  </w:style>
  <w:style w:type="paragraph" w:customStyle="1" w:styleId="aff8">
    <w:name w:val="יעוד_מסמך"/>
    <w:basedOn w:val="a2"/>
    <w:pPr>
      <w:ind w:left="-14"/>
      <w:jc w:val="center"/>
    </w:pPr>
    <w:rPr>
      <w:b/>
      <w:bCs/>
      <w:sz w:val="32"/>
      <w:szCs w:val="32"/>
    </w:rPr>
  </w:style>
  <w:style w:type="paragraph" w:customStyle="1" w:styleId="aff9">
    <w:name w:val="כתיבה_שער"/>
    <w:basedOn w:val="af0"/>
    <w:rPr>
      <w:b/>
      <w:bCs/>
      <w:sz w:val="28"/>
      <w:szCs w:val="28"/>
    </w:rPr>
  </w:style>
  <w:style w:type="paragraph" w:customStyle="1" w:styleId="affa">
    <w:name w:val="אישור_שער"/>
    <w:basedOn w:val="af1"/>
    <w:pPr>
      <w:spacing w:before="80"/>
    </w:pPr>
  </w:style>
  <w:style w:type="paragraph" w:customStyle="1" w:styleId="affb">
    <w:name w:val="סימוכין_שער"/>
    <w:basedOn w:val="aff4"/>
    <w:pPr>
      <w:framePr w:wrap="notBeside"/>
      <w:spacing w:before="0" w:after="0" w:line="240" w:lineRule="auto"/>
      <w:jc w:val="left"/>
    </w:pPr>
    <w:rPr>
      <w:sz w:val="16"/>
      <w:szCs w:val="16"/>
    </w:rPr>
  </w:style>
  <w:style w:type="paragraph" w:customStyle="1" w:styleId="affc">
    <w:name w:val="תאריך_לועזי_פוטר"/>
    <w:basedOn w:val="afd"/>
    <w:pPr>
      <w:framePr w:hSpace="180" w:wrap="around" w:vAnchor="text" w:hAnchor="margin" w:xAlign="right" w:y="1"/>
      <w:ind w:left="0"/>
      <w:suppressOverlap/>
      <w:jc w:val="left"/>
    </w:pPr>
  </w:style>
  <w:style w:type="paragraph" w:styleId="affd">
    <w:name w:val="Body Text"/>
    <w:basedOn w:val="a0"/>
    <w:rPr>
      <w:b/>
      <w:bCs/>
      <w:spacing w:val="-4"/>
      <w:szCs w:val="20"/>
    </w:rPr>
  </w:style>
  <w:style w:type="paragraph" w:styleId="affe">
    <w:name w:val="Balloon Text"/>
    <w:basedOn w:val="a0"/>
    <w:link w:val="afff"/>
    <w:rsid w:val="00163BD7"/>
    <w:pPr>
      <w:spacing w:before="0" w:after="0" w:line="240" w:lineRule="auto"/>
    </w:pPr>
    <w:rPr>
      <w:rFonts w:ascii="Tahoma" w:hAnsi="Tahoma" w:cs="Times New Roman"/>
      <w:sz w:val="16"/>
      <w:szCs w:val="16"/>
      <w:lang w:val="x-none"/>
    </w:rPr>
  </w:style>
  <w:style w:type="character" w:customStyle="1" w:styleId="afff">
    <w:name w:val="טקסט בלונים תו"/>
    <w:link w:val="affe"/>
    <w:rsid w:val="00163BD7"/>
    <w:rPr>
      <w:rFonts w:ascii="Tahoma" w:hAnsi="Tahoma" w:cs="Tahoma"/>
      <w:sz w:val="16"/>
      <w:szCs w:val="16"/>
      <w:lang w:eastAsia="he-IL"/>
    </w:rPr>
  </w:style>
  <w:style w:type="character" w:styleId="afff0">
    <w:name w:val="annotation reference"/>
    <w:rsid w:val="000A3351"/>
    <w:rPr>
      <w:sz w:val="16"/>
      <w:szCs w:val="16"/>
    </w:rPr>
  </w:style>
  <w:style w:type="paragraph" w:styleId="afff1">
    <w:name w:val="annotation text"/>
    <w:basedOn w:val="a0"/>
    <w:link w:val="afff2"/>
    <w:rsid w:val="000A3351"/>
    <w:rPr>
      <w:rFonts w:cs="Times New Roman"/>
      <w:sz w:val="20"/>
      <w:szCs w:val="20"/>
      <w:lang w:val="x-none"/>
    </w:rPr>
  </w:style>
  <w:style w:type="character" w:customStyle="1" w:styleId="afff2">
    <w:name w:val="טקסט הערה תו"/>
    <w:link w:val="afff1"/>
    <w:rsid w:val="000A3351"/>
    <w:rPr>
      <w:rFonts w:cs="David"/>
      <w:lang w:eastAsia="he-IL"/>
    </w:rPr>
  </w:style>
  <w:style w:type="paragraph" w:styleId="afff3">
    <w:name w:val="annotation subject"/>
    <w:basedOn w:val="afff1"/>
    <w:next w:val="afff1"/>
    <w:link w:val="afff4"/>
    <w:rsid w:val="000A3351"/>
    <w:rPr>
      <w:b/>
      <w:bCs/>
    </w:rPr>
  </w:style>
  <w:style w:type="character" w:customStyle="1" w:styleId="afff4">
    <w:name w:val="נושא הערה תו"/>
    <w:link w:val="afff3"/>
    <w:rsid w:val="000A3351"/>
    <w:rPr>
      <w:rFonts w:cs="David"/>
      <w:b/>
      <w:bCs/>
      <w:lang w:eastAsia="he-IL"/>
    </w:rPr>
  </w:style>
  <w:style w:type="table" w:styleId="afff5">
    <w:name w:val="Table Grid"/>
    <w:basedOn w:val="a4"/>
    <w:uiPriority w:val="59"/>
    <w:rsid w:val="00D074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טקסט הערת שוליים תו"/>
    <w:link w:val="a9"/>
    <w:rsid w:val="00931537"/>
    <w:rPr>
      <w:rFonts w:cs="David"/>
      <w:lang w:eastAsia="he-IL"/>
    </w:rPr>
  </w:style>
  <w:style w:type="paragraph" w:styleId="afff6">
    <w:name w:val="List Paragraph"/>
    <w:basedOn w:val="a0"/>
    <w:uiPriority w:val="34"/>
    <w:qFormat/>
    <w:rsid w:val="000767A6"/>
    <w:pPr>
      <w:spacing w:before="0" w:after="0" w:line="240" w:lineRule="auto"/>
      <w:ind w:left="720"/>
      <w:jc w:val="left"/>
    </w:pPr>
    <w:rPr>
      <w:rFonts w:ascii="Calibri" w:eastAsia="Calibri" w:hAnsi="Calibri" w:cs="Calibri"/>
      <w:sz w:val="22"/>
      <w:szCs w:val="22"/>
      <w:lang w:eastAsia="en-US"/>
    </w:rPr>
  </w:style>
  <w:style w:type="paragraph" w:styleId="afff7">
    <w:name w:val="Revision"/>
    <w:hidden/>
    <w:uiPriority w:val="99"/>
    <w:semiHidden/>
    <w:rsid w:val="007D2D38"/>
    <w:rPr>
      <w:rFonts w:cs="David"/>
      <w:sz w:val="24"/>
      <w:szCs w:val="24"/>
      <w:lang w:eastAsia="he-IL"/>
    </w:rPr>
  </w:style>
  <w:style w:type="character" w:customStyle="1" w:styleId="apple-converted-space">
    <w:name w:val="apple-converted-space"/>
    <w:rsid w:val="000B1CF1"/>
  </w:style>
  <w:style w:type="paragraph" w:styleId="NormalWeb">
    <w:name w:val="Normal (Web)"/>
    <w:basedOn w:val="a0"/>
    <w:uiPriority w:val="99"/>
    <w:unhideWhenUsed/>
    <w:rsid w:val="00A91ACA"/>
    <w:pPr>
      <w:bidi w:val="0"/>
      <w:spacing w:before="0" w:after="0" w:line="240" w:lineRule="auto"/>
      <w:jc w:val="left"/>
    </w:pPr>
    <w:rPr>
      <w:rFonts w:cs="Times New Roman"/>
      <w:lang w:eastAsia="en-US"/>
    </w:rPr>
  </w:style>
  <w:style w:type="character" w:customStyle="1" w:styleId="a7">
    <w:name w:val="פסקה רג תו"/>
    <w:link w:val="a2"/>
    <w:locked/>
    <w:rsid w:val="00A91ACA"/>
    <w:rPr>
      <w:rFonts w:cs="David"/>
      <w:sz w:val="24"/>
      <w:szCs w:val="24"/>
    </w:rPr>
  </w:style>
  <w:style w:type="paragraph" w:styleId="afff8">
    <w:name w:val="TOC Heading"/>
    <w:basedOn w:val="10"/>
    <w:next w:val="a0"/>
    <w:uiPriority w:val="39"/>
    <w:unhideWhenUsed/>
    <w:qFormat/>
    <w:rsid w:val="00E66E88"/>
    <w:pPr>
      <w:keepNext/>
      <w:keepLines/>
      <w:numPr>
        <w:numId w:val="0"/>
      </w:numPr>
      <w:bidi w:val="0"/>
      <w:spacing w:before="480" w:after="0" w:line="276" w:lineRule="auto"/>
      <w:ind w:right="0"/>
      <w:jc w:val="left"/>
      <w:outlineLvl w:val="9"/>
    </w:pPr>
    <w:rPr>
      <w:rFonts w:asciiTheme="majorHAnsi" w:eastAsiaTheme="majorEastAsia" w:hAnsiTheme="majorHAnsi" w:cstheme="majorBidi"/>
      <w:color w:val="365F91" w:themeColor="accent1" w:themeShade="BF"/>
      <w:sz w:val="28"/>
      <w:szCs w:val="28"/>
      <w:lang w:eastAsia="ja-JP" w:bidi="ar-SA"/>
    </w:rPr>
  </w:style>
  <w:style w:type="character" w:customStyle="1" w:styleId="40">
    <w:name w:val="כותרת 4 תו"/>
    <w:basedOn w:val="a3"/>
    <w:link w:val="4"/>
    <w:rsid w:val="00686F6A"/>
    <w:rPr>
      <w:rFonts w:cs="David"/>
      <w:b/>
      <w:bCs/>
      <w:sz w:val="28"/>
      <w:szCs w:val="28"/>
      <w:lang w:eastAsia="he-IL"/>
    </w:rPr>
  </w:style>
  <w:style w:type="character" w:customStyle="1" w:styleId="12">
    <w:name w:val="כותרת 1 תו"/>
    <w:basedOn w:val="a3"/>
    <w:link w:val="10"/>
    <w:rsid w:val="00E6672F"/>
    <w:rPr>
      <w:rFonts w:cs="David"/>
      <w:b/>
      <w:bCs/>
      <w:sz w:val="32"/>
      <w:szCs w:val="32"/>
      <w:lang w:eastAsia="he-IL"/>
    </w:rPr>
  </w:style>
  <w:style w:type="table" w:styleId="afff9">
    <w:name w:val="Table Elegant"/>
    <w:basedOn w:val="a4"/>
    <w:rsid w:val="00E733E0"/>
    <w:pPr>
      <w:bidi/>
      <w:spacing w:before="120" w:after="120" w:line="336"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fffa">
    <w:name w:val="Document Map"/>
    <w:basedOn w:val="a0"/>
    <w:link w:val="afffb"/>
    <w:rsid w:val="008724F0"/>
    <w:pPr>
      <w:spacing w:before="0" w:after="0" w:line="240" w:lineRule="auto"/>
    </w:pPr>
    <w:rPr>
      <w:rFonts w:ascii="Tahoma" w:hAnsi="Tahoma" w:cs="Tahoma"/>
      <w:sz w:val="16"/>
      <w:szCs w:val="16"/>
    </w:rPr>
  </w:style>
  <w:style w:type="character" w:customStyle="1" w:styleId="afffb">
    <w:name w:val="מפת מסמך תו"/>
    <w:basedOn w:val="a3"/>
    <w:link w:val="afffa"/>
    <w:rsid w:val="008724F0"/>
    <w:rPr>
      <w:rFonts w:ascii="Tahoma" w:hAnsi="Tahoma" w:cs="Tahoma"/>
      <w:sz w:val="16"/>
      <w:szCs w:val="16"/>
      <w:lang w:eastAsia="he-IL"/>
    </w:rPr>
  </w:style>
  <w:style w:type="character" w:customStyle="1" w:styleId="20">
    <w:name w:val="כותרת 2 תו"/>
    <w:basedOn w:val="a3"/>
    <w:link w:val="2"/>
    <w:rsid w:val="009841C5"/>
    <w:rPr>
      <w:rFonts w:cs="David"/>
      <w:b/>
      <w:bCs/>
      <w:sz w:val="28"/>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436544">
      <w:bodyDiv w:val="1"/>
      <w:marLeft w:val="0"/>
      <w:marRight w:val="0"/>
      <w:marTop w:val="0"/>
      <w:marBottom w:val="0"/>
      <w:divBdr>
        <w:top w:val="none" w:sz="0" w:space="0" w:color="auto"/>
        <w:left w:val="none" w:sz="0" w:space="0" w:color="auto"/>
        <w:bottom w:val="none" w:sz="0" w:space="0" w:color="auto"/>
        <w:right w:val="none" w:sz="0" w:space="0" w:color="auto"/>
      </w:divBdr>
    </w:div>
    <w:div w:id="356581647">
      <w:bodyDiv w:val="1"/>
      <w:marLeft w:val="0"/>
      <w:marRight w:val="0"/>
      <w:marTop w:val="0"/>
      <w:marBottom w:val="0"/>
      <w:divBdr>
        <w:top w:val="none" w:sz="0" w:space="0" w:color="auto"/>
        <w:left w:val="none" w:sz="0" w:space="0" w:color="auto"/>
        <w:bottom w:val="none" w:sz="0" w:space="0" w:color="auto"/>
        <w:right w:val="none" w:sz="0" w:space="0" w:color="auto"/>
      </w:divBdr>
    </w:div>
    <w:div w:id="812063112">
      <w:bodyDiv w:val="1"/>
      <w:marLeft w:val="0"/>
      <w:marRight w:val="0"/>
      <w:marTop w:val="0"/>
      <w:marBottom w:val="0"/>
      <w:divBdr>
        <w:top w:val="none" w:sz="0" w:space="0" w:color="auto"/>
        <w:left w:val="none" w:sz="0" w:space="0" w:color="auto"/>
        <w:bottom w:val="none" w:sz="0" w:space="0" w:color="auto"/>
        <w:right w:val="none" w:sz="0" w:space="0" w:color="auto"/>
      </w:divBdr>
    </w:div>
    <w:div w:id="818309057">
      <w:bodyDiv w:val="1"/>
      <w:marLeft w:val="0"/>
      <w:marRight w:val="0"/>
      <w:marTop w:val="0"/>
      <w:marBottom w:val="0"/>
      <w:divBdr>
        <w:top w:val="none" w:sz="0" w:space="0" w:color="auto"/>
        <w:left w:val="none" w:sz="0" w:space="0" w:color="auto"/>
        <w:bottom w:val="none" w:sz="0" w:space="0" w:color="auto"/>
        <w:right w:val="none" w:sz="0" w:space="0" w:color="auto"/>
      </w:divBdr>
      <w:divsChild>
        <w:div w:id="1390766392">
          <w:marLeft w:val="0"/>
          <w:marRight w:val="0"/>
          <w:marTop w:val="0"/>
          <w:marBottom w:val="0"/>
          <w:divBdr>
            <w:top w:val="single" w:sz="2" w:space="0" w:color="FF0000"/>
            <w:left w:val="single" w:sz="2" w:space="0" w:color="FF0000"/>
            <w:bottom w:val="single" w:sz="2" w:space="0" w:color="FF0000"/>
            <w:right w:val="single" w:sz="2" w:space="0" w:color="FF0000"/>
          </w:divBdr>
        </w:div>
      </w:divsChild>
    </w:div>
    <w:div w:id="852189317">
      <w:bodyDiv w:val="1"/>
      <w:marLeft w:val="0"/>
      <w:marRight w:val="0"/>
      <w:marTop w:val="0"/>
      <w:marBottom w:val="0"/>
      <w:divBdr>
        <w:top w:val="none" w:sz="0" w:space="0" w:color="auto"/>
        <w:left w:val="none" w:sz="0" w:space="0" w:color="auto"/>
        <w:bottom w:val="none" w:sz="0" w:space="0" w:color="auto"/>
        <w:right w:val="none" w:sz="0" w:space="0" w:color="auto"/>
      </w:divBdr>
      <w:divsChild>
        <w:div w:id="2036534708">
          <w:marLeft w:val="0"/>
          <w:marRight w:val="0"/>
          <w:marTop w:val="0"/>
          <w:marBottom w:val="0"/>
          <w:divBdr>
            <w:top w:val="none" w:sz="0" w:space="0" w:color="auto"/>
            <w:left w:val="none" w:sz="0" w:space="0" w:color="auto"/>
            <w:bottom w:val="none" w:sz="0" w:space="0" w:color="auto"/>
            <w:right w:val="none" w:sz="0" w:space="0" w:color="auto"/>
          </w:divBdr>
          <w:divsChild>
            <w:div w:id="371655006">
              <w:marLeft w:val="0"/>
              <w:marRight w:val="0"/>
              <w:marTop w:val="0"/>
              <w:marBottom w:val="0"/>
              <w:divBdr>
                <w:top w:val="none" w:sz="0" w:space="0" w:color="auto"/>
                <w:left w:val="none" w:sz="0" w:space="0" w:color="auto"/>
                <w:bottom w:val="none" w:sz="0" w:space="0" w:color="auto"/>
                <w:right w:val="none" w:sz="0" w:space="0" w:color="auto"/>
              </w:divBdr>
              <w:divsChild>
                <w:div w:id="1386754916">
                  <w:marLeft w:val="0"/>
                  <w:marRight w:val="0"/>
                  <w:marTop w:val="0"/>
                  <w:marBottom w:val="0"/>
                  <w:divBdr>
                    <w:top w:val="none" w:sz="0" w:space="0" w:color="auto"/>
                    <w:left w:val="none" w:sz="0" w:space="0" w:color="auto"/>
                    <w:bottom w:val="none" w:sz="0" w:space="0" w:color="auto"/>
                    <w:right w:val="none" w:sz="0" w:space="0" w:color="auto"/>
                  </w:divBdr>
                  <w:divsChild>
                    <w:div w:id="1063135624">
                      <w:marLeft w:val="0"/>
                      <w:marRight w:val="0"/>
                      <w:marTop w:val="0"/>
                      <w:marBottom w:val="0"/>
                      <w:divBdr>
                        <w:top w:val="none" w:sz="0" w:space="0" w:color="auto"/>
                        <w:left w:val="none" w:sz="0" w:space="0" w:color="auto"/>
                        <w:bottom w:val="none" w:sz="0" w:space="0" w:color="auto"/>
                        <w:right w:val="none" w:sz="0" w:space="0" w:color="auto"/>
                      </w:divBdr>
                      <w:divsChild>
                        <w:div w:id="282267824">
                          <w:marLeft w:val="0"/>
                          <w:marRight w:val="0"/>
                          <w:marTop w:val="0"/>
                          <w:marBottom w:val="0"/>
                          <w:divBdr>
                            <w:top w:val="none" w:sz="0" w:space="0" w:color="auto"/>
                            <w:left w:val="none" w:sz="0" w:space="0" w:color="auto"/>
                            <w:bottom w:val="none" w:sz="0" w:space="0" w:color="auto"/>
                            <w:right w:val="none" w:sz="0" w:space="0" w:color="auto"/>
                          </w:divBdr>
                          <w:divsChild>
                            <w:div w:id="315886423">
                              <w:marLeft w:val="0"/>
                              <w:marRight w:val="0"/>
                              <w:marTop w:val="0"/>
                              <w:marBottom w:val="0"/>
                              <w:divBdr>
                                <w:top w:val="none" w:sz="0" w:space="0" w:color="auto"/>
                                <w:left w:val="none" w:sz="0" w:space="0" w:color="auto"/>
                                <w:bottom w:val="none" w:sz="0" w:space="0" w:color="auto"/>
                                <w:right w:val="none" w:sz="0" w:space="0" w:color="auto"/>
                              </w:divBdr>
                              <w:divsChild>
                                <w:div w:id="1938323959">
                                  <w:marLeft w:val="0"/>
                                  <w:marRight w:val="0"/>
                                  <w:marTop w:val="0"/>
                                  <w:marBottom w:val="0"/>
                                  <w:divBdr>
                                    <w:top w:val="none" w:sz="0" w:space="0" w:color="auto"/>
                                    <w:left w:val="none" w:sz="0" w:space="0" w:color="auto"/>
                                    <w:bottom w:val="none" w:sz="0" w:space="0" w:color="auto"/>
                                    <w:right w:val="none" w:sz="0" w:space="0" w:color="auto"/>
                                  </w:divBdr>
                                  <w:divsChild>
                                    <w:div w:id="1293635119">
                                      <w:marLeft w:val="0"/>
                                      <w:marRight w:val="0"/>
                                      <w:marTop w:val="0"/>
                                      <w:marBottom w:val="0"/>
                                      <w:divBdr>
                                        <w:top w:val="none" w:sz="0" w:space="0" w:color="auto"/>
                                        <w:left w:val="none" w:sz="0" w:space="0" w:color="auto"/>
                                        <w:bottom w:val="none" w:sz="0" w:space="0" w:color="auto"/>
                                        <w:right w:val="none" w:sz="0" w:space="0" w:color="auto"/>
                                      </w:divBdr>
                                      <w:divsChild>
                                        <w:div w:id="635259918">
                                          <w:marLeft w:val="0"/>
                                          <w:marRight w:val="0"/>
                                          <w:marTop w:val="0"/>
                                          <w:marBottom w:val="0"/>
                                          <w:divBdr>
                                            <w:top w:val="none" w:sz="0" w:space="0" w:color="auto"/>
                                            <w:left w:val="none" w:sz="0" w:space="0" w:color="auto"/>
                                            <w:bottom w:val="none" w:sz="0" w:space="0" w:color="auto"/>
                                            <w:right w:val="none" w:sz="0" w:space="0" w:color="auto"/>
                                          </w:divBdr>
                                          <w:divsChild>
                                            <w:div w:id="236289214">
                                              <w:marLeft w:val="0"/>
                                              <w:marRight w:val="0"/>
                                              <w:marTop w:val="0"/>
                                              <w:marBottom w:val="0"/>
                                              <w:divBdr>
                                                <w:top w:val="none" w:sz="0" w:space="0" w:color="auto"/>
                                                <w:left w:val="none" w:sz="0" w:space="0" w:color="auto"/>
                                                <w:bottom w:val="none" w:sz="0" w:space="0" w:color="auto"/>
                                                <w:right w:val="none" w:sz="0" w:space="0" w:color="auto"/>
                                              </w:divBdr>
                                              <w:divsChild>
                                                <w:div w:id="94168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83630175">
      <w:bodyDiv w:val="1"/>
      <w:marLeft w:val="0"/>
      <w:marRight w:val="0"/>
      <w:marTop w:val="0"/>
      <w:marBottom w:val="0"/>
      <w:divBdr>
        <w:top w:val="none" w:sz="0" w:space="0" w:color="auto"/>
        <w:left w:val="none" w:sz="0" w:space="0" w:color="auto"/>
        <w:bottom w:val="none" w:sz="0" w:space="0" w:color="auto"/>
        <w:right w:val="none" w:sz="0" w:space="0" w:color="auto"/>
      </w:divBdr>
    </w:div>
    <w:div w:id="1015041442">
      <w:bodyDiv w:val="1"/>
      <w:marLeft w:val="0"/>
      <w:marRight w:val="0"/>
      <w:marTop w:val="0"/>
      <w:marBottom w:val="0"/>
      <w:divBdr>
        <w:top w:val="none" w:sz="0" w:space="0" w:color="auto"/>
        <w:left w:val="none" w:sz="0" w:space="0" w:color="auto"/>
        <w:bottom w:val="none" w:sz="0" w:space="0" w:color="auto"/>
        <w:right w:val="none" w:sz="0" w:space="0" w:color="auto"/>
      </w:divBdr>
    </w:div>
    <w:div w:id="1036005916">
      <w:bodyDiv w:val="1"/>
      <w:marLeft w:val="0"/>
      <w:marRight w:val="0"/>
      <w:marTop w:val="0"/>
      <w:marBottom w:val="0"/>
      <w:divBdr>
        <w:top w:val="none" w:sz="0" w:space="0" w:color="auto"/>
        <w:left w:val="none" w:sz="0" w:space="0" w:color="auto"/>
        <w:bottom w:val="none" w:sz="0" w:space="0" w:color="auto"/>
        <w:right w:val="none" w:sz="0" w:space="0" w:color="auto"/>
      </w:divBdr>
    </w:div>
    <w:div w:id="1129009594">
      <w:bodyDiv w:val="1"/>
      <w:marLeft w:val="0"/>
      <w:marRight w:val="0"/>
      <w:marTop w:val="0"/>
      <w:marBottom w:val="0"/>
      <w:divBdr>
        <w:top w:val="none" w:sz="0" w:space="0" w:color="auto"/>
        <w:left w:val="none" w:sz="0" w:space="0" w:color="auto"/>
        <w:bottom w:val="none" w:sz="0" w:space="0" w:color="auto"/>
        <w:right w:val="none" w:sz="0" w:space="0" w:color="auto"/>
      </w:divBdr>
    </w:div>
    <w:div w:id="1311252134">
      <w:bodyDiv w:val="1"/>
      <w:marLeft w:val="0"/>
      <w:marRight w:val="0"/>
      <w:marTop w:val="0"/>
      <w:marBottom w:val="0"/>
      <w:divBdr>
        <w:top w:val="none" w:sz="0" w:space="0" w:color="auto"/>
        <w:left w:val="none" w:sz="0" w:space="0" w:color="auto"/>
        <w:bottom w:val="none" w:sz="0" w:space="0" w:color="auto"/>
        <w:right w:val="none" w:sz="0" w:space="0" w:color="auto"/>
      </w:divBdr>
    </w:div>
    <w:div w:id="1521117161">
      <w:bodyDiv w:val="1"/>
      <w:marLeft w:val="0"/>
      <w:marRight w:val="0"/>
      <w:marTop w:val="0"/>
      <w:marBottom w:val="0"/>
      <w:divBdr>
        <w:top w:val="none" w:sz="0" w:space="0" w:color="auto"/>
        <w:left w:val="none" w:sz="0" w:space="0" w:color="auto"/>
        <w:bottom w:val="none" w:sz="0" w:space="0" w:color="auto"/>
        <w:right w:val="none" w:sz="0" w:space="0" w:color="auto"/>
      </w:divBdr>
    </w:div>
    <w:div w:id="1695839599">
      <w:bodyDiv w:val="1"/>
      <w:marLeft w:val="0"/>
      <w:marRight w:val="0"/>
      <w:marTop w:val="0"/>
      <w:marBottom w:val="0"/>
      <w:divBdr>
        <w:top w:val="none" w:sz="0" w:space="0" w:color="auto"/>
        <w:left w:val="none" w:sz="0" w:space="0" w:color="auto"/>
        <w:bottom w:val="none" w:sz="0" w:space="0" w:color="auto"/>
        <w:right w:val="none" w:sz="0" w:space="0" w:color="auto"/>
      </w:divBdr>
    </w:div>
    <w:div w:id="1791390398">
      <w:bodyDiv w:val="1"/>
      <w:marLeft w:val="0"/>
      <w:marRight w:val="0"/>
      <w:marTop w:val="0"/>
      <w:marBottom w:val="0"/>
      <w:divBdr>
        <w:top w:val="none" w:sz="0" w:space="0" w:color="auto"/>
        <w:left w:val="none" w:sz="0" w:space="0" w:color="auto"/>
        <w:bottom w:val="none" w:sz="0" w:space="0" w:color="auto"/>
        <w:right w:val="none" w:sz="0" w:space="0" w:color="auto"/>
      </w:divBdr>
    </w:div>
    <w:div w:id="1924021624">
      <w:bodyDiv w:val="1"/>
      <w:marLeft w:val="0"/>
      <w:marRight w:val="0"/>
      <w:marTop w:val="0"/>
      <w:marBottom w:val="0"/>
      <w:divBdr>
        <w:top w:val="none" w:sz="0" w:space="0" w:color="auto"/>
        <w:left w:val="none" w:sz="0" w:space="0" w:color="auto"/>
        <w:bottom w:val="none" w:sz="0" w:space="0" w:color="auto"/>
        <w:right w:val="none" w:sz="0" w:space="0" w:color="auto"/>
      </w:divBdr>
    </w:div>
    <w:div w:id="1943565996">
      <w:bodyDiv w:val="1"/>
      <w:marLeft w:val="0"/>
      <w:marRight w:val="0"/>
      <w:marTop w:val="0"/>
      <w:marBottom w:val="0"/>
      <w:divBdr>
        <w:top w:val="none" w:sz="0" w:space="0" w:color="auto"/>
        <w:left w:val="none" w:sz="0" w:space="0" w:color="auto"/>
        <w:bottom w:val="none" w:sz="0" w:space="0" w:color="auto"/>
        <w:right w:val="none" w:sz="0" w:space="0" w:color="auto"/>
      </w:divBdr>
      <w:divsChild>
        <w:div w:id="2096434524">
          <w:marLeft w:val="0"/>
          <w:marRight w:val="0"/>
          <w:marTop w:val="0"/>
          <w:marBottom w:val="0"/>
          <w:divBdr>
            <w:top w:val="single" w:sz="2" w:space="0" w:color="FF0000"/>
            <w:left w:val="single" w:sz="2" w:space="0" w:color="FF0000"/>
            <w:bottom w:val="single" w:sz="2" w:space="0" w:color="FF0000"/>
            <w:right w:val="single" w:sz="2" w:space="0" w:color="FF0000"/>
          </w:divBdr>
        </w:div>
      </w:divsChild>
    </w:div>
    <w:div w:id="2123528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ogle.com/url?sa=t&amp;rct=j&amp;q=&amp;esrc=s&amp;source=web&amp;cd=1&amp;sqi=2&amp;ved=0CC8QFjAA&amp;url=http%3A%2F%2Fwww.antidrugs.gov.il%2Fdownload%2Ffiles%2F%25D7%2594%25D7%25A4%25D7%2599%25D7%25A7%25D7%2595%25D7%2597_%25D7%25A2%25D7%259C_%25D7%259E%25D7%2595%25D7%25A1%25D7%2593%25D7%2595%25D7%25AA_%25D7%259C%25D7%2598%25D7%2599%25D7%25A4%25D7%2595%25D7%259C_%25D7%2591%25D7%259E%25D7%25A9%25D7%25AA%25D7%259E%25D7%25A9%25D7%2599%25D7%259D_%25D7%2591%25D7%25A1%25D7%259E%25D7%2599%25D7%259D-_%25D7%2597%25D7%2595%25D7%25A7-1993_1072.doc&amp;ei=YlplUenvC8rpswbMloHYBw&amp;usg=AFQjCNHM1FtuD35OrrAcBXxGjbWoMBsDlA&amp;sig2=2-uxq8IbZRpvStWSAvgfcA&amp;bvm=bv.44990110,d.bGE" TargetMode="External"/><Relationship Id="rId117" Type="http://schemas.openxmlformats.org/officeDocument/2006/relationships/hyperlink" Target="http://www.unodc.org/unodc/en/illicit-drugs/definitions/index.html" TargetMode="External"/><Relationship Id="rId21" Type="http://schemas.openxmlformats.org/officeDocument/2006/relationships/hyperlink" Target="http://www.nevo.co.il/Law_word/law14/law-2393.pdf" TargetMode="External"/><Relationship Id="rId42" Type="http://schemas.openxmlformats.org/officeDocument/2006/relationships/hyperlink" Target="http://www.pmo.gov.il/Secretary/GovDecisions/2009/Pages/des44.aspx" TargetMode="External"/><Relationship Id="rId47" Type="http://schemas.openxmlformats.org/officeDocument/2006/relationships/hyperlink" Target="http://www.pmo.gov.il/Secretary/GovDecisions/2013/Pages/des698.aspx" TargetMode="External"/><Relationship Id="rId63" Type="http://schemas.openxmlformats.org/officeDocument/2006/relationships/hyperlink" Target="http://fs.knesset.gov.il/19/Committees/19_ptv_272544.doc" TargetMode="External"/><Relationship Id="rId68" Type="http://schemas.openxmlformats.org/officeDocument/2006/relationships/hyperlink" Target="http://fs.knesset.gov.il/19/Committees/19_ptv_281716.doc" TargetMode="External"/><Relationship Id="rId84" Type="http://schemas.openxmlformats.org/officeDocument/2006/relationships/hyperlink" Target="http://www.cbs.gov.il/publications15/1601/pdf/h_print.pdf" TargetMode="External"/><Relationship Id="rId89" Type="http://schemas.openxmlformats.org/officeDocument/2006/relationships/hyperlink" Target="http://www.antidrugs.gov.il/download/files/%D7%A0%D7%AA%D7%95%D7%A0%D7%99%20%D7%9E%D7%A4%D7%AA%D7%97%202013_1.pdf" TargetMode="External"/><Relationship Id="rId112" Type="http://schemas.openxmlformats.org/officeDocument/2006/relationships/hyperlink" Target="http://www.health.gov.il/Subjects/Med_Inst/drugs_abuse/Pages/default.aspx" TargetMode="External"/><Relationship Id="rId16" Type="http://schemas.openxmlformats.org/officeDocument/2006/relationships/hyperlink" Target="http://www.ncbi.nlm.nih.gov/pmc/articles/PMC1447049/" TargetMode="External"/><Relationship Id="rId107" Type="http://schemas.openxmlformats.org/officeDocument/2006/relationships/hyperlink" Target="http://www.antidrugs.org.il/pages/1834.aspx?keySearch=&#1505;&#1502;&#1497;%20&#1508;&#1497;&#1510;&#1493;&#1510;&#1497;&#1493;&#1514;" TargetMode="External"/><Relationship Id="rId11" Type="http://schemas.openxmlformats.org/officeDocument/2006/relationships/image" Target="media/image1.jpeg"/><Relationship Id="rId32" Type="http://schemas.openxmlformats.org/officeDocument/2006/relationships/hyperlink" Target="http://www.nevo.co.il/law_html/law01/P182_001.htm" TargetMode="External"/><Relationship Id="rId37" Type="http://schemas.openxmlformats.org/officeDocument/2006/relationships/hyperlink" Target="http://www.nevo.co.il/psika_html/elyon/14008540-k18.htm" TargetMode="External"/><Relationship Id="rId53" Type="http://schemas.openxmlformats.org/officeDocument/2006/relationships/hyperlink" Target="http://fs.knesset.gov.il/19/Committees/19_ptv_244471.doc" TargetMode="External"/><Relationship Id="rId58" Type="http://schemas.openxmlformats.org/officeDocument/2006/relationships/hyperlink" Target="http://fs.knesset.gov.il/19/Committees/19_ptv_266149.doc" TargetMode="External"/><Relationship Id="rId74" Type="http://schemas.openxmlformats.org/officeDocument/2006/relationships/hyperlink" Target="http://fs.knesset.gov.il/19/Committees/19_ptv_304247.doc" TargetMode="External"/><Relationship Id="rId79" Type="http://schemas.openxmlformats.org/officeDocument/2006/relationships/hyperlink" Target="http://www.knesset.gov.il/mmm/data/pdf/m02800.pdf" TargetMode="External"/><Relationship Id="rId102" Type="http://schemas.openxmlformats.org/officeDocument/2006/relationships/hyperlink" Target="http://apps.who.int/iris/bitstream/10665/112736/1/9789240692763_eng.pdf?ua=1" TargetMode="External"/><Relationship Id="rId123" Type="http://schemas.openxmlformats.org/officeDocument/2006/relationships/header" Target="header2.xml"/><Relationship Id="rId128" Type="http://schemas.openxmlformats.org/officeDocument/2006/relationships/fontTable" Target="fontTable.xml"/><Relationship Id="rId5" Type="http://schemas.openxmlformats.org/officeDocument/2006/relationships/numbering" Target="numbering.xml"/><Relationship Id="rId90" Type="http://schemas.openxmlformats.org/officeDocument/2006/relationships/hyperlink" Target="http://www.police.gov.il/Doc/TfasimDoc/shnaton2013v4.pdf" TargetMode="External"/><Relationship Id="rId95" Type="http://schemas.openxmlformats.org/officeDocument/2006/relationships/hyperlink" Target="https://www.google.co.il/url?sa=t&amp;rct=j&amp;q=&amp;esrc=s&amp;source=web&amp;cd=1&amp;ved=0CCAQFjAA&amp;url=http%3A%2F%2Fabush.health.gov.il%2Fdownload%2Fforms%2Fa3775_samim_81_010610.doc&amp;ei=mZ8XVd3eCJfXarz-gsgI&amp;usg=AFQjCNEd7qkR5zxHetV64GUQx45micA-vA&amp;sig2=a9gTmFRzzXwGYJXaXwQevg" TargetMode="External"/><Relationship Id="rId19" Type="http://schemas.openxmlformats.org/officeDocument/2006/relationships/hyperlink" Target="http://www.nevo.co.il/Law_word/law14/law-2335.pdf" TargetMode="External"/><Relationship Id="rId14" Type="http://schemas.openxmlformats.org/officeDocument/2006/relationships/hyperlink" Target="http://www.health.gov.il/PublicationsFiles/kidum_b_No_3.pdf" TargetMode="External"/><Relationship Id="rId22" Type="http://schemas.openxmlformats.org/officeDocument/2006/relationships/hyperlink" Target="http://www.nevo.co.il/Handlers/LawOpenDoc.ashx?id=73491" TargetMode="External"/><Relationship Id="rId27" Type="http://schemas.openxmlformats.org/officeDocument/2006/relationships/hyperlink" Target="https://www.google.co.il/url?sa=t&amp;rct=j&amp;q=&amp;esrc=s&amp;source=web&amp;cd=2&amp;ved=0CCUQFjAB&amp;url=http%3A%2F%2Fwww.knesset.gov.il%2Fprivatelaw%2Fdata%2F18%2F3%2F658_3_2.rtf&amp;ei=bP9rVaPBN83Q7AaRpICAAw&amp;usg=AFQjCNFTpdNxvoep0G3Fa_Pi7YPvILhGqg&amp;sig2=npPNnK-IgsABDNr0o86OVQ" TargetMode="External"/><Relationship Id="rId30" Type="http://schemas.openxmlformats.org/officeDocument/2006/relationships/hyperlink" Target="http://www.nevo.co.il/law_html/law01/p212m1_001.htm" TargetMode="External"/><Relationship Id="rId35" Type="http://schemas.openxmlformats.org/officeDocument/2006/relationships/hyperlink" Target="http://www.nevo.co.il/law_word/law06/TAK-7166.pdf" TargetMode="External"/><Relationship Id="rId43" Type="http://schemas.openxmlformats.org/officeDocument/2006/relationships/hyperlink" Target="http://www.pmo.gov.il/Secretary/GovDecisions/2012/Pages/des4611.aspx" TargetMode="External"/><Relationship Id="rId48" Type="http://schemas.openxmlformats.org/officeDocument/2006/relationships/hyperlink" Target="http://www.pmo.gov.il/Secretary/GovDecisions/2013/Pages/des698.aspx" TargetMode="External"/><Relationship Id="rId56" Type="http://schemas.openxmlformats.org/officeDocument/2006/relationships/hyperlink" Target="http://fs.knesset.gov.il/19/Committees/19_ptv_263938.doc" TargetMode="External"/><Relationship Id="rId64" Type="http://schemas.openxmlformats.org/officeDocument/2006/relationships/hyperlink" Target="http://fs.knesset.gov.il/19/Committees/19_ptv_275061.doc" TargetMode="External"/><Relationship Id="rId69" Type="http://schemas.openxmlformats.org/officeDocument/2006/relationships/hyperlink" Target="http://fs.knesset.gov.il/19/Committees/19_ptv_297400.doc" TargetMode="External"/><Relationship Id="rId77" Type="http://schemas.openxmlformats.org/officeDocument/2006/relationships/hyperlink" Target="http://www.knesset.gov.il/mmm/data/pdf/m03390.pdf" TargetMode="External"/><Relationship Id="rId100" Type="http://schemas.openxmlformats.org/officeDocument/2006/relationships/hyperlink" Target="http://www.unodc.org/pdf/convention_1961_en.pdf" TargetMode="External"/><Relationship Id="rId105" Type="http://schemas.openxmlformats.org/officeDocument/2006/relationships/hyperlink" Target="http://www.cwv.gov.il/About/Pages/VisionNGoal.aspx" TargetMode="External"/><Relationship Id="rId113" Type="http://schemas.openxmlformats.org/officeDocument/2006/relationships/hyperlink" Target="http://www.molsa.gov.il/Units/Wings/AgafNoar/ShirutTipulHitmakrut/Pages/ShirutTipulHitmakrut.aspx" TargetMode="External"/><Relationship Id="rId118" Type="http://schemas.openxmlformats.org/officeDocument/2006/relationships/hyperlink" Target="http://apps.who.int/gho/data/view.main.52160" TargetMode="External"/><Relationship Id="rId126"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s://www.knesset.gov.il/mmm/data/pdf/m03291.pdf" TargetMode="External"/><Relationship Id="rId72" Type="http://schemas.openxmlformats.org/officeDocument/2006/relationships/hyperlink" Target="http://fs.knesset.gov.il/19/Committees/19_ptv_299304.doc" TargetMode="External"/><Relationship Id="rId80" Type="http://schemas.openxmlformats.org/officeDocument/2006/relationships/hyperlink" Target="http://www.knesset.gov.il/mmm/data/pdf/m02881.pdf" TargetMode="External"/><Relationship Id="rId85" Type="http://schemas.openxmlformats.org/officeDocument/2006/relationships/hyperlink" Target="http://www.rsa.gov.il/meidamechkar/MechkarimSkarim/documents/alkohol2012.pdf" TargetMode="External"/><Relationship Id="rId93" Type="http://schemas.openxmlformats.org/officeDocument/2006/relationships/hyperlink" Target="http://www.health.gov.il/hozer/mk02_2013.pdf" TargetMode="External"/><Relationship Id="rId98" Type="http://schemas.openxmlformats.org/officeDocument/2006/relationships/hyperlink" Target="http://www.molsa.gov.il/CommunityInfo/ResearchAndEvaluation/Documents/&#1488;&#1493;&#1499;&#1500;&#1493;&#1505;&#1497;&#1497;&#1514;_&#1492;&#1502;&#1514;&#1502;&#1499;&#1512;&#1497;&#1501;_&#1500;&#1505;&#1502;&#1497;&#1501;_&#1488;&#1500;&#1499;&#1493;&#1492;&#1493;&#1500;_&#1493;&#1492;&#1497;&#1502;&#1493;&#1512;&#1497;&#1501;_-_4&#1488;%5b1%5d.pdf" TargetMode="External"/><Relationship Id="rId121" Type="http://schemas.openxmlformats.org/officeDocument/2006/relationships/hyperlink" Target="http://stats.oecd.org/wbos/fileview2.aspx?IDFile=17d36de2-b4ae-409a-9968-a27c7f2857e4" TargetMode="External"/><Relationship Id="rId3" Type="http://schemas.openxmlformats.org/officeDocument/2006/relationships/customXml" Target="../customXml/item3.xml"/><Relationship Id="rId12" Type="http://schemas.openxmlformats.org/officeDocument/2006/relationships/chart" Target="charts/chart1.xml"/><Relationship Id="rId17" Type="http://schemas.openxmlformats.org/officeDocument/2006/relationships/hyperlink" Target="file:///C:/Users/hok_elazar/AppData/Local/Microsoft/Windows/Temporary%20Internet%20Files/Content.Outlook/4MWRY32G/&#1492;&#1510;&#1506;&#1514;%20&#1495;&#1493;&#1511;%20&#1492;&#1502;&#1488;&#1489;&#1511;%20&#1489;&#1514;&#1493;&#1508;&#1506;&#1514;%20&#1492;&#1513;&#1497;&#1502;&#1493;&#1513;%20&#1489;&#1495;&#1493;&#1502;&#1512;&#1497;&#1501;%20&#1502;&#1505;&#1499;&#1504;&#1497;&#1501;,%20&#1492;&#1514;&#1513;&#1506;%22&#1490;-2013" TargetMode="External"/><Relationship Id="rId25" Type="http://schemas.openxmlformats.org/officeDocument/2006/relationships/hyperlink" Target="http://www.nevo.co.il/law_html/law01/073_002.htm" TargetMode="External"/><Relationship Id="rId33" Type="http://schemas.openxmlformats.org/officeDocument/2006/relationships/hyperlink" Target="https://www.google.com/url?sa=t&amp;rct=j&amp;q=&amp;esrc=s&amp;source=web&amp;cd=1&amp;cad=rja&amp;ved=0CC8QFjAA&amp;url=http%3A%2F%2Fwww.nevo.co.il%2FLaw_word%2Flaw01%2Fp211_002.doc&amp;ei=-FxlUav8Oufl4QSouYGYDw&amp;usg=AFQjCNGS0TtAwcsiU6qpmJ9wxJigAfz53Q&amp;sig2=ua2kydwPrSnZW1yduW9Neg&amp;bvm=bv.44990110,d.bGE" TargetMode="External"/><Relationship Id="rId38" Type="http://schemas.openxmlformats.org/officeDocument/2006/relationships/hyperlink" Target="http://www.pmo.gov.il/Secretary/GovDecisions/2013/Pages/dec1050.aspx" TargetMode="External"/><Relationship Id="rId46" Type="http://schemas.openxmlformats.org/officeDocument/2006/relationships/hyperlink" Target="http://www.pm.gov.il/PMO/vadot/alimot/des575.htm" TargetMode="External"/><Relationship Id="rId59" Type="http://schemas.openxmlformats.org/officeDocument/2006/relationships/hyperlink" Target="http://fs.knesset.gov.il/19/Committees/19_ptv_266614.doc" TargetMode="External"/><Relationship Id="rId67" Type="http://schemas.openxmlformats.org/officeDocument/2006/relationships/hyperlink" Target="http://fs.knesset.gov.il/19/Committees/19_ptv_280714.doc" TargetMode="External"/><Relationship Id="rId103" Type="http://schemas.openxmlformats.org/officeDocument/2006/relationships/hyperlink" Target="http://www.emcdda.europa.eu/publications/edr/trends-developments/2014" TargetMode="External"/><Relationship Id="rId108" Type="http://schemas.openxmlformats.org/officeDocument/2006/relationships/hyperlink" Target="http://www.health.gov.il/UnitsOffice/HD/MTI/Drugs/Pages/default.aspx" TargetMode="External"/><Relationship Id="rId116" Type="http://schemas.openxmlformats.org/officeDocument/2006/relationships/hyperlink" Target="http://www.molsa.gov.il/ProjectShmid/Ishuvim/Pages/Ishuvim_Page1.aspx" TargetMode="External"/><Relationship Id="rId124" Type="http://schemas.openxmlformats.org/officeDocument/2006/relationships/footer" Target="footer1.xml"/><Relationship Id="rId129" Type="http://schemas.openxmlformats.org/officeDocument/2006/relationships/theme" Target="theme/theme1.xml"/><Relationship Id="rId20" Type="http://schemas.openxmlformats.org/officeDocument/2006/relationships/hyperlink" Target="http://www.nevo.co.il/Handlers/LawOpenDoc.ashx?id=127622" TargetMode="External"/><Relationship Id="rId41" Type="http://schemas.openxmlformats.org/officeDocument/2006/relationships/hyperlink" Target="http://www.pmo.gov.il/Secretary/GovDecisions/2005/Pages/des3687.aspx" TargetMode="External"/><Relationship Id="rId54" Type="http://schemas.openxmlformats.org/officeDocument/2006/relationships/hyperlink" Target="http://fs.knesset.gov.il/19/Committees/19_ptv_261305.doc" TargetMode="External"/><Relationship Id="rId62" Type="http://schemas.openxmlformats.org/officeDocument/2006/relationships/hyperlink" Target="http://fs.knesset.gov.il/19/Committees/19_ptv_277610.doc" TargetMode="External"/><Relationship Id="rId70" Type="http://schemas.openxmlformats.org/officeDocument/2006/relationships/hyperlink" Target="http://fs.knesset.gov.il/19/Committees/19_ptv_297958.doc" TargetMode="External"/><Relationship Id="rId75" Type="http://schemas.openxmlformats.org/officeDocument/2006/relationships/hyperlink" Target="http://main.knesset.gov.il/Activity/Committees/Economics/Pages/CommitteeAgenda.aspx?tab=3&amp;AgendaDate=30%2f07%2f2013+09%3a00%3a00" TargetMode="External"/><Relationship Id="rId83" Type="http://schemas.openxmlformats.org/officeDocument/2006/relationships/hyperlink" Target="https://knesset.gov.il/mmm/data/pdf/m03306.pdf" TargetMode="External"/><Relationship Id="rId88" Type="http://schemas.openxmlformats.org/officeDocument/2006/relationships/hyperlink" Target="http://www.antidrugs.gov.il/download/files/%D7%99%D7%93%20%D7%A2%D7%9C%20%D7%94%D7%93%D7%95%D7%A4%D7%A7%20%D7%99%D7%95%D7%A1%D7%99.pdf" TargetMode="External"/><Relationship Id="rId91" Type="http://schemas.openxmlformats.org/officeDocument/2006/relationships/hyperlink" Target="http://www.police.gov.il/Doc/TfasimDoc/%D7%A9%D7%A0%D7%AA%D7%95%D7%9F%202014%20v2.pdf" TargetMode="External"/><Relationship Id="rId96" Type="http://schemas.openxmlformats.org/officeDocument/2006/relationships/hyperlink" Target="http://www.health.gov.il/hozer/DR_114.pdf" TargetMode="External"/><Relationship Id="rId111" Type="http://schemas.openxmlformats.org/officeDocument/2006/relationships/hyperlink" Target="http://www.old.health.gov.il/pages/default.asp?pageid=3859&amp;parentid=3648&amp;catid=660&amp;maincat=35"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igudbit.org.il/_Uploads/161alco1.pdf" TargetMode="External"/><Relationship Id="rId23" Type="http://schemas.openxmlformats.org/officeDocument/2006/relationships/hyperlink" Target="https://www.google.com/url?sa=t&amp;rct=j&amp;q=&amp;esrc=s&amp;source=web&amp;cd=2&amp;ved=0CDoQFjAB&amp;url=http%3A%2F%2Fwww.nevo.co.il%2Flaw_word%2Flaw01%2F073_042.doc&amp;ei=2lxlUcTIH-eN4gST2oCIBw&amp;usg=AFQjCNF5sDSOW5jhg5-tsOiMqBB2bt8ydg&amp;sig2=Ac2UZFF1FhBBylxJP72zPA&amp;bvm=bv.44990110,d.bGE" TargetMode="External"/><Relationship Id="rId28" Type="http://schemas.openxmlformats.org/officeDocument/2006/relationships/hyperlink" Target="http://www.nevo.co.il/law_html/law01/P170_007.htm" TargetMode="External"/><Relationship Id="rId36" Type="http://schemas.openxmlformats.org/officeDocument/2006/relationships/hyperlink" Target="http://www.nevo.co.il/law_word/law06/tak-7307.pdf" TargetMode="External"/><Relationship Id="rId49" Type="http://schemas.openxmlformats.org/officeDocument/2006/relationships/hyperlink" Target="http://www.pm.gov.il/PMO/Archive/Decisions/2009/11/des907.htm" TargetMode="External"/><Relationship Id="rId57" Type="http://schemas.openxmlformats.org/officeDocument/2006/relationships/hyperlink" Target="http://fs.knesset.gov.il/19/Committees/19_ptv_266148.doc" TargetMode="External"/><Relationship Id="rId106" Type="http://schemas.openxmlformats.org/officeDocument/2006/relationships/hyperlink" Target="http://www.cwv.gov.il/About/Pages/ListCities.aspx" TargetMode="External"/><Relationship Id="rId114" Type="http://schemas.openxmlformats.org/officeDocument/2006/relationships/hyperlink" Target="http://www.molsa.gov.il/SiteCollectionDocuments/MisradHarevacha/%D7%94%D7%AA%D7%95%D7%9B%D7%A0%D7%99%D7%AA%20%D7%94%D7%9C%D7%90%D7%95%D7%9E%D7%99%D7%AA%20%D7%9C%D7%99%D7%9C%D7%93%D7%99%D7%9D%20%D7%95%D7%A0%D7%95%D7%A2%D7%A8%20%D7%91%D7%A1%D7%99%D7%9B%D7%95%D7%9F/HagdaratSikun.pdf" TargetMode="External"/><Relationship Id="rId119" Type="http://schemas.openxmlformats.org/officeDocument/2006/relationships/hyperlink" Target="http://www.police.gov.il/MapSkifout.aspx?mid=67" TargetMode="External"/><Relationship Id="rId127" Type="http://schemas.openxmlformats.org/officeDocument/2006/relationships/footer" Target="footer3.xml"/><Relationship Id="rId10" Type="http://schemas.openxmlformats.org/officeDocument/2006/relationships/endnotes" Target="endnotes.xml"/><Relationship Id="rId31" Type="http://schemas.openxmlformats.org/officeDocument/2006/relationships/hyperlink" Target="https://www.google.com/url?sa=t&amp;rct=j&amp;q=&amp;esrc=s&amp;source=web&amp;cd=2&amp;cad=rja&amp;ved=0CDMQFjAB&amp;url=http%3A%2F%2Fwww.nevo.co.il%2FLaw_word%2FLaw01%2Fp170_001.doc&amp;ei=eFtlUeCoMcWM4gTj4oCgAQ&amp;usg=AFQjCNHeNZ0XIxFn2LMZ7WSkwYdGHwf-Sg&amp;sig2=95o_ahGYKaexXOvOWjNkbA&amp;bvm=bv.44990110,d.bGE" TargetMode="External"/><Relationship Id="rId44" Type="http://schemas.openxmlformats.org/officeDocument/2006/relationships/hyperlink" Target="http://www.pmo.gov.il/Secretary/GovDecisions/2012/Pages/des4686.aspx" TargetMode="External"/><Relationship Id="rId52" Type="http://schemas.openxmlformats.org/officeDocument/2006/relationships/hyperlink" Target="http://fs.knesset.gov.il/19/Committees/19_ptv_242173.doc" TargetMode="External"/><Relationship Id="rId60" Type="http://schemas.openxmlformats.org/officeDocument/2006/relationships/hyperlink" Target="http://fs.knesset.gov.il/19/Committees/19_ptv_267044.doc" TargetMode="External"/><Relationship Id="rId65" Type="http://schemas.openxmlformats.org/officeDocument/2006/relationships/hyperlink" Target="http://fs.knesset.gov.il/19/Committees/19_ptv_273538.doc" TargetMode="External"/><Relationship Id="rId73" Type="http://schemas.openxmlformats.org/officeDocument/2006/relationships/hyperlink" Target="http://fs.knesset.gov.il/19/Committees/19_ptv_303145.doc" TargetMode="External"/><Relationship Id="rId78" Type="http://schemas.openxmlformats.org/officeDocument/2006/relationships/hyperlink" Target="http://knesset.gov.il/mmm/data/pdf/m03041.pdf" TargetMode="External"/><Relationship Id="rId81" Type="http://schemas.openxmlformats.org/officeDocument/2006/relationships/hyperlink" Target="http://main.knesset.gov.il/Activity/Documents/RulesOfProcedure.pdf" TargetMode="External"/><Relationship Id="rId86" Type="http://schemas.openxmlformats.org/officeDocument/2006/relationships/hyperlink" Target="http://www.antidrugs.gov.il/download/files/%D7%A1%D7%A7%D7%A8%20HBSC%202011%20%D7%A1%D7%95%D7%A4%D7%99%20%D7%9E%D7%99%D7%A2%D7%9C_2.pdf" TargetMode="External"/><Relationship Id="rId94" Type="http://schemas.openxmlformats.org/officeDocument/2006/relationships/hyperlink" Target="https://forms.gov.il/globaldata/getsequence/getsequence.aspx?formType=CannabisReq%40moh.gov.il" TargetMode="External"/><Relationship Id="rId99" Type="http://schemas.openxmlformats.org/officeDocument/2006/relationships/hyperlink" Target="http://www.unodc.org/documents/wdr2014/World_Drug_Report_2014_web.pdf" TargetMode="External"/><Relationship Id="rId101" Type="http://schemas.openxmlformats.org/officeDocument/2006/relationships/hyperlink" Target="http://www.unodc.org/documents/wdr2014/Methodology_2014.pdf" TargetMode="External"/><Relationship Id="rId12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chart" Target="charts/chart2.xml"/><Relationship Id="rId18" Type="http://schemas.openxmlformats.org/officeDocument/2006/relationships/hyperlink" Target="https://www.google.co.il/url?sa=t&amp;rct=j&amp;q=&amp;esrc=s&amp;source=web&amp;cd=2&amp;ved=0CB8QFjAB&amp;url=http%3A%2F%2Fwww.nevo.co.il%2FLaw_word%2Flaw01%2F036_001.doc&amp;ei=0rIPVaKlN8PLaP-6geAM&amp;usg=AFQjCNHrNmURGWIUoN2nmQa-2KDjB3nqsw&amp;sig2=CnnddwlSrIUyxdgvRUIJ1Q" TargetMode="External"/><Relationship Id="rId39" Type="http://schemas.openxmlformats.org/officeDocument/2006/relationships/hyperlink" Target="http://www.pmo.gov.il/Secretary/GovDecisions/2008/Pages/des3070.aspx" TargetMode="External"/><Relationship Id="rId109" Type="http://schemas.openxmlformats.org/officeDocument/2006/relationships/hyperlink" Target="http://www.health.gov.il/UnitsOffice/HD/cannabis/Pages/default.aspx" TargetMode="External"/><Relationship Id="rId34" Type="http://schemas.openxmlformats.org/officeDocument/2006/relationships/hyperlink" Target="http://www.nevo.co.il/law_html/law01/P230_001.htm" TargetMode="External"/><Relationship Id="rId50" Type="http://schemas.openxmlformats.org/officeDocument/2006/relationships/hyperlink" Target="http://knesset.gov.il/mmm/data/pdf/m03168.pdf" TargetMode="External"/><Relationship Id="rId55" Type="http://schemas.openxmlformats.org/officeDocument/2006/relationships/hyperlink" Target="http://fs.knesset.gov.il/19/Committees/19_ptv_262608.doc" TargetMode="External"/><Relationship Id="rId76" Type="http://schemas.openxmlformats.org/officeDocument/2006/relationships/hyperlink" Target="http://main.knesset.gov.il/Activity/Committees/Economics/Pages/CommitteeAgenda.aspx?tab=3&amp;AgendaDate=09%2f07%2f2012+12%3a30%3a00" TargetMode="External"/><Relationship Id="rId97" Type="http://schemas.openxmlformats.org/officeDocument/2006/relationships/hyperlink" Target="http://www.molsa.gov.il/SiteCollectionDocuments/MisradHarevacha/shmidreport2006.pdf" TargetMode="External"/><Relationship Id="rId104" Type="http://schemas.openxmlformats.org/officeDocument/2006/relationships/hyperlink" Target="http://main.knesset.gov.il/Activity/committees/Drugs/Pages/CommitteeAreasOfConcern.aspx" TargetMode="External"/><Relationship Id="rId120" Type="http://schemas.openxmlformats.org/officeDocument/2006/relationships/hyperlink" Target="http://www.ag.mof.gov.il/AccountantGeneral/BudgetExecution/BudgetExecutionTopNav/BEHistoryDataHistory/BEHistoryData/default.htm" TargetMode="External"/><Relationship Id="rId125" Type="http://schemas.openxmlformats.org/officeDocument/2006/relationships/footer" Target="footer2.xml"/><Relationship Id="rId7" Type="http://schemas.openxmlformats.org/officeDocument/2006/relationships/settings" Target="settings.xml"/><Relationship Id="rId71" Type="http://schemas.openxmlformats.org/officeDocument/2006/relationships/hyperlink" Target="http://fs.knesset.gov.il/19/Committees/19_ptv_299294.doc" TargetMode="External"/><Relationship Id="rId92" Type="http://schemas.openxmlformats.org/officeDocument/2006/relationships/hyperlink" Target="http://ozar.mof.gov.il/hachnasot/doch11-12/docs/perek12.pdf" TargetMode="External"/><Relationship Id="rId2" Type="http://schemas.openxmlformats.org/officeDocument/2006/relationships/customXml" Target="../customXml/item2.xml"/><Relationship Id="rId29" Type="http://schemas.openxmlformats.org/officeDocument/2006/relationships/hyperlink" Target="http://www.nevo.co.il/Law_word/law14/law-2393.pdf" TargetMode="External"/><Relationship Id="rId24" Type="http://schemas.openxmlformats.org/officeDocument/2006/relationships/hyperlink" Target="http://www.nevo.co.il/law_html/law01/073_042.htm" TargetMode="External"/><Relationship Id="rId40" Type="http://schemas.openxmlformats.org/officeDocument/2006/relationships/hyperlink" Target="http://www.pmo.gov.il/Secretary/GovDecisions/2011/Pages/des3609.aspx" TargetMode="External"/><Relationship Id="rId45" Type="http://schemas.openxmlformats.org/officeDocument/2006/relationships/hyperlink" Target="http://www.pmo.gov.il/Secretary/GovDecisions/2006/Pages/des477.aspx" TargetMode="External"/><Relationship Id="rId66" Type="http://schemas.openxmlformats.org/officeDocument/2006/relationships/hyperlink" Target="http://www.knesset.gov.il/mmm/data/pdf/m03390.pdf" TargetMode="External"/><Relationship Id="rId87" Type="http://schemas.openxmlformats.org/officeDocument/2006/relationships/hyperlink" Target="http://www.antidrugs.gov.il/download/files/%D7%A1%D7%A7%D7%A8%20%D7%90%D7%A4%D7%99%D7%93%D7%9E%D7%99%D7%95%D7%9C%D7%95%D7%92%D7%99%207.pdf" TargetMode="External"/><Relationship Id="rId110" Type="http://schemas.openxmlformats.org/officeDocument/2006/relationships/hyperlink" Target="http://www.health.gov.il/UnitsOffice/HD/MHealth/mental/addictions/Pages/default.aspx" TargetMode="External"/><Relationship Id="rId115" Type="http://schemas.openxmlformats.org/officeDocument/2006/relationships/hyperlink" Target="http://www.molsa.gov.il/ProjectShmid/Pages/ProjectHome.aspx" TargetMode="External"/><Relationship Id="rId61" Type="http://schemas.openxmlformats.org/officeDocument/2006/relationships/hyperlink" Target="http://fs.knesset.gov.il/19/Committees/19_ptv_270819.doc" TargetMode="External"/><Relationship Id="rId82" Type="http://schemas.openxmlformats.org/officeDocument/2006/relationships/hyperlink" Target="http://www.knesset.gov.il/mmm/data/pdf/m03419.pdf"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117" Type="http://schemas.openxmlformats.org/officeDocument/2006/relationships/hyperlink" Target="http://fs.knesset.gov.il/19/Committees/19_ptv_244471.doc" TargetMode="External"/><Relationship Id="rId21" Type="http://schemas.openxmlformats.org/officeDocument/2006/relationships/hyperlink" Target="http://www.unodc.org/unodc/en/illicit-drugs/definitions/index.html" TargetMode="External"/><Relationship Id="rId42" Type="http://schemas.openxmlformats.org/officeDocument/2006/relationships/hyperlink" Target="http://www.oecd-ilibrary.org/social-issues-migration-health/data/oecd-health-statistics/oecd-health-data-non-medical-determinants-of-health_data-00546-en" TargetMode="External"/><Relationship Id="rId63" Type="http://schemas.openxmlformats.org/officeDocument/2006/relationships/hyperlink" Target="http://fs.knesset.gov.il/19/law/19_lsr_301589.pdf" TargetMode="External"/><Relationship Id="rId84" Type="http://schemas.openxmlformats.org/officeDocument/2006/relationships/hyperlink" Target="http://www.nevo.co.il/law_html/law01/P182_001.htm" TargetMode="External"/><Relationship Id="rId138" Type="http://schemas.openxmlformats.org/officeDocument/2006/relationships/hyperlink" Target="http://www.police.gov.il/Doc/TfasimDoc/shnaton2013v4.pdf" TargetMode="External"/><Relationship Id="rId159" Type="http://schemas.openxmlformats.org/officeDocument/2006/relationships/hyperlink" Target="http://www.pmo.gov.il/Secretary/GovDecisions/2011/Pages/des3609.aspx" TargetMode="External"/><Relationship Id="rId170" Type="http://schemas.openxmlformats.org/officeDocument/2006/relationships/hyperlink" Target="http://www.knesset.gov.il/mmm/data/pdf/m02881.pdf" TargetMode="External"/><Relationship Id="rId191" Type="http://schemas.openxmlformats.org/officeDocument/2006/relationships/hyperlink" Target="http://www.unodc.org/pdf/convention_1961_en.pdf" TargetMode="External"/><Relationship Id="rId205" Type="http://schemas.openxmlformats.org/officeDocument/2006/relationships/hyperlink" Target="http://www.molsa.gov.il/Units/Wings/AgafNoar/ShirutTipulHitmakrut/Pages/ShirutTipulHitmakrut.aspx" TargetMode="External"/><Relationship Id="rId107" Type="http://schemas.openxmlformats.org/officeDocument/2006/relationships/hyperlink" Target="http://fs.knesset.gov.il/19/Committees/19_ptv_275061.doc" TargetMode="External"/><Relationship Id="rId11" Type="http://schemas.openxmlformats.org/officeDocument/2006/relationships/hyperlink" Target="http://www.antidrugs.org.il/pages/1834.aspx?keySearch=&#1505;&#1502;&#1497;%20&#1508;&#1497;&#1510;&#1493;&#1510;&#1497;&#1493;&#1514;" TargetMode="External"/><Relationship Id="rId32" Type="http://schemas.openxmlformats.org/officeDocument/2006/relationships/hyperlink" Target="http://www.antidrugs.gov.il/download/files/%D7%A0%D7%AA%D7%95%D7%A0%D7%99%20%D7%9E%D7%A4%D7%AA%D7%97%202013_1.pdf" TargetMode="External"/><Relationship Id="rId37" Type="http://schemas.openxmlformats.org/officeDocument/2006/relationships/hyperlink" Target="http://apps.who.int/iris/bitstream/10665/112736/1/9789240692763_eng.pdf?ua=1" TargetMode="External"/><Relationship Id="rId53" Type="http://schemas.openxmlformats.org/officeDocument/2006/relationships/hyperlink" Target="http://apps.who.int/iris/bitstream/10665/112736/1/9789240692763_eng.pdf?ua=1" TargetMode="External"/><Relationship Id="rId58" Type="http://schemas.openxmlformats.org/officeDocument/2006/relationships/hyperlink" Target="https://www.google.com/url?sa=t&amp;rct=j&amp;q=&amp;esrc=s&amp;source=web&amp;cd=2&amp;cad=rja&amp;ved=0CDMQFjAB&amp;url=http%3A%2F%2Fwww.nevo.co.il%2FLaw_word%2FLaw01%2Fp170_001.doc&amp;ei=eFtlUeCoMcWM4gTj4oCgAQ&amp;usg=AFQjCNHeNZ0XIxFn2LMZ7WSkwYdGHwf-Sg&amp;sig2=95o_ahGYKaexXOvOWjNkbA&amp;bvm=bv.44990110,d.bGE" TargetMode="External"/><Relationship Id="rId74" Type="http://schemas.openxmlformats.org/officeDocument/2006/relationships/hyperlink" Target="http://www.nevo.co.il/Law_word/law14/law-2335.pdf" TargetMode="External"/><Relationship Id="rId79" Type="http://schemas.openxmlformats.org/officeDocument/2006/relationships/hyperlink" Target="http://www.nevo.co.il/Law_word/law14/law-2335.pdf" TargetMode="External"/><Relationship Id="rId102" Type="http://schemas.openxmlformats.org/officeDocument/2006/relationships/hyperlink" Target="http://fs.knesset.gov.il/19/Committees/19_ptv_273538.doc" TargetMode="External"/><Relationship Id="rId123" Type="http://schemas.openxmlformats.org/officeDocument/2006/relationships/hyperlink" Target="http://www.nevo.co.il/law_html/law01/P182_001.htm" TargetMode="External"/><Relationship Id="rId128" Type="http://schemas.openxmlformats.org/officeDocument/2006/relationships/hyperlink" Target="http://www.ag.mof.gov.il/AccountantGeneral/BudgetExecution/BudgetExecutionTopNav/BEHistoryDataHistory/BEHistoryData/default.htm" TargetMode="External"/><Relationship Id="rId144" Type="http://schemas.openxmlformats.org/officeDocument/2006/relationships/hyperlink" Target="http://www.nevo.co.il/Handlers/LawOpenDoc.ashx?id=127622" TargetMode="External"/><Relationship Id="rId149" Type="http://schemas.openxmlformats.org/officeDocument/2006/relationships/hyperlink" Target="http://www.nevo.co.il/law_html/Law01/P230_001.htm" TargetMode="External"/><Relationship Id="rId5" Type="http://schemas.openxmlformats.org/officeDocument/2006/relationships/hyperlink" Target="http://www.antidrugs.gov.il/download/files/%D7%A1%D7%A7%D7%A8%20HBSC%202011%20%D7%A1%D7%95%D7%A4%D7%99%20%D7%9E%D7%99%D7%A2%D7%9C_2.pdf" TargetMode="External"/><Relationship Id="rId90" Type="http://schemas.openxmlformats.org/officeDocument/2006/relationships/hyperlink" Target="http://ozar.mof.gov.il/hachnasot/doch11-12/docs/perek12.pdf" TargetMode="External"/><Relationship Id="rId95" Type="http://schemas.openxmlformats.org/officeDocument/2006/relationships/hyperlink" Target="http://fs.knesset.gov.il/19/Committees/19_ptv_270819.doc" TargetMode="External"/><Relationship Id="rId160" Type="http://schemas.openxmlformats.org/officeDocument/2006/relationships/hyperlink" Target="https://www.google.co.il/url?sa=t&amp;rct=j&amp;q=&amp;esrc=s&amp;source=web&amp;cd=2&amp;ved=0CB8QFjAB&amp;url=http%3A%2F%2Fwww.nevo.co.il%2FLaw_word%2Flaw01%2F036_001.doc&amp;ei=0rIPVaKlN8PLaP-6geAM&amp;usg=AFQjCNHrNmURGWIUoN2nmQa-2KDjB3nqsw&amp;sig2=CnnddwlSrIUyxdgvRUIJ1Q" TargetMode="External"/><Relationship Id="rId165" Type="http://schemas.openxmlformats.org/officeDocument/2006/relationships/hyperlink" Target="http://www.health.gov.il/hozer/mk02_2013.pdf" TargetMode="External"/><Relationship Id="rId181" Type="http://schemas.openxmlformats.org/officeDocument/2006/relationships/hyperlink" Target="https://www.google.co.il/url?sa=t&amp;rct=j&amp;q=&amp;esrc=s&amp;source=web&amp;cd=1&amp;ved=0CCAQFjAA&amp;url=http%3A%2F%2Fabush.health.gov.il%2Fdownload%2Fforms%2Fa3775_samim_81_010610.doc&amp;ei=mZ8XVd3eCJfXarz-gsgI&amp;usg=AFQjCNEd7qkR5zxHetV64GUQx45micA-vA&amp;sig2=a9gTmFRzzXwGYJXaXwQevg" TargetMode="External"/><Relationship Id="rId186" Type="http://schemas.openxmlformats.org/officeDocument/2006/relationships/hyperlink" Target="http://knesset.gov.il/mmm/data/pdf/m03041.pdf" TargetMode="External"/><Relationship Id="rId211" Type="http://schemas.openxmlformats.org/officeDocument/2006/relationships/hyperlink" Target="http://www.molsa.gov.il/SiteCollectionDocuments/MisradHarevacha/shmidreport2006.pdf" TargetMode="External"/><Relationship Id="rId22" Type="http://schemas.openxmlformats.org/officeDocument/2006/relationships/hyperlink" Target="http://www.unodc.org/pdf/convention_1961_en.pdf" TargetMode="External"/><Relationship Id="rId27" Type="http://schemas.openxmlformats.org/officeDocument/2006/relationships/hyperlink" Target="http://www.antidrugs.gov.il/download/files/%D7%90%D7%A4%D7%99%D7%93%D7%9E%D7%99%D7%95%D7%9C%D7%95%D7%92%D7%99%202009%20_1.pdf" TargetMode="External"/><Relationship Id="rId43" Type="http://schemas.openxmlformats.org/officeDocument/2006/relationships/hyperlink" Target="http://www.oecd-ilibrary.org/social-issues-migration-health/data/oecd-health-statistics/oecd-health-data-non-medical-determinants-of-health_data-00546-en" TargetMode="External"/><Relationship Id="rId48" Type="http://schemas.openxmlformats.org/officeDocument/2006/relationships/hyperlink" Target="http://www.igudbit.org.il/_Uploads/161alco1.pdf" TargetMode="External"/><Relationship Id="rId64" Type="http://schemas.openxmlformats.org/officeDocument/2006/relationships/hyperlink" Target="file:///C:/Users/hok_elazar/AppData/Local/Microsoft/Windows/Temporary%20Internet%20Files/Content.Outlook/4MWRY32G/&#1492;&#1510;&#1506;&#1514;%20&#1495;&#1493;&#1511;%20&#1492;&#1502;&#1488;&#1489;&#1511;%20&#1489;&#1514;&#1493;&#1508;&#1506;&#1514;%20&#1492;&#1513;&#1497;&#1502;&#1493;&#1513;%20&#1489;&#1495;&#1493;&#1502;&#1512;&#1497;&#1501;%20&#1502;&#1505;&#1499;&#1504;&#1497;&#1501;,%20&#1492;&#1514;&#1513;&#1506;%22&#1490;-2013" TargetMode="External"/><Relationship Id="rId69" Type="http://schemas.openxmlformats.org/officeDocument/2006/relationships/hyperlink" Target="http://fs.knesset.gov.il/19/law/19_lsr_301589.pdf" TargetMode="External"/><Relationship Id="rId113" Type="http://schemas.openxmlformats.org/officeDocument/2006/relationships/hyperlink" Target="http://fs.knesset.gov.il/19/Committees/19_ptv_299294.doc" TargetMode="External"/><Relationship Id="rId118" Type="http://schemas.openxmlformats.org/officeDocument/2006/relationships/hyperlink" Target="http://www.pmo.gov.il/Secretary/GovDecisions/2005/Pages/des3687.aspx" TargetMode="External"/><Relationship Id="rId134" Type="http://schemas.openxmlformats.org/officeDocument/2006/relationships/hyperlink" Target="http://www.nevo.co.il/Law_word/law14/law-2335.pdf" TargetMode="External"/><Relationship Id="rId139" Type="http://schemas.openxmlformats.org/officeDocument/2006/relationships/hyperlink" Target="http://www.police.gov.il/Doc/TfasimDoc/shnaton2013v4.pdf" TargetMode="External"/><Relationship Id="rId80" Type="http://schemas.openxmlformats.org/officeDocument/2006/relationships/hyperlink" Target="http://www.nevo.co.il/law_word/law06/tak-7307.pdf" TargetMode="External"/><Relationship Id="rId85" Type="http://schemas.openxmlformats.org/officeDocument/2006/relationships/hyperlink" Target="http://www.nevo.co.il/law_html/Law01/P230_001.htm" TargetMode="External"/><Relationship Id="rId150" Type="http://schemas.openxmlformats.org/officeDocument/2006/relationships/hyperlink" Target="http://www.police.gov.il/MapSkifout.aspx?mid=67" TargetMode="External"/><Relationship Id="rId155" Type="http://schemas.openxmlformats.org/officeDocument/2006/relationships/hyperlink" Target="http://www.pm.gov.il/PMO/vadot/alimot/des575.htm" TargetMode="External"/><Relationship Id="rId171" Type="http://schemas.openxmlformats.org/officeDocument/2006/relationships/hyperlink" Target="http://www.ag.mof.gov.il/AccountantGeneral/BudgetExecution/BudgetExecutionTopNav/BEHistoryDataHistory/BEHistoryData/default.htm" TargetMode="External"/><Relationship Id="rId176" Type="http://schemas.openxmlformats.org/officeDocument/2006/relationships/hyperlink" Target="http://www.ag.mof.gov.il/AccountantGeneral/BudgetExecution/BudgetExecutionTopNav/BEHistoryDataHistory/BEHistoryData/default.htm" TargetMode="External"/><Relationship Id="rId192" Type="http://schemas.openxmlformats.org/officeDocument/2006/relationships/hyperlink" Target="http://www.health.gov.il/UnitsOffice/HD/cannabis/Pages/default.aspx" TargetMode="External"/><Relationship Id="rId197" Type="http://schemas.openxmlformats.org/officeDocument/2006/relationships/hyperlink" Target="https://www.google.com/url?sa=t&amp;rct=j&amp;q=&amp;esrc=s&amp;source=web&amp;cd=2&amp;cad=rja&amp;ved=0CDMQFjAB&amp;url=http%3A%2F%2Fwww.nevo.co.il%2FLaw_word%2FLaw01%2Fp170_001.doc&amp;ei=eFtlUeCoMcWM4gTj4oCgAQ&amp;usg=AFQjCNHeNZ0XIxFn2LMZ7WSkwYdGHwf-Sg&amp;sig2=95o_ahGYKaexXOvOWjNkbA&amp;bvm=bv.44990110,d.bGE" TargetMode="External"/><Relationship Id="rId206" Type="http://schemas.openxmlformats.org/officeDocument/2006/relationships/hyperlink" Target="http://www.molsa.gov.il/CommunityInfo/ResearchAndEvaluation/Documents/&#1488;&#1493;&#1499;&#1500;&#1493;&#1505;&#1497;&#1497;&#1514;_&#1492;&#1502;&#1514;&#1502;&#1499;&#1512;&#1497;&#1501;_&#1500;&#1505;&#1502;&#1497;&#1501;_&#1488;&#1500;&#1499;&#1493;&#1492;&#1493;&#1500;_&#1493;&#1492;&#1497;&#1502;&#1493;&#1512;&#1497;&#1501;_-_4&#1488;%5b1%5d.pdf" TargetMode="External"/><Relationship Id="rId201" Type="http://schemas.openxmlformats.org/officeDocument/2006/relationships/hyperlink" Target="https://forms.gov.il/globaldata/getsequence/getsequence.aspx?formType=CannabisReq%40moh.gov.il" TargetMode="External"/><Relationship Id="rId12" Type="http://schemas.openxmlformats.org/officeDocument/2006/relationships/hyperlink" Target="http://www.nevo.co.il/Handlers/LawOpenDoc.ashx?id=127622" TargetMode="External"/><Relationship Id="rId17" Type="http://schemas.openxmlformats.org/officeDocument/2006/relationships/hyperlink" Target="http://www.nevo.co.il/Handlers/LawOpenDoc.ashx?id=127622" TargetMode="External"/><Relationship Id="rId33" Type="http://schemas.openxmlformats.org/officeDocument/2006/relationships/hyperlink" Target="http://www.antidrugs.gov.il/download/files/%D7%90%D7%A4%D7%99%D7%93%D7%9E%D7%99%D7%95%D7%9C%D7%95%D7%92%D7%99%202009%20_1.pdf" TargetMode="External"/><Relationship Id="rId38" Type="http://schemas.openxmlformats.org/officeDocument/2006/relationships/hyperlink" Target="http://apps.who.int/iris/bitstream/10665/112736/1/9789240692763_eng.pdf?ua=1" TargetMode="External"/><Relationship Id="rId59" Type="http://schemas.openxmlformats.org/officeDocument/2006/relationships/hyperlink" Target="https://www.google.com/url?sa=t&amp;rct=j&amp;q=&amp;esrc=s&amp;source=web&amp;cd=2&amp;cad=rja&amp;ved=0CDMQFjAB&amp;url=http%3A%2F%2Fwww.nevo.co.il%2FLaw_word%2FLaw01%2Fp170_001.doc&amp;ei=eFtlUeCoMcWM4gTj4oCgAQ&amp;usg=AFQjCNHeNZ0XIxFn2LMZ7WSkwYdGHwf-Sg&amp;sig2=95o_ahGYKaexXOvOWjNkbA&amp;bvm=bv.44990110,d.bGE" TargetMode="External"/><Relationship Id="rId103" Type="http://schemas.openxmlformats.org/officeDocument/2006/relationships/hyperlink" Target="http://www.knesset.gov.il/mmm/data/pdf/m03419.pdf" TargetMode="External"/><Relationship Id="rId108" Type="http://schemas.openxmlformats.org/officeDocument/2006/relationships/hyperlink" Target="http://fs.knesset.gov.il/19/Committees/19_ptv_267044.doc" TargetMode="External"/><Relationship Id="rId124" Type="http://schemas.openxmlformats.org/officeDocument/2006/relationships/hyperlink" Target="http://www.nevo.co.il/Handlers/LawOpenDoc.ashx?id=4218" TargetMode="External"/><Relationship Id="rId129" Type="http://schemas.openxmlformats.org/officeDocument/2006/relationships/hyperlink" Target="http://www.pm.gov.il/PMO/Archive/Decisions/2009/11/des907.htm" TargetMode="External"/><Relationship Id="rId54" Type="http://schemas.openxmlformats.org/officeDocument/2006/relationships/hyperlink" Target="http://main.knesset.gov.il/Activity/Documents/RulesOfProcedure.pdf" TargetMode="External"/><Relationship Id="rId70" Type="http://schemas.openxmlformats.org/officeDocument/2006/relationships/hyperlink" Target="http://www.nevo.co.il/law_html/law01/p192m1_001.htm" TargetMode="External"/><Relationship Id="rId75" Type="http://schemas.openxmlformats.org/officeDocument/2006/relationships/hyperlink" Target="http://main.knesset.gov.il/Activity/Committees/Economics/Pages/CommitteeAgenda.aspx?tab=3&amp;AgendaDate=09%2f07%2f2012+12%3a30%3a00" TargetMode="External"/><Relationship Id="rId91" Type="http://schemas.openxmlformats.org/officeDocument/2006/relationships/hyperlink" Target="https://knesset.gov.il/mmm/data/pdf/m03306.pdf" TargetMode="External"/><Relationship Id="rId96" Type="http://schemas.openxmlformats.org/officeDocument/2006/relationships/hyperlink" Target="http://fs.knesset.gov.il/19/Committees/19_ptv_266149.doc" TargetMode="External"/><Relationship Id="rId140" Type="http://schemas.openxmlformats.org/officeDocument/2006/relationships/hyperlink" Target="http://www.police.gov.il/Doc/TfasimDoc/%D7%A9%D7%A0%D7%AA%D7%95%D7%9F%202014%20v2.pdf" TargetMode="External"/><Relationship Id="rId145" Type="http://schemas.openxmlformats.org/officeDocument/2006/relationships/hyperlink" Target="http://fs.knesset.gov.il/19/law/19_lsr_301589.pdf" TargetMode="External"/><Relationship Id="rId161" Type="http://schemas.openxmlformats.org/officeDocument/2006/relationships/hyperlink" Target="http://www.pmo.gov.il/Secretary/GovDecisions/2012/Pages/des4611.aspx" TargetMode="External"/><Relationship Id="rId166" Type="http://schemas.openxmlformats.org/officeDocument/2006/relationships/hyperlink" Target="http://www.health.gov.il/UnitsOffice/HD/MHealth/mental/addictions/Pages/default.aspx" TargetMode="External"/><Relationship Id="rId182" Type="http://schemas.openxmlformats.org/officeDocument/2006/relationships/hyperlink" Target="https://www.google.com/url?sa=t&amp;rct=j&amp;q=&amp;esrc=s&amp;source=web&amp;cd=2&amp;cad=rja&amp;ved=0CDMQFjAB&amp;url=http%3A%2F%2Fwww.nevo.co.il%2FLaw_word%2FLaw01%2Fp170_001.doc&amp;ei=eFtlUeCoMcWM4gTj4oCgAQ&amp;usg=AFQjCNHeNZ0XIxFn2LMZ7WSkwYdGHwf-Sg&amp;sig2=95o_ahGYKaexXOvOWjNkbA&amp;bvm=bv.44990110,d.bGE" TargetMode="External"/><Relationship Id="rId187" Type="http://schemas.openxmlformats.org/officeDocument/2006/relationships/hyperlink" Target="https://www.knesset.gov.il/mmm/data/pdf/m03291.pdf" TargetMode="External"/><Relationship Id="rId1" Type="http://schemas.openxmlformats.org/officeDocument/2006/relationships/hyperlink" Target="http://www.old.health.gov.il/pages/default.asp?pageid=3859&amp;parentid=3648&amp;catid=660&amp;maincat=35" TargetMode="External"/><Relationship Id="rId6" Type="http://schemas.openxmlformats.org/officeDocument/2006/relationships/hyperlink" Target="http://www.pmo.gov.il/Secretary/GovDecisions/2012/Pages/des4611.aspx" TargetMode="External"/><Relationship Id="rId212" Type="http://schemas.openxmlformats.org/officeDocument/2006/relationships/hyperlink" Target="http://www.pmo.gov.il/Secretary/GovDecisions/2008/Pages/des3070.aspx" TargetMode="External"/><Relationship Id="rId23" Type="http://schemas.openxmlformats.org/officeDocument/2006/relationships/hyperlink" Target="http://www.unodc.org/documents/wdr2014/World_Drug_Report_2014_web.pdf" TargetMode="External"/><Relationship Id="rId28" Type="http://schemas.openxmlformats.org/officeDocument/2006/relationships/hyperlink" Target="http://www.antidrugs.gov.il/download/files/%D7%90%D7%A4%D7%99%D7%93%D7%9E%D7%99%D7%95%D7%9C%D7%95%D7%92%D7%99%202009%20_1.pdf" TargetMode="External"/><Relationship Id="rId49" Type="http://schemas.openxmlformats.org/officeDocument/2006/relationships/hyperlink" Target="http://www.antidrugs.gov.il/download/files/%D7%A0%D7%AA%D7%95%D7%A0%D7%99%20%D7%9E%D7%A4%D7%AA%D7%97%202013_1.pdf" TargetMode="External"/><Relationship Id="rId114" Type="http://schemas.openxmlformats.org/officeDocument/2006/relationships/hyperlink" Target="http://fs.knesset.gov.il/19/Committees/19_ptv_280714.doc" TargetMode="External"/><Relationship Id="rId119" Type="http://schemas.openxmlformats.org/officeDocument/2006/relationships/hyperlink" Target="https://www.google.co.il/url?sa=t&amp;rct=j&amp;q=&amp;esrc=s&amp;source=web&amp;cd=2&amp;ved=0CCUQFjAB&amp;url=http%3A%2F%2Fwww.knesset.gov.il%2Fprivatelaw%2Fdata%2F18%2F3%2F658_3_2.rtf&amp;ei=bP9rVaPBN83Q7AaRpICAAw&amp;usg=AFQjCNFTpdNxvoep0G3Fa_Pi7YPvILhGqg&amp;sig2=npPNnK-IgsABDNr0o86OVQ" TargetMode="External"/><Relationship Id="rId44" Type="http://schemas.openxmlformats.org/officeDocument/2006/relationships/hyperlink" Target="http://stats.oecd.org/wbos/fileview2.aspx?IDFile=17d36de2-b4ae-409a-9968-a27c7f2857e4" TargetMode="External"/><Relationship Id="rId60" Type="http://schemas.openxmlformats.org/officeDocument/2006/relationships/hyperlink" Target="https://www.google.com/url?sa=t&amp;rct=j&amp;q=&amp;esrc=s&amp;source=web&amp;cd=2&amp;cad=rja&amp;ved=0CDMQFjAB&amp;url=http%3A%2F%2Fwww.nevo.co.il%2FLaw_word%2FLaw01%2Fp170_001.doc&amp;ei=eFtlUeCoMcWM4gTj4oCgAQ&amp;usg=AFQjCNHeNZ0XIxFn2LMZ7WSkwYdGHwf-Sg&amp;sig2=95o_ahGYKaexXOvOWjNkbA&amp;bvm=bv.44990110,d.bGE" TargetMode="External"/><Relationship Id="rId65" Type="http://schemas.openxmlformats.org/officeDocument/2006/relationships/hyperlink" Target="http://fs.knesset.gov.il/19/law/19_lsr_301589.pdf" TargetMode="External"/><Relationship Id="rId81" Type="http://schemas.openxmlformats.org/officeDocument/2006/relationships/hyperlink" Target="http://www.nevo.co.il/Law_word/law14/law-2335.pdf" TargetMode="External"/><Relationship Id="rId86" Type="http://schemas.openxmlformats.org/officeDocument/2006/relationships/hyperlink" Target="http://www.nevo.co.il/law_html/law01/073_042.htm" TargetMode="External"/><Relationship Id="rId130" Type="http://schemas.openxmlformats.org/officeDocument/2006/relationships/hyperlink" Target="http://www.pmo.gov.il/Secretary/GovDecisions/2012/Pages/des4686.aspx" TargetMode="External"/><Relationship Id="rId135" Type="http://schemas.openxmlformats.org/officeDocument/2006/relationships/hyperlink" Target="http://www.antidrugs.gov.il/download/files/%D7%A1%D7%A7%D7%A8%20HBSC%202011%20%D7%A1%D7%95%D7%A4%D7%99%20%D7%9E%D7%99%D7%A2%D7%9C_2.pdf" TargetMode="External"/><Relationship Id="rId151" Type="http://schemas.openxmlformats.org/officeDocument/2006/relationships/hyperlink" Target="http://www.cbs.gov.il/publications15/1601/pdf/h_print.pdf" TargetMode="External"/><Relationship Id="rId156" Type="http://schemas.openxmlformats.org/officeDocument/2006/relationships/hyperlink" Target="http://www.cwv.gov.il/About/Pages/ListCities.aspx" TargetMode="External"/><Relationship Id="rId177" Type="http://schemas.openxmlformats.org/officeDocument/2006/relationships/hyperlink" Target="http://www.health.gov.il/UnitsOffice/HD/MTI/Drugs/Pages/default.aspx" TargetMode="External"/><Relationship Id="rId198" Type="http://schemas.openxmlformats.org/officeDocument/2006/relationships/hyperlink" Target="http://www.pmo.gov.il/Secretary/GovDecisions/2013/Pages/dec1050.aspx" TargetMode="External"/><Relationship Id="rId172" Type="http://schemas.openxmlformats.org/officeDocument/2006/relationships/hyperlink" Target="https://www.google.com/url?sa=t&amp;rct=j&amp;q=&amp;esrc=s&amp;source=web&amp;cd=2&amp;cad=rja&amp;ved=0CDMQFjAB&amp;url=http%3A%2F%2Fwww.nevo.co.il%2FLaw_word%2FLaw01%2Fp170_001.doc&amp;ei=eFtlUeCoMcWM4gTj4oCgAQ&amp;usg=AFQjCNHeNZ0XIxFn2LMZ7WSkwYdGHwf-Sg&amp;sig2=95o_ahGYKaexXOvOWjNkbA&amp;bvm=bv.44990110,d.bGE" TargetMode="External"/><Relationship Id="rId193" Type="http://schemas.openxmlformats.org/officeDocument/2006/relationships/hyperlink" Target="https://www.knesset.gov.il/mmm/data/pdf/m03291.pdf" TargetMode="External"/><Relationship Id="rId202" Type="http://schemas.openxmlformats.org/officeDocument/2006/relationships/hyperlink" Target="http://www.pmo.gov.il/Secretary/GovDecisions/2013/Pages/dec1050.aspx" TargetMode="External"/><Relationship Id="rId207" Type="http://schemas.openxmlformats.org/officeDocument/2006/relationships/hyperlink" Target="http://www.molsa.gov.il/CommunityInfo/ResearchAndEvaluation/Documents/&#1488;&#1493;&#1499;&#1500;&#1493;&#1505;&#1497;&#1497;&#1514;_&#1492;&#1502;&#1514;&#1502;&#1499;&#1512;&#1497;&#1501;_&#1500;&#1505;&#1502;&#1497;&#1501;_&#1488;&#1500;&#1499;&#1493;&#1492;&#1493;&#1500;_&#1493;&#1492;&#1497;&#1502;&#1493;&#1512;&#1497;&#1501;_-_4&#1488;%5b1%5d.pdf" TargetMode="External"/><Relationship Id="rId13" Type="http://schemas.openxmlformats.org/officeDocument/2006/relationships/hyperlink" Target="file:///C:/Users/hok_elazar/AppData/Local/Microsoft/Windows/Temporary%20Internet%20Files/Content.Outlook/4MWRY32G/&#1492;&#1510;&#1506;&#1514;%20&#1495;&#1493;&#1511;%20&#1492;&#1502;&#1488;&#1489;&#1511;%20&#1489;&#1514;&#1493;&#1508;&#1506;&#1514;%20&#1492;&#1513;&#1497;&#1502;&#1493;&#1513;%20&#1489;&#1495;&#1493;&#1502;&#1512;&#1497;&#1501;%20&#1502;&#1505;&#1499;&#1504;&#1497;&#1501;,%20&#1492;&#1514;&#1513;&#1506;%22&#1490;-2013" TargetMode="External"/><Relationship Id="rId18" Type="http://schemas.openxmlformats.org/officeDocument/2006/relationships/hyperlink" Target="http://www.pmo.gov.il/Secretary/GovDecisions/2013/Pages/des698.aspx" TargetMode="External"/><Relationship Id="rId39" Type="http://schemas.openxmlformats.org/officeDocument/2006/relationships/hyperlink" Target="http://apps.who.int/iris/bitstream/10665/112736/1/9789240692763_eng.pdf?ua=1" TargetMode="External"/><Relationship Id="rId109" Type="http://schemas.openxmlformats.org/officeDocument/2006/relationships/hyperlink" Target="http://fs.knesset.gov.il/19/Committees/19_ptv_266614.doc" TargetMode="External"/><Relationship Id="rId34" Type="http://schemas.openxmlformats.org/officeDocument/2006/relationships/hyperlink" Target="http://www.antidrugs.gov.il/download/files/%D7%99%D7%93%20%D7%A2%D7%9C%20%D7%94%D7%93%D7%95%D7%A4%D7%A7%20%D7%99%D7%95%D7%A1%D7%99.pdf" TargetMode="External"/><Relationship Id="rId50" Type="http://schemas.openxmlformats.org/officeDocument/2006/relationships/hyperlink" Target="http://www.health.gov.il/PublicationsFiles/kidum_b_No_3.pdf" TargetMode="External"/><Relationship Id="rId55" Type="http://schemas.openxmlformats.org/officeDocument/2006/relationships/hyperlink" Target="http://www.nevo.co.il/law_html/law01/P170_007.htm" TargetMode="External"/><Relationship Id="rId76" Type="http://schemas.openxmlformats.org/officeDocument/2006/relationships/hyperlink" Target="http://main.knesset.gov.il/Activity/Committees/Economics/Pages/CommitteeAgenda.aspx?tab=3&amp;AgendaDate=30%2f07%2f2013+09%3a00%3a00" TargetMode="External"/><Relationship Id="rId97" Type="http://schemas.openxmlformats.org/officeDocument/2006/relationships/hyperlink" Target="http://fs.knesset.gov.il/19/Committees/19_ptv_263938.doc" TargetMode="External"/><Relationship Id="rId104" Type="http://schemas.openxmlformats.org/officeDocument/2006/relationships/hyperlink" Target="http://fs.knesset.gov.il/19/Committees/19_ptv_297958.doc" TargetMode="External"/><Relationship Id="rId120" Type="http://schemas.openxmlformats.org/officeDocument/2006/relationships/hyperlink" Target="http://www.pmo.gov.il/Secretary/GovDecisions/2009/Pages/des44.aspx" TargetMode="External"/><Relationship Id="rId125" Type="http://schemas.openxmlformats.org/officeDocument/2006/relationships/hyperlink" Target="http://www.nevo.co.il/Handlers/LawOpenDoc.ashx?id=4218" TargetMode="External"/><Relationship Id="rId141" Type="http://schemas.openxmlformats.org/officeDocument/2006/relationships/hyperlink" Target="http://www.nevo.co.il/Handlers/LawOpenDoc.ashx?id=127622" TargetMode="External"/><Relationship Id="rId146" Type="http://schemas.openxmlformats.org/officeDocument/2006/relationships/hyperlink" Target="http://www.nevo.co.il/Handlers/LawOpenDoc.ashx?id=73491" TargetMode="External"/><Relationship Id="rId167" Type="http://schemas.openxmlformats.org/officeDocument/2006/relationships/hyperlink" Target="http://www.nevo.co.il/law_html/law01/p192m1_001.htm" TargetMode="External"/><Relationship Id="rId188" Type="http://schemas.openxmlformats.org/officeDocument/2006/relationships/hyperlink" Target="https://www.google.com/url?sa=t&amp;rct=j&amp;q=&amp;esrc=s&amp;source=web&amp;cd=2&amp;cad=rja&amp;ved=0CDMQFjAB&amp;url=http%3A%2F%2Fwww.nevo.co.il%2FLaw_word%2FLaw01%2Fp170_001.doc&amp;ei=eFtlUeCoMcWM4gTj4oCgAQ&amp;usg=AFQjCNHeNZ0XIxFn2LMZ7WSkwYdGHwf-Sg&amp;sig2=95o_ahGYKaexXOvOWjNkbA&amp;bvm=bv.44990110,d.bGE" TargetMode="External"/><Relationship Id="rId7" Type="http://schemas.openxmlformats.org/officeDocument/2006/relationships/hyperlink" Target="http://www.nevo.co.il/law_word/law06/TAK-7166.pdf" TargetMode="External"/><Relationship Id="rId71" Type="http://schemas.openxmlformats.org/officeDocument/2006/relationships/hyperlink" Target="http://www.nevo.co.il/Handlers/LawOpenDoc.ashx?id=73491" TargetMode="External"/><Relationship Id="rId92" Type="http://schemas.openxmlformats.org/officeDocument/2006/relationships/hyperlink" Target="http://main.knesset.gov.il/Activity/committees/Drugs/Pages/CommitteeAreasOfConcern.aspx" TargetMode="External"/><Relationship Id="rId162" Type="http://schemas.openxmlformats.org/officeDocument/2006/relationships/hyperlink" Target="http://www.justice.gov.il/NR/rdonlyres/37309373-6AEF-4F7B-A0A9-4DC00095AA61/37375/7154.pdf" TargetMode="External"/><Relationship Id="rId183" Type="http://schemas.openxmlformats.org/officeDocument/2006/relationships/hyperlink" Target="http://www.nevo.co.il/Handlers/LawOpenDoc.ashx?id=127622" TargetMode="External"/><Relationship Id="rId213" Type="http://schemas.openxmlformats.org/officeDocument/2006/relationships/hyperlink" Target="http://www.molsa.gov.il/SiteCollectionDocuments/MisradHarevacha/%D7%94%D7%AA%D7%95%D7%9B%D7%A0%D7%99%D7%AA%20%D7%94%D7%9C%D7%90%D7%95%D7%9E%D7%99%D7%AA%20%D7%9C%D7%99%D7%9C%D7%93%D7%99%D7%9D%20%D7%95%D7%A0%D7%95%D7%A2%D7%A8%20%D7%91%D7%A1%D7%99%D7%9B%D7%95%D7%9F/HagdaratSikun.pdf" TargetMode="External"/><Relationship Id="rId2" Type="http://schemas.openxmlformats.org/officeDocument/2006/relationships/hyperlink" Target="http://www.antidrugs.org.il/pages/1834.aspx?keySearch=&#1505;&#1502;&#1497;%20&#1508;&#1497;&#1510;&#1493;&#1510;&#1497;&#1493;&#1514;" TargetMode="External"/><Relationship Id="rId29" Type="http://schemas.openxmlformats.org/officeDocument/2006/relationships/hyperlink" Target="http://www.antidrugs.gov.il/download/files/%D7%99%D7%93%20%D7%A2%D7%9C%20%D7%94%D7%93%D7%95%D7%A4%D7%A7%20%D7%99%D7%95%D7%A1%D7%99.pdf" TargetMode="External"/><Relationship Id="rId24" Type="http://schemas.openxmlformats.org/officeDocument/2006/relationships/hyperlink" Target="http://www.unodc.org/documents/wdr2014/Methodology_2014.pdf" TargetMode="External"/><Relationship Id="rId40" Type="http://schemas.openxmlformats.org/officeDocument/2006/relationships/hyperlink" Target="http://stats.oecd.org/wbos/fileview2.aspx?IDFile=17d36de2-b4ae-409a-9968-a27c7f2857e4" TargetMode="External"/><Relationship Id="rId45" Type="http://schemas.openxmlformats.org/officeDocument/2006/relationships/hyperlink" Target="http://apps.who.int/gho/data/view.main.52160" TargetMode="External"/><Relationship Id="rId66" Type="http://schemas.openxmlformats.org/officeDocument/2006/relationships/hyperlink" Target="http://fs.knesset.gov.il/19/law/19_lsr_301589.pdf" TargetMode="External"/><Relationship Id="rId87" Type="http://schemas.openxmlformats.org/officeDocument/2006/relationships/hyperlink" Target="http://www.nevo.co.il/law_html/law01/p211_002.htm" TargetMode="External"/><Relationship Id="rId110" Type="http://schemas.openxmlformats.org/officeDocument/2006/relationships/hyperlink" Target="http://fs.knesset.gov.il/19/Committees/19_ptv_266148.doc" TargetMode="External"/><Relationship Id="rId115" Type="http://schemas.openxmlformats.org/officeDocument/2006/relationships/hyperlink" Target="http://www.knesset.gov.il/mmm/data/pdf/m03390.pdf" TargetMode="External"/><Relationship Id="rId131" Type="http://schemas.openxmlformats.org/officeDocument/2006/relationships/hyperlink" Target="http://www.pmo.gov.il/Secretary/GovDecisions/2013/Pages/des698.aspx" TargetMode="External"/><Relationship Id="rId136" Type="http://schemas.openxmlformats.org/officeDocument/2006/relationships/hyperlink" Target="http://www.antidrugs.gov.il/download/files/%D7%A0%D7%AA%D7%95%D7%A0%D7%99%20%D7%9E%D7%A4%D7%AA%D7%97%202013_1.pdf" TargetMode="External"/><Relationship Id="rId157" Type="http://schemas.openxmlformats.org/officeDocument/2006/relationships/hyperlink" Target="http://www.knesset.gov.il/mmm/data/pdf/m02800.pdf" TargetMode="External"/><Relationship Id="rId178" Type="http://schemas.openxmlformats.org/officeDocument/2006/relationships/hyperlink" Target="https://www.google.com/url?sa=t&amp;rct=j&amp;q=&amp;esrc=s&amp;source=web&amp;cd=2&amp;cad=rja&amp;ved=0CDMQFjAB&amp;url=http%3A%2F%2Fwww.nevo.co.il%2FLaw_word%2FLaw01%2Fp170_001.doc&amp;ei=eFtlUeCoMcWM4gTj4oCgAQ&amp;usg=AFQjCNHeNZ0XIxFn2LMZ7WSkwYdGHwf-Sg&amp;sig2=95o_ahGYKaexXOvOWjNkbA&amp;bvm=bv.44990110,d.bGE" TargetMode="External"/><Relationship Id="rId61" Type="http://schemas.openxmlformats.org/officeDocument/2006/relationships/hyperlink" Target="https://www.google.com/url?sa=t&amp;rct=j&amp;q=&amp;esrc=s&amp;source=web&amp;cd=2&amp;cad=rja&amp;ved=0CDMQFjAB&amp;url=http%3A%2F%2Fwww.nevo.co.il%2FLaw_word%2FLaw01%2Fp170_001.doc&amp;ei=eFtlUeCoMcWM4gTj4oCgAQ&amp;usg=AFQjCNHeNZ0XIxFn2LMZ7WSkwYdGHwf-Sg&amp;sig2=95o_ahGYKaexXOvOWjNkbA&amp;bvm=bv.44990110,d.bGE" TargetMode="External"/><Relationship Id="rId82" Type="http://schemas.openxmlformats.org/officeDocument/2006/relationships/hyperlink" Target="http://www.nevo.co.il/Law_word/law14/law-2335.pdf" TargetMode="External"/><Relationship Id="rId152" Type="http://schemas.openxmlformats.org/officeDocument/2006/relationships/hyperlink" Target="http://www.cbs.gov.il/publications15/1601/pdf/h_print.pdf" TargetMode="External"/><Relationship Id="rId173" Type="http://schemas.openxmlformats.org/officeDocument/2006/relationships/hyperlink" Target="http://www.nevo.co.il/Handlers/LawOpenDoc.ashx?id=127622" TargetMode="External"/><Relationship Id="rId194" Type="http://schemas.openxmlformats.org/officeDocument/2006/relationships/hyperlink" Target="http://www.health.gov.il/hozer/DR_106.pdf" TargetMode="External"/><Relationship Id="rId199" Type="http://schemas.openxmlformats.org/officeDocument/2006/relationships/hyperlink" Target="http://www.health.gov.il/hozer/DR_106.pdf" TargetMode="External"/><Relationship Id="rId203" Type="http://schemas.openxmlformats.org/officeDocument/2006/relationships/hyperlink" Target="http://www.nevo.co.il/psika_html/elyon/14008540-k18.htm" TargetMode="External"/><Relationship Id="rId208" Type="http://schemas.openxmlformats.org/officeDocument/2006/relationships/hyperlink" Target="http://www.ag.mof.gov.il/AccountantGeneral/BudgetExecution/BudgetExecutionTopNav/BEHistoryDataHistory/BEHistoryData/default.htm" TargetMode="External"/><Relationship Id="rId19" Type="http://schemas.openxmlformats.org/officeDocument/2006/relationships/hyperlink" Target="http://www.nevo.co.il/Handlers/LawOpenDoc.ashx?id=73491" TargetMode="External"/><Relationship Id="rId14" Type="http://schemas.openxmlformats.org/officeDocument/2006/relationships/hyperlink" Target="http://www.nevo.co.il/Handlers/LawOpenDoc.ashx?id=127622" TargetMode="External"/><Relationship Id="rId30" Type="http://schemas.openxmlformats.org/officeDocument/2006/relationships/hyperlink" Target="http://www.antidrugs.gov.il/download/files/%D7%A1%D7%A7%D7%A8%20HBSC%202011%20%D7%A1%D7%95%D7%A4%D7%99%20%D7%9E%D7%99%D7%A2%D7%9C_2.pdf" TargetMode="External"/><Relationship Id="rId35" Type="http://schemas.openxmlformats.org/officeDocument/2006/relationships/hyperlink" Target="http://apps.who.int/iris/bitstream/10665/112736/1/9789240692763_eng.pdf?ua=1" TargetMode="External"/><Relationship Id="rId56" Type="http://schemas.openxmlformats.org/officeDocument/2006/relationships/hyperlink" Target="http://www.nevo.co.il/law_html/law01/P170_007.htm" TargetMode="External"/><Relationship Id="rId77" Type="http://schemas.openxmlformats.org/officeDocument/2006/relationships/hyperlink" Target="http://www.nevo.co.il/Law_word/law14/law-2335.pdf" TargetMode="External"/><Relationship Id="rId100" Type="http://schemas.openxmlformats.org/officeDocument/2006/relationships/hyperlink" Target="http://fs.knesset.gov.il/19/Committees/19_ptv_304247.doc" TargetMode="External"/><Relationship Id="rId105" Type="http://schemas.openxmlformats.org/officeDocument/2006/relationships/hyperlink" Target="http://fs.knesset.gov.il/19/Committees/19_ptv_297400.doc" TargetMode="External"/><Relationship Id="rId126" Type="http://schemas.openxmlformats.org/officeDocument/2006/relationships/hyperlink" Target="https://www.google.com/url?sa=t&amp;rct=j&amp;q=&amp;esrc=s&amp;source=web&amp;cd=2&amp;cad=rja&amp;ved=0CDMQFjAB&amp;url=http%3A%2F%2Fwww.nevo.co.il%2FLaw_word%2FLaw01%2Fp170_001.doc&amp;ei=eFtlUeCoMcWM4gTj4oCgAQ&amp;usg=AFQjCNHeNZ0XIxFn2LMZ7WSkwYdGHwf-Sg&amp;sig2=95o_ahGYKaexXOvOWjNkbA&amp;bvm=bv.44990110,d.bGE" TargetMode="External"/><Relationship Id="rId147" Type="http://schemas.openxmlformats.org/officeDocument/2006/relationships/hyperlink" Target="http://www.nevo.co.il/Handlers/LawOpenDoc.ashx?id=73491" TargetMode="External"/><Relationship Id="rId168" Type="http://schemas.openxmlformats.org/officeDocument/2006/relationships/hyperlink" Target="http://www.health.gov.il/Subjects/Med_Inst/drugs_abuse/Pages/default.aspx" TargetMode="External"/><Relationship Id="rId8" Type="http://schemas.openxmlformats.org/officeDocument/2006/relationships/hyperlink" Target="http://www.knesset.gov.il/mmm/data/pdf/m03419.pdf" TargetMode="External"/><Relationship Id="rId51" Type="http://schemas.openxmlformats.org/officeDocument/2006/relationships/hyperlink" Target="http://www.unodc.org/documents/wdr2014/World_Drug_Report_2014_web.pdf" TargetMode="External"/><Relationship Id="rId72" Type="http://schemas.openxmlformats.org/officeDocument/2006/relationships/hyperlink" Target="http://www.nevo.co.il/Law_word/law14/law-2393.pdf" TargetMode="External"/><Relationship Id="rId93" Type="http://schemas.openxmlformats.org/officeDocument/2006/relationships/hyperlink" Target="http://www.knesset.gov.il/mmm/data/pdf/m03390.pdf" TargetMode="External"/><Relationship Id="rId98" Type="http://schemas.openxmlformats.org/officeDocument/2006/relationships/hyperlink" Target="http://fs.knesset.gov.il/19/Committees/19_ptv_262608.doc" TargetMode="External"/><Relationship Id="rId121" Type="http://schemas.openxmlformats.org/officeDocument/2006/relationships/hyperlink" Target="http://www.nevo.co.il/Handlers/LawOpenDoc.ashx?id=4218" TargetMode="External"/><Relationship Id="rId142" Type="http://schemas.openxmlformats.org/officeDocument/2006/relationships/hyperlink" Target="http://www.antidrugs.org.il/pages/1834.aspx?keySearch=&#1505;&#1502;&#1497;%20&#1508;&#1497;&#1510;&#1493;&#1510;&#1497;&#1493;&#1514;" TargetMode="External"/><Relationship Id="rId163" Type="http://schemas.openxmlformats.org/officeDocument/2006/relationships/hyperlink" Target="http://www.knesset.gov.il/mmm/data/pdf/m03419.pdf" TargetMode="External"/><Relationship Id="rId184" Type="http://schemas.openxmlformats.org/officeDocument/2006/relationships/hyperlink" Target="http://www.health.gov.il/hozer/DR_114.pdf" TargetMode="External"/><Relationship Id="rId189" Type="http://schemas.openxmlformats.org/officeDocument/2006/relationships/hyperlink" Target="http://knesset.gov.il/mmm/data/pdf/m03168.pdf" TargetMode="External"/><Relationship Id="rId3" Type="http://schemas.openxmlformats.org/officeDocument/2006/relationships/hyperlink" Target="https://www.google.com/url?sa=t&amp;rct=j&amp;q=&amp;esrc=s&amp;source=web&amp;cd=2&amp;cad=rja&amp;ved=0CDMQFjAB&amp;url=http%3A%2F%2Fwww.nevo.co.il%2FLaw_word%2FLaw01%2Fp170_001.doc&amp;ei=eFtlUeCoMcWM4gTj4oCgAQ&amp;usg=AFQjCNHeNZ0XIxFn2LMZ7WSkwYdGHwf-Sg&amp;sig2=95o_ahGYKaexXOvOWjNkbA&amp;bvm=bv.44990110,d.bGE" TargetMode="External"/><Relationship Id="rId214" Type="http://schemas.openxmlformats.org/officeDocument/2006/relationships/hyperlink" Target="http://www.molsa.gov.il/ProjectShmid/Ishuvim/Pages/Ishuvim_Page1.aspx" TargetMode="External"/><Relationship Id="rId25" Type="http://schemas.openxmlformats.org/officeDocument/2006/relationships/hyperlink" Target="http://www.antidrugs.org.il/pages/1834.aspx?keySearch=&#1505;&#1502;&#1497;%20&#1508;&#1497;&#1510;&#1493;&#1510;&#1497;&#1493;&#1514;" TargetMode="External"/><Relationship Id="rId46" Type="http://schemas.openxmlformats.org/officeDocument/2006/relationships/hyperlink" Target="http://www.antidrugs.gov.il/download/files/%D7%90%D7%A4%D7%99%D7%93%D7%9E%D7%99%D7%95%D7%9C%D7%95%D7%92%D7%99%202009%20_1.pdf" TargetMode="External"/><Relationship Id="rId67" Type="http://schemas.openxmlformats.org/officeDocument/2006/relationships/hyperlink" Target="http://fs.knesset.gov.il/19/law/19_lsr_301589.pdf" TargetMode="External"/><Relationship Id="rId116" Type="http://schemas.openxmlformats.org/officeDocument/2006/relationships/hyperlink" Target="http://fs.knesset.gov.il/19/Committees/19_ptv_272544.doc" TargetMode="External"/><Relationship Id="rId137" Type="http://schemas.openxmlformats.org/officeDocument/2006/relationships/hyperlink" Target="http://www.antidrugs.gov.il/download/files/%D7%A1%D7%A7%D7%A8%20HBSC%202011%20%D7%A1%D7%95%D7%A4%D7%99%20%D7%9E%D7%99%D7%A2%D7%9C_2.pdf" TargetMode="External"/><Relationship Id="rId158" Type="http://schemas.openxmlformats.org/officeDocument/2006/relationships/hyperlink" Target="https://www.google.com/url?sa=t&amp;rct=j&amp;q=&amp;esrc=s&amp;source=web&amp;cd=2&amp;cad=rja&amp;ved=0CDMQFjAB&amp;url=http%3A%2F%2Fwww.nevo.co.il%2FLaw_word%2FLaw01%2Fp170_001.doc&amp;ei=eFtlUeCoMcWM4gTj4oCgAQ&amp;usg=AFQjCNHeNZ0XIxFn2LMZ7WSkwYdGHwf-Sg&amp;sig2=95o_ahGYKaexXOvOWjNkbA&amp;bvm=bv.44990110,d.bGE" TargetMode="External"/><Relationship Id="rId20" Type="http://schemas.openxmlformats.org/officeDocument/2006/relationships/hyperlink" Target="http://www.nevo.co.il/Law_word/law14/law-2335.pdf" TargetMode="External"/><Relationship Id="rId41" Type="http://schemas.openxmlformats.org/officeDocument/2006/relationships/hyperlink" Target="http://stats.oecd.org/wbos/fileview2.aspx?IDFile=17d36de2-b4ae-409a-9968-a27c7f2857e4" TargetMode="External"/><Relationship Id="rId62" Type="http://schemas.openxmlformats.org/officeDocument/2006/relationships/hyperlink" Target="https://www.google.com/url?sa=t&amp;rct=j&amp;q=&amp;esrc=s&amp;source=web&amp;cd=2&amp;cad=rja&amp;ved=0CDMQFjAB&amp;url=http%3A%2F%2Fwww.nevo.co.il%2FLaw_word%2FLaw01%2Fp170_001.doc&amp;ei=eFtlUeCoMcWM4gTj4oCgAQ&amp;usg=AFQjCNHeNZ0XIxFn2LMZ7WSkwYdGHwf-Sg&amp;sig2=95o_ahGYKaexXOvOWjNkbA&amp;bvm=bv.44990110,d.bGE" TargetMode="External"/><Relationship Id="rId83" Type="http://schemas.openxmlformats.org/officeDocument/2006/relationships/hyperlink" Target="http://www.nevo.co.il/law_html/law01/073_002.htm" TargetMode="External"/><Relationship Id="rId88" Type="http://schemas.openxmlformats.org/officeDocument/2006/relationships/hyperlink" Target="http://www.nevo.co.il/law_html/Law01/p212m1_001.htm" TargetMode="External"/><Relationship Id="rId111" Type="http://schemas.openxmlformats.org/officeDocument/2006/relationships/hyperlink" Target="http://fs.knesset.gov.il/19/Committees/19_ptv_242173.doc" TargetMode="External"/><Relationship Id="rId132" Type="http://schemas.openxmlformats.org/officeDocument/2006/relationships/hyperlink" Target="http://www.nevo.co.il/law_html/Law14/law-2256.pdf" TargetMode="External"/><Relationship Id="rId153" Type="http://schemas.openxmlformats.org/officeDocument/2006/relationships/hyperlink" Target="http://www.nevo.co.il/law_html/law01/073_042.htm" TargetMode="External"/><Relationship Id="rId174" Type="http://schemas.openxmlformats.org/officeDocument/2006/relationships/hyperlink" Target="https://www.google.com/url?sa=t&amp;rct=j&amp;q=&amp;esrc=s&amp;source=web&amp;cd=2&amp;cad=rja&amp;ved=0CDMQFjAB&amp;url=http%3A%2F%2Fwww.nevo.co.il%2FLaw_word%2FLaw01%2Fp170_001.doc&amp;ei=eFtlUeCoMcWM4gTj4oCgAQ&amp;usg=AFQjCNHeNZ0XIxFn2LMZ7WSkwYdGHwf-Sg&amp;sig2=95o_ahGYKaexXOvOWjNkbA&amp;bvm=bv.44990110,d.bGE" TargetMode="External"/><Relationship Id="rId179" Type="http://schemas.openxmlformats.org/officeDocument/2006/relationships/hyperlink" Target="https://www.google.co.il/url?sa=t&amp;rct=j&amp;q=&amp;esrc=s&amp;source=web&amp;cd=1&amp;ved=0CCAQFjAA&amp;url=http%3A%2F%2Fabush.health.gov.il%2Fdownload%2Fforms%2Fa3775_samim_81_010610.doc&amp;ei=mZ8XVd3eCJfXarz-gsgI&amp;usg=AFQjCNEd7qkR5zxHetV64GUQx45micA-vA&amp;sig2=a9gTmFRzzXwGYJXaXwQevg" TargetMode="External"/><Relationship Id="rId195" Type="http://schemas.openxmlformats.org/officeDocument/2006/relationships/hyperlink" Target="http://www.health.gov.il/UnitsOffice/HD/cannabis/Pages/default.aspx" TargetMode="External"/><Relationship Id="rId209" Type="http://schemas.openxmlformats.org/officeDocument/2006/relationships/hyperlink" Target="http://www.molsa.gov.il/ProjectShmid/Pages/ProjectHome.aspx" TargetMode="External"/><Relationship Id="rId190" Type="http://schemas.openxmlformats.org/officeDocument/2006/relationships/hyperlink" Target="http://www.pmo.gov.il/Secretary/GovDecisions/2011/Pages/des3609.aspx" TargetMode="External"/><Relationship Id="rId204" Type="http://schemas.openxmlformats.org/officeDocument/2006/relationships/hyperlink" Target="http://www.molsa.gov.il/CommunityInfo/ResearchAndEvaluation/Documents/&#1488;&#1493;&#1499;&#1500;&#1493;&#1505;&#1497;&#1497;&#1514;_&#1492;&#1502;&#1514;&#1502;&#1499;&#1512;&#1497;&#1501;_&#1500;&#1505;&#1502;&#1497;&#1501;_&#1488;&#1500;&#1499;&#1493;&#1492;&#1493;&#1500;_&#1493;&#1492;&#1497;&#1502;&#1493;&#1512;&#1497;&#1501;_-_4&#1488;%5b1%5d.pdf" TargetMode="External"/><Relationship Id="rId15" Type="http://schemas.openxmlformats.org/officeDocument/2006/relationships/hyperlink" Target="https://www.google.com/url?sa=t&amp;rct=j&amp;q=&amp;esrc=s&amp;source=web&amp;cd=2&amp;cad=rja&amp;ved=0CDMQFjAB&amp;url=http%3A%2F%2Fwww.nevo.co.il%2FLaw_word%2FLaw01%2Fp170_001.doc&amp;ei=eFtlUeCoMcWM4gTj4oCgAQ&amp;usg=AFQjCNHeNZ0XIxFn2LMZ7WSkwYdGHwf-Sg&amp;sig2=95o_ahGYKaexXOvOWjNkbA&amp;bvm=bv.44990110,d.bGE" TargetMode="External"/><Relationship Id="rId36" Type="http://schemas.openxmlformats.org/officeDocument/2006/relationships/hyperlink" Target="http://apps.who.int/iris/bitstream/10665/112736/1/9789240692763_eng.pdf?ua=1" TargetMode="External"/><Relationship Id="rId57" Type="http://schemas.openxmlformats.org/officeDocument/2006/relationships/hyperlink" Target="http://www.pmo.gov.il/Secretary/GovDecisions/2009/Pages/des44.aspx" TargetMode="External"/><Relationship Id="rId106" Type="http://schemas.openxmlformats.org/officeDocument/2006/relationships/hyperlink" Target="http://fs.knesset.gov.il/19/Committees/19_ptv_281716.doc" TargetMode="External"/><Relationship Id="rId127" Type="http://schemas.openxmlformats.org/officeDocument/2006/relationships/hyperlink" Target="http://www.nevo.co.il/law_html/law01/P170_007.htm" TargetMode="External"/><Relationship Id="rId10" Type="http://schemas.openxmlformats.org/officeDocument/2006/relationships/hyperlink" Target="https://www.knesset.gov.il/mmm/data/pdf/m03291.pdf" TargetMode="External"/><Relationship Id="rId31" Type="http://schemas.openxmlformats.org/officeDocument/2006/relationships/hyperlink" Target="http://www.ncbi.nlm.nih.gov/pmc/articles/PMC1447049/" TargetMode="External"/><Relationship Id="rId52" Type="http://schemas.openxmlformats.org/officeDocument/2006/relationships/hyperlink" Target="http://apps.who.int/iris/bitstream/10665/112736/1/9789240692763_eng.pdf?ua=1" TargetMode="External"/><Relationship Id="rId73" Type="http://schemas.openxmlformats.org/officeDocument/2006/relationships/hyperlink" Target="http://www.nevo.co.il/Handlers/LawOpenDoc.ashx?id=73491" TargetMode="External"/><Relationship Id="rId78" Type="http://schemas.openxmlformats.org/officeDocument/2006/relationships/hyperlink" Target="http://www.nevo.co.il/law_html/law01/p212m1_001.htm" TargetMode="External"/><Relationship Id="rId94" Type="http://schemas.openxmlformats.org/officeDocument/2006/relationships/hyperlink" Target="http://fs.knesset.gov.il/19/Committees/19_ptv_277610.doc" TargetMode="External"/><Relationship Id="rId99" Type="http://schemas.openxmlformats.org/officeDocument/2006/relationships/hyperlink" Target="http://fs.knesset.gov.il/19/Committees/19_ptv_261305.doc" TargetMode="External"/><Relationship Id="rId101" Type="http://schemas.openxmlformats.org/officeDocument/2006/relationships/hyperlink" Target="http://fs.knesset.gov.il/19/Committees/19_ptv_299304.doc" TargetMode="External"/><Relationship Id="rId122" Type="http://schemas.openxmlformats.org/officeDocument/2006/relationships/hyperlink" Target="http://www.nevo.co.il/Handlers/LawOpenDoc.ashx?id=4218" TargetMode="External"/><Relationship Id="rId143" Type="http://schemas.openxmlformats.org/officeDocument/2006/relationships/hyperlink" Target="file:///C:/Users/hok_elazar/AppData/Local/Microsoft/Windows/Temporary%20Internet%20Files/Content.Outlook/4MWRY32G/&#1492;&#1510;&#1506;&#1514;%20&#1495;&#1493;&#1511;%20&#1492;&#1502;&#1488;&#1489;&#1511;%20&#1489;&#1514;&#1493;&#1508;&#1506;&#1514;%20&#1492;&#1513;&#1497;&#1502;&#1493;&#1513;%20&#1489;&#1495;&#1493;&#1502;&#1512;&#1497;&#1501;%20&#1502;&#1505;&#1499;&#1504;&#1497;&#1501;,%20&#1492;&#1514;&#1513;&#1506;%22&#1490;-2013" TargetMode="External"/><Relationship Id="rId148" Type="http://schemas.openxmlformats.org/officeDocument/2006/relationships/hyperlink" Target="http://www.nevo.co.il/law_html/law01/073_002.htm" TargetMode="External"/><Relationship Id="rId164" Type="http://schemas.openxmlformats.org/officeDocument/2006/relationships/hyperlink" Target="http://www.knesset.gov.il/mmm/data/pdf/m03419.pdf" TargetMode="External"/><Relationship Id="rId169" Type="http://schemas.openxmlformats.org/officeDocument/2006/relationships/hyperlink" Target="http://www.knesset.gov.il/mmm/data/pdf/m02881.pdf" TargetMode="External"/><Relationship Id="rId185" Type="http://schemas.openxmlformats.org/officeDocument/2006/relationships/hyperlink" Target="https://www.google.co.il/url?sa=t&amp;rct=j&amp;q=&amp;esrc=s&amp;source=web&amp;cd=1&amp;ved=0CCAQFjAA&amp;url=http%3A%2F%2Fabush.health.gov.il%2Fdownload%2Fforms%2Fa3775_samim_81_010610.doc&amp;ei=mZ8XVd3eCJfXarz-gsgI&amp;usg=AFQjCNEd7qkR5zxHetV64GUQx45micA-vA&amp;sig2=a9gTmFRzzXwGYJXaXwQevg" TargetMode="External"/><Relationship Id="rId4" Type="http://schemas.openxmlformats.org/officeDocument/2006/relationships/hyperlink" Target="http://www.antidrugs.gov.il/download/files/%D7%90%D7%A4%D7%99%D7%93%D7%9E%D7%99%D7%95%D7%9C%D7%95%D7%92%D7%99%202009%20_1.pdf" TargetMode="External"/><Relationship Id="rId9" Type="http://schemas.openxmlformats.org/officeDocument/2006/relationships/hyperlink" Target="http://www.pmo.gov.il/Secretary/GovDecisions/2011/Pages/des3609.aspx" TargetMode="External"/><Relationship Id="rId180" Type="http://schemas.openxmlformats.org/officeDocument/2006/relationships/hyperlink" Target="https://www.google.com/url?sa=t&amp;rct=j&amp;q=&amp;esrc=s&amp;source=web&amp;cd=2&amp;cad=rja&amp;ved=0CDMQFjAB&amp;url=http%3A%2F%2Fwww.nevo.co.il%2FLaw_word%2FLaw01%2Fp170_001.doc&amp;ei=eFtlUeCoMcWM4gTj4oCgAQ&amp;usg=AFQjCNHeNZ0XIxFn2LMZ7WSkwYdGHwf-Sg&amp;sig2=95o_ahGYKaexXOvOWjNkbA&amp;bvm=bv.44990110,d.bGE" TargetMode="External"/><Relationship Id="rId210" Type="http://schemas.openxmlformats.org/officeDocument/2006/relationships/hyperlink" Target="http://www.pmo.gov.il/Secretary/GovDecisions/2006/Pages/des477.aspx" TargetMode="External"/><Relationship Id="rId26" Type="http://schemas.openxmlformats.org/officeDocument/2006/relationships/hyperlink" Target="http://www.emcdda.europa.eu/publications/edr/trends-developments/2014" TargetMode="External"/><Relationship Id="rId47" Type="http://schemas.openxmlformats.org/officeDocument/2006/relationships/hyperlink" Target="http://www.rsa.gov.il/meidamechkar/MechkarimSkarim/documents/alkohol2012.pdf" TargetMode="External"/><Relationship Id="rId68" Type="http://schemas.openxmlformats.org/officeDocument/2006/relationships/hyperlink" Target="https://www.google.com/url?sa=t&amp;rct=j&amp;q=&amp;esrc=s&amp;source=web&amp;cd=2&amp;cad=rja&amp;ved=0CDMQFjAB&amp;url=http%3A%2F%2Fwww.nevo.co.il%2FLaw_word%2FLaw01%2Fp170_001.doc&amp;ei=eFtlUeCoMcWM4gTj4oCgAQ&amp;usg=AFQjCNHeNZ0XIxFn2LMZ7WSkwYdGHwf-Sg&amp;sig2=95o_ahGYKaexXOvOWjNkbA&amp;bvm=bv.44990110,d.bGE" TargetMode="External"/><Relationship Id="rId89" Type="http://schemas.openxmlformats.org/officeDocument/2006/relationships/hyperlink" Target="http://www.nevo.co.il/Law_word/law14/law-2393.pdf" TargetMode="External"/><Relationship Id="rId112" Type="http://schemas.openxmlformats.org/officeDocument/2006/relationships/hyperlink" Target="http://fs.knesset.gov.il/19/Committees/19_ptv_303145.doc" TargetMode="External"/><Relationship Id="rId133" Type="http://schemas.openxmlformats.org/officeDocument/2006/relationships/hyperlink" Target="http://www.nevo.co.il/Handlers/LawOpenDoc.ashx?id=73491" TargetMode="External"/><Relationship Id="rId154" Type="http://schemas.openxmlformats.org/officeDocument/2006/relationships/hyperlink" Target="http://www.cwv.gov.il/About/Pages/VisionNGoal.aspx" TargetMode="External"/><Relationship Id="rId175" Type="http://schemas.openxmlformats.org/officeDocument/2006/relationships/hyperlink" Target="http://www.nevo.co.il/Law_word/law14/law-2335.pdf" TargetMode="External"/><Relationship Id="rId196" Type="http://schemas.openxmlformats.org/officeDocument/2006/relationships/hyperlink" Target="http://www.pmo.gov.il/Secretary/GovDecisions/2013/Pages/dec1050.aspx" TargetMode="External"/><Relationship Id="rId200" Type="http://schemas.openxmlformats.org/officeDocument/2006/relationships/hyperlink" Target="http://www.health.gov.il/hozer/DR_106.pdf" TargetMode="External"/><Relationship Id="rId16" Type="http://schemas.openxmlformats.org/officeDocument/2006/relationships/hyperlink" Target="http://www.nevo.co.il/Handlers/LawOpenDoc.ashx?id=127622"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filer\users$\adiin\My%20Documents\&#1506;&#1491;&#1499;&#1493;&#1503;%20-%20&#1493;&#1493;&#1506;&#1491;&#1492;%20&#1500;&#1502;&#1500;&#1495;&#1502;&#1492;%20&#1489;&#1505;&#1502;&#1497;&#1501;%20-%202015\&#1512;&#1511;&#1506;%20-%20&#1495;&#1493;&#1502;&#1512;&#1497;&#1501;%20&#1489;&#1497;&#1504;&#1500;&#1488;&#1493;&#1502;&#1497;&#1497;&#1501;\OECD%20APC%202010.xml"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1495;&#1493;&#1489;&#1512;&#1514;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'Alcohol consumption'!$BI$46</c:f>
              <c:strCache>
                <c:ptCount val="1"/>
                <c:pt idx="0">
                  <c:v>ליטרים לנפש (גילאי 15+)</c:v>
                </c:pt>
              </c:strCache>
            </c:strRef>
          </c:tx>
          <c:invertIfNegative val="0"/>
          <c:dPt>
            <c:idx val="1"/>
            <c:invertIfNegative val="0"/>
            <c:bubble3D val="0"/>
            <c:spPr>
              <a:pattFill prst="wdUpDiag">
                <a:fgClr>
                  <a:srgbClr val="C00000"/>
                </a:fgClr>
                <a:bgClr>
                  <a:schemeClr val="bg1"/>
                </a:bgClr>
              </a:pattFill>
              <a:ln>
                <a:solidFill>
                  <a:srgbClr val="FF0000"/>
                </a:solidFill>
              </a:ln>
            </c:spPr>
          </c:dPt>
          <c:dPt>
            <c:idx val="14"/>
            <c:invertIfNegative val="0"/>
            <c:bubble3D val="0"/>
            <c:spPr>
              <a:pattFill prst="wdUpDiag">
                <a:fgClr>
                  <a:srgbClr val="C00000"/>
                </a:fgClr>
                <a:bgClr>
                  <a:schemeClr val="bg1"/>
                </a:bgClr>
              </a:pattFill>
              <a:ln>
                <a:solidFill>
                  <a:srgbClr val="FF0000"/>
                </a:solidFill>
              </a:ln>
            </c:spPr>
          </c:dPt>
          <c:cat>
            <c:strRef>
              <c:f>'Alcohol consumption'!$BH$47:$BH$81</c:f>
              <c:strCache>
                <c:ptCount val="35"/>
                <c:pt idx="0">
                  <c:v>טורקיה</c:v>
                </c:pt>
                <c:pt idx="1">
                  <c:v>ישראל</c:v>
                </c:pt>
                <c:pt idx="2">
                  <c:v>מקסיקו</c:v>
                </c:pt>
                <c:pt idx="3">
                  <c:v>איטליה</c:v>
                </c:pt>
                <c:pt idx="4">
                  <c:v>איסלנד</c:v>
                </c:pt>
                <c:pt idx="5">
                  <c:v>נורווגיה</c:v>
                </c:pt>
                <c:pt idx="6">
                  <c:v>יפן</c:v>
                </c:pt>
                <c:pt idx="7">
                  <c:v>שוודיה</c:v>
                </c:pt>
                <c:pt idx="8">
                  <c:v>צ'ילה</c:v>
                </c:pt>
                <c:pt idx="9">
                  <c:v>יוון</c:v>
                </c:pt>
                <c:pt idx="10">
                  <c:v>קנדה</c:v>
                </c:pt>
                <c:pt idx="11">
                  <c:v>ארה"ב</c:v>
                </c:pt>
                <c:pt idx="12">
                  <c:v>קוריאה</c:v>
                </c:pt>
                <c:pt idx="13">
                  <c:v>הולנד</c:v>
                </c:pt>
                <c:pt idx="14">
                  <c:v>OECD</c:v>
                </c:pt>
                <c:pt idx="15">
                  <c:v>ניו-זילנד</c:v>
                </c:pt>
                <c:pt idx="16">
                  <c:v>פינלנד</c:v>
                </c:pt>
                <c:pt idx="17">
                  <c:v>ספרד</c:v>
                </c:pt>
                <c:pt idx="18">
                  <c:v>פולין</c:v>
                </c:pt>
                <c:pt idx="19">
                  <c:v>שוויץ</c:v>
                </c:pt>
                <c:pt idx="20">
                  <c:v>סלובקיה</c:v>
                </c:pt>
                <c:pt idx="21">
                  <c:v>אוסטרליה</c:v>
                </c:pt>
                <c:pt idx="22">
                  <c:v>דנמרק</c:v>
                </c:pt>
                <c:pt idx="23">
                  <c:v>סלובניה</c:v>
                </c:pt>
                <c:pt idx="24">
                  <c:v>בריטניה</c:v>
                </c:pt>
                <c:pt idx="25">
                  <c:v>בלגיה</c:v>
                </c:pt>
                <c:pt idx="26">
                  <c:v>הונגריה</c:v>
                </c:pt>
                <c:pt idx="27">
                  <c:v>פורטוגל</c:v>
                </c:pt>
                <c:pt idx="28">
                  <c:v>גרמניה</c:v>
                </c:pt>
                <c:pt idx="29">
                  <c:v>צ'כיה</c:v>
                </c:pt>
                <c:pt idx="30">
                  <c:v>אסטוניה</c:v>
                </c:pt>
                <c:pt idx="31">
                  <c:v>לוקסמבורג</c:v>
                </c:pt>
                <c:pt idx="32">
                  <c:v>אירלנד</c:v>
                </c:pt>
                <c:pt idx="33">
                  <c:v>צרפת</c:v>
                </c:pt>
                <c:pt idx="34">
                  <c:v>אוסטריה</c:v>
                </c:pt>
              </c:strCache>
            </c:strRef>
          </c:cat>
          <c:val>
            <c:numRef>
              <c:f>'Alcohol consumption'!$BI$47:$BI$81</c:f>
              <c:numCache>
                <c:formatCode>General</c:formatCode>
                <c:ptCount val="35"/>
                <c:pt idx="0">
                  <c:v>1.5</c:v>
                </c:pt>
                <c:pt idx="1">
                  <c:v>2.7</c:v>
                </c:pt>
                <c:pt idx="2">
                  <c:v>5.4</c:v>
                </c:pt>
                <c:pt idx="3">
                  <c:v>6.1</c:v>
                </c:pt>
                <c:pt idx="4">
                  <c:v>6.3</c:v>
                </c:pt>
                <c:pt idx="5">
                  <c:v>6.6</c:v>
                </c:pt>
                <c:pt idx="6">
                  <c:v>7.3</c:v>
                </c:pt>
                <c:pt idx="7">
                  <c:v>7.3</c:v>
                </c:pt>
                <c:pt idx="8">
                  <c:v>7.9</c:v>
                </c:pt>
                <c:pt idx="9">
                  <c:v>7.9</c:v>
                </c:pt>
                <c:pt idx="10">
                  <c:v>8.2000000000000011</c:v>
                </c:pt>
                <c:pt idx="11">
                  <c:v>8.6</c:v>
                </c:pt>
                <c:pt idx="12">
                  <c:v>9</c:v>
                </c:pt>
                <c:pt idx="13">
                  <c:v>9.3000000000000007</c:v>
                </c:pt>
                <c:pt idx="14">
                  <c:v>9.5</c:v>
                </c:pt>
                <c:pt idx="15">
                  <c:v>9.6</c:v>
                </c:pt>
                <c:pt idx="16">
                  <c:v>9.7000000000000011</c:v>
                </c:pt>
                <c:pt idx="17">
                  <c:v>9.8000000000000007</c:v>
                </c:pt>
                <c:pt idx="18">
                  <c:v>10</c:v>
                </c:pt>
                <c:pt idx="19">
                  <c:v>10</c:v>
                </c:pt>
                <c:pt idx="20">
                  <c:v>10.1</c:v>
                </c:pt>
                <c:pt idx="21">
                  <c:v>10.3</c:v>
                </c:pt>
                <c:pt idx="22">
                  <c:v>10.3</c:v>
                </c:pt>
                <c:pt idx="23">
                  <c:v>10.3</c:v>
                </c:pt>
                <c:pt idx="24">
                  <c:v>10.3</c:v>
                </c:pt>
                <c:pt idx="25">
                  <c:v>10.6</c:v>
                </c:pt>
                <c:pt idx="26">
                  <c:v>10.8</c:v>
                </c:pt>
                <c:pt idx="27">
                  <c:v>10.8</c:v>
                </c:pt>
                <c:pt idx="28">
                  <c:v>11.2</c:v>
                </c:pt>
                <c:pt idx="29">
                  <c:v>11.4</c:v>
                </c:pt>
                <c:pt idx="30">
                  <c:v>11.4</c:v>
                </c:pt>
                <c:pt idx="31">
                  <c:v>11.4</c:v>
                </c:pt>
                <c:pt idx="32">
                  <c:v>11.6</c:v>
                </c:pt>
                <c:pt idx="33">
                  <c:v>12</c:v>
                </c:pt>
                <c:pt idx="34">
                  <c:v>12.5</c:v>
                </c:pt>
              </c:numCache>
            </c:numRef>
          </c:val>
        </c:ser>
        <c:dLbls>
          <c:showLegendKey val="0"/>
          <c:showVal val="0"/>
          <c:showCatName val="0"/>
          <c:showSerName val="0"/>
          <c:showPercent val="0"/>
          <c:showBubbleSize val="0"/>
        </c:dLbls>
        <c:gapWidth val="150"/>
        <c:axId val="431066296"/>
        <c:axId val="431069432"/>
      </c:barChart>
      <c:catAx>
        <c:axId val="431066296"/>
        <c:scaling>
          <c:orientation val="minMax"/>
        </c:scaling>
        <c:delete val="0"/>
        <c:axPos val="b"/>
        <c:numFmt formatCode="General" sourceLinked="0"/>
        <c:majorTickMark val="out"/>
        <c:minorTickMark val="none"/>
        <c:tickLblPos val="nextTo"/>
        <c:txPr>
          <a:bodyPr/>
          <a:lstStyle/>
          <a:p>
            <a:pPr>
              <a:defRPr sz="800"/>
            </a:pPr>
            <a:endParaRPr lang="he-IL"/>
          </a:p>
        </c:txPr>
        <c:crossAx val="431069432"/>
        <c:crosses val="autoZero"/>
        <c:auto val="1"/>
        <c:lblAlgn val="ctr"/>
        <c:lblOffset val="100"/>
        <c:noMultiLvlLbl val="0"/>
      </c:catAx>
      <c:valAx>
        <c:axId val="431069432"/>
        <c:scaling>
          <c:orientation val="minMax"/>
        </c:scaling>
        <c:delete val="0"/>
        <c:axPos val="l"/>
        <c:majorGridlines/>
        <c:numFmt formatCode="General" sourceLinked="1"/>
        <c:majorTickMark val="out"/>
        <c:minorTickMark val="none"/>
        <c:tickLblPos val="nextTo"/>
        <c:crossAx val="431066296"/>
        <c:crosses val="autoZero"/>
        <c:crossBetween val="between"/>
      </c:valAx>
    </c:plotArea>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pieChart>
        <c:varyColors val="1"/>
        <c:ser>
          <c:idx val="0"/>
          <c:order val="0"/>
          <c:tx>
            <c:strRef>
              <c:f>גיליון1!$F$35</c:f>
              <c:strCache>
                <c:ptCount val="1"/>
                <c:pt idx="0">
                  <c:v>מספר עבירות בשנת 2014</c:v>
                </c:pt>
              </c:strCache>
            </c:strRef>
          </c:tx>
          <c:spPr>
            <a:ln w="28575">
              <a:solidFill>
                <a:schemeClr val="tx1"/>
              </a:solidFill>
            </a:ln>
          </c:spPr>
          <c:dPt>
            <c:idx val="0"/>
            <c:bubble3D val="0"/>
            <c:spPr>
              <a:pattFill prst="pct25">
                <a:fgClr>
                  <a:schemeClr val="accent1"/>
                </a:fgClr>
                <a:bgClr>
                  <a:schemeClr val="bg1"/>
                </a:bgClr>
              </a:pattFill>
              <a:ln w="28575">
                <a:solidFill>
                  <a:schemeClr val="tx1"/>
                </a:solidFill>
              </a:ln>
            </c:spPr>
          </c:dPt>
          <c:dPt>
            <c:idx val="2"/>
            <c:bubble3D val="0"/>
            <c:spPr>
              <a:pattFill prst="lgGrid">
                <a:fgClr>
                  <a:schemeClr val="accent1"/>
                </a:fgClr>
                <a:bgClr>
                  <a:schemeClr val="bg1"/>
                </a:bgClr>
              </a:pattFill>
              <a:ln w="28575">
                <a:solidFill>
                  <a:schemeClr val="tx1"/>
                </a:solidFill>
              </a:ln>
            </c:spPr>
          </c:dPt>
          <c:dLbls>
            <c:dLbl>
              <c:idx val="0"/>
              <c:layout>
                <c:manualLayout>
                  <c:x val="-0.10215879265091864"/>
                  <c:y val="8.4420384951881047E-2"/>
                </c:manualLayout>
              </c:layout>
              <c:tx>
                <c:rich>
                  <a:bodyPr/>
                  <a:lstStyle/>
                  <a:p>
                    <a:r>
                      <a:rPr lang="he-IL" sz="1400" b="1"/>
                      <a:t>598</a:t>
                    </a:r>
                    <a:endParaRPr lang="he-IL"/>
                  </a:p>
                </c:rich>
              </c:tx>
              <c:showLegendKey val="0"/>
              <c:showVal val="1"/>
              <c:showCatName val="0"/>
              <c:showSerName val="0"/>
              <c:showPercent val="0"/>
              <c:showBubbleSize val="0"/>
              <c:extLst>
                <c:ext xmlns:c15="http://schemas.microsoft.com/office/drawing/2012/chart" uri="{CE6537A1-D6FC-4f65-9D91-7224C49458BB}"/>
              </c:extLst>
            </c:dLbl>
            <c:dLbl>
              <c:idx val="1"/>
              <c:layout>
                <c:manualLayout>
                  <c:x val="-5.4633748906386725E-2"/>
                  <c:y val="-0.24289552347623222"/>
                </c:manualLayout>
              </c:layout>
              <c:tx>
                <c:rich>
                  <a:bodyPr/>
                  <a:lstStyle/>
                  <a:p>
                    <a:r>
                      <a:rPr lang="en-US" sz="1400"/>
                      <a:t>939</a:t>
                    </a:r>
                    <a:endParaRPr lang="en-US"/>
                  </a:p>
                </c:rich>
              </c:tx>
              <c:showLegendKey val="0"/>
              <c:showVal val="1"/>
              <c:showCatName val="0"/>
              <c:showSerName val="0"/>
              <c:showPercent val="0"/>
              <c:showBubbleSize val="0"/>
              <c:extLst>
                <c:ext xmlns:c15="http://schemas.microsoft.com/office/drawing/2012/chart" uri="{CE6537A1-D6FC-4f65-9D91-7224C49458BB}"/>
              </c:extLst>
            </c:dLbl>
            <c:dLbl>
              <c:idx val="2"/>
              <c:layout>
                <c:manualLayout>
                  <c:x val="0.12611056430446188"/>
                  <c:y val="8.1716243802857996E-2"/>
                </c:manualLayout>
              </c:layout>
              <c:spPr/>
              <c:txPr>
                <a:bodyPr/>
                <a:lstStyle/>
                <a:p>
                  <a:pPr>
                    <a:defRPr sz="1400" b="1"/>
                  </a:pPr>
                  <a:endParaRPr lang="he-IL"/>
                </a:p>
              </c:txP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sz="1200" b="1"/>
                </a:pPr>
                <a:endParaRPr lang="he-IL"/>
              </a:p>
            </c:txPr>
            <c:showLegendKey val="0"/>
            <c:showVal val="1"/>
            <c:showCatName val="0"/>
            <c:showSerName val="0"/>
            <c:showPercent val="0"/>
            <c:showBubbleSize val="0"/>
            <c:showLeaderLines val="0"/>
            <c:extLst>
              <c:ext xmlns:c15="http://schemas.microsoft.com/office/drawing/2012/chart" uri="{CE6537A1-D6FC-4f65-9D91-7224C49458BB}"/>
            </c:extLst>
          </c:dLbls>
          <c:cat>
            <c:strRef>
              <c:f>גיליון1!$E$36:$E$38</c:f>
              <c:strCache>
                <c:ptCount val="3"/>
                <c:pt idx="0">
                  <c:v> איסור מכירת משקה משכר לקטין</c:v>
                </c:pt>
                <c:pt idx="1">
                  <c:v>מכירת משקה משכר לקטין</c:v>
                </c:pt>
                <c:pt idx="2">
                  <c:v>הספקת או רכישת משקה משכר לקטין</c:v>
                </c:pt>
              </c:strCache>
            </c:strRef>
          </c:cat>
          <c:val>
            <c:numRef>
              <c:f>גיליון1!$F$36:$F$38</c:f>
              <c:numCache>
                <c:formatCode>General</c:formatCode>
                <c:ptCount val="3"/>
                <c:pt idx="0">
                  <c:v>598</c:v>
                </c:pt>
                <c:pt idx="1">
                  <c:v>939</c:v>
                </c:pt>
                <c:pt idx="2">
                  <c:v>801</c:v>
                </c:pt>
              </c:numCache>
            </c:numRef>
          </c:val>
        </c:ser>
        <c:ser>
          <c:idx val="1"/>
          <c:order val="1"/>
          <c:tx>
            <c:strRef>
              <c:f>גיליון1!$G$35</c:f>
              <c:strCache>
                <c:ptCount val="1"/>
              </c:strCache>
            </c:strRef>
          </c:tx>
          <c:cat>
            <c:strRef>
              <c:f>גיליון1!$E$36:$E$38</c:f>
              <c:strCache>
                <c:ptCount val="3"/>
                <c:pt idx="0">
                  <c:v> איסור מכירת משקה משכר לקטין</c:v>
                </c:pt>
                <c:pt idx="1">
                  <c:v>מכירת משקה משכר לקטין</c:v>
                </c:pt>
                <c:pt idx="2">
                  <c:v>הספקת או רכישת משקה משכר לקטין</c:v>
                </c:pt>
              </c:strCache>
            </c:strRef>
          </c:cat>
          <c:val>
            <c:numRef>
              <c:f>גיליון1!$G$36:$G$38</c:f>
              <c:numCache>
                <c:formatCode>General</c:formatCode>
                <c:ptCount val="3"/>
                <c:pt idx="0">
                  <c:v>0.25577416595380686</c:v>
                </c:pt>
                <c:pt idx="1">
                  <c:v>0.40162532078699731</c:v>
                </c:pt>
                <c:pt idx="2">
                  <c:v>0.34260051325919588</c:v>
                </c:pt>
              </c:numCache>
            </c:numRef>
          </c:val>
        </c:ser>
        <c:dLbls>
          <c:showLegendKey val="0"/>
          <c:showVal val="0"/>
          <c:showCatName val="0"/>
          <c:showSerName val="0"/>
          <c:showPercent val="0"/>
          <c:showBubbleSize val="0"/>
          <c:showLeaderLines val="0"/>
        </c:dLbls>
        <c:firstSliceAng val="0"/>
      </c:pieChart>
    </c:plotArea>
    <c:legend>
      <c:legendPos val="r"/>
      <c:layout>
        <c:manualLayout>
          <c:xMode val="edge"/>
          <c:yMode val="edge"/>
          <c:x val="0.55846245526866611"/>
          <c:y val="0.27436897857827652"/>
          <c:w val="0.43903156412100119"/>
          <c:h val="0.50672744913952605"/>
        </c:manualLayout>
      </c:layout>
      <c:overlay val="0"/>
    </c:legend>
    <c:plotVisOnly val="1"/>
    <c:dispBlanksAs val="zero"/>
    <c:showDLblsOverMax val="0"/>
  </c:chart>
  <c:spPr>
    <a:solidFill>
      <a:schemeClr val="bg1"/>
    </a:solidFill>
    <a:ln>
      <a:noFill/>
    </a:ln>
  </c:sp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0.34375</cdr:x>
      <cdr:y>0.36143</cdr:y>
    </cdr:from>
    <cdr:to>
      <cdr:x>0.52364</cdr:x>
      <cdr:y>0.44548</cdr:y>
    </cdr:to>
    <cdr:sp macro="" textlink="">
      <cdr:nvSpPr>
        <cdr:cNvPr id="2" name="TextBox 1"/>
        <cdr:cNvSpPr txBox="1"/>
      </cdr:nvSpPr>
      <cdr:spPr>
        <a:xfrm xmlns:a="http://schemas.openxmlformats.org/drawingml/2006/main">
          <a:off x="1742540" y="919857"/>
          <a:ext cx="911881" cy="21392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000" b="1"/>
            <a:t>(26%)</a:t>
          </a:r>
        </a:p>
      </cdr:txBody>
    </cdr:sp>
  </cdr:relSizeAnchor>
  <cdr:relSizeAnchor xmlns:cdr="http://schemas.openxmlformats.org/drawingml/2006/chartDrawing">
    <cdr:from>
      <cdr:x>0.17564</cdr:x>
      <cdr:y>0.42436</cdr:y>
    </cdr:from>
    <cdr:to>
      <cdr:x>0.30273</cdr:x>
      <cdr:y>0.532</cdr:y>
    </cdr:to>
    <cdr:sp macro="" textlink="">
      <cdr:nvSpPr>
        <cdr:cNvPr id="3" name="TextBox 2"/>
        <cdr:cNvSpPr txBox="1"/>
      </cdr:nvSpPr>
      <cdr:spPr>
        <a:xfrm xmlns:a="http://schemas.openxmlformats.org/drawingml/2006/main">
          <a:off x="890340" y="1080041"/>
          <a:ext cx="644245" cy="27395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000" b="1"/>
            <a:t>(34%)</a:t>
          </a:r>
        </a:p>
      </cdr:txBody>
    </cdr:sp>
  </cdr:relSizeAnchor>
  <cdr:relSizeAnchor xmlns:cdr="http://schemas.openxmlformats.org/drawingml/2006/chartDrawing">
    <cdr:from>
      <cdr:x>0.30032</cdr:x>
      <cdr:y>0.71784</cdr:y>
    </cdr:from>
    <cdr:to>
      <cdr:x>0.42532</cdr:x>
      <cdr:y>0.7977</cdr:y>
    </cdr:to>
    <cdr:sp macro="" textlink="">
      <cdr:nvSpPr>
        <cdr:cNvPr id="4" name="TextBox 3"/>
        <cdr:cNvSpPr txBox="1"/>
      </cdr:nvSpPr>
      <cdr:spPr>
        <a:xfrm xmlns:a="http://schemas.openxmlformats.org/drawingml/2006/main">
          <a:off x="1522377" y="1826972"/>
          <a:ext cx="633650" cy="2032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000" b="1"/>
            <a:t>(40%)</a:t>
          </a:r>
        </a:p>
      </cdr:txBody>
    </cdr:sp>
  </cdr:relSizeAnchor>
</c:userShape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96B88-1BF8-4DCF-A584-6AE38EA99F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211C518-AF0D-4EFC-A6BC-59E8C5ECB491}">
  <ds:schemaRefs>
    <ds:schemaRef ds:uri="http://schemas.microsoft.com/sharepoint/v3/contenttype/forms"/>
  </ds:schemaRefs>
</ds:datastoreItem>
</file>

<file path=customXml/itemProps3.xml><?xml version="1.0" encoding="utf-8"?>
<ds:datastoreItem xmlns:ds="http://schemas.openxmlformats.org/officeDocument/2006/customXml" ds:itemID="{916685FA-A57B-4CA1-94AC-A1FD9A0E28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86577D0-36F1-462C-9035-FCA8D6740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25447</Words>
  <Characters>127235</Characters>
  <Application>Microsoft Office Word</Application>
  <DocSecurity>4</DocSecurity>
  <Lines>1060</Lines>
  <Paragraphs>304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סמים ואלכוהול בישראל: נתוני רקע, חקיקה, ופעילות גופי מדינה</vt:lpstr>
      <vt:lpstr/>
    </vt:vector>
  </TitlesOfParts>
  <Company>Knesset</Company>
  <LinksUpToDate>false</LinksUpToDate>
  <CharactersWithSpaces>152378</CharactersWithSpaces>
  <SharedDoc>false</SharedDoc>
  <HLinks>
    <vt:vector size="546" baseType="variant">
      <vt:variant>
        <vt:i4>327705</vt:i4>
      </vt:variant>
      <vt:variant>
        <vt:i4>171</vt:i4>
      </vt:variant>
      <vt:variant>
        <vt:i4>0</vt:i4>
      </vt:variant>
      <vt:variant>
        <vt:i4>5</vt:i4>
      </vt:variant>
      <vt:variant>
        <vt:lpwstr>http://www.knesset.gov.il/mmm/data/pdf/m02412.pdf</vt:lpwstr>
      </vt:variant>
      <vt:variant>
        <vt:lpwstr/>
      </vt:variant>
      <vt:variant>
        <vt:i4>3997806</vt:i4>
      </vt:variant>
      <vt:variant>
        <vt:i4>168</vt:i4>
      </vt:variant>
      <vt:variant>
        <vt:i4>0</vt:i4>
      </vt:variant>
      <vt:variant>
        <vt:i4>5</vt:i4>
      </vt:variant>
      <vt:variant>
        <vt:lpwstr>https://knesset.gov.il/mmm/data/pdf/m03306.pdf</vt:lpwstr>
      </vt:variant>
      <vt:variant>
        <vt:lpwstr/>
      </vt:variant>
      <vt:variant>
        <vt:i4>1769526</vt:i4>
      </vt:variant>
      <vt:variant>
        <vt:i4>158</vt:i4>
      </vt:variant>
      <vt:variant>
        <vt:i4>0</vt:i4>
      </vt:variant>
      <vt:variant>
        <vt:i4>5</vt:i4>
      </vt:variant>
      <vt:variant>
        <vt:lpwstr/>
      </vt:variant>
      <vt:variant>
        <vt:lpwstr>_Toc353962025</vt:lpwstr>
      </vt:variant>
      <vt:variant>
        <vt:i4>1769526</vt:i4>
      </vt:variant>
      <vt:variant>
        <vt:i4>152</vt:i4>
      </vt:variant>
      <vt:variant>
        <vt:i4>0</vt:i4>
      </vt:variant>
      <vt:variant>
        <vt:i4>5</vt:i4>
      </vt:variant>
      <vt:variant>
        <vt:lpwstr/>
      </vt:variant>
      <vt:variant>
        <vt:lpwstr>_Toc353962024</vt:lpwstr>
      </vt:variant>
      <vt:variant>
        <vt:i4>1769526</vt:i4>
      </vt:variant>
      <vt:variant>
        <vt:i4>146</vt:i4>
      </vt:variant>
      <vt:variant>
        <vt:i4>0</vt:i4>
      </vt:variant>
      <vt:variant>
        <vt:i4>5</vt:i4>
      </vt:variant>
      <vt:variant>
        <vt:lpwstr/>
      </vt:variant>
      <vt:variant>
        <vt:lpwstr>_Toc353962020</vt:lpwstr>
      </vt:variant>
      <vt:variant>
        <vt:i4>1572918</vt:i4>
      </vt:variant>
      <vt:variant>
        <vt:i4>140</vt:i4>
      </vt:variant>
      <vt:variant>
        <vt:i4>0</vt:i4>
      </vt:variant>
      <vt:variant>
        <vt:i4>5</vt:i4>
      </vt:variant>
      <vt:variant>
        <vt:lpwstr/>
      </vt:variant>
      <vt:variant>
        <vt:lpwstr>_Toc353962019</vt:lpwstr>
      </vt:variant>
      <vt:variant>
        <vt:i4>1572918</vt:i4>
      </vt:variant>
      <vt:variant>
        <vt:i4>134</vt:i4>
      </vt:variant>
      <vt:variant>
        <vt:i4>0</vt:i4>
      </vt:variant>
      <vt:variant>
        <vt:i4>5</vt:i4>
      </vt:variant>
      <vt:variant>
        <vt:lpwstr/>
      </vt:variant>
      <vt:variant>
        <vt:lpwstr>_Toc353962018</vt:lpwstr>
      </vt:variant>
      <vt:variant>
        <vt:i4>1572918</vt:i4>
      </vt:variant>
      <vt:variant>
        <vt:i4>128</vt:i4>
      </vt:variant>
      <vt:variant>
        <vt:i4>0</vt:i4>
      </vt:variant>
      <vt:variant>
        <vt:i4>5</vt:i4>
      </vt:variant>
      <vt:variant>
        <vt:lpwstr/>
      </vt:variant>
      <vt:variant>
        <vt:lpwstr>_Toc353962017</vt:lpwstr>
      </vt:variant>
      <vt:variant>
        <vt:i4>1572918</vt:i4>
      </vt:variant>
      <vt:variant>
        <vt:i4>122</vt:i4>
      </vt:variant>
      <vt:variant>
        <vt:i4>0</vt:i4>
      </vt:variant>
      <vt:variant>
        <vt:i4>5</vt:i4>
      </vt:variant>
      <vt:variant>
        <vt:lpwstr/>
      </vt:variant>
      <vt:variant>
        <vt:lpwstr>_Toc353962016</vt:lpwstr>
      </vt:variant>
      <vt:variant>
        <vt:i4>1572918</vt:i4>
      </vt:variant>
      <vt:variant>
        <vt:i4>116</vt:i4>
      </vt:variant>
      <vt:variant>
        <vt:i4>0</vt:i4>
      </vt:variant>
      <vt:variant>
        <vt:i4>5</vt:i4>
      </vt:variant>
      <vt:variant>
        <vt:lpwstr/>
      </vt:variant>
      <vt:variant>
        <vt:lpwstr>_Toc353962015</vt:lpwstr>
      </vt:variant>
      <vt:variant>
        <vt:i4>1572918</vt:i4>
      </vt:variant>
      <vt:variant>
        <vt:i4>110</vt:i4>
      </vt:variant>
      <vt:variant>
        <vt:i4>0</vt:i4>
      </vt:variant>
      <vt:variant>
        <vt:i4>5</vt:i4>
      </vt:variant>
      <vt:variant>
        <vt:lpwstr/>
      </vt:variant>
      <vt:variant>
        <vt:lpwstr>_Toc353962014</vt:lpwstr>
      </vt:variant>
      <vt:variant>
        <vt:i4>1572918</vt:i4>
      </vt:variant>
      <vt:variant>
        <vt:i4>104</vt:i4>
      </vt:variant>
      <vt:variant>
        <vt:i4>0</vt:i4>
      </vt:variant>
      <vt:variant>
        <vt:i4>5</vt:i4>
      </vt:variant>
      <vt:variant>
        <vt:lpwstr/>
      </vt:variant>
      <vt:variant>
        <vt:lpwstr>_Toc353962012</vt:lpwstr>
      </vt:variant>
      <vt:variant>
        <vt:i4>1572918</vt:i4>
      </vt:variant>
      <vt:variant>
        <vt:i4>98</vt:i4>
      </vt:variant>
      <vt:variant>
        <vt:i4>0</vt:i4>
      </vt:variant>
      <vt:variant>
        <vt:i4>5</vt:i4>
      </vt:variant>
      <vt:variant>
        <vt:lpwstr/>
      </vt:variant>
      <vt:variant>
        <vt:lpwstr>_Toc353962010</vt:lpwstr>
      </vt:variant>
      <vt:variant>
        <vt:i4>1638454</vt:i4>
      </vt:variant>
      <vt:variant>
        <vt:i4>92</vt:i4>
      </vt:variant>
      <vt:variant>
        <vt:i4>0</vt:i4>
      </vt:variant>
      <vt:variant>
        <vt:i4>5</vt:i4>
      </vt:variant>
      <vt:variant>
        <vt:lpwstr/>
      </vt:variant>
      <vt:variant>
        <vt:lpwstr>_Toc353962008</vt:lpwstr>
      </vt:variant>
      <vt:variant>
        <vt:i4>1638454</vt:i4>
      </vt:variant>
      <vt:variant>
        <vt:i4>86</vt:i4>
      </vt:variant>
      <vt:variant>
        <vt:i4>0</vt:i4>
      </vt:variant>
      <vt:variant>
        <vt:i4>5</vt:i4>
      </vt:variant>
      <vt:variant>
        <vt:lpwstr/>
      </vt:variant>
      <vt:variant>
        <vt:lpwstr>_Toc353962002</vt:lpwstr>
      </vt:variant>
      <vt:variant>
        <vt:i4>1638454</vt:i4>
      </vt:variant>
      <vt:variant>
        <vt:i4>83</vt:i4>
      </vt:variant>
      <vt:variant>
        <vt:i4>0</vt:i4>
      </vt:variant>
      <vt:variant>
        <vt:i4>5</vt:i4>
      </vt:variant>
      <vt:variant>
        <vt:lpwstr/>
      </vt:variant>
      <vt:variant>
        <vt:lpwstr>_Toc353962001</vt:lpwstr>
      </vt:variant>
      <vt:variant>
        <vt:i4>1638454</vt:i4>
      </vt:variant>
      <vt:variant>
        <vt:i4>80</vt:i4>
      </vt:variant>
      <vt:variant>
        <vt:i4>0</vt:i4>
      </vt:variant>
      <vt:variant>
        <vt:i4>5</vt:i4>
      </vt:variant>
      <vt:variant>
        <vt:lpwstr/>
      </vt:variant>
      <vt:variant>
        <vt:lpwstr>_Toc353962000</vt:lpwstr>
      </vt:variant>
      <vt:variant>
        <vt:i4>1245247</vt:i4>
      </vt:variant>
      <vt:variant>
        <vt:i4>74</vt:i4>
      </vt:variant>
      <vt:variant>
        <vt:i4>0</vt:i4>
      </vt:variant>
      <vt:variant>
        <vt:i4>5</vt:i4>
      </vt:variant>
      <vt:variant>
        <vt:lpwstr/>
      </vt:variant>
      <vt:variant>
        <vt:lpwstr>_Toc353961994</vt:lpwstr>
      </vt:variant>
      <vt:variant>
        <vt:i4>1245247</vt:i4>
      </vt:variant>
      <vt:variant>
        <vt:i4>68</vt:i4>
      </vt:variant>
      <vt:variant>
        <vt:i4>0</vt:i4>
      </vt:variant>
      <vt:variant>
        <vt:i4>5</vt:i4>
      </vt:variant>
      <vt:variant>
        <vt:lpwstr/>
      </vt:variant>
      <vt:variant>
        <vt:lpwstr>_Toc353961990</vt:lpwstr>
      </vt:variant>
      <vt:variant>
        <vt:i4>1179711</vt:i4>
      </vt:variant>
      <vt:variant>
        <vt:i4>62</vt:i4>
      </vt:variant>
      <vt:variant>
        <vt:i4>0</vt:i4>
      </vt:variant>
      <vt:variant>
        <vt:i4>5</vt:i4>
      </vt:variant>
      <vt:variant>
        <vt:lpwstr/>
      </vt:variant>
      <vt:variant>
        <vt:lpwstr>_Toc353961989</vt:lpwstr>
      </vt:variant>
      <vt:variant>
        <vt:i4>1179711</vt:i4>
      </vt:variant>
      <vt:variant>
        <vt:i4>56</vt:i4>
      </vt:variant>
      <vt:variant>
        <vt:i4>0</vt:i4>
      </vt:variant>
      <vt:variant>
        <vt:i4>5</vt:i4>
      </vt:variant>
      <vt:variant>
        <vt:lpwstr/>
      </vt:variant>
      <vt:variant>
        <vt:lpwstr>_Toc353961988</vt:lpwstr>
      </vt:variant>
      <vt:variant>
        <vt:i4>1179711</vt:i4>
      </vt:variant>
      <vt:variant>
        <vt:i4>50</vt:i4>
      </vt:variant>
      <vt:variant>
        <vt:i4>0</vt:i4>
      </vt:variant>
      <vt:variant>
        <vt:i4>5</vt:i4>
      </vt:variant>
      <vt:variant>
        <vt:lpwstr/>
      </vt:variant>
      <vt:variant>
        <vt:lpwstr>_Toc353961987</vt:lpwstr>
      </vt:variant>
      <vt:variant>
        <vt:i4>1179711</vt:i4>
      </vt:variant>
      <vt:variant>
        <vt:i4>44</vt:i4>
      </vt:variant>
      <vt:variant>
        <vt:i4>0</vt:i4>
      </vt:variant>
      <vt:variant>
        <vt:i4>5</vt:i4>
      </vt:variant>
      <vt:variant>
        <vt:lpwstr/>
      </vt:variant>
      <vt:variant>
        <vt:lpwstr>_Toc353961986</vt:lpwstr>
      </vt:variant>
      <vt:variant>
        <vt:i4>1179711</vt:i4>
      </vt:variant>
      <vt:variant>
        <vt:i4>38</vt:i4>
      </vt:variant>
      <vt:variant>
        <vt:i4>0</vt:i4>
      </vt:variant>
      <vt:variant>
        <vt:i4>5</vt:i4>
      </vt:variant>
      <vt:variant>
        <vt:lpwstr/>
      </vt:variant>
      <vt:variant>
        <vt:lpwstr>_Toc353961980</vt:lpwstr>
      </vt:variant>
      <vt:variant>
        <vt:i4>1900607</vt:i4>
      </vt:variant>
      <vt:variant>
        <vt:i4>32</vt:i4>
      </vt:variant>
      <vt:variant>
        <vt:i4>0</vt:i4>
      </vt:variant>
      <vt:variant>
        <vt:i4>5</vt:i4>
      </vt:variant>
      <vt:variant>
        <vt:lpwstr/>
      </vt:variant>
      <vt:variant>
        <vt:lpwstr>_Toc353961979</vt:lpwstr>
      </vt:variant>
      <vt:variant>
        <vt:i4>1900607</vt:i4>
      </vt:variant>
      <vt:variant>
        <vt:i4>26</vt:i4>
      </vt:variant>
      <vt:variant>
        <vt:i4>0</vt:i4>
      </vt:variant>
      <vt:variant>
        <vt:i4>5</vt:i4>
      </vt:variant>
      <vt:variant>
        <vt:lpwstr/>
      </vt:variant>
      <vt:variant>
        <vt:lpwstr>_Toc353961977</vt:lpwstr>
      </vt:variant>
      <vt:variant>
        <vt:i4>1900607</vt:i4>
      </vt:variant>
      <vt:variant>
        <vt:i4>20</vt:i4>
      </vt:variant>
      <vt:variant>
        <vt:i4>0</vt:i4>
      </vt:variant>
      <vt:variant>
        <vt:i4>5</vt:i4>
      </vt:variant>
      <vt:variant>
        <vt:lpwstr/>
      </vt:variant>
      <vt:variant>
        <vt:lpwstr>_Toc353961976</vt:lpwstr>
      </vt:variant>
      <vt:variant>
        <vt:i4>1900607</vt:i4>
      </vt:variant>
      <vt:variant>
        <vt:i4>14</vt:i4>
      </vt:variant>
      <vt:variant>
        <vt:i4>0</vt:i4>
      </vt:variant>
      <vt:variant>
        <vt:i4>5</vt:i4>
      </vt:variant>
      <vt:variant>
        <vt:lpwstr/>
      </vt:variant>
      <vt:variant>
        <vt:lpwstr>_Toc353961975</vt:lpwstr>
      </vt:variant>
      <vt:variant>
        <vt:i4>1900607</vt:i4>
      </vt:variant>
      <vt:variant>
        <vt:i4>8</vt:i4>
      </vt:variant>
      <vt:variant>
        <vt:i4>0</vt:i4>
      </vt:variant>
      <vt:variant>
        <vt:i4>5</vt:i4>
      </vt:variant>
      <vt:variant>
        <vt:lpwstr/>
      </vt:variant>
      <vt:variant>
        <vt:lpwstr>_Toc353961974</vt:lpwstr>
      </vt:variant>
      <vt:variant>
        <vt:i4>1900607</vt:i4>
      </vt:variant>
      <vt:variant>
        <vt:i4>2</vt:i4>
      </vt:variant>
      <vt:variant>
        <vt:i4>0</vt:i4>
      </vt:variant>
      <vt:variant>
        <vt:i4>5</vt:i4>
      </vt:variant>
      <vt:variant>
        <vt:lpwstr/>
      </vt:variant>
      <vt:variant>
        <vt:lpwstr>_Toc353961973</vt:lpwstr>
      </vt:variant>
      <vt:variant>
        <vt:i4>1835081</vt:i4>
      </vt:variant>
      <vt:variant>
        <vt:i4>171</vt:i4>
      </vt:variant>
      <vt:variant>
        <vt:i4>0</vt:i4>
      </vt:variant>
      <vt:variant>
        <vt:i4>5</vt:i4>
      </vt:variant>
      <vt:variant>
        <vt:lpwstr>http://rsa.gov.il/hachshara/nehagimchadashim/InterventionPrograms/Documents/DrivingWithAlcoholParentsChildren.pdf</vt:lpwstr>
      </vt:variant>
      <vt:variant>
        <vt:lpwstr/>
      </vt:variant>
      <vt:variant>
        <vt:i4>5308506</vt:i4>
      </vt:variant>
      <vt:variant>
        <vt:i4>168</vt:i4>
      </vt:variant>
      <vt:variant>
        <vt:i4>0</vt:i4>
      </vt:variant>
      <vt:variant>
        <vt:i4>5</vt:i4>
      </vt:variant>
      <vt:variant>
        <vt:lpwstr>http://www.pmo.gov.il/Secretary/sederyom/gov33/Documents/N15.pdf</vt:lpwstr>
      </vt:variant>
      <vt:variant>
        <vt:lpwstr/>
      </vt:variant>
      <vt:variant>
        <vt:i4>1048683</vt:i4>
      </vt:variant>
      <vt:variant>
        <vt:i4>162</vt:i4>
      </vt:variant>
      <vt:variant>
        <vt:i4>0</vt:i4>
      </vt:variant>
      <vt:variant>
        <vt:i4>5</vt:i4>
      </vt:variant>
      <vt:variant>
        <vt:lpwstr>http://www.old.health.gov.il/Download/pages/tipul_2011.pdf</vt:lpwstr>
      </vt:variant>
      <vt:variant>
        <vt:lpwstr/>
      </vt:variant>
      <vt:variant>
        <vt:i4>4128861</vt:i4>
      </vt:variant>
      <vt:variant>
        <vt:i4>159</vt:i4>
      </vt:variant>
      <vt:variant>
        <vt:i4>0</vt:i4>
      </vt:variant>
      <vt:variant>
        <vt:i4>5</vt:i4>
      </vt:variant>
      <vt:variant>
        <vt:lpwstr>http://www.antidrugs.gov.il/download/files/all_pages-finall.pdf</vt:lpwstr>
      </vt:variant>
      <vt:variant>
        <vt:lpwstr/>
      </vt:variant>
      <vt:variant>
        <vt:i4>2621497</vt:i4>
      </vt:variant>
      <vt:variant>
        <vt:i4>153</vt:i4>
      </vt:variant>
      <vt:variant>
        <vt:i4>0</vt:i4>
      </vt:variant>
      <vt:variant>
        <vt:i4>5</vt:i4>
      </vt:variant>
      <vt:variant>
        <vt:lpwstr>http://www.pmo.gov.il/Secretary/GovDecisions/2009/Pages/des44.aspx</vt:lpwstr>
      </vt:variant>
      <vt:variant>
        <vt:lpwstr/>
      </vt:variant>
      <vt:variant>
        <vt:i4>8192080</vt:i4>
      </vt:variant>
      <vt:variant>
        <vt:i4>150</vt:i4>
      </vt:variant>
      <vt:variant>
        <vt:i4>0</vt:i4>
      </vt:variant>
      <vt:variant>
        <vt:i4>5</vt:i4>
      </vt:variant>
      <vt:variant>
        <vt:lpwstr>https://www.google.com/url?sa=t&amp;rct=j&amp;q=&amp;esrc=s&amp;source=web&amp;cd=1&amp;ved=0CC8QFjAA&amp;url=http%3A%2F%2Fwww.knesset.gov.il%2Fprivatelaw%2Fdata%2F18%2F3%2F658_3_2.rtf&amp;ei=5FllUczqE8Xrswa0-IHgAg&amp;usg=AFQjCNFTpdNxvoep0G3Fa_Pi7YPvILhGqg&amp;sig2=AzGvQCEFLhFh0yn6SNon9g&amp;bvm=bv.44990110,d.bGE</vt:lpwstr>
      </vt:variant>
      <vt:variant>
        <vt:lpwstr/>
      </vt:variant>
      <vt:variant>
        <vt:i4>1507328</vt:i4>
      </vt:variant>
      <vt:variant>
        <vt:i4>147</vt:i4>
      </vt:variant>
      <vt:variant>
        <vt:i4>0</vt:i4>
      </vt:variant>
      <vt:variant>
        <vt:i4>5</vt:i4>
      </vt:variant>
      <vt:variant>
        <vt:lpwstr>http://www.pmo.gov.il/Secretary/GovDecisions/2005/Pages/des3687.aspx</vt:lpwstr>
      </vt:variant>
      <vt:variant>
        <vt:lpwstr/>
      </vt:variant>
      <vt:variant>
        <vt:i4>7340108</vt:i4>
      </vt:variant>
      <vt:variant>
        <vt:i4>144</vt:i4>
      </vt:variant>
      <vt:variant>
        <vt:i4>0</vt:i4>
      </vt:variant>
      <vt:variant>
        <vt:i4>5</vt:i4>
      </vt:variant>
      <vt:variant>
        <vt:lpwstr>https://www.google.com/url?sa=t&amp;rct=j&amp;q=&amp;esrc=s&amp;source=web&amp;cd=1&amp;ved=0CDYQFjAA&amp;url=http%3A%2F%2Fwww.old.health.gov.il%2Fdownload%2Fforms%2Fa3775_samim_81_010610.doc&amp;ei=godIUe77DcbTsgbqkIHQBw&amp;usg=AFQjCNFRTDakwZizfE7BeBAbq2RcxmofTQ&amp;bvm=bv.43828540,d.Yms</vt:lpwstr>
      </vt:variant>
      <vt:variant>
        <vt:lpwstr/>
      </vt:variant>
      <vt:variant>
        <vt:i4>4653154</vt:i4>
      </vt:variant>
      <vt:variant>
        <vt:i4>141</vt:i4>
      </vt:variant>
      <vt:variant>
        <vt:i4>0</vt:i4>
      </vt:variant>
      <vt:variant>
        <vt:i4>5</vt:i4>
      </vt:variant>
      <vt:variant>
        <vt:lpwstr>https://www.google.com/url?sa=t&amp;rct=j&amp;q=&amp;esrc=s&amp;source=web&amp;cd=2&amp;cad=rja&amp;ved=0CDMQFjAB&amp;url=http%3A%2F%2Fwww.nevo.co.il%2FLaw_word%2FLaw01%2Fp170_001.doc&amp;ei=eFtlUeCoMcWM4gTj4oCgAQ&amp;usg=AFQjCNHeNZ0XIxFn2LMZ7WSkwYdGHwf-Sg&amp;sig2=95o_ahGYKaexXOvOWjNkbA&amp;bvm=bv.44990110,d.bGE</vt:lpwstr>
      </vt:variant>
      <vt:variant>
        <vt:lpwstr/>
      </vt:variant>
      <vt:variant>
        <vt:i4>7340108</vt:i4>
      </vt:variant>
      <vt:variant>
        <vt:i4>138</vt:i4>
      </vt:variant>
      <vt:variant>
        <vt:i4>0</vt:i4>
      </vt:variant>
      <vt:variant>
        <vt:i4>5</vt:i4>
      </vt:variant>
      <vt:variant>
        <vt:lpwstr>https://www.google.com/url?sa=t&amp;rct=j&amp;q=&amp;esrc=s&amp;source=web&amp;cd=1&amp;ved=0CDYQFjAA&amp;url=http%3A%2F%2Fwww.old.health.gov.il%2Fdownload%2Fforms%2Fa3775_samim_81_010610.doc&amp;ei=godIUe77DcbTsgbqkIHQBw&amp;usg=AFQjCNFRTDakwZizfE7BeBAbq2RcxmofTQ&amp;bvm=bv.43828540,d.Yms</vt:lpwstr>
      </vt:variant>
      <vt:variant>
        <vt:lpwstr/>
      </vt:variant>
      <vt:variant>
        <vt:i4>4653154</vt:i4>
      </vt:variant>
      <vt:variant>
        <vt:i4>135</vt:i4>
      </vt:variant>
      <vt:variant>
        <vt:i4>0</vt:i4>
      </vt:variant>
      <vt:variant>
        <vt:i4>5</vt:i4>
      </vt:variant>
      <vt:variant>
        <vt:lpwstr>https://www.google.com/url?sa=t&amp;rct=j&amp;q=&amp;esrc=s&amp;source=web&amp;cd=2&amp;cad=rja&amp;ved=0CDMQFjAB&amp;url=http%3A%2F%2Fwww.nevo.co.il%2FLaw_word%2FLaw01%2Fp170_001.doc&amp;ei=eFtlUeCoMcWM4gTj4oCgAQ&amp;usg=AFQjCNHeNZ0XIxFn2LMZ7WSkwYdGHwf-Sg&amp;sig2=95o_ahGYKaexXOvOWjNkbA&amp;bvm=bv.44990110,d.bGE</vt:lpwstr>
      </vt:variant>
      <vt:variant>
        <vt:lpwstr/>
      </vt:variant>
      <vt:variant>
        <vt:i4>7405599</vt:i4>
      </vt:variant>
      <vt:variant>
        <vt:i4>129</vt:i4>
      </vt:variant>
      <vt:variant>
        <vt:i4>0</vt:i4>
      </vt:variant>
      <vt:variant>
        <vt:i4>5</vt:i4>
      </vt:variant>
      <vt:variant>
        <vt:lpwstr>http://www.health.gov.il/PublicationsFiles/HFA_2011.pdf</vt:lpwstr>
      </vt:variant>
      <vt:variant>
        <vt:lpwstr/>
      </vt:variant>
      <vt:variant>
        <vt:i4>2949210</vt:i4>
      </vt:variant>
      <vt:variant>
        <vt:i4>126</vt:i4>
      </vt:variant>
      <vt:variant>
        <vt:i4>0</vt:i4>
      </vt:variant>
      <vt:variant>
        <vt:i4>5</vt:i4>
      </vt:variant>
      <vt:variant>
        <vt:lpwstr>http://www.igudbit.org.il/_Uploads/161alco1.pdf</vt:lpwstr>
      </vt:variant>
      <vt:variant>
        <vt:lpwstr/>
      </vt:variant>
      <vt:variant>
        <vt:i4>3604555</vt:i4>
      </vt:variant>
      <vt:variant>
        <vt:i4>123</vt:i4>
      </vt:variant>
      <vt:variant>
        <vt:i4>0</vt:i4>
      </vt:variant>
      <vt:variant>
        <vt:i4>5</vt:i4>
      </vt:variant>
      <vt:variant>
        <vt:lpwstr>http://www.antidrugs.gov.il/download/files/%D7%90%D7%A4%D7%99%D7%93%D7%9E%D7%99%D7%95%D7%9C%D7%95%D7%92%D7%99 2009 _1.pdf</vt:lpwstr>
      </vt:variant>
      <vt:variant>
        <vt:lpwstr/>
      </vt:variant>
      <vt:variant>
        <vt:i4>4849767</vt:i4>
      </vt:variant>
      <vt:variant>
        <vt:i4>120</vt:i4>
      </vt:variant>
      <vt:variant>
        <vt:i4>0</vt:i4>
      </vt:variant>
      <vt:variant>
        <vt:i4>5</vt:i4>
      </vt:variant>
      <vt:variant>
        <vt:lpwstr>http://www.health.gov.il/PublicationsFiles/kidum_b_No_3.pdf</vt:lpwstr>
      </vt:variant>
      <vt:variant>
        <vt:lpwstr/>
      </vt:variant>
      <vt:variant>
        <vt:i4>3801117</vt:i4>
      </vt:variant>
      <vt:variant>
        <vt:i4>117</vt:i4>
      </vt:variant>
      <vt:variant>
        <vt:i4>0</vt:i4>
      </vt:variant>
      <vt:variant>
        <vt:i4>5</vt:i4>
      </vt:variant>
      <vt:variant>
        <vt:lpwstr>http://www.antidrugs.gov.il/download/files/%D7%A0%D7%AA%D7%95%D7%A0%D7%99 %D7%9E%D7%A4%D7%AA%D7%97 2013_1.pdf</vt:lpwstr>
      </vt:variant>
      <vt:variant>
        <vt:lpwstr/>
      </vt:variant>
      <vt:variant>
        <vt:i4>3604555</vt:i4>
      </vt:variant>
      <vt:variant>
        <vt:i4>114</vt:i4>
      </vt:variant>
      <vt:variant>
        <vt:i4>0</vt:i4>
      </vt:variant>
      <vt:variant>
        <vt:i4>5</vt:i4>
      </vt:variant>
      <vt:variant>
        <vt:lpwstr>http://www.antidrugs.gov.il/download/files/%D7%90%D7%A4%D7%99%D7%93%D7%9E%D7%99%D7%95%D7%9C%D7%95%D7%92%D7%99 2009 _1.pdf</vt:lpwstr>
      </vt:variant>
      <vt:variant>
        <vt:lpwstr/>
      </vt:variant>
      <vt:variant>
        <vt:i4>2949210</vt:i4>
      </vt:variant>
      <vt:variant>
        <vt:i4>111</vt:i4>
      </vt:variant>
      <vt:variant>
        <vt:i4>0</vt:i4>
      </vt:variant>
      <vt:variant>
        <vt:i4>5</vt:i4>
      </vt:variant>
      <vt:variant>
        <vt:lpwstr>http://www.igudbit.org.il/_Uploads/161alco1.pdf</vt:lpwstr>
      </vt:variant>
      <vt:variant>
        <vt:lpwstr/>
      </vt:variant>
      <vt:variant>
        <vt:i4>1704022</vt:i4>
      </vt:variant>
      <vt:variant>
        <vt:i4>108</vt:i4>
      </vt:variant>
      <vt:variant>
        <vt:i4>0</vt:i4>
      </vt:variant>
      <vt:variant>
        <vt:i4>5</vt:i4>
      </vt:variant>
      <vt:variant>
        <vt:lpwstr>http://www.rsa.gov.il/meidamechkar/MechkarimSkarim/documents/alkohol2012.pdf</vt:lpwstr>
      </vt:variant>
      <vt:variant>
        <vt:lpwstr/>
      </vt:variant>
      <vt:variant>
        <vt:i4>1704022</vt:i4>
      </vt:variant>
      <vt:variant>
        <vt:i4>105</vt:i4>
      </vt:variant>
      <vt:variant>
        <vt:i4>0</vt:i4>
      </vt:variant>
      <vt:variant>
        <vt:i4>5</vt:i4>
      </vt:variant>
      <vt:variant>
        <vt:lpwstr>http://www.rsa.gov.il/meidamechkar/MechkarimSkarim/documents/alkohol2012.pdf</vt:lpwstr>
      </vt:variant>
      <vt:variant>
        <vt:lpwstr/>
      </vt:variant>
      <vt:variant>
        <vt:i4>3604555</vt:i4>
      </vt:variant>
      <vt:variant>
        <vt:i4>102</vt:i4>
      </vt:variant>
      <vt:variant>
        <vt:i4>0</vt:i4>
      </vt:variant>
      <vt:variant>
        <vt:i4>5</vt:i4>
      </vt:variant>
      <vt:variant>
        <vt:lpwstr>http://www.antidrugs.gov.il/download/files/%D7%90%D7%A4%D7%99%D7%93%D7%9E%D7%99%D7%95%D7%9C%D7%95%D7%92%D7%99 2009 _1.pdf</vt:lpwstr>
      </vt:variant>
      <vt:variant>
        <vt:lpwstr/>
      </vt:variant>
      <vt:variant>
        <vt:i4>458793</vt:i4>
      </vt:variant>
      <vt:variant>
        <vt:i4>99</vt:i4>
      </vt:variant>
      <vt:variant>
        <vt:i4>0</vt:i4>
      </vt:variant>
      <vt:variant>
        <vt:i4>5</vt:i4>
      </vt:variant>
      <vt:variant>
        <vt:lpwstr>http://www.who.int/substance_abuse/publications/global_alcohol_report/msbgsruprofiles.pdf</vt:lpwstr>
      </vt:variant>
      <vt:variant>
        <vt:lpwstr/>
      </vt:variant>
      <vt:variant>
        <vt:i4>4259913</vt:i4>
      </vt:variant>
      <vt:variant>
        <vt:i4>96</vt:i4>
      </vt:variant>
      <vt:variant>
        <vt:i4>0</vt:i4>
      </vt:variant>
      <vt:variant>
        <vt:i4>5</vt:i4>
      </vt:variant>
      <vt:variant>
        <vt:lpwstr>http://www.oecd-ilibrary.org/sites/factbook-2011-en/12/02/02/index.html?contentType=&amp;itemId=/content/chapter/factbook-2011-108-en&amp;containerItemId=/content/serial/18147364&amp;accessItemIds=&amp;mimeType=text/html</vt:lpwstr>
      </vt:variant>
      <vt:variant>
        <vt:lpwstr/>
      </vt:variant>
      <vt:variant>
        <vt:i4>6684748</vt:i4>
      </vt:variant>
      <vt:variant>
        <vt:i4>90</vt:i4>
      </vt:variant>
      <vt:variant>
        <vt:i4>0</vt:i4>
      </vt:variant>
      <vt:variant>
        <vt:i4>5</vt:i4>
      </vt:variant>
      <vt:variant>
        <vt:lpwstr>http://apps.who.int/iris/bitstream/10665/112736/1/9789240692763_eng.pdf?ua=1</vt:lpwstr>
      </vt:variant>
      <vt:variant>
        <vt:lpwstr/>
      </vt:variant>
      <vt:variant>
        <vt:i4>6684748</vt:i4>
      </vt:variant>
      <vt:variant>
        <vt:i4>87</vt:i4>
      </vt:variant>
      <vt:variant>
        <vt:i4>0</vt:i4>
      </vt:variant>
      <vt:variant>
        <vt:i4>5</vt:i4>
      </vt:variant>
      <vt:variant>
        <vt:lpwstr>http://apps.who.int/iris/bitstream/10665/112736/1/9789240692763_eng.pdf?ua=1</vt:lpwstr>
      </vt:variant>
      <vt:variant>
        <vt:lpwstr/>
      </vt:variant>
      <vt:variant>
        <vt:i4>3997823</vt:i4>
      </vt:variant>
      <vt:variant>
        <vt:i4>84</vt:i4>
      </vt:variant>
      <vt:variant>
        <vt:i4>0</vt:i4>
      </vt:variant>
      <vt:variant>
        <vt:i4>5</vt:i4>
      </vt:variant>
      <vt:variant>
        <vt:lpwstr>http://dx.doi.org/10.1787/data-00546-en</vt:lpwstr>
      </vt:variant>
      <vt:variant>
        <vt:lpwstr/>
      </vt:variant>
      <vt:variant>
        <vt:i4>1114183</vt:i4>
      </vt:variant>
      <vt:variant>
        <vt:i4>81</vt:i4>
      </vt:variant>
      <vt:variant>
        <vt:i4>0</vt:i4>
      </vt:variant>
      <vt:variant>
        <vt:i4>5</vt:i4>
      </vt:variant>
      <vt:variant>
        <vt:lpwstr>http://stats.oecd.org/wbos/fileview2.aspx?IDFile=17d36de2-b4ae-409a-9968-a27c7f2857e4</vt:lpwstr>
      </vt:variant>
      <vt:variant>
        <vt:lpwstr/>
      </vt:variant>
      <vt:variant>
        <vt:i4>65566</vt:i4>
      </vt:variant>
      <vt:variant>
        <vt:i4>78</vt:i4>
      </vt:variant>
      <vt:variant>
        <vt:i4>0</vt:i4>
      </vt:variant>
      <vt:variant>
        <vt:i4>5</vt:i4>
      </vt:variant>
      <vt:variant>
        <vt:lpwstr>http://dx.doi.org/10.1787/e6895909-en</vt:lpwstr>
      </vt:variant>
      <vt:variant>
        <vt:lpwstr/>
      </vt:variant>
      <vt:variant>
        <vt:i4>6684748</vt:i4>
      </vt:variant>
      <vt:variant>
        <vt:i4>75</vt:i4>
      </vt:variant>
      <vt:variant>
        <vt:i4>0</vt:i4>
      </vt:variant>
      <vt:variant>
        <vt:i4>5</vt:i4>
      </vt:variant>
      <vt:variant>
        <vt:lpwstr>http://apps.who.int/iris/bitstream/10665/112736/1/9789240692763_eng.pdf?ua=1</vt:lpwstr>
      </vt:variant>
      <vt:variant>
        <vt:lpwstr/>
      </vt:variant>
      <vt:variant>
        <vt:i4>6684748</vt:i4>
      </vt:variant>
      <vt:variant>
        <vt:i4>72</vt:i4>
      </vt:variant>
      <vt:variant>
        <vt:i4>0</vt:i4>
      </vt:variant>
      <vt:variant>
        <vt:i4>5</vt:i4>
      </vt:variant>
      <vt:variant>
        <vt:lpwstr>http://apps.who.int/iris/bitstream/10665/112736/1/9789240692763_eng.pdf?ua=1</vt:lpwstr>
      </vt:variant>
      <vt:variant>
        <vt:lpwstr/>
      </vt:variant>
      <vt:variant>
        <vt:i4>3604555</vt:i4>
      </vt:variant>
      <vt:variant>
        <vt:i4>69</vt:i4>
      </vt:variant>
      <vt:variant>
        <vt:i4>0</vt:i4>
      </vt:variant>
      <vt:variant>
        <vt:i4>5</vt:i4>
      </vt:variant>
      <vt:variant>
        <vt:lpwstr>http://www.antidrugs.gov.il/download/files/%D7%90%D7%A4%D7%99%D7%93%D7%9E%D7%99%D7%95%D7%9C%D7%95%D7%92%D7%99 2009 _1.pdf</vt:lpwstr>
      </vt:variant>
      <vt:variant>
        <vt:lpwstr/>
      </vt:variant>
      <vt:variant>
        <vt:i4>65564</vt:i4>
      </vt:variant>
      <vt:variant>
        <vt:i4>66</vt:i4>
      </vt:variant>
      <vt:variant>
        <vt:i4>0</vt:i4>
      </vt:variant>
      <vt:variant>
        <vt:i4>5</vt:i4>
      </vt:variant>
      <vt:variant>
        <vt:lpwstr>http://www.knesset.gov.il/mmm/data/pdf/m03043.pdf</vt:lpwstr>
      </vt:variant>
      <vt:variant>
        <vt:lpwstr/>
      </vt:variant>
      <vt:variant>
        <vt:i4>7602215</vt:i4>
      </vt:variant>
      <vt:variant>
        <vt:i4>63</vt:i4>
      </vt:variant>
      <vt:variant>
        <vt:i4>0</vt:i4>
      </vt:variant>
      <vt:variant>
        <vt:i4>5</vt:i4>
      </vt:variant>
      <vt:variant>
        <vt:lpwstr>http://webfea.fea.aub.edu.lb/aerosol/Waterpipe Health Advisory WHO.pdf</vt:lpwstr>
      </vt:variant>
      <vt:variant>
        <vt:lpwstr/>
      </vt:variant>
      <vt:variant>
        <vt:i4>1048643</vt:i4>
      </vt:variant>
      <vt:variant>
        <vt:i4>60</vt:i4>
      </vt:variant>
      <vt:variant>
        <vt:i4>0</vt:i4>
      </vt:variant>
      <vt:variant>
        <vt:i4>5</vt:i4>
      </vt:variant>
      <vt:variant>
        <vt:lpwstr>http://www.antidrugs.gov.il/download/files/%D7%99%D7%93 %D7%A2%D7%9C %D7%94%D7%93%D7%95%D7%A4%D7%A7 %D7%99%D7%95%D7%A1%D7%99.pdf</vt:lpwstr>
      </vt:variant>
      <vt:variant>
        <vt:lpwstr/>
      </vt:variant>
      <vt:variant>
        <vt:i4>5046393</vt:i4>
      </vt:variant>
      <vt:variant>
        <vt:i4>57</vt:i4>
      </vt:variant>
      <vt:variant>
        <vt:i4>0</vt:i4>
      </vt:variant>
      <vt:variant>
        <vt:i4>5</vt:i4>
      </vt:variant>
      <vt:variant>
        <vt:lpwstr>http://www.antidrugs.gov.il/download/files/%D7%A1%D7%A7%D7%A8 HBSC 2011 %D7%A1%D7%95%D7%A4%D7%99 %D7%9E%D7%99%D7%A2%D7%9C_2.pdf</vt:lpwstr>
      </vt:variant>
      <vt:variant>
        <vt:lpwstr/>
      </vt:variant>
      <vt:variant>
        <vt:i4>3801117</vt:i4>
      </vt:variant>
      <vt:variant>
        <vt:i4>54</vt:i4>
      </vt:variant>
      <vt:variant>
        <vt:i4>0</vt:i4>
      </vt:variant>
      <vt:variant>
        <vt:i4>5</vt:i4>
      </vt:variant>
      <vt:variant>
        <vt:lpwstr>http://www.antidrugs.gov.il/download/files/%D7%A0%D7%AA%D7%95%D7%A0%D7%99 %D7%9E%D7%A4%D7%AA%D7%97 2013_1.pdf</vt:lpwstr>
      </vt:variant>
      <vt:variant>
        <vt:lpwstr/>
      </vt:variant>
      <vt:variant>
        <vt:i4>65536</vt:i4>
      </vt:variant>
      <vt:variant>
        <vt:i4>51</vt:i4>
      </vt:variant>
      <vt:variant>
        <vt:i4>0</vt:i4>
      </vt:variant>
      <vt:variant>
        <vt:i4>5</vt:i4>
      </vt:variant>
      <vt:variant>
        <vt:lpwstr>http://www.ncbi.nlm.nih.gov/pmc/articles/PMC1447049/</vt:lpwstr>
      </vt:variant>
      <vt:variant>
        <vt:lpwstr/>
      </vt:variant>
      <vt:variant>
        <vt:i4>5046393</vt:i4>
      </vt:variant>
      <vt:variant>
        <vt:i4>48</vt:i4>
      </vt:variant>
      <vt:variant>
        <vt:i4>0</vt:i4>
      </vt:variant>
      <vt:variant>
        <vt:i4>5</vt:i4>
      </vt:variant>
      <vt:variant>
        <vt:lpwstr>http://www.antidrugs.gov.il/download/files/%D7%A1%D7%A7%D7%A8 HBSC 2011 %D7%A1%D7%95%D7%A4%D7%99 %D7%9E%D7%99%D7%A2%D7%9C_2.pdf</vt:lpwstr>
      </vt:variant>
      <vt:variant>
        <vt:lpwstr/>
      </vt:variant>
      <vt:variant>
        <vt:i4>3604555</vt:i4>
      </vt:variant>
      <vt:variant>
        <vt:i4>45</vt:i4>
      </vt:variant>
      <vt:variant>
        <vt:i4>0</vt:i4>
      </vt:variant>
      <vt:variant>
        <vt:i4>5</vt:i4>
      </vt:variant>
      <vt:variant>
        <vt:lpwstr>http://www.antidrugs.gov.il/download/files/%D7%90%D7%A4%D7%99%D7%93%D7%9E%D7%99%D7%95%D7%9C%D7%95%D7%92%D7%99 2009 _1.pdf</vt:lpwstr>
      </vt:variant>
      <vt:variant>
        <vt:lpwstr/>
      </vt:variant>
      <vt:variant>
        <vt:i4>5046393</vt:i4>
      </vt:variant>
      <vt:variant>
        <vt:i4>42</vt:i4>
      </vt:variant>
      <vt:variant>
        <vt:i4>0</vt:i4>
      </vt:variant>
      <vt:variant>
        <vt:i4>5</vt:i4>
      </vt:variant>
      <vt:variant>
        <vt:lpwstr>http://www.antidrugs.gov.il/download/files/%D7%A1%D7%A7%D7%A8 HBSC 2011 %D7%A1%D7%95%D7%A4%D7%99 %D7%9E%D7%99%D7%A2%D7%9C_2.pdf</vt:lpwstr>
      </vt:variant>
      <vt:variant>
        <vt:lpwstr/>
      </vt:variant>
      <vt:variant>
        <vt:i4>1048643</vt:i4>
      </vt:variant>
      <vt:variant>
        <vt:i4>39</vt:i4>
      </vt:variant>
      <vt:variant>
        <vt:i4>0</vt:i4>
      </vt:variant>
      <vt:variant>
        <vt:i4>5</vt:i4>
      </vt:variant>
      <vt:variant>
        <vt:lpwstr>http://www.antidrugs.gov.il/download/files/%D7%99%D7%93 %D7%A2%D7%9C %D7%94%D7%93%D7%95%D7%A4%D7%A7 %D7%99%D7%95%D7%A1%D7%99.pdf</vt:lpwstr>
      </vt:variant>
      <vt:variant>
        <vt:lpwstr/>
      </vt:variant>
      <vt:variant>
        <vt:i4>3604555</vt:i4>
      </vt:variant>
      <vt:variant>
        <vt:i4>36</vt:i4>
      </vt:variant>
      <vt:variant>
        <vt:i4>0</vt:i4>
      </vt:variant>
      <vt:variant>
        <vt:i4>5</vt:i4>
      </vt:variant>
      <vt:variant>
        <vt:lpwstr>http://www.antidrugs.gov.il/download/files/%D7%90%D7%A4%D7%99%D7%93%D7%9E%D7%99%D7%95%D7%9C%D7%95%D7%92%D7%99 2009 _1.pdf</vt:lpwstr>
      </vt:variant>
      <vt:variant>
        <vt:lpwstr/>
      </vt:variant>
      <vt:variant>
        <vt:i4>3604555</vt:i4>
      </vt:variant>
      <vt:variant>
        <vt:i4>33</vt:i4>
      </vt:variant>
      <vt:variant>
        <vt:i4>0</vt:i4>
      </vt:variant>
      <vt:variant>
        <vt:i4>5</vt:i4>
      </vt:variant>
      <vt:variant>
        <vt:lpwstr>http://www.antidrugs.gov.il/download/files/%D7%90%D7%A4%D7%99%D7%93%D7%9E%D7%99%D7%95%D7%9C%D7%95%D7%92%D7%99 2009 _1.pdf</vt:lpwstr>
      </vt:variant>
      <vt:variant>
        <vt:lpwstr/>
      </vt:variant>
      <vt:variant>
        <vt:i4>7995438</vt:i4>
      </vt:variant>
      <vt:variant>
        <vt:i4>27</vt:i4>
      </vt:variant>
      <vt:variant>
        <vt:i4>0</vt:i4>
      </vt:variant>
      <vt:variant>
        <vt:i4>5</vt:i4>
      </vt:variant>
      <vt:variant>
        <vt:lpwstr>http://www.emcdda.europa.eu/publications/annual-report/2011</vt:lpwstr>
      </vt:variant>
      <vt:variant>
        <vt:lpwstr/>
      </vt:variant>
      <vt:variant>
        <vt:i4>917570</vt:i4>
      </vt:variant>
      <vt:variant>
        <vt:i4>24</vt:i4>
      </vt:variant>
      <vt:variant>
        <vt:i4>0</vt:i4>
      </vt:variant>
      <vt:variant>
        <vt:i4>5</vt:i4>
      </vt:variant>
      <vt:variant>
        <vt:lpwstr>http://www.unodc.org/documents/wdr2014/World_Drug_Report_2014_web.pdf</vt:lpwstr>
      </vt:variant>
      <vt:variant>
        <vt:lpwstr/>
      </vt:variant>
      <vt:variant>
        <vt:i4>8257629</vt:i4>
      </vt:variant>
      <vt:variant>
        <vt:i4>21</vt:i4>
      </vt:variant>
      <vt:variant>
        <vt:i4>0</vt:i4>
      </vt:variant>
      <vt:variant>
        <vt:i4>5</vt:i4>
      </vt:variant>
      <vt:variant>
        <vt:lpwstr>http://www.unodc.org/documents/data-and-analysis/WDR2012/WDR_2012_web_small.pdf</vt:lpwstr>
      </vt:variant>
      <vt:variant>
        <vt:lpwstr/>
      </vt:variant>
      <vt:variant>
        <vt:i4>1507346</vt:i4>
      </vt:variant>
      <vt:variant>
        <vt:i4>18</vt:i4>
      </vt:variant>
      <vt:variant>
        <vt:i4>0</vt:i4>
      </vt:variant>
      <vt:variant>
        <vt:i4>5</vt:i4>
      </vt:variant>
      <vt:variant>
        <vt:lpwstr>http://www.emcdda.europa.eu/publications/edr/trends-developments/2014</vt:lpwstr>
      </vt:variant>
      <vt:variant>
        <vt:lpwstr/>
      </vt:variant>
      <vt:variant>
        <vt:i4>917570</vt:i4>
      </vt:variant>
      <vt:variant>
        <vt:i4>15</vt:i4>
      </vt:variant>
      <vt:variant>
        <vt:i4>0</vt:i4>
      </vt:variant>
      <vt:variant>
        <vt:i4>5</vt:i4>
      </vt:variant>
      <vt:variant>
        <vt:lpwstr>http://www.unodc.org/documents/wdr2014/World_Drug_Report_2014_web.pdf</vt:lpwstr>
      </vt:variant>
      <vt:variant>
        <vt:lpwstr/>
      </vt:variant>
      <vt:variant>
        <vt:i4>917570</vt:i4>
      </vt:variant>
      <vt:variant>
        <vt:i4>12</vt:i4>
      </vt:variant>
      <vt:variant>
        <vt:i4>0</vt:i4>
      </vt:variant>
      <vt:variant>
        <vt:i4>5</vt:i4>
      </vt:variant>
      <vt:variant>
        <vt:lpwstr>http://www.unodc.org/documents/wdr2014/World_Drug_Report_2014_web.pdf</vt:lpwstr>
      </vt:variant>
      <vt:variant>
        <vt:lpwstr/>
      </vt:variant>
      <vt:variant>
        <vt:i4>4653140</vt:i4>
      </vt:variant>
      <vt:variant>
        <vt:i4>9</vt:i4>
      </vt:variant>
      <vt:variant>
        <vt:i4>0</vt:i4>
      </vt:variant>
      <vt:variant>
        <vt:i4>5</vt:i4>
      </vt:variant>
      <vt:variant>
        <vt:lpwstr>http://www.unodc.org/pdf/convention_1961_en.pdf</vt:lpwstr>
      </vt:variant>
      <vt:variant>
        <vt:lpwstr/>
      </vt:variant>
      <vt:variant>
        <vt:i4>6422630</vt:i4>
      </vt:variant>
      <vt:variant>
        <vt:i4>6</vt:i4>
      </vt:variant>
      <vt:variant>
        <vt:i4>0</vt:i4>
      </vt:variant>
      <vt:variant>
        <vt:i4>5</vt:i4>
      </vt:variant>
      <vt:variant>
        <vt:lpwstr>http://www.unodc.org/unodc/en/illicit-drugs/definitions/index.html</vt:lpwstr>
      </vt:variant>
      <vt:variant>
        <vt:lpwstr/>
      </vt:variant>
      <vt:variant>
        <vt:i4>6946828</vt:i4>
      </vt:variant>
      <vt:variant>
        <vt:i4>3</vt:i4>
      </vt:variant>
      <vt:variant>
        <vt:i4>0</vt:i4>
      </vt:variant>
      <vt:variant>
        <vt:i4>5</vt:i4>
      </vt:variant>
      <vt:variant>
        <vt:lpwstr>http://www.unodc.org/documents/wdr2014/Methodology_2014.pdf</vt:lpwstr>
      </vt:variant>
      <vt:variant>
        <vt:lpwstr/>
      </vt:variant>
      <vt:variant>
        <vt:i4>3604606</vt:i4>
      </vt:variant>
      <vt:variant>
        <vt:i4>0</vt:i4>
      </vt:variant>
      <vt:variant>
        <vt:i4>0</vt:i4>
      </vt:variant>
      <vt:variant>
        <vt:i4>5</vt:i4>
      </vt:variant>
      <vt:variant>
        <vt:lpwstr>http://www.antidrugs.gov.il/pages/1670.aspx</vt:lpwstr>
      </vt:variant>
      <vt:variant>
        <vt:lpwstr/>
      </vt:variant>
      <vt:variant>
        <vt:i4>3735557</vt:i4>
      </vt:variant>
      <vt:variant>
        <vt:i4>21</vt:i4>
      </vt:variant>
      <vt:variant>
        <vt:i4>0</vt:i4>
      </vt:variant>
      <vt:variant>
        <vt:i4>5</vt:i4>
      </vt:variant>
      <vt:variant>
        <vt:lpwstr>http://www.health.gov.il/Subjects/addictions/Alcohol/Pages/Alcohol_withdrawal.aspx</vt:lpwstr>
      </vt:variant>
      <vt:variant>
        <vt:lpwstr/>
      </vt:variant>
      <vt:variant>
        <vt:i4>5505031</vt:i4>
      </vt:variant>
      <vt:variant>
        <vt:i4>18</vt:i4>
      </vt:variant>
      <vt:variant>
        <vt:i4>0</vt:i4>
      </vt:variant>
      <vt:variant>
        <vt:i4>5</vt:i4>
      </vt:variant>
      <vt:variant>
        <vt:lpwstr>http://www.health.gov.il/PublicationsFiles/emergency2013.pdf</vt:lpwstr>
      </vt:variant>
      <vt:variant>
        <vt:lpwstr/>
      </vt:variant>
      <vt:variant>
        <vt:i4>7995470</vt:i4>
      </vt:variant>
      <vt:variant>
        <vt:i4>15</vt:i4>
      </vt:variant>
      <vt:variant>
        <vt:i4>0</vt:i4>
      </vt:variant>
      <vt:variant>
        <vt:i4>5</vt:i4>
      </vt:variant>
      <vt:variant>
        <vt:lpwstr>http://www.euro.who.int/__data/assets/pdf_file/0003/163857/Social-determinants-of-health-and-well-being-among-young-people.pdf?ua=1</vt:lpwstr>
      </vt:variant>
      <vt:variant>
        <vt:lpwstr/>
      </vt:variant>
      <vt:variant>
        <vt:i4>1703941</vt:i4>
      </vt:variant>
      <vt:variant>
        <vt:i4>12</vt:i4>
      </vt:variant>
      <vt:variant>
        <vt:i4>0</vt:i4>
      </vt:variant>
      <vt:variant>
        <vt:i4>5</vt:i4>
      </vt:variant>
      <vt:variant>
        <vt:lpwstr>http://www.who.int/substance_abuse/activities/gisah_indicatorbook.pdf?ua=1</vt:lpwstr>
      </vt:variant>
      <vt:variant>
        <vt:lpwstr/>
      </vt:variant>
      <vt:variant>
        <vt:i4>7733248</vt:i4>
      </vt:variant>
      <vt:variant>
        <vt:i4>9</vt:i4>
      </vt:variant>
      <vt:variant>
        <vt:i4>0</vt:i4>
      </vt:variant>
      <vt:variant>
        <vt:i4>5</vt:i4>
      </vt:variant>
      <vt:variant>
        <vt:lpwstr>http://www.who.int/substance_abuse/publications/global_alcohol_report/profiles/isr.pdf?ua=1</vt:lpwstr>
      </vt:variant>
      <vt:variant>
        <vt:lpwstr/>
      </vt:variant>
      <vt:variant>
        <vt:i4>6881406</vt:i4>
      </vt:variant>
      <vt:variant>
        <vt:i4>6</vt:i4>
      </vt:variant>
      <vt:variant>
        <vt:i4>0</vt:i4>
      </vt:variant>
      <vt:variant>
        <vt:i4>5</vt:i4>
      </vt:variant>
      <vt:variant>
        <vt:lpwstr>http://www.sciencedirect.com/science/article/pii/S037687169700063X</vt:lpwstr>
      </vt:variant>
      <vt:variant>
        <vt:lpwstr/>
      </vt:variant>
      <vt:variant>
        <vt:i4>5701647</vt:i4>
      </vt:variant>
      <vt:variant>
        <vt:i4>3</vt:i4>
      </vt:variant>
      <vt:variant>
        <vt:i4>0</vt:i4>
      </vt:variant>
      <vt:variant>
        <vt:i4>5</vt:i4>
      </vt:variant>
      <vt:variant>
        <vt:lpwstr>http://aje.oxfordjournals.org/content/141/6/575.short</vt:lpwstr>
      </vt:variant>
      <vt:variant>
        <vt:lpwstr/>
      </vt:variant>
      <vt:variant>
        <vt:i4>6946828</vt:i4>
      </vt:variant>
      <vt:variant>
        <vt:i4>0</vt:i4>
      </vt:variant>
      <vt:variant>
        <vt:i4>0</vt:i4>
      </vt:variant>
      <vt:variant>
        <vt:i4>5</vt:i4>
      </vt:variant>
      <vt:variant>
        <vt:lpwstr>http://www.unodc.org/documents/wdr2014/Methodology_2014.pdf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סמים ואלכוהול בישראל: נתוני רקע, חקיקה, ופעילות גופי מדינה</dc:title>
  <dc:subject>מסמך זה נכתב עבור  הוועדה למאבק בנגעי הסמים ואלכוהול בכנסת העשרים והוא מציג סקירה של היבטים מרכזיים בתחום הסמים והאלכוהול בישראל. במסמך יוצגו נתונים על היקף השימוש בסמים ובאלכוהול בארץ ובעולם, המסגרת החוקית המסדירה תחומים אלה בישראל, וסקירת עבודתם של גופי המדינה השונים הפועלים בתחום.</dc:subject>
  <dc:creator>adiin@KNESSET.GOV.IL</dc:creator>
  <cp:keywords>סמים, אלכוהול, ילדים ונוער, בריאות, חקיקה, משרדי ממשלה, מחקר משווה</cp:keywords>
  <cp:lastModifiedBy>יעל נגני</cp:lastModifiedBy>
  <cp:revision>2</cp:revision>
  <cp:lastPrinted>2015-06-25T09:58:00Z</cp:lastPrinted>
  <dcterms:created xsi:type="dcterms:W3CDTF">2017-05-08T08:08:00Z</dcterms:created>
  <dcterms:modified xsi:type="dcterms:W3CDTF">2017-05-08T08:08:00Z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131</vt:r8>
  </property>
  <property fmtid="{D5CDD505-2E9C-101B-9397-08002B2CF9AE}" pid="4" name="SanhedrinItemID">
    <vt:r8>567170</vt:r8>
  </property>
</Properties>
</file>